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3"/>
        <w:rPr>
          <w:rFonts w:ascii="Times New Roman"/>
        </w:rPr>
      </w:pPr>
      <w:r>
        <w:rPr>
          <w:rFonts w:ascii="Times New Roman"/>
        </w:rPr>
        <w:drawing>
          <wp:inline distT="0" distB="0" distL="0" distR="0">
            <wp:extent cx="2344697"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4697"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Setting UK Monetary Policy in a Global Context</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Andrew Sentance, External Member of the Monetary Policy Committee, Bank of England</w:t>
      </w:r>
    </w:p>
    <w:p>
      <w:pPr>
        <w:pStyle w:val="BodyText"/>
        <w:rPr>
          <w:sz w:val="26"/>
        </w:rPr>
      </w:pPr>
    </w:p>
    <w:p>
      <w:pPr>
        <w:pStyle w:val="BodyText"/>
        <w:rPr>
          <w:sz w:val="22"/>
        </w:rPr>
      </w:pPr>
    </w:p>
    <w:p>
      <w:pPr>
        <w:spacing w:line="360" w:lineRule="auto" w:before="0"/>
        <w:ind w:left="233" w:right="1109" w:firstLine="0"/>
        <w:jc w:val="left"/>
        <w:rPr>
          <w:sz w:val="24"/>
        </w:rPr>
      </w:pPr>
      <w:r>
        <w:rPr>
          <w:sz w:val="24"/>
        </w:rPr>
        <w:t>At the European Policy Forum in association with the City of London Corporation, The Guildhall, London</w:t>
      </w:r>
    </w:p>
    <w:p>
      <w:pPr>
        <w:pStyle w:val="BodyText"/>
        <w:rPr>
          <w:sz w:val="36"/>
        </w:rPr>
      </w:pPr>
    </w:p>
    <w:p>
      <w:pPr>
        <w:spacing w:before="0"/>
        <w:ind w:left="233" w:right="0" w:firstLine="0"/>
        <w:jc w:val="left"/>
        <w:rPr>
          <w:sz w:val="24"/>
        </w:rPr>
      </w:pPr>
      <w:r>
        <w:rPr>
          <w:sz w:val="24"/>
        </w:rPr>
        <w:t>24 January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p>
    <w:p>
      <w:pPr>
        <w:spacing w:before="94"/>
        <w:ind w:left="233" w:right="722" w:firstLine="0"/>
        <w:jc w:val="left"/>
        <w:rPr>
          <w:sz w:val="16"/>
        </w:rPr>
      </w:pPr>
      <w:r>
        <w:rPr>
          <w:sz w:val="16"/>
        </w:rPr>
        <w:t>I would like to thank Tomasz Wieladek and Adrian Chiu for research assistance and I am also grateful for helpful comments from other colleagues. The views expressed are my own and do not necessarily reflect those of the Bank of England or other members of the Monetary Policy Committee.</w:t>
      </w:r>
    </w:p>
    <w:p>
      <w:pPr>
        <w:spacing w:after="0"/>
        <w:jc w:val="left"/>
        <w:rPr>
          <w:sz w:val="16"/>
        </w:rPr>
        <w:sectPr>
          <w:footerReference w:type="default" r:id="rId5"/>
          <w:type w:val="continuous"/>
          <w:pgSz w:w="11900" w:h="16840"/>
          <w:pgMar w:footer="1385" w:top="1140" w:bottom="1580" w:left="900" w:right="1020"/>
        </w:sectPr>
      </w:pPr>
    </w:p>
    <w:p>
      <w:pPr>
        <w:pStyle w:val="BodyText"/>
        <w:spacing w:line="360" w:lineRule="auto" w:before="77"/>
        <w:ind w:left="233" w:right="245"/>
      </w:pPr>
      <w:r>
        <w:rPr/>
        <w:t>I am delighted to have the opportunity to speak to this distinguished audience here at the Guildhall this evening, and I am grateful to the European Policy Forum for organising this event and to the Corporation of the City of London for hosting it. Developments in the financial sector and in financial markets have dominated</w:t>
      </w:r>
      <w:r>
        <w:rPr>
          <w:spacing w:val="-4"/>
        </w:rPr>
        <w:t> </w:t>
      </w:r>
      <w:r>
        <w:rPr/>
        <w:t>UK</w:t>
      </w:r>
      <w:r>
        <w:rPr>
          <w:spacing w:val="-4"/>
        </w:rPr>
        <w:t> </w:t>
      </w:r>
      <w:r>
        <w:rPr/>
        <w:t>monetary</w:t>
      </w:r>
      <w:r>
        <w:rPr>
          <w:spacing w:val="-4"/>
        </w:rPr>
        <w:t> </w:t>
      </w:r>
      <w:r>
        <w:rPr/>
        <w:t>policy</w:t>
      </w:r>
      <w:r>
        <w:rPr>
          <w:spacing w:val="-4"/>
        </w:rPr>
        <w:t> </w:t>
      </w:r>
      <w:r>
        <w:rPr/>
        <w:t>during</w:t>
      </w:r>
      <w:r>
        <w:rPr>
          <w:spacing w:val="-4"/>
        </w:rPr>
        <w:t> </w:t>
      </w:r>
      <w:r>
        <w:rPr/>
        <w:t>the</w:t>
      </w:r>
      <w:r>
        <w:rPr>
          <w:spacing w:val="-4"/>
        </w:rPr>
        <w:t> </w:t>
      </w:r>
      <w:r>
        <w:rPr/>
        <w:t>time</w:t>
      </w:r>
      <w:r>
        <w:rPr>
          <w:spacing w:val="-4"/>
        </w:rPr>
        <w:t> </w:t>
      </w:r>
      <w:r>
        <w:rPr/>
        <w:t>I</w:t>
      </w:r>
      <w:r>
        <w:rPr>
          <w:spacing w:val="-4"/>
        </w:rPr>
        <w:t> </w:t>
      </w:r>
      <w:r>
        <w:rPr/>
        <w:t>have</w:t>
      </w:r>
      <w:r>
        <w:rPr>
          <w:spacing w:val="-4"/>
        </w:rPr>
        <w:t> </w:t>
      </w:r>
      <w:r>
        <w:rPr/>
        <w:t>spent</w:t>
      </w:r>
      <w:r>
        <w:rPr>
          <w:spacing w:val="-3"/>
        </w:rPr>
        <w:t> </w:t>
      </w:r>
      <w:r>
        <w:rPr/>
        <w:t>as</w:t>
      </w:r>
      <w:r>
        <w:rPr>
          <w:spacing w:val="-4"/>
        </w:rPr>
        <w:t> </w:t>
      </w:r>
      <w:r>
        <w:rPr/>
        <w:t>a</w:t>
      </w:r>
      <w:r>
        <w:rPr>
          <w:spacing w:val="-5"/>
        </w:rPr>
        <w:t> </w:t>
      </w:r>
      <w:r>
        <w:rPr/>
        <w:t>member</w:t>
      </w:r>
      <w:r>
        <w:rPr>
          <w:spacing w:val="-3"/>
        </w:rPr>
        <w:t> </w:t>
      </w:r>
      <w:r>
        <w:rPr/>
        <w:t>of</w:t>
      </w:r>
      <w:r>
        <w:rPr>
          <w:spacing w:val="-4"/>
        </w:rPr>
        <w:t> </w:t>
      </w:r>
      <w:r>
        <w:rPr/>
        <w:t>the</w:t>
      </w:r>
      <w:r>
        <w:rPr>
          <w:spacing w:val="-4"/>
        </w:rPr>
        <w:t> </w:t>
      </w:r>
      <w:r>
        <w:rPr/>
        <w:t>Monetary</w:t>
      </w:r>
      <w:r>
        <w:rPr>
          <w:spacing w:val="-4"/>
        </w:rPr>
        <w:t> </w:t>
      </w:r>
      <w:r>
        <w:rPr/>
        <w:t>Policy</w:t>
      </w:r>
      <w:r>
        <w:rPr>
          <w:spacing w:val="-4"/>
        </w:rPr>
        <w:t> </w:t>
      </w:r>
      <w:r>
        <w:rPr/>
        <w:t>Committee (MPC). And with my term on the Committee coming to an end in the middle of this year, I am starting to look back and reflect on some of these developments, as well as drawing lessons for current policy and for the</w:t>
      </w:r>
      <w:r>
        <w:rPr>
          <w:spacing w:val="-2"/>
        </w:rPr>
        <w:t> </w:t>
      </w:r>
      <w:r>
        <w:rPr/>
        <w:t>future.</w:t>
      </w:r>
    </w:p>
    <w:p>
      <w:pPr>
        <w:pStyle w:val="BodyText"/>
        <w:rPr>
          <w:sz w:val="30"/>
        </w:rPr>
      </w:pPr>
    </w:p>
    <w:p>
      <w:pPr>
        <w:pStyle w:val="BodyText"/>
        <w:spacing w:line="360" w:lineRule="auto"/>
        <w:ind w:left="233" w:right="121"/>
      </w:pPr>
      <w:r>
        <w:rPr/>
        <w:t>My time on the MPC has coincided with an exceptional and unusual period for economic policy-making, in the UK and worldwide. Maybe I should have seen this coming when I joined the Committee. My previous experience with national economic policy-making, as the CBI’s Economics Director and a member of the Treasury Panel of “Wise Men”, was in the turbulent times of the late 1980s and the early 1990s. My time at the CBI from 1986 to 1993 encompassed the “Lawson Boom”, the early 1990s recession, the UK’s departure from the ERM in September 1992 and a number of other momentous global events – the end of the Cold War, the collapse of communism across Eastern Europe and the former Soviet Union, the reunification of Germany and the first Iraq war.</w:t>
      </w:r>
    </w:p>
    <w:p>
      <w:pPr>
        <w:pStyle w:val="BodyText"/>
        <w:rPr>
          <w:sz w:val="30"/>
        </w:rPr>
      </w:pPr>
    </w:p>
    <w:p>
      <w:pPr>
        <w:pStyle w:val="BodyText"/>
        <w:spacing w:line="360" w:lineRule="auto"/>
        <w:ind w:left="233" w:right="191"/>
      </w:pPr>
      <w:r>
        <w:rPr/>
        <w:t>Notwithstanding these portents from the past, there was little indication of the turbulence to come when I joined the MPC in the autumn of 2006. For more than a decade, the UK economy had experienced a long period of sustained and steady growth accompanied by low inflation, and this pattern persisted for my first year or so on the Committee. From the early 1990s until 2007, the UK’s GDP growth rate averaged close to 3% and fluctuated from around 2% to 4%.</w:t>
      </w:r>
      <w:r>
        <w:rPr>
          <w:vertAlign w:val="superscript"/>
        </w:rPr>
        <w:t>1</w:t>
      </w:r>
      <w:r>
        <w:rPr>
          <w:vertAlign w:val="baseline"/>
        </w:rPr>
        <w:t> Over this period, inflation also remained within or close to the target parameters set by the government.</w:t>
      </w:r>
      <w:r>
        <w:rPr>
          <w:vertAlign w:val="superscript"/>
        </w:rPr>
        <w:t>2</w:t>
      </w:r>
      <w:r>
        <w:rPr>
          <w:vertAlign w:val="baseline"/>
        </w:rPr>
        <w:t> It was not until the spring of 2007 that inflation deviated more than one percentage point from the target level set for the MPC under the current monetary policy framework, and the Governor of the Bank of England had to write the first of his open letters to the Chancellor on behalf of the MPC.</w:t>
      </w:r>
    </w:p>
    <w:p>
      <w:pPr>
        <w:pStyle w:val="BodyText"/>
        <w:rPr>
          <w:sz w:val="30"/>
        </w:rPr>
      </w:pPr>
    </w:p>
    <w:p>
      <w:pPr>
        <w:pStyle w:val="BodyText"/>
        <w:spacing w:line="360" w:lineRule="auto"/>
        <w:ind w:left="233" w:right="121"/>
      </w:pPr>
      <w:r>
        <w:rPr/>
        <w:t>All that changed, however, in 2008 and 2009, as the UK economy felt the impact of the global financial crisis and other effects of a turbulent world economy. This global turbulence led to a deep recession for the British economy and in most other major economies. At the same time, UK inflation has been much higher than expected and much more volatile than in the inflation-targeting period from 1993 to 2007. CPI inflation reached over 5% in the autumn of 2008, dropping to just over 1% a year later but quickly bouncing back to over 3%. Whereas the Governor wrote only one open letter to the Chancellor (in April 2007) in the first decade of the MPC, he has written a further eight letters in the past three years. This run of letter-writing</w:t>
      </w:r>
    </w:p>
    <w:p>
      <w:pPr>
        <w:pStyle w:val="BodyText"/>
      </w:pPr>
    </w:p>
    <w:p>
      <w:pPr>
        <w:pStyle w:val="BodyText"/>
        <w:spacing w:before="8"/>
        <w:rPr>
          <w:sz w:val="26"/>
        </w:rPr>
      </w:pPr>
      <w:r>
        <w:rPr/>
        <w:pict>
          <v:shape style="position:absolute;margin-left:56.700001pt;margin-top:17.560776pt;width:144pt;height:.1pt;mso-position-horizontal-relative:page;mso-position-vertical-relative:paragraph;z-index:-251657216;mso-wrap-distance-left:0;mso-wrap-distance-right:0" coordorigin="1134,351" coordsize="2880,0" path="m1134,351l4014,351e" filled="false" stroked="true" strokeweight=".48001pt" strokecolor="#000000">
            <v:path arrowok="t"/>
            <v:stroke dashstyle="solid"/>
            <w10:wrap type="topAndBottom"/>
          </v:shape>
        </w:pict>
      </w:r>
    </w:p>
    <w:p>
      <w:pPr>
        <w:spacing w:line="252" w:lineRule="auto" w:before="30"/>
        <w:ind w:left="234" w:right="378" w:firstLine="0"/>
        <w:jc w:val="left"/>
        <w:rPr>
          <w:sz w:val="16"/>
        </w:rPr>
      </w:pPr>
      <w:r>
        <w:rPr>
          <w:rFonts w:ascii="Times New Roman"/>
          <w:position w:val="9"/>
          <w:sz w:val="13"/>
        </w:rPr>
        <w:t>1 </w:t>
      </w:r>
      <w:r>
        <w:rPr>
          <w:sz w:val="16"/>
        </w:rPr>
        <w:t>Over the period of expansion from 1991Q3 to 2008Q1, GDP growth averaged 2.8%. The annual GDP growth rates over this period fluctuated between 2.1% (2002) and 4.3% (1994)</w:t>
      </w:r>
    </w:p>
    <w:p>
      <w:pPr>
        <w:spacing w:line="175" w:lineRule="exact" w:before="0"/>
        <w:ind w:left="234" w:right="0" w:firstLine="0"/>
        <w:jc w:val="left"/>
        <w:rPr>
          <w:sz w:val="16"/>
        </w:rPr>
      </w:pPr>
      <w:r>
        <w:rPr>
          <w:position w:val="8"/>
          <w:sz w:val="10"/>
        </w:rPr>
        <w:t>2 </w:t>
      </w:r>
      <w:r>
        <w:rPr>
          <w:sz w:val="16"/>
        </w:rPr>
        <w:t>Prior to the establishment of the MPC in 1997, the Inflation Target was a 1-4% range for RPIX inflation which was not breached. Under</w:t>
      </w:r>
    </w:p>
    <w:p>
      <w:pPr>
        <w:spacing w:before="0"/>
        <w:ind w:left="234" w:right="191" w:hanging="1"/>
        <w:jc w:val="left"/>
        <w:rPr>
          <w:sz w:val="16"/>
        </w:rPr>
      </w:pPr>
      <w:r>
        <w:rPr>
          <w:sz w:val="16"/>
        </w:rPr>
        <w:t>the MPC, the annual rate of RPIX inflation did not move more than 1 percentage point away from the 2.5% target in the period 1997- 2003. The annual rate of CPI inflation, the target measure from 2004 onwards, did not move more than 1 percentage point way from its 2% target until March 2007.</w:t>
      </w:r>
    </w:p>
    <w:p>
      <w:pPr>
        <w:spacing w:after="0"/>
        <w:jc w:val="left"/>
        <w:rPr>
          <w:sz w:val="16"/>
        </w:rPr>
        <w:sectPr>
          <w:footerReference w:type="default" r:id="rId7"/>
          <w:pgSz w:w="11900" w:h="16840"/>
          <w:pgMar w:footer="1340" w:header="0" w:top="1360" w:bottom="1540" w:left="900" w:right="1020"/>
          <w:pgNumType w:start="2"/>
        </w:sectPr>
      </w:pPr>
    </w:p>
    <w:p>
      <w:pPr>
        <w:pStyle w:val="BodyText"/>
        <w:spacing w:line="360" w:lineRule="auto" w:before="77"/>
        <w:ind w:left="233" w:right="243"/>
      </w:pPr>
      <w:r>
        <w:rPr/>
        <w:t>appears set to continue throughout this year, with inflation soon expected to rise to around 4% and possibly go even higher.</w:t>
      </w:r>
    </w:p>
    <w:p>
      <w:pPr>
        <w:pStyle w:val="BodyText"/>
        <w:spacing w:before="11"/>
        <w:rPr>
          <w:sz w:val="29"/>
        </w:rPr>
      </w:pPr>
    </w:p>
    <w:p>
      <w:pPr>
        <w:pStyle w:val="BodyText"/>
        <w:spacing w:line="360" w:lineRule="auto"/>
        <w:ind w:left="233" w:right="178"/>
      </w:pPr>
      <w:r>
        <w:rPr/>
        <w:t>This experience has created a two-fold challenge to the policy consensus which prevailed when I joined the MPC in the calmer waters of 2006. First, it has challenged the view that monetary policy can keep economies on a steady growth and low inflation track at all times. In the decade and a half prior to the financial crisis, a belief grew up that we were in a “Great Stability” of steady growth and low inflation, with monetary policy playing a key stabilising role in maintaining this state of affairs. Indeed, some policy-makers went so far as to suggest that the era of “boom and bust” was over. That has clearly not been borne out by the record of the last three years, in the UK and many other economies.</w:t>
      </w:r>
    </w:p>
    <w:p>
      <w:pPr>
        <w:pStyle w:val="BodyText"/>
        <w:rPr>
          <w:sz w:val="30"/>
        </w:rPr>
      </w:pPr>
    </w:p>
    <w:p>
      <w:pPr>
        <w:pStyle w:val="BodyText"/>
        <w:spacing w:line="360" w:lineRule="auto"/>
        <w:ind w:left="234" w:right="174"/>
      </w:pPr>
      <w:r>
        <w:rPr/>
        <w:t>The second challenge is to the notion of a simple trade-off between growth and inflation, which seems to underpin much thinking about economic stabilisation in policy-making circles. This approach leans heavily on the idea of the path of inflation being driven by an “output gap” between the current level of activity in the domestic economy and the amount that it could produce if it was operating at capacity. According to this view of the world, stabilising growth and maintaining stable prices required a similar approach to monetary policy. Maintaining steady growth in economic activity close to its sustainable or capacity level should prevent</w:t>
      </w:r>
      <w:r>
        <w:rPr>
          <w:spacing w:val="-5"/>
        </w:rPr>
        <w:t> </w:t>
      </w:r>
      <w:r>
        <w:rPr/>
        <w:t>large</w:t>
      </w:r>
      <w:r>
        <w:rPr>
          <w:spacing w:val="-5"/>
        </w:rPr>
        <w:t> </w:t>
      </w:r>
      <w:r>
        <w:rPr/>
        <w:t>deviations</w:t>
      </w:r>
      <w:r>
        <w:rPr>
          <w:spacing w:val="-4"/>
        </w:rPr>
        <w:t> </w:t>
      </w:r>
      <w:r>
        <w:rPr/>
        <w:t>in</w:t>
      </w:r>
      <w:r>
        <w:rPr>
          <w:spacing w:val="-4"/>
        </w:rPr>
        <w:t> </w:t>
      </w:r>
      <w:r>
        <w:rPr/>
        <w:t>the</w:t>
      </w:r>
      <w:r>
        <w:rPr>
          <w:spacing w:val="-4"/>
        </w:rPr>
        <w:t> </w:t>
      </w:r>
      <w:r>
        <w:rPr/>
        <w:t>output</w:t>
      </w:r>
      <w:r>
        <w:rPr>
          <w:spacing w:val="-5"/>
        </w:rPr>
        <w:t> </w:t>
      </w:r>
      <w:r>
        <w:rPr/>
        <w:t>gap,</w:t>
      </w:r>
      <w:r>
        <w:rPr>
          <w:spacing w:val="-4"/>
        </w:rPr>
        <w:t> </w:t>
      </w:r>
      <w:r>
        <w:rPr/>
        <w:t>which</w:t>
      </w:r>
      <w:r>
        <w:rPr>
          <w:spacing w:val="-4"/>
        </w:rPr>
        <w:t> </w:t>
      </w:r>
      <w:r>
        <w:rPr/>
        <w:t>in</w:t>
      </w:r>
      <w:r>
        <w:rPr>
          <w:spacing w:val="-4"/>
        </w:rPr>
        <w:t> </w:t>
      </w:r>
      <w:r>
        <w:rPr/>
        <w:t>turn</w:t>
      </w:r>
      <w:r>
        <w:rPr>
          <w:spacing w:val="-2"/>
        </w:rPr>
        <w:t> </w:t>
      </w:r>
      <w:r>
        <w:rPr/>
        <w:t>should</w:t>
      </w:r>
      <w:r>
        <w:rPr>
          <w:spacing w:val="-4"/>
        </w:rPr>
        <w:t> </w:t>
      </w:r>
      <w:r>
        <w:rPr/>
        <w:t>prevent</w:t>
      </w:r>
      <w:r>
        <w:rPr>
          <w:spacing w:val="-4"/>
        </w:rPr>
        <w:t> </w:t>
      </w:r>
      <w:r>
        <w:rPr/>
        <w:t>inflation</w:t>
      </w:r>
      <w:r>
        <w:rPr>
          <w:spacing w:val="-4"/>
        </w:rPr>
        <w:t> </w:t>
      </w:r>
      <w:r>
        <w:rPr/>
        <w:t>moving</w:t>
      </w:r>
      <w:r>
        <w:rPr>
          <w:spacing w:val="-4"/>
        </w:rPr>
        <w:t> </w:t>
      </w:r>
      <w:r>
        <w:rPr/>
        <w:t>away</w:t>
      </w:r>
      <w:r>
        <w:rPr>
          <w:spacing w:val="-5"/>
        </w:rPr>
        <w:t> </w:t>
      </w:r>
      <w:r>
        <w:rPr/>
        <w:t>from</w:t>
      </w:r>
      <w:r>
        <w:rPr>
          <w:spacing w:val="-4"/>
        </w:rPr>
        <w:t> </w:t>
      </w:r>
      <w:r>
        <w:rPr/>
        <w:t>a</w:t>
      </w:r>
      <w:r>
        <w:rPr>
          <w:spacing w:val="-4"/>
        </w:rPr>
        <w:t> </w:t>
      </w:r>
      <w:r>
        <w:rPr/>
        <w:t>low</w:t>
      </w:r>
      <w:r>
        <w:rPr>
          <w:spacing w:val="-4"/>
        </w:rPr>
        <w:t> </w:t>
      </w:r>
      <w:r>
        <w:rPr/>
        <w:t>and stable path, as long as inflation expectations remained</w:t>
      </w:r>
      <w:r>
        <w:rPr>
          <w:spacing w:val="-14"/>
        </w:rPr>
        <w:t> </w:t>
      </w:r>
      <w:r>
        <w:rPr/>
        <w:t>well-anchored</w:t>
      </w:r>
    </w:p>
    <w:p>
      <w:pPr>
        <w:pStyle w:val="BodyText"/>
        <w:spacing w:before="1"/>
        <w:rPr>
          <w:sz w:val="30"/>
        </w:rPr>
      </w:pPr>
    </w:p>
    <w:p>
      <w:pPr>
        <w:pStyle w:val="BodyText"/>
        <w:spacing w:line="360" w:lineRule="auto"/>
        <w:ind w:left="234" w:right="121"/>
      </w:pPr>
      <w:r>
        <w:rPr/>
        <w:t>The financial crisis was itself a major challenge to this consensus view that had developed in the 1990s and the early 2000s. But while the crisis can help explain the recession, it cannot easily account for persistently high inflation. To properly understand recent developments in both growth and inflation, we need to view the financial crisis as part of a broader set of global forces making themselves felt over recent years. The UK economy is very open to international trade and investment, and we have a very international business culture with strong links across the Atlantic, to Europe and to the emerging market economies. Because of this, the international dimension is a key ingredient to the setting of UK monetary policy. Indeed, this has not just been a feature of my time on the Committee, but it has been a key theme throughout the life of the MPC since 1997. Before the global financial crisis, the main challenges facing the Committee have taken the form of global shocks – such as the Asian crisis, the bursting of the “dotcom” bubble in the early 2000s and the energy and commodity price rises we have seen from the mid-2000s onwards.</w:t>
      </w:r>
    </w:p>
    <w:p>
      <w:pPr>
        <w:pStyle w:val="BodyText"/>
        <w:spacing w:before="11"/>
        <w:rPr>
          <w:sz w:val="29"/>
        </w:rPr>
      </w:pPr>
    </w:p>
    <w:p>
      <w:pPr>
        <w:pStyle w:val="BodyText"/>
        <w:spacing w:line="360" w:lineRule="auto"/>
        <w:ind w:left="234" w:right="121"/>
      </w:pPr>
      <w:r>
        <w:rPr/>
        <w:t>In tonight’s speech, I want to look in more detail at this challenge of operating UK monetary policy in a global context and discuss how the MPC should be responding to the current set of global challenges – a strong rebound in growth across the world economy and upward pressure on energy and commodity prices. I will set out my analysis in three main parts. First, I will present my view of the “new global economy” which has emerged as a result of the forces of globalisation over the past two decades, and which forms the backdrop against which we are seeking to manage the UK economy at present. Second, I will discuss the challenge of stabilising UK inflation in the face of global demand and price volatility – which I believe has become more</w:t>
      </w:r>
    </w:p>
    <w:p>
      <w:pPr>
        <w:spacing w:after="0" w:line="360" w:lineRule="auto"/>
        <w:sectPr>
          <w:pgSz w:w="11900" w:h="16840"/>
          <w:pgMar w:header="0" w:footer="1340" w:top="1360" w:bottom="1540" w:left="900" w:right="1020"/>
        </w:sectPr>
      </w:pPr>
    </w:p>
    <w:p>
      <w:pPr>
        <w:pStyle w:val="BodyText"/>
        <w:spacing w:line="360" w:lineRule="auto" w:before="77"/>
        <w:ind w:left="234" w:right="722"/>
      </w:pPr>
      <w:r>
        <w:rPr/>
        <w:t>difficult because of the changes in the global economy we have seen in recent decades. Finally, I will discuss how my analysis relates to the policy challenges we are currently facing on the MPC.</w:t>
      </w:r>
    </w:p>
    <w:p>
      <w:pPr>
        <w:pStyle w:val="BodyText"/>
        <w:rPr>
          <w:sz w:val="30"/>
        </w:rPr>
      </w:pPr>
    </w:p>
    <w:p>
      <w:pPr>
        <w:pStyle w:val="Heading1"/>
        <w:spacing w:before="1"/>
      </w:pPr>
      <w:r>
        <w:rPr/>
        <w:t>Globalisation and the “new global economy”</w:t>
      </w:r>
    </w:p>
    <w:p>
      <w:pPr>
        <w:pStyle w:val="BodyText"/>
        <w:rPr>
          <w:b/>
          <w:sz w:val="22"/>
        </w:rPr>
      </w:pPr>
    </w:p>
    <w:p>
      <w:pPr>
        <w:pStyle w:val="BodyText"/>
        <w:spacing w:before="10"/>
        <w:rPr>
          <w:b/>
          <w:sz w:val="17"/>
        </w:rPr>
      </w:pPr>
    </w:p>
    <w:p>
      <w:pPr>
        <w:pStyle w:val="BodyText"/>
        <w:spacing w:line="360" w:lineRule="auto"/>
        <w:ind w:left="233" w:right="205"/>
      </w:pPr>
      <w:r>
        <w:rPr/>
        <w:t>Economists have been talking about the process of globalisation for many decades. Over the last fifty years, flows of international trade and investment have grown steadily in importance in relation to the size of national economies. In the UK, total trade flows – exports plus imports – have risen from about a third of GDP in the mid-1960s to over 60%, as Chart 1 shows. Over the same period, the growing importance of multinational businesses has led to increasing investment flows across</w:t>
      </w:r>
      <w:r>
        <w:rPr>
          <w:spacing w:val="-15"/>
        </w:rPr>
        <w:t> </w:t>
      </w:r>
      <w:r>
        <w:rPr/>
        <w:t>borders.</w:t>
      </w:r>
    </w:p>
    <w:p>
      <w:pPr>
        <w:pStyle w:val="BodyText"/>
      </w:pPr>
    </w:p>
    <w:p>
      <w:pPr>
        <w:pStyle w:val="BodyText"/>
        <w:spacing w:before="3"/>
        <w:rPr>
          <w:sz w:val="10"/>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6"/>
        <w:gridCol w:w="611"/>
        <w:gridCol w:w="611"/>
        <w:gridCol w:w="612"/>
        <w:gridCol w:w="612"/>
        <w:gridCol w:w="612"/>
        <w:gridCol w:w="612"/>
        <w:gridCol w:w="612"/>
        <w:gridCol w:w="611"/>
        <w:gridCol w:w="611"/>
        <w:gridCol w:w="513"/>
        <w:gridCol w:w="677"/>
      </w:tblGrid>
      <w:tr>
        <w:trPr>
          <w:trHeight w:val="690" w:hRule="atLeast"/>
        </w:trPr>
        <w:tc>
          <w:tcPr>
            <w:tcW w:w="737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7"/>
              <w:rPr>
                <w:b/>
                <w:sz w:val="20"/>
              </w:rPr>
            </w:pPr>
            <w:r>
              <w:rPr>
                <w:b/>
                <w:sz w:val="20"/>
              </w:rPr>
              <w:t>Chart 1: UK trade flows as percentage of GDP, 1960-2010</w:t>
            </w:r>
          </w:p>
          <w:p>
            <w:pPr>
              <w:pStyle w:val="TableParagraph"/>
              <w:spacing w:before="113"/>
              <w:ind w:left="107"/>
              <w:rPr>
                <w:sz w:val="20"/>
              </w:rPr>
            </w:pPr>
            <w:r>
              <w:rPr>
                <w:sz w:val="20"/>
              </w:rPr>
              <w:t>Exports plus imports as a % of GDP at current market prices</w:t>
            </w:r>
          </w:p>
        </w:tc>
      </w:tr>
      <w:tr>
        <w:trPr>
          <w:trHeight w:val="459" w:hRule="atLeast"/>
        </w:trPr>
        <w:tc>
          <w:tcPr>
            <w:tcW w:w="676" w:type="dxa"/>
            <w:tcBorders>
              <w:top w:val="single" w:sz="4" w:space="0" w:color="000000"/>
              <w:left w:val="single" w:sz="4" w:space="0" w:color="000000"/>
            </w:tcBorders>
          </w:tcPr>
          <w:p>
            <w:pPr>
              <w:pStyle w:val="TableParagraph"/>
              <w:rPr>
                <w:rFonts w:ascii="Times New Roman"/>
                <w:sz w:val="18"/>
              </w:rPr>
            </w:pPr>
          </w:p>
        </w:tc>
        <w:tc>
          <w:tcPr>
            <w:tcW w:w="611" w:type="dxa"/>
            <w:tcBorders>
              <w:top w:val="single" w:sz="4" w:space="0" w:color="000000"/>
            </w:tcBorders>
          </w:tcPr>
          <w:p>
            <w:pPr>
              <w:pStyle w:val="TableParagraph"/>
              <w:rPr>
                <w:rFonts w:ascii="Times New Roman"/>
                <w:sz w:val="18"/>
              </w:rPr>
            </w:pPr>
          </w:p>
        </w:tc>
        <w:tc>
          <w:tcPr>
            <w:tcW w:w="611" w:type="dxa"/>
            <w:tcBorders>
              <w:top w:val="single" w:sz="4" w:space="0" w:color="000000"/>
            </w:tcBorders>
          </w:tcPr>
          <w:p>
            <w:pPr>
              <w:pStyle w:val="TableParagraph"/>
              <w:rPr>
                <w:rFonts w:ascii="Times New Roman"/>
                <w:sz w:val="18"/>
              </w:rPr>
            </w:pPr>
          </w:p>
        </w:tc>
        <w:tc>
          <w:tcPr>
            <w:tcW w:w="612" w:type="dxa"/>
            <w:tcBorders>
              <w:top w:val="single" w:sz="4" w:space="0" w:color="000000"/>
            </w:tcBorders>
          </w:tcPr>
          <w:p>
            <w:pPr>
              <w:pStyle w:val="TableParagraph"/>
              <w:rPr>
                <w:rFonts w:ascii="Times New Roman"/>
                <w:sz w:val="18"/>
              </w:rPr>
            </w:pPr>
          </w:p>
        </w:tc>
        <w:tc>
          <w:tcPr>
            <w:tcW w:w="612" w:type="dxa"/>
            <w:tcBorders>
              <w:top w:val="single" w:sz="4" w:space="0" w:color="000000"/>
            </w:tcBorders>
          </w:tcPr>
          <w:p>
            <w:pPr>
              <w:pStyle w:val="TableParagraph"/>
              <w:rPr>
                <w:rFonts w:ascii="Times New Roman"/>
                <w:sz w:val="18"/>
              </w:rPr>
            </w:pPr>
          </w:p>
        </w:tc>
        <w:tc>
          <w:tcPr>
            <w:tcW w:w="612" w:type="dxa"/>
            <w:tcBorders>
              <w:top w:val="single" w:sz="4" w:space="0" w:color="000000"/>
            </w:tcBorders>
          </w:tcPr>
          <w:p>
            <w:pPr>
              <w:pStyle w:val="TableParagraph"/>
              <w:rPr>
                <w:rFonts w:ascii="Times New Roman"/>
                <w:sz w:val="18"/>
              </w:rPr>
            </w:pPr>
          </w:p>
        </w:tc>
        <w:tc>
          <w:tcPr>
            <w:tcW w:w="612" w:type="dxa"/>
            <w:tcBorders>
              <w:top w:val="single" w:sz="4" w:space="0" w:color="000000"/>
            </w:tcBorders>
          </w:tcPr>
          <w:p>
            <w:pPr>
              <w:pStyle w:val="TableParagraph"/>
              <w:rPr>
                <w:rFonts w:ascii="Times New Roman"/>
                <w:sz w:val="18"/>
              </w:rPr>
            </w:pPr>
          </w:p>
        </w:tc>
        <w:tc>
          <w:tcPr>
            <w:tcW w:w="612" w:type="dxa"/>
            <w:tcBorders>
              <w:top w:val="single" w:sz="4" w:space="0" w:color="000000"/>
            </w:tcBorders>
          </w:tcPr>
          <w:p>
            <w:pPr>
              <w:pStyle w:val="TableParagraph"/>
              <w:rPr>
                <w:rFonts w:ascii="Times New Roman"/>
                <w:sz w:val="18"/>
              </w:rPr>
            </w:pPr>
          </w:p>
        </w:tc>
        <w:tc>
          <w:tcPr>
            <w:tcW w:w="611" w:type="dxa"/>
            <w:tcBorders>
              <w:top w:val="single" w:sz="4" w:space="0" w:color="000000"/>
            </w:tcBorders>
          </w:tcPr>
          <w:p>
            <w:pPr>
              <w:pStyle w:val="TableParagraph"/>
              <w:rPr>
                <w:rFonts w:ascii="Times New Roman"/>
                <w:sz w:val="18"/>
              </w:rPr>
            </w:pPr>
          </w:p>
        </w:tc>
        <w:tc>
          <w:tcPr>
            <w:tcW w:w="611" w:type="dxa"/>
            <w:tcBorders>
              <w:top w:val="single" w:sz="4" w:space="0" w:color="000000"/>
            </w:tcBorders>
          </w:tcPr>
          <w:p>
            <w:pPr>
              <w:pStyle w:val="TableParagraph"/>
              <w:rPr>
                <w:rFonts w:ascii="Times New Roman"/>
                <w:sz w:val="18"/>
              </w:rPr>
            </w:pPr>
          </w:p>
        </w:tc>
        <w:tc>
          <w:tcPr>
            <w:tcW w:w="513" w:type="dxa"/>
            <w:tcBorders>
              <w:top w:val="single" w:sz="4" w:space="0" w:color="000000"/>
            </w:tcBorders>
          </w:tcPr>
          <w:p>
            <w:pPr>
              <w:pStyle w:val="TableParagraph"/>
              <w:rPr>
                <w:rFonts w:ascii="Times New Roman"/>
                <w:sz w:val="18"/>
              </w:rPr>
            </w:pPr>
          </w:p>
        </w:tc>
        <w:tc>
          <w:tcPr>
            <w:tcW w:w="677" w:type="dxa"/>
            <w:tcBorders>
              <w:top w:val="single" w:sz="4" w:space="0" w:color="000000"/>
              <w:right w:val="single" w:sz="4" w:space="0" w:color="000000"/>
            </w:tcBorders>
          </w:tcPr>
          <w:p>
            <w:pPr>
              <w:pStyle w:val="TableParagraph"/>
              <w:spacing w:before="130"/>
              <w:ind w:left="32"/>
              <w:rPr>
                <w:b/>
                <w:sz w:val="16"/>
              </w:rPr>
            </w:pPr>
            <w:r>
              <w:rPr>
                <w:b/>
                <w:w w:val="105"/>
                <w:sz w:val="16"/>
              </w:rPr>
              <w:t>65%</w:t>
            </w:r>
          </w:p>
        </w:tc>
      </w:tr>
      <w:tr>
        <w:trPr>
          <w:trHeight w:val="472" w:hRule="atLeast"/>
        </w:trPr>
        <w:tc>
          <w:tcPr>
            <w:tcW w:w="676" w:type="dxa"/>
            <w:tcBorders>
              <w:left w:val="single" w:sz="4" w:space="0" w:color="000000"/>
            </w:tcBorders>
          </w:tcPr>
          <w:p>
            <w:pPr>
              <w:pStyle w:val="TableParagraph"/>
              <w:rPr>
                <w:rFonts w:ascii="Times New Roman"/>
                <w:sz w:val="18"/>
              </w:rPr>
            </w:pPr>
          </w:p>
        </w:tc>
        <w:tc>
          <w:tcPr>
            <w:tcW w:w="611" w:type="dxa"/>
          </w:tcPr>
          <w:p>
            <w:pPr>
              <w:pStyle w:val="TableParagraph"/>
              <w:rPr>
                <w:rFonts w:ascii="Times New Roman"/>
                <w:sz w:val="18"/>
              </w:rPr>
            </w:pPr>
          </w:p>
        </w:tc>
        <w:tc>
          <w:tcPr>
            <w:tcW w:w="611"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1" w:type="dxa"/>
          </w:tcPr>
          <w:p>
            <w:pPr>
              <w:pStyle w:val="TableParagraph"/>
              <w:rPr>
                <w:rFonts w:ascii="Times New Roman"/>
                <w:sz w:val="18"/>
              </w:rPr>
            </w:pPr>
          </w:p>
        </w:tc>
        <w:tc>
          <w:tcPr>
            <w:tcW w:w="611" w:type="dxa"/>
          </w:tcPr>
          <w:p>
            <w:pPr>
              <w:pStyle w:val="TableParagraph"/>
              <w:rPr>
                <w:rFonts w:ascii="Times New Roman"/>
                <w:sz w:val="18"/>
              </w:rPr>
            </w:pPr>
          </w:p>
        </w:tc>
        <w:tc>
          <w:tcPr>
            <w:tcW w:w="513" w:type="dxa"/>
          </w:tcPr>
          <w:p>
            <w:pPr>
              <w:pStyle w:val="TableParagraph"/>
              <w:rPr>
                <w:rFonts w:ascii="Times New Roman"/>
                <w:sz w:val="18"/>
              </w:rPr>
            </w:pPr>
          </w:p>
        </w:tc>
        <w:tc>
          <w:tcPr>
            <w:tcW w:w="677" w:type="dxa"/>
            <w:tcBorders>
              <w:right w:val="single" w:sz="4" w:space="0" w:color="000000"/>
            </w:tcBorders>
          </w:tcPr>
          <w:p>
            <w:pPr>
              <w:pStyle w:val="TableParagraph"/>
              <w:spacing w:before="143"/>
              <w:ind w:left="32"/>
              <w:rPr>
                <w:b/>
                <w:sz w:val="16"/>
              </w:rPr>
            </w:pPr>
            <w:r>
              <w:rPr>
                <w:b/>
                <w:w w:val="105"/>
                <w:sz w:val="16"/>
              </w:rPr>
              <w:t>60%</w:t>
            </w:r>
          </w:p>
        </w:tc>
      </w:tr>
      <w:tr>
        <w:trPr>
          <w:trHeight w:val="472" w:hRule="atLeast"/>
        </w:trPr>
        <w:tc>
          <w:tcPr>
            <w:tcW w:w="676" w:type="dxa"/>
            <w:tcBorders>
              <w:left w:val="single" w:sz="4" w:space="0" w:color="000000"/>
            </w:tcBorders>
          </w:tcPr>
          <w:p>
            <w:pPr>
              <w:pStyle w:val="TableParagraph"/>
              <w:rPr>
                <w:rFonts w:ascii="Times New Roman"/>
                <w:sz w:val="18"/>
              </w:rPr>
            </w:pPr>
          </w:p>
        </w:tc>
        <w:tc>
          <w:tcPr>
            <w:tcW w:w="611" w:type="dxa"/>
          </w:tcPr>
          <w:p>
            <w:pPr>
              <w:pStyle w:val="TableParagraph"/>
              <w:rPr>
                <w:rFonts w:ascii="Times New Roman"/>
                <w:sz w:val="18"/>
              </w:rPr>
            </w:pPr>
          </w:p>
        </w:tc>
        <w:tc>
          <w:tcPr>
            <w:tcW w:w="611"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1" w:type="dxa"/>
          </w:tcPr>
          <w:p>
            <w:pPr>
              <w:pStyle w:val="TableParagraph"/>
              <w:rPr>
                <w:rFonts w:ascii="Times New Roman"/>
                <w:sz w:val="18"/>
              </w:rPr>
            </w:pPr>
          </w:p>
        </w:tc>
        <w:tc>
          <w:tcPr>
            <w:tcW w:w="611" w:type="dxa"/>
          </w:tcPr>
          <w:p>
            <w:pPr>
              <w:pStyle w:val="TableParagraph"/>
              <w:rPr>
                <w:rFonts w:ascii="Times New Roman"/>
                <w:sz w:val="18"/>
              </w:rPr>
            </w:pPr>
          </w:p>
        </w:tc>
        <w:tc>
          <w:tcPr>
            <w:tcW w:w="513" w:type="dxa"/>
          </w:tcPr>
          <w:p>
            <w:pPr>
              <w:pStyle w:val="TableParagraph"/>
              <w:rPr>
                <w:rFonts w:ascii="Times New Roman"/>
                <w:sz w:val="18"/>
              </w:rPr>
            </w:pPr>
          </w:p>
        </w:tc>
        <w:tc>
          <w:tcPr>
            <w:tcW w:w="677" w:type="dxa"/>
            <w:tcBorders>
              <w:right w:val="single" w:sz="4" w:space="0" w:color="000000"/>
            </w:tcBorders>
          </w:tcPr>
          <w:p>
            <w:pPr>
              <w:pStyle w:val="TableParagraph"/>
              <w:spacing w:before="143"/>
              <w:ind w:left="32"/>
              <w:rPr>
                <w:b/>
                <w:sz w:val="16"/>
              </w:rPr>
            </w:pPr>
            <w:r>
              <w:rPr>
                <w:b/>
                <w:w w:val="105"/>
                <w:sz w:val="16"/>
              </w:rPr>
              <w:t>55%</w:t>
            </w:r>
          </w:p>
        </w:tc>
      </w:tr>
      <w:tr>
        <w:trPr>
          <w:trHeight w:val="471" w:hRule="atLeast"/>
        </w:trPr>
        <w:tc>
          <w:tcPr>
            <w:tcW w:w="676" w:type="dxa"/>
            <w:tcBorders>
              <w:left w:val="single" w:sz="4" w:space="0" w:color="000000"/>
            </w:tcBorders>
          </w:tcPr>
          <w:p>
            <w:pPr>
              <w:pStyle w:val="TableParagraph"/>
              <w:rPr>
                <w:rFonts w:ascii="Times New Roman"/>
                <w:sz w:val="18"/>
              </w:rPr>
            </w:pPr>
          </w:p>
        </w:tc>
        <w:tc>
          <w:tcPr>
            <w:tcW w:w="611" w:type="dxa"/>
          </w:tcPr>
          <w:p>
            <w:pPr>
              <w:pStyle w:val="TableParagraph"/>
              <w:rPr>
                <w:rFonts w:ascii="Times New Roman"/>
                <w:sz w:val="18"/>
              </w:rPr>
            </w:pPr>
          </w:p>
        </w:tc>
        <w:tc>
          <w:tcPr>
            <w:tcW w:w="611"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1" w:type="dxa"/>
          </w:tcPr>
          <w:p>
            <w:pPr>
              <w:pStyle w:val="TableParagraph"/>
              <w:rPr>
                <w:rFonts w:ascii="Times New Roman"/>
                <w:sz w:val="18"/>
              </w:rPr>
            </w:pPr>
          </w:p>
        </w:tc>
        <w:tc>
          <w:tcPr>
            <w:tcW w:w="611" w:type="dxa"/>
          </w:tcPr>
          <w:p>
            <w:pPr>
              <w:pStyle w:val="TableParagraph"/>
              <w:rPr>
                <w:rFonts w:ascii="Times New Roman"/>
                <w:sz w:val="18"/>
              </w:rPr>
            </w:pPr>
          </w:p>
        </w:tc>
        <w:tc>
          <w:tcPr>
            <w:tcW w:w="513" w:type="dxa"/>
          </w:tcPr>
          <w:p>
            <w:pPr>
              <w:pStyle w:val="TableParagraph"/>
              <w:rPr>
                <w:rFonts w:ascii="Times New Roman"/>
                <w:sz w:val="18"/>
              </w:rPr>
            </w:pPr>
          </w:p>
        </w:tc>
        <w:tc>
          <w:tcPr>
            <w:tcW w:w="677" w:type="dxa"/>
            <w:tcBorders>
              <w:right w:val="single" w:sz="4" w:space="0" w:color="000000"/>
            </w:tcBorders>
          </w:tcPr>
          <w:p>
            <w:pPr>
              <w:pStyle w:val="TableParagraph"/>
              <w:spacing w:before="143"/>
              <w:ind w:left="32"/>
              <w:rPr>
                <w:b/>
                <w:sz w:val="16"/>
              </w:rPr>
            </w:pPr>
            <w:r>
              <w:rPr>
                <w:b/>
                <w:w w:val="105"/>
                <w:sz w:val="16"/>
              </w:rPr>
              <w:t>50%</w:t>
            </w:r>
          </w:p>
        </w:tc>
      </w:tr>
      <w:tr>
        <w:trPr>
          <w:trHeight w:val="471" w:hRule="atLeast"/>
        </w:trPr>
        <w:tc>
          <w:tcPr>
            <w:tcW w:w="676" w:type="dxa"/>
            <w:tcBorders>
              <w:left w:val="single" w:sz="4" w:space="0" w:color="000000"/>
            </w:tcBorders>
          </w:tcPr>
          <w:p>
            <w:pPr>
              <w:pStyle w:val="TableParagraph"/>
              <w:rPr>
                <w:rFonts w:ascii="Times New Roman"/>
                <w:sz w:val="18"/>
              </w:rPr>
            </w:pPr>
          </w:p>
        </w:tc>
        <w:tc>
          <w:tcPr>
            <w:tcW w:w="611" w:type="dxa"/>
          </w:tcPr>
          <w:p>
            <w:pPr>
              <w:pStyle w:val="TableParagraph"/>
              <w:rPr>
                <w:rFonts w:ascii="Times New Roman"/>
                <w:sz w:val="18"/>
              </w:rPr>
            </w:pPr>
          </w:p>
        </w:tc>
        <w:tc>
          <w:tcPr>
            <w:tcW w:w="611"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1" w:type="dxa"/>
          </w:tcPr>
          <w:p>
            <w:pPr>
              <w:pStyle w:val="TableParagraph"/>
              <w:rPr>
                <w:rFonts w:ascii="Times New Roman"/>
                <w:sz w:val="18"/>
              </w:rPr>
            </w:pPr>
          </w:p>
        </w:tc>
        <w:tc>
          <w:tcPr>
            <w:tcW w:w="611" w:type="dxa"/>
          </w:tcPr>
          <w:p>
            <w:pPr>
              <w:pStyle w:val="TableParagraph"/>
              <w:rPr>
                <w:rFonts w:ascii="Times New Roman"/>
                <w:sz w:val="18"/>
              </w:rPr>
            </w:pPr>
          </w:p>
        </w:tc>
        <w:tc>
          <w:tcPr>
            <w:tcW w:w="513" w:type="dxa"/>
          </w:tcPr>
          <w:p>
            <w:pPr>
              <w:pStyle w:val="TableParagraph"/>
              <w:rPr>
                <w:rFonts w:ascii="Times New Roman"/>
                <w:sz w:val="18"/>
              </w:rPr>
            </w:pPr>
          </w:p>
        </w:tc>
        <w:tc>
          <w:tcPr>
            <w:tcW w:w="677" w:type="dxa"/>
            <w:tcBorders>
              <w:right w:val="single" w:sz="4" w:space="0" w:color="000000"/>
            </w:tcBorders>
          </w:tcPr>
          <w:p>
            <w:pPr>
              <w:pStyle w:val="TableParagraph"/>
              <w:spacing w:before="143"/>
              <w:ind w:left="32"/>
              <w:rPr>
                <w:b/>
                <w:sz w:val="16"/>
              </w:rPr>
            </w:pPr>
            <w:r>
              <w:rPr>
                <w:b/>
                <w:w w:val="105"/>
                <w:sz w:val="16"/>
              </w:rPr>
              <w:t>45%</w:t>
            </w:r>
          </w:p>
        </w:tc>
      </w:tr>
      <w:tr>
        <w:trPr>
          <w:trHeight w:val="472" w:hRule="atLeast"/>
        </w:trPr>
        <w:tc>
          <w:tcPr>
            <w:tcW w:w="676" w:type="dxa"/>
            <w:tcBorders>
              <w:left w:val="single" w:sz="4" w:space="0" w:color="000000"/>
            </w:tcBorders>
          </w:tcPr>
          <w:p>
            <w:pPr>
              <w:pStyle w:val="TableParagraph"/>
              <w:rPr>
                <w:rFonts w:ascii="Times New Roman"/>
                <w:sz w:val="18"/>
              </w:rPr>
            </w:pPr>
          </w:p>
        </w:tc>
        <w:tc>
          <w:tcPr>
            <w:tcW w:w="611" w:type="dxa"/>
          </w:tcPr>
          <w:p>
            <w:pPr>
              <w:pStyle w:val="TableParagraph"/>
              <w:rPr>
                <w:rFonts w:ascii="Times New Roman"/>
                <w:sz w:val="18"/>
              </w:rPr>
            </w:pPr>
          </w:p>
        </w:tc>
        <w:tc>
          <w:tcPr>
            <w:tcW w:w="611"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1" w:type="dxa"/>
          </w:tcPr>
          <w:p>
            <w:pPr>
              <w:pStyle w:val="TableParagraph"/>
              <w:rPr>
                <w:rFonts w:ascii="Times New Roman"/>
                <w:sz w:val="18"/>
              </w:rPr>
            </w:pPr>
          </w:p>
        </w:tc>
        <w:tc>
          <w:tcPr>
            <w:tcW w:w="611" w:type="dxa"/>
          </w:tcPr>
          <w:p>
            <w:pPr>
              <w:pStyle w:val="TableParagraph"/>
              <w:rPr>
                <w:rFonts w:ascii="Times New Roman"/>
                <w:sz w:val="18"/>
              </w:rPr>
            </w:pPr>
          </w:p>
        </w:tc>
        <w:tc>
          <w:tcPr>
            <w:tcW w:w="513" w:type="dxa"/>
          </w:tcPr>
          <w:p>
            <w:pPr>
              <w:pStyle w:val="TableParagraph"/>
              <w:rPr>
                <w:rFonts w:ascii="Times New Roman"/>
                <w:sz w:val="18"/>
              </w:rPr>
            </w:pPr>
          </w:p>
        </w:tc>
        <w:tc>
          <w:tcPr>
            <w:tcW w:w="677" w:type="dxa"/>
            <w:tcBorders>
              <w:right w:val="single" w:sz="4" w:space="0" w:color="000000"/>
            </w:tcBorders>
          </w:tcPr>
          <w:p>
            <w:pPr>
              <w:pStyle w:val="TableParagraph"/>
              <w:spacing w:before="143"/>
              <w:ind w:left="32"/>
              <w:rPr>
                <w:b/>
                <w:sz w:val="16"/>
              </w:rPr>
            </w:pPr>
            <w:r>
              <w:rPr>
                <w:b/>
                <w:w w:val="105"/>
                <w:sz w:val="16"/>
              </w:rPr>
              <w:t>40%</w:t>
            </w:r>
          </w:p>
        </w:tc>
      </w:tr>
      <w:tr>
        <w:trPr>
          <w:trHeight w:val="472" w:hRule="atLeast"/>
        </w:trPr>
        <w:tc>
          <w:tcPr>
            <w:tcW w:w="676" w:type="dxa"/>
            <w:tcBorders>
              <w:left w:val="single" w:sz="4" w:space="0" w:color="000000"/>
            </w:tcBorders>
          </w:tcPr>
          <w:p>
            <w:pPr>
              <w:pStyle w:val="TableParagraph"/>
              <w:rPr>
                <w:rFonts w:ascii="Times New Roman"/>
                <w:sz w:val="18"/>
              </w:rPr>
            </w:pPr>
          </w:p>
        </w:tc>
        <w:tc>
          <w:tcPr>
            <w:tcW w:w="611" w:type="dxa"/>
          </w:tcPr>
          <w:p>
            <w:pPr>
              <w:pStyle w:val="TableParagraph"/>
              <w:rPr>
                <w:rFonts w:ascii="Times New Roman"/>
                <w:sz w:val="18"/>
              </w:rPr>
            </w:pPr>
          </w:p>
        </w:tc>
        <w:tc>
          <w:tcPr>
            <w:tcW w:w="611"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1" w:type="dxa"/>
          </w:tcPr>
          <w:p>
            <w:pPr>
              <w:pStyle w:val="TableParagraph"/>
              <w:rPr>
                <w:rFonts w:ascii="Times New Roman"/>
                <w:sz w:val="18"/>
              </w:rPr>
            </w:pPr>
          </w:p>
        </w:tc>
        <w:tc>
          <w:tcPr>
            <w:tcW w:w="611" w:type="dxa"/>
          </w:tcPr>
          <w:p>
            <w:pPr>
              <w:pStyle w:val="TableParagraph"/>
              <w:rPr>
                <w:rFonts w:ascii="Times New Roman"/>
                <w:sz w:val="18"/>
              </w:rPr>
            </w:pPr>
          </w:p>
        </w:tc>
        <w:tc>
          <w:tcPr>
            <w:tcW w:w="513" w:type="dxa"/>
          </w:tcPr>
          <w:p>
            <w:pPr>
              <w:pStyle w:val="TableParagraph"/>
              <w:rPr>
                <w:rFonts w:ascii="Times New Roman"/>
                <w:sz w:val="18"/>
              </w:rPr>
            </w:pPr>
          </w:p>
        </w:tc>
        <w:tc>
          <w:tcPr>
            <w:tcW w:w="677" w:type="dxa"/>
            <w:tcBorders>
              <w:right w:val="single" w:sz="4" w:space="0" w:color="000000"/>
            </w:tcBorders>
          </w:tcPr>
          <w:p>
            <w:pPr>
              <w:pStyle w:val="TableParagraph"/>
              <w:spacing w:before="143"/>
              <w:ind w:left="32"/>
              <w:rPr>
                <w:b/>
                <w:sz w:val="16"/>
              </w:rPr>
            </w:pPr>
            <w:r>
              <w:rPr>
                <w:b/>
                <w:w w:val="105"/>
                <w:sz w:val="16"/>
              </w:rPr>
              <w:t>35%</w:t>
            </w:r>
          </w:p>
        </w:tc>
      </w:tr>
      <w:tr>
        <w:trPr>
          <w:trHeight w:val="372" w:hRule="atLeast"/>
        </w:trPr>
        <w:tc>
          <w:tcPr>
            <w:tcW w:w="676" w:type="dxa"/>
            <w:tcBorders>
              <w:left w:val="single" w:sz="4" w:space="0" w:color="000000"/>
            </w:tcBorders>
          </w:tcPr>
          <w:p>
            <w:pPr>
              <w:pStyle w:val="TableParagraph"/>
              <w:rPr>
                <w:rFonts w:ascii="Times New Roman"/>
                <w:sz w:val="18"/>
              </w:rPr>
            </w:pPr>
          </w:p>
        </w:tc>
        <w:tc>
          <w:tcPr>
            <w:tcW w:w="611" w:type="dxa"/>
          </w:tcPr>
          <w:p>
            <w:pPr>
              <w:pStyle w:val="TableParagraph"/>
              <w:rPr>
                <w:rFonts w:ascii="Times New Roman"/>
                <w:sz w:val="18"/>
              </w:rPr>
            </w:pPr>
          </w:p>
        </w:tc>
        <w:tc>
          <w:tcPr>
            <w:tcW w:w="611"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2" w:type="dxa"/>
          </w:tcPr>
          <w:p>
            <w:pPr>
              <w:pStyle w:val="TableParagraph"/>
              <w:rPr>
                <w:rFonts w:ascii="Times New Roman"/>
                <w:sz w:val="18"/>
              </w:rPr>
            </w:pPr>
          </w:p>
        </w:tc>
        <w:tc>
          <w:tcPr>
            <w:tcW w:w="611" w:type="dxa"/>
          </w:tcPr>
          <w:p>
            <w:pPr>
              <w:pStyle w:val="TableParagraph"/>
              <w:rPr>
                <w:rFonts w:ascii="Times New Roman"/>
                <w:sz w:val="18"/>
              </w:rPr>
            </w:pPr>
          </w:p>
        </w:tc>
        <w:tc>
          <w:tcPr>
            <w:tcW w:w="611" w:type="dxa"/>
          </w:tcPr>
          <w:p>
            <w:pPr>
              <w:pStyle w:val="TableParagraph"/>
              <w:rPr>
                <w:rFonts w:ascii="Times New Roman"/>
                <w:sz w:val="18"/>
              </w:rPr>
            </w:pPr>
          </w:p>
        </w:tc>
        <w:tc>
          <w:tcPr>
            <w:tcW w:w="513" w:type="dxa"/>
          </w:tcPr>
          <w:p>
            <w:pPr>
              <w:pStyle w:val="TableParagraph"/>
              <w:rPr>
                <w:rFonts w:ascii="Times New Roman"/>
                <w:sz w:val="18"/>
              </w:rPr>
            </w:pPr>
          </w:p>
        </w:tc>
        <w:tc>
          <w:tcPr>
            <w:tcW w:w="677" w:type="dxa"/>
            <w:tcBorders>
              <w:right w:val="single" w:sz="4" w:space="0" w:color="000000"/>
            </w:tcBorders>
          </w:tcPr>
          <w:p>
            <w:pPr>
              <w:pStyle w:val="TableParagraph"/>
              <w:spacing w:before="143"/>
              <w:ind w:left="32"/>
              <w:rPr>
                <w:b/>
                <w:sz w:val="16"/>
              </w:rPr>
            </w:pPr>
            <w:r>
              <w:rPr>
                <w:b/>
                <w:w w:val="105"/>
                <w:sz w:val="16"/>
              </w:rPr>
              <w:t>30%</w:t>
            </w:r>
          </w:p>
        </w:tc>
      </w:tr>
      <w:tr>
        <w:trPr>
          <w:trHeight w:val="455" w:hRule="atLeast"/>
        </w:trPr>
        <w:tc>
          <w:tcPr>
            <w:tcW w:w="676" w:type="dxa"/>
            <w:tcBorders>
              <w:left w:val="single" w:sz="4" w:space="0" w:color="000000"/>
              <w:bottom w:val="single" w:sz="4" w:space="0" w:color="000000"/>
            </w:tcBorders>
          </w:tcPr>
          <w:p>
            <w:pPr>
              <w:pStyle w:val="TableParagraph"/>
              <w:spacing w:before="44"/>
              <w:ind w:left="189"/>
              <w:rPr>
                <w:b/>
                <w:sz w:val="16"/>
              </w:rPr>
            </w:pPr>
            <w:r>
              <w:rPr>
                <w:b/>
                <w:w w:val="105"/>
                <w:sz w:val="16"/>
              </w:rPr>
              <w:t>1960</w:t>
            </w:r>
          </w:p>
        </w:tc>
        <w:tc>
          <w:tcPr>
            <w:tcW w:w="611" w:type="dxa"/>
            <w:tcBorders>
              <w:bottom w:val="single" w:sz="4" w:space="0" w:color="000000"/>
            </w:tcBorders>
          </w:tcPr>
          <w:p>
            <w:pPr>
              <w:pStyle w:val="TableParagraph"/>
              <w:spacing w:before="44"/>
              <w:ind w:left="130"/>
              <w:rPr>
                <w:b/>
                <w:sz w:val="16"/>
              </w:rPr>
            </w:pPr>
            <w:r>
              <w:rPr>
                <w:b/>
                <w:w w:val="105"/>
                <w:sz w:val="16"/>
              </w:rPr>
              <w:t>1965</w:t>
            </w:r>
          </w:p>
        </w:tc>
        <w:tc>
          <w:tcPr>
            <w:tcW w:w="611" w:type="dxa"/>
            <w:tcBorders>
              <w:bottom w:val="single" w:sz="4" w:space="0" w:color="000000"/>
            </w:tcBorders>
          </w:tcPr>
          <w:p>
            <w:pPr>
              <w:pStyle w:val="TableParagraph"/>
              <w:spacing w:before="44"/>
              <w:ind w:left="130"/>
              <w:rPr>
                <w:b/>
                <w:sz w:val="16"/>
              </w:rPr>
            </w:pPr>
            <w:r>
              <w:rPr>
                <w:b/>
                <w:w w:val="105"/>
                <w:sz w:val="16"/>
              </w:rPr>
              <w:t>1970</w:t>
            </w:r>
          </w:p>
        </w:tc>
        <w:tc>
          <w:tcPr>
            <w:tcW w:w="612" w:type="dxa"/>
            <w:tcBorders>
              <w:bottom w:val="single" w:sz="4" w:space="0" w:color="000000"/>
            </w:tcBorders>
          </w:tcPr>
          <w:p>
            <w:pPr>
              <w:pStyle w:val="TableParagraph"/>
              <w:spacing w:before="44"/>
              <w:ind w:left="130"/>
              <w:rPr>
                <w:b/>
                <w:sz w:val="16"/>
              </w:rPr>
            </w:pPr>
            <w:r>
              <w:rPr>
                <w:b/>
                <w:w w:val="105"/>
                <w:sz w:val="16"/>
              </w:rPr>
              <w:t>1975</w:t>
            </w:r>
          </w:p>
        </w:tc>
        <w:tc>
          <w:tcPr>
            <w:tcW w:w="612" w:type="dxa"/>
            <w:tcBorders>
              <w:bottom w:val="single" w:sz="4" w:space="0" w:color="000000"/>
            </w:tcBorders>
          </w:tcPr>
          <w:p>
            <w:pPr>
              <w:pStyle w:val="TableParagraph"/>
              <w:spacing w:before="44"/>
              <w:ind w:left="130"/>
              <w:rPr>
                <w:b/>
                <w:sz w:val="16"/>
              </w:rPr>
            </w:pPr>
            <w:r>
              <w:rPr>
                <w:b/>
                <w:w w:val="105"/>
                <w:sz w:val="16"/>
              </w:rPr>
              <w:t>1980</w:t>
            </w:r>
          </w:p>
        </w:tc>
        <w:tc>
          <w:tcPr>
            <w:tcW w:w="612" w:type="dxa"/>
            <w:tcBorders>
              <w:bottom w:val="single" w:sz="4" w:space="0" w:color="000000"/>
            </w:tcBorders>
          </w:tcPr>
          <w:p>
            <w:pPr>
              <w:pStyle w:val="TableParagraph"/>
              <w:spacing w:before="44"/>
              <w:ind w:left="130"/>
              <w:rPr>
                <w:b/>
                <w:sz w:val="16"/>
              </w:rPr>
            </w:pPr>
            <w:r>
              <w:rPr>
                <w:b/>
                <w:w w:val="105"/>
                <w:sz w:val="16"/>
              </w:rPr>
              <w:t>1985</w:t>
            </w:r>
          </w:p>
        </w:tc>
        <w:tc>
          <w:tcPr>
            <w:tcW w:w="612" w:type="dxa"/>
            <w:tcBorders>
              <w:bottom w:val="single" w:sz="4" w:space="0" w:color="000000"/>
            </w:tcBorders>
          </w:tcPr>
          <w:p>
            <w:pPr>
              <w:pStyle w:val="TableParagraph"/>
              <w:spacing w:before="44"/>
              <w:ind w:left="130"/>
              <w:rPr>
                <w:b/>
                <w:sz w:val="16"/>
              </w:rPr>
            </w:pPr>
            <w:r>
              <w:rPr>
                <w:b/>
                <w:w w:val="105"/>
                <w:sz w:val="16"/>
              </w:rPr>
              <w:t>1990</w:t>
            </w:r>
          </w:p>
        </w:tc>
        <w:tc>
          <w:tcPr>
            <w:tcW w:w="612" w:type="dxa"/>
            <w:tcBorders>
              <w:bottom w:val="single" w:sz="4" w:space="0" w:color="000000"/>
            </w:tcBorders>
          </w:tcPr>
          <w:p>
            <w:pPr>
              <w:pStyle w:val="TableParagraph"/>
              <w:spacing w:before="44"/>
              <w:ind w:left="130"/>
              <w:rPr>
                <w:b/>
                <w:sz w:val="16"/>
              </w:rPr>
            </w:pPr>
            <w:r>
              <w:rPr>
                <w:b/>
                <w:w w:val="105"/>
                <w:sz w:val="16"/>
              </w:rPr>
              <w:t>1995</w:t>
            </w:r>
          </w:p>
        </w:tc>
        <w:tc>
          <w:tcPr>
            <w:tcW w:w="611" w:type="dxa"/>
            <w:tcBorders>
              <w:bottom w:val="single" w:sz="4" w:space="0" w:color="000000"/>
            </w:tcBorders>
          </w:tcPr>
          <w:p>
            <w:pPr>
              <w:pStyle w:val="TableParagraph"/>
              <w:spacing w:before="44"/>
              <w:ind w:left="130"/>
              <w:rPr>
                <w:b/>
                <w:sz w:val="16"/>
              </w:rPr>
            </w:pPr>
            <w:r>
              <w:rPr>
                <w:b/>
                <w:w w:val="105"/>
                <w:sz w:val="16"/>
              </w:rPr>
              <w:t>2000</w:t>
            </w:r>
          </w:p>
        </w:tc>
        <w:tc>
          <w:tcPr>
            <w:tcW w:w="611" w:type="dxa"/>
            <w:tcBorders>
              <w:bottom w:val="single" w:sz="4" w:space="0" w:color="000000"/>
            </w:tcBorders>
          </w:tcPr>
          <w:p>
            <w:pPr>
              <w:pStyle w:val="TableParagraph"/>
              <w:spacing w:before="44"/>
              <w:ind w:left="130"/>
              <w:rPr>
                <w:b/>
                <w:sz w:val="16"/>
              </w:rPr>
            </w:pPr>
            <w:r>
              <w:rPr>
                <w:b/>
                <w:w w:val="105"/>
                <w:sz w:val="16"/>
              </w:rPr>
              <w:t>2005</w:t>
            </w:r>
          </w:p>
        </w:tc>
        <w:tc>
          <w:tcPr>
            <w:tcW w:w="513" w:type="dxa"/>
            <w:tcBorders>
              <w:bottom w:val="single" w:sz="4" w:space="0" w:color="000000"/>
            </w:tcBorders>
          </w:tcPr>
          <w:p>
            <w:pPr>
              <w:pStyle w:val="TableParagraph"/>
              <w:spacing w:before="44"/>
              <w:ind w:left="130"/>
              <w:rPr>
                <w:b/>
                <w:sz w:val="16"/>
              </w:rPr>
            </w:pPr>
            <w:r>
              <w:rPr>
                <w:b/>
                <w:w w:val="105"/>
                <w:sz w:val="16"/>
              </w:rPr>
              <w:t>2010</w:t>
            </w:r>
          </w:p>
        </w:tc>
        <w:tc>
          <w:tcPr>
            <w:tcW w:w="677" w:type="dxa"/>
            <w:tcBorders>
              <w:bottom w:val="single" w:sz="4" w:space="0" w:color="000000"/>
              <w:right w:val="single" w:sz="4" w:space="0" w:color="000000"/>
            </w:tcBorders>
          </w:tcPr>
          <w:p>
            <w:pPr>
              <w:pStyle w:val="TableParagraph"/>
              <w:rPr>
                <w:rFonts w:ascii="Times New Roman"/>
                <w:sz w:val="18"/>
              </w:rPr>
            </w:pPr>
          </w:p>
        </w:tc>
      </w:tr>
      <w:tr>
        <w:trPr>
          <w:trHeight w:val="311" w:hRule="atLeast"/>
        </w:trPr>
        <w:tc>
          <w:tcPr>
            <w:tcW w:w="737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Pr>
                <w:sz w:val="18"/>
              </w:rPr>
            </w:pPr>
            <w:r>
              <w:rPr>
                <w:sz w:val="18"/>
              </w:rPr>
              <w:t>Source: Office of National Statistics</w:t>
            </w:r>
          </w:p>
        </w:tc>
      </w:tr>
    </w:tbl>
    <w:p>
      <w:pPr>
        <w:pStyle w:val="BodyText"/>
        <w:spacing w:before="6"/>
        <w:rPr>
          <w:sz w:val="21"/>
        </w:rPr>
      </w:pPr>
    </w:p>
    <w:p>
      <w:pPr>
        <w:pStyle w:val="BodyText"/>
        <w:spacing w:line="360" w:lineRule="auto" w:before="94"/>
        <w:ind w:left="233" w:right="160"/>
      </w:pPr>
      <w:r>
        <w:rPr/>
        <w:pict>
          <v:group style="position:absolute;margin-left:74.519997pt;margin-top:-224.840195pt;width:312.3pt;height:168.4pt;mso-position-horizontal-relative:page;mso-position-vertical-relative:paragraph;z-index:-254950400" coordorigin="1490,-4497" coordsize="6246,3368">
            <v:line style="position:absolute" from="7676,-4490" to="7676,-1190" stroked="true" strokeweight=".72pt" strokecolor="#000000">
              <v:stroke dashstyle="solid"/>
            </v:line>
            <v:shape style="position:absolute;left:7676;top:-4497;width:60;height:3315" coordorigin="7676,-4497" coordsize="60,3315" path="m7736,-1197l7676,-1197,7676,-1182,7736,-1182,7736,-1197m7736,-1662l7676,-1662,7676,-1647,7736,-1647,7736,-1662m7736,-2142l7676,-2142,7676,-2127,7736,-2127,7736,-2142m7736,-2607l7676,-2607,7676,-2592,7736,-2592,7736,-2607m7736,-3071l7676,-3071,7676,-3057,7736,-3057,7736,-3071m7736,-3551l7676,-3551,7676,-3537,7736,-3537,7736,-3551m7736,-4017l7676,-4017,7676,-4001,7736,-4001,7736,-4017m7736,-4497l7676,-4497,7676,-4481,7736,-4481,7736,-4497e" filled="true" fillcolor="#000000" stroked="false">
              <v:path arrowok="t"/>
              <v:fill type="solid"/>
            </v:shape>
            <v:line style="position:absolute" from="1498,-1190" to="7676,-1190" stroked="true" strokeweight=".72pt" strokecolor="#000000">
              <v:stroke dashstyle="solid"/>
            </v:line>
            <v:shape style="position:absolute;left:1490;top:-1190;width:6134;height:60" coordorigin="1490,-1190" coordsize="6134,60" path="m1505,-1190l1490,-1190,1490,-1130,1505,-1130,1505,-1190m2120,-1190l2105,-1190,2105,-1130,2120,-1130,2120,-1190m2735,-1190l2720,-1190,2720,-1130,2735,-1130,2735,-1190m3349,-1190l3335,-1190,3335,-1130,3349,-1130,3349,-1190m3949,-1190l3935,-1190,3935,-1130,3949,-1130,3949,-1190m4565,-1190l4549,-1190,4549,-1130,4565,-1130,4565,-1190m5179,-1190l5165,-1190,5165,-1130,5179,-1130,5179,-1190m5795,-1190l5779,-1190,5779,-1130,5795,-1130,5795,-1190m6409,-1190l6394,-1190,6394,-1130,6409,-1130,6409,-1190m7009,-1190l6994,-1190,6994,-1130,7009,-1130,7009,-1190m7624,-1190l7609,-1190,7609,-1130,7624,-1130,7624,-1190e" filled="true" fillcolor="#000000" stroked="false">
              <v:path arrowok="t"/>
              <v:fill type="solid"/>
            </v:shape>
            <v:shape style="position:absolute;left:1609;top:-4167;width:6045;height:2280" coordorigin="1609,-4167" coordsize="6045,2280" path="m2116,-2027l2094,-2027,2214,-1887,2488,-1887,2492,-1907,2236,-1907,2116,-2027xm2472,-1926l2360,-1907,2466,-1907,2472,-1926xm2478,-1927l2472,-1926,2466,-1907,2478,-1927xm2500,-1927l2478,-1927,2466,-1907,2494,-1907,2500,-1927xm2844,-2487l2833,-2487,2830,-2467,2710,-2347,2714,-2347,2594,-2307,2586,-2307,2472,-1926,2478,-1927,2500,-1927,2614,-2287,2605,-2287,2725,-2327,2730,-2327,2848,-2445,2836,-2447,2964,-2447,2844,-2487xm1631,-2227l1615,-2227,1609,-2207,1614,-2207,1734,-2067,1736,-2067,1856,-1967,1868,-1967,1928,-1987,1874,-1987,1754,-2087,1756,-2087,1637,-2207,1631,-2227xm2113,-2047l2104,-2047,1861,-2007,1874,-1987,1928,-1987,1988,-2007,2107,-2007,2094,-2027,2116,-2027,2113,-2047xm2970,-2447l2850,-2447,2848,-2445,2956,-2427,2950,-2427,3070,-2307,3089,-2307,3094,-2327,3065,-2327,3073,-2361,2970,-2447xm3073,-2361l3065,-2327,3090,-2347,3073,-2361xm3320,-3927l3200,-2907,3073,-2361,3090,-2347,3065,-2327,3095,-2327,3229,-2887,3338,-3830,3320,-3927xm2850,-2447l2836,-2447,2848,-2445,2850,-2447xm5202,-3127l5177,-3127,5170,-3118,5276,-3047,5270,-3047,5390,-2767,5412,-2767,5446,-2787,5398,-2787,5414,-2796,5298,-3067,5292,-3067,5202,-3127xm5414,-2796l5398,-2787,5418,-2787,5414,-2796xm6031,-3887l6007,-3887,5887,-3707,5885,-3707,5765,-3387,5767,-3387,5647,-3207,5645,-3207,5525,-2867,5532,-2867,5414,-2796,5418,-2787,5446,-2787,5546,-2847,5554,-2847,5674,-3187,5671,-3187,5791,-3367,5794,-3367,5914,-3687,5911,-3687,6019,-3849,6007,-3867,6045,-3867,6031,-3887xm4938,-3207l4802,-3207,4922,-3187,4912,-3187,5032,-2967,5057,-2967,5072,-2987,5033,-2987,5047,-3006,4938,-3207xm5047,-3006l5033,-2987,5058,-2987,5047,-3006xm5172,-3147l5153,-3147,5047,-3006,5058,-2987,5072,-2987,5170,-3118,5156,-3127,5202,-3127,5172,-3147xm4081,-3227l4058,-3227,4178,-3067,4188,-3067,4313,-3087,4186,-3087,4198,-3091,4081,-3227xm4198,-3091l4186,-3087,4201,-3087,4198,-3091xm4418,-3247l4298,-3127,4306,-3127,4198,-3091,4201,-3087,4316,-3087,4442,-3227,4415,-3227,4418,-3247xm5177,-3127l5156,-3127,5170,-3118,5177,-3127xm4620,-3667l4564,-3667,4562,-3662,4680,-3627,4670,-3627,4790,-3207,4819,-3207,4806,-3227,4813,-3227,4699,-3627,4698,-3647,4690,-3647,4620,-3667xm4806,-3227l4819,-3207,4814,-3225,4806,-3227xm4814,-3225l4819,-3207,4926,-3207,4814,-3225xm4813,-3227l4806,-3227,4814,-3225,4813,-3227xm3716,-3867l3707,-3867,3689,-3843,3800,-3527,3936,-3527,4056,-3227,4084,-3227,3964,-3547,3829,-3547,3815,-3567,3822,-3567,3716,-3867xm4550,-3687l4535,-3687,4415,-3227,4444,-3227,4562,-3662,4544,-3667,4620,-3667,4550,-3687xm3349,-3927l3338,-3830,3440,-3267,3457,-3332,3349,-3927xm3457,-3332l3440,-3267,3469,-3267,3457,-3332xm3589,-3727l3560,-3727,3457,-3332,3469,-3267,3589,-3727xm7038,-3387l7010,-3387,6995,-3367,6872,-3367,7008,-3347,7022,-3347,7038,-3387xm6562,-3727l6528,-3727,6525,-3718,6628,-3667,6622,-3667,6742,-3507,6863,-3367,6995,-3367,7003,-3387,6886,-3387,6767,-3527,6647,-3687,6643,-3687,6562,-3727xm7235,-4007l7115,-3647,6995,-3367,7010,-3387,7038,-3387,7142,-3647,7249,-3964,7235,-4007xm6521,-3747l6500,-3747,6388,-3428,6396,-3427,6380,-3407,6272,-3407,6392,-3387,6406,-3387,6408,-3407,6525,-3718,6508,-3727,6562,-3727,6521,-3747xm6045,-3867l6031,-3867,6019,-3849,6127,-3687,6263,-3407,6380,-3407,6387,-3427,6288,-3427,6276,-3447,6278,-3447,6151,-3707,6045,-3867xm6388,-3428l6380,-3407,6396,-3427,6388,-3428xm6276,-3447l6288,-3427,6278,-3446,6276,-3447xm6278,-3446l6288,-3427,6387,-3427,6388,-3428,6278,-3446xm6278,-3447l6276,-3447,6278,-3446,6278,-3447xm3822,-3567l3815,-3567,3829,-3547,3822,-3567xm3956,-3567l3822,-3567,3829,-3547,3961,-3547,3956,-3567xm7264,-4007l7249,-3964,7355,-3647,7382,-3647,7384,-3667,7355,-3667,7367,-3713,7264,-4007xm4564,-3667l4544,-3667,4562,-3662,4564,-3667xm7367,-3713l7355,-3667,7384,-3667,7367,-3713xm7475,-4107l7367,-3713,7384,-3667,7492,-4066,7475,-4107xm3709,-3887l3683,-3887,3563,-3727,3589,-3727,3587,-3707,3689,-3843,3680,-3867,3716,-3867,3709,-3887xm6528,-3727l6508,-3727,6525,-3718,6528,-3727xm7599,-3885l7594,-3829,7595,-3827,7598,-3807,7618,-3807,7624,-3827,7622,-3827,7599,-3885xm7594,-3829l7594,-3827,7595,-3827,7594,-3829xm7654,-4147l7624,-4147,7599,-3885,7622,-3827,7624,-3827,7654,-4147xm7510,-4107l7504,-4107,7492,-4066,7594,-3829,7599,-3885,7510,-4107xm3348,-3947l3320,-3947,3320,-3927,3338,-3830,3349,-3927,3348,-3947xm3707,-3867l3680,-3867,3689,-3843,3707,-3867xm6031,-3867l6007,-3867,6019,-3849,6031,-3867xm7261,-4027l7237,-4027,7235,-4007,7249,-3964,7264,-4007,7261,-4027xm7502,-4127l7476,-4127,7475,-4107,7492,-4066,7504,-4107,7510,-4107,7502,-4127xm7640,-4167l7632,-4167,7625,-4147,7649,-4147,7640,-4167xe" filled="true" fillcolor="#993300" stroked="false">
              <v:path arrowok="t"/>
              <v:fill type="solid"/>
            </v:shape>
            <w10:wrap type="none"/>
          </v:group>
        </w:pict>
      </w:r>
      <w:r>
        <w:rPr/>
        <w:t>But in the 1990s and 2000s, this process of globalisation has deepened and intensified. The past two decades have seen the integration into the global economy of many emerging market economies, including China, India, Russia and much of Eastern Europe.  In addition, the deregulation and liberalisation of financial markets in many countries from the 1980s onwards has created much more globally integrated capital and financial markets, with financial institutions – especially banks – operating on a much more international basis. This deepening and intensification of the process of globalisation has given an added boost to the growth of world trade and economic activity. But it has also extended the globalisation of markets outside the spheres of trade and business investment and into the markets for labour and for capital and finance, creating the potential for greater global economic</w:t>
      </w:r>
      <w:r>
        <w:rPr>
          <w:spacing w:val="-17"/>
        </w:rPr>
        <w:t> </w:t>
      </w:r>
      <w:r>
        <w:rPr/>
        <w:t>volatility.</w:t>
      </w:r>
      <w:r>
        <w:rPr>
          <w:vertAlign w:val="superscript"/>
        </w:rPr>
        <w:t>3</w:t>
      </w:r>
    </w:p>
    <w:p>
      <w:pPr>
        <w:pStyle w:val="BodyText"/>
      </w:pPr>
    </w:p>
    <w:p>
      <w:pPr>
        <w:pStyle w:val="BodyText"/>
      </w:pPr>
    </w:p>
    <w:p>
      <w:pPr>
        <w:pStyle w:val="BodyText"/>
        <w:spacing w:before="11"/>
        <w:rPr>
          <w:sz w:val="27"/>
        </w:rPr>
      </w:pPr>
      <w:r>
        <w:rPr/>
        <w:pict>
          <v:shape style="position:absolute;margin-left:56.700001pt;margin-top:18.291157pt;width:144pt;height:.1pt;mso-position-horizontal-relative:page;mso-position-vertical-relative:paragraph;z-index:-251656192;mso-wrap-distance-left:0;mso-wrap-distance-right:0" coordorigin="1134,366" coordsize="2880,0" path="m1134,366l4014,366e" filled="false" stroked="true" strokeweight=".48001pt" strokecolor="#000000">
            <v:path arrowok="t"/>
            <v:stroke dashstyle="solid"/>
            <w10:wrap type="topAndBottom"/>
          </v:shape>
        </w:pict>
      </w:r>
    </w:p>
    <w:p>
      <w:pPr>
        <w:spacing w:before="29"/>
        <w:ind w:left="234" w:right="0" w:firstLine="0"/>
        <w:jc w:val="left"/>
        <w:rPr>
          <w:sz w:val="16"/>
        </w:rPr>
      </w:pPr>
      <w:r>
        <w:rPr>
          <w:rFonts w:ascii="Times New Roman"/>
          <w:position w:val="9"/>
          <w:sz w:val="13"/>
        </w:rPr>
        <w:t>3 </w:t>
      </w:r>
      <w:r>
        <w:rPr>
          <w:sz w:val="16"/>
        </w:rPr>
        <w:t>For a broader elaboration of this argument, see Sentance (2009a) and Sentance (2009b)</w:t>
      </w:r>
    </w:p>
    <w:p>
      <w:pPr>
        <w:spacing w:after="0"/>
        <w:jc w:val="left"/>
        <w:rPr>
          <w:sz w:val="16"/>
        </w:rPr>
        <w:sectPr>
          <w:footerReference w:type="default" r:id="rId8"/>
          <w:pgSz w:w="11900" w:h="16840"/>
          <w:pgMar w:footer="1340" w:header="0" w:top="1360" w:bottom="1540" w:left="900" w:right="1020"/>
          <w:pgNumType w:start="4"/>
        </w:sectPr>
      </w:pPr>
    </w:p>
    <w:p>
      <w:pPr>
        <w:pStyle w:val="BodyText"/>
        <w:spacing w:line="360" w:lineRule="auto" w:before="77"/>
        <w:ind w:left="233" w:right="116"/>
      </w:pPr>
      <w:r>
        <w:rPr/>
        <w:t>The recession and the period of growth preceding it has shown this “new global economy” in action as financial markets and trade and investment linkages have transmitted shocks from one country to another and amplified their impact. At the heart of the recession was a global financial crisis triggered by bad lending practices in the US mortgage market.  These financial problems had a much more significant and widespread impact because they were transmitted to banks and financial markets around the world through a highly complex and integrated global financial system – affecting credit availability, housing finance and the funding of investment across the world</w:t>
      </w:r>
      <w:r>
        <w:rPr>
          <w:spacing w:val="-8"/>
        </w:rPr>
        <w:t> </w:t>
      </w:r>
      <w:r>
        <w:rPr/>
        <w:t>economy.</w:t>
      </w:r>
    </w:p>
    <w:p>
      <w:pPr>
        <w:pStyle w:val="BodyText"/>
        <w:rPr>
          <w:sz w:val="30"/>
        </w:rPr>
      </w:pPr>
    </w:p>
    <w:p>
      <w:pPr>
        <w:pStyle w:val="BodyText"/>
        <w:spacing w:line="360" w:lineRule="auto"/>
        <w:ind w:left="233" w:right="130"/>
      </w:pPr>
      <w:r>
        <w:rPr/>
        <w:pict>
          <v:group style="position:absolute;margin-left:67.019997pt;margin-top:218.180557pt;width:331.8pt;height:166.5pt;mso-position-horizontal-relative:page;mso-position-vertical-relative:paragraph;z-index:-254949376" coordorigin="1340,4364" coordsize="6636,3330">
            <v:line style="position:absolute" from="7932,4371" to="7932,7686" stroked="true" strokeweight=".72pt" strokecolor="#000000">
              <v:stroke dashstyle="solid"/>
            </v:line>
            <v:shape style="position:absolute;left:7932;top:4363;width:45;height:3330" coordorigin="7932,4364" coordsize="45,3330" path="m7976,7678l7932,7678,7932,7694,7976,7694,7976,7678m7976,7124l7932,7124,7932,7138,7976,7138,7976,7124m7976,6568l7932,6568,7932,6584,7976,6584,7976,6568m7976,6014l7932,6014,7932,6028,7976,6028,7976,6014m7976,5459l7932,5459,7932,5474,7976,5474,7976,5459m7976,4919l7932,4919,7932,4934,7976,4934,7976,4919m7976,4364l7932,4364,7932,4379,7976,4379,7976,4364e" filled="true" fillcolor="#000000" stroked="false">
              <v:path arrowok="t"/>
              <v:fill type="solid"/>
            </v:shape>
            <v:line style="position:absolute" from="1348,6021" to="7932,6021" stroked="true" strokeweight=".72pt" strokecolor="#000000">
              <v:stroke dashstyle="solid"/>
            </v:line>
            <v:shape style="position:absolute;left:1340;top:6020;width:5999;height:60" coordorigin="1340,6021" coordsize="5999,60" path="m1355,6021l1340,6021,1340,6081,1355,6081,1355,6021m1955,6021l1940,6021,1940,6081,1955,6081,1955,6021m2555,6021l2540,6021,2540,6081,2555,6081,2555,6021m3155,6021l3140,6021,3140,6081,3155,6081,3155,6021m3755,6021l3740,6021,3740,6081,3755,6081,3755,6021m4355,6021l4339,6021,4339,6081,4355,6081,4355,6021m4939,6021l4925,6021,4925,6081,4939,6081,4939,6021m5539,6021l5525,6021,5525,6081,5539,6081,5539,6021m6139,6021l6125,6021,6125,6081,6139,6081,6139,6021m6739,6021l6725,6021,6725,6081,6739,6081,6739,6021m7339,6021l7325,6021,7325,6081,7339,6081,7339,6021e" filled="true" fillcolor="#000000" stroked="false">
              <v:path arrowok="t"/>
              <v:fill type="solid"/>
            </v:shape>
            <v:shape style="position:absolute;left:1638;top:5413;width:6004;height:692" coordorigin="1638,5414" coordsize="6004,692" path="m5904,5442l5833,5442,5840,5444,5836,5444,6433,5727,7016,6101,7022,6105,7030,6104,7036,6099,7057,6078,7014,6078,7023,6070,6446,5700,5904,5442xm7023,6070l7014,6078,7033,6076,7023,6070xm7630,5487l7620,5487,7614,5493,7023,6070,7033,6076,7014,6078,7057,6078,7634,5514,7640,5508,7642,5499,7630,5487xm1654,5471l1645,5475,1638,5489,1642,5499,1649,5502,2233,5787,2236,5788,2239,5789,2242,5788,2464,5760,2246,5760,2238,5759,2243,5759,1662,5475,1654,5471xm2243,5759l2238,5759,2246,5760,2243,5759xm4039,5458l4038,5459,4036,5459,3438,5609,2243,5759,2246,5760,2464,5760,3442,5638,4044,5488,4430,5488,4040,5459,4039,5458xm4430,5488l4044,5488,4039,5489,4639,5534,4642,5534,4880,5504,4638,5504,4639,5503,4430,5488xm4639,5503l4638,5504,4640,5504,4639,5503xm5844,5414l5839,5414,5238,5429,4639,5503,4640,5504,4880,5504,5242,5458,5836,5444,5833,5442,5904,5442,5846,5415,5844,5414xm5833,5442l5836,5444,5840,5444,5833,5442xe" filled="true" fillcolor="#333399" stroked="false">
              <v:path arrowok="t"/>
              <v:fill type="solid"/>
            </v:shape>
            <v:shape style="position:absolute;left:1638;top:4661;width:6004;height:2598" coordorigin="1638,4661" coordsize="6004,2598" path="m6428,5708l7010,7248,7013,7254,7019,7259,7026,7258,7032,7258,7038,7253,7039,7247,7041,7240,7010,7240,7022,7194,6460,5710,6430,5710,6428,5708xm7022,7194l7010,7240,7038,7238,7022,7194xm7620,4752l7612,4757,7610,4766,7022,7194,7038,7238,7010,7240,7041,7240,7639,4773,7642,4764,7636,4756,7628,4754,7620,4752xm1656,4661l1642,4668,1638,4677,1642,4685,2226,6020,2231,6027,2236,6028,2239,6029,2244,6029,2248,6027,2278,6008,2254,6008,2232,6000,2246,5991,1669,4673,1666,4665,1656,4661xm2246,5991l2232,6000,2254,6008,2246,5991xm3433,5415l2834,5625,2833,5625,2832,5626,2246,5991,2254,6008,2278,6008,2846,5652,2845,5652,2848,5651,2849,5651,3445,5442,3446,5442,3449,5441,3450,5439,3470,5418,3430,5418,3433,5415xm6426,5704l6428,5708,6430,5710,6426,5704xm6458,5704l6426,5704,6430,5710,6460,5710,6458,5704xm5831,5217l6428,5708,6426,5704,6458,5704,6454,5693,6451,5688,6449,5687,5881,5218,5836,5218,5831,5217xm2848,5651l2845,5652,2846,5652,2848,5651xm2846,5652l2845,5652,2846,5652,2846,5652xm2849,5651l2848,5651,2846,5652,2849,5651xm3434,5415l3433,5415,3430,5418,3434,5415xm3474,5415l3434,5415,3430,5418,3470,5418,3474,5415xm4042,4812l4034,4814,3433,5415,3434,5415,3474,5415,4041,4848,4032,4842,4050,4839,4089,4839,4048,4816,4042,4812xm5830,5216l5831,5217,5836,5218,5830,5216xm5878,5216l5830,5216,5836,5218,5881,5218,5878,5216xm5349,5054l5243,5054,5239,5054,5831,5217,5830,5216,5878,5216,5849,5192,5848,5190,5845,5190,5844,5189,5349,5054xm4089,4839l4050,4839,4041,4848,4632,5172,4636,5174,4643,5174,4781,5146,4648,5146,4637,5144,4642,5143,4089,4839xm4642,5143l4637,5144,4648,5146,4642,5143xm5242,5024l5237,5024,4642,5143,4648,5146,4781,5146,5239,5054,5236,5054,5349,5054,5244,5025,5242,5024xm5243,5054l5236,5054,5239,5054,5243,5054xm4050,4839l4032,4842,4041,4848,4050,4839xe" filled="true" fillcolor="#993300" stroked="false">
              <v:path arrowok="t"/>
              <v:fill type="solid"/>
            </v:shape>
            <v:line style="position:absolute" from="2300,6779" to="2720,6779" stroked="true" strokeweight="1.5pt" strokecolor="#333399">
              <v:stroke dashstyle="solid"/>
            </v:line>
            <v:line style="position:absolute" from="2300,7079" to="2720,7079" stroked="true" strokeweight="1.5pt" strokecolor="#993300">
              <v:stroke dashstyle="solid"/>
            </v:line>
            <w10:wrap type="none"/>
          </v:group>
        </w:pict>
      </w:r>
      <w:r>
        <w:rPr/>
        <w:t>Global linkages also played a key role in driving the recession, by transmitting negative shocks to confidence and financial markets around the world and across sectors, through the highly integrated global supply chains which now exist in the production and distribution of manufactured goods. In late 2008 and early 2009, the downturn in demand triggered a global stock cycle which amplified cutbacks in production in many key sectors of manufacturing, such as the motor industry and IT, creating a very large swing in global trade relative to global GDP (Chart2). Similarly, over the recovery, many countries have seen extremely strong trade growth as the stock cycle has turned and demand has recovered. Global trade flows have recently grown much faster than world GDP as the global stock cycle has turned around and economies have snapped back into life again.</w:t>
      </w:r>
    </w:p>
    <w:p>
      <w:pPr>
        <w:pStyle w:val="BodyText"/>
      </w:pPr>
    </w:p>
    <w:p>
      <w:pPr>
        <w:pStyle w:val="BodyText"/>
        <w:spacing w:before="3"/>
        <w:rPr>
          <w:sz w:val="10"/>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598"/>
        <w:gridCol w:w="1800"/>
        <w:gridCol w:w="592"/>
        <w:gridCol w:w="598"/>
        <w:gridCol w:w="597"/>
        <w:gridCol w:w="598"/>
        <w:gridCol w:w="598"/>
        <w:gridCol w:w="610"/>
        <w:gridCol w:w="558"/>
      </w:tblGrid>
      <w:tr>
        <w:trPr>
          <w:trHeight w:val="689" w:hRule="atLeast"/>
        </w:trPr>
        <w:tc>
          <w:tcPr>
            <w:tcW w:w="737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2: World trade and real GDP growth, 2000-2010</w:t>
            </w:r>
          </w:p>
          <w:p>
            <w:pPr>
              <w:pStyle w:val="TableParagraph"/>
              <w:spacing w:before="113"/>
              <w:ind w:left="107"/>
              <w:rPr>
                <w:sz w:val="20"/>
              </w:rPr>
            </w:pPr>
            <w:r>
              <w:rPr>
                <w:sz w:val="20"/>
              </w:rPr>
              <w:t>Percentage change on previous year</w:t>
            </w:r>
          </w:p>
        </w:tc>
      </w:tr>
      <w:tr>
        <w:trPr>
          <w:trHeight w:val="492" w:hRule="atLeast"/>
        </w:trPr>
        <w:tc>
          <w:tcPr>
            <w:tcW w:w="823" w:type="dxa"/>
            <w:tcBorders>
              <w:top w:val="single" w:sz="4" w:space="0" w:color="000000"/>
              <w:left w:val="single" w:sz="4" w:space="0" w:color="000000"/>
            </w:tcBorders>
          </w:tcPr>
          <w:p>
            <w:pPr>
              <w:pStyle w:val="TableParagraph"/>
              <w:rPr>
                <w:rFonts w:ascii="Times New Roman"/>
                <w:sz w:val="18"/>
              </w:rPr>
            </w:pPr>
          </w:p>
        </w:tc>
        <w:tc>
          <w:tcPr>
            <w:tcW w:w="598" w:type="dxa"/>
            <w:tcBorders>
              <w:top w:val="single" w:sz="4" w:space="0" w:color="000000"/>
            </w:tcBorders>
          </w:tcPr>
          <w:p>
            <w:pPr>
              <w:pStyle w:val="TableParagraph"/>
              <w:rPr>
                <w:rFonts w:ascii="Times New Roman"/>
                <w:sz w:val="18"/>
              </w:rPr>
            </w:pPr>
          </w:p>
        </w:tc>
        <w:tc>
          <w:tcPr>
            <w:tcW w:w="1800" w:type="dxa"/>
            <w:tcBorders>
              <w:top w:val="single" w:sz="4" w:space="0" w:color="000000"/>
            </w:tcBorders>
          </w:tcPr>
          <w:p>
            <w:pPr>
              <w:pStyle w:val="TableParagraph"/>
              <w:rPr>
                <w:rFonts w:ascii="Times New Roman"/>
                <w:sz w:val="18"/>
              </w:rPr>
            </w:pPr>
          </w:p>
        </w:tc>
        <w:tc>
          <w:tcPr>
            <w:tcW w:w="592" w:type="dxa"/>
            <w:tcBorders>
              <w:top w:val="single" w:sz="4" w:space="0" w:color="000000"/>
            </w:tcBorders>
          </w:tcPr>
          <w:p>
            <w:pPr>
              <w:pStyle w:val="TableParagraph"/>
              <w:rPr>
                <w:rFonts w:ascii="Times New Roman"/>
                <w:sz w:val="18"/>
              </w:rPr>
            </w:pPr>
          </w:p>
        </w:tc>
        <w:tc>
          <w:tcPr>
            <w:tcW w:w="598" w:type="dxa"/>
            <w:tcBorders>
              <w:top w:val="single" w:sz="4" w:space="0" w:color="000000"/>
            </w:tcBorders>
          </w:tcPr>
          <w:p>
            <w:pPr>
              <w:pStyle w:val="TableParagraph"/>
              <w:rPr>
                <w:rFonts w:ascii="Times New Roman"/>
                <w:sz w:val="18"/>
              </w:rPr>
            </w:pPr>
          </w:p>
        </w:tc>
        <w:tc>
          <w:tcPr>
            <w:tcW w:w="597" w:type="dxa"/>
            <w:tcBorders>
              <w:top w:val="single" w:sz="4" w:space="0" w:color="000000"/>
            </w:tcBorders>
          </w:tcPr>
          <w:p>
            <w:pPr>
              <w:pStyle w:val="TableParagraph"/>
              <w:rPr>
                <w:rFonts w:ascii="Times New Roman"/>
                <w:sz w:val="18"/>
              </w:rPr>
            </w:pPr>
          </w:p>
        </w:tc>
        <w:tc>
          <w:tcPr>
            <w:tcW w:w="598" w:type="dxa"/>
            <w:tcBorders>
              <w:top w:val="single" w:sz="4" w:space="0" w:color="000000"/>
            </w:tcBorders>
          </w:tcPr>
          <w:p>
            <w:pPr>
              <w:pStyle w:val="TableParagraph"/>
              <w:rPr>
                <w:rFonts w:ascii="Times New Roman"/>
                <w:sz w:val="18"/>
              </w:rPr>
            </w:pPr>
          </w:p>
        </w:tc>
        <w:tc>
          <w:tcPr>
            <w:tcW w:w="598" w:type="dxa"/>
            <w:tcBorders>
              <w:top w:val="single" w:sz="4" w:space="0" w:color="000000"/>
            </w:tcBorders>
          </w:tcPr>
          <w:p>
            <w:pPr>
              <w:pStyle w:val="TableParagraph"/>
              <w:rPr>
                <w:rFonts w:ascii="Times New Roman"/>
                <w:sz w:val="18"/>
              </w:rPr>
            </w:pPr>
          </w:p>
        </w:tc>
        <w:tc>
          <w:tcPr>
            <w:tcW w:w="610" w:type="dxa"/>
            <w:tcBorders>
              <w:top w:val="single" w:sz="4" w:space="0" w:color="000000"/>
            </w:tcBorders>
          </w:tcPr>
          <w:p>
            <w:pPr>
              <w:pStyle w:val="TableParagraph"/>
              <w:rPr>
                <w:rFonts w:ascii="Times New Roman"/>
                <w:sz w:val="18"/>
              </w:rPr>
            </w:pPr>
          </w:p>
        </w:tc>
        <w:tc>
          <w:tcPr>
            <w:tcW w:w="558" w:type="dxa"/>
            <w:tcBorders>
              <w:top w:val="single" w:sz="4" w:space="0" w:color="000000"/>
              <w:right w:val="single" w:sz="4" w:space="0" w:color="000000"/>
            </w:tcBorders>
          </w:tcPr>
          <w:p>
            <w:pPr>
              <w:pStyle w:val="TableParagraph"/>
              <w:spacing w:before="123"/>
              <w:ind w:left="60" w:right="153"/>
              <w:jc w:val="center"/>
              <w:rPr>
                <w:b/>
                <w:sz w:val="16"/>
              </w:rPr>
            </w:pPr>
            <w:r>
              <w:rPr>
                <w:b/>
                <w:w w:val="105"/>
                <w:sz w:val="16"/>
              </w:rPr>
              <w:t>15</w:t>
            </w:r>
          </w:p>
        </w:tc>
      </w:tr>
      <w:tr>
        <w:trPr>
          <w:trHeight w:val="552" w:hRule="atLeast"/>
        </w:trPr>
        <w:tc>
          <w:tcPr>
            <w:tcW w:w="823" w:type="dxa"/>
            <w:tcBorders>
              <w:left w:val="single" w:sz="4" w:space="0" w:color="000000"/>
            </w:tcBorders>
          </w:tcPr>
          <w:p>
            <w:pPr>
              <w:pStyle w:val="TableParagraph"/>
              <w:rPr>
                <w:rFonts w:ascii="Times New Roman"/>
                <w:sz w:val="18"/>
              </w:rPr>
            </w:pPr>
          </w:p>
        </w:tc>
        <w:tc>
          <w:tcPr>
            <w:tcW w:w="598" w:type="dxa"/>
          </w:tcPr>
          <w:p>
            <w:pPr>
              <w:pStyle w:val="TableParagraph"/>
              <w:rPr>
                <w:rFonts w:ascii="Times New Roman"/>
                <w:sz w:val="18"/>
              </w:rPr>
            </w:pPr>
          </w:p>
        </w:tc>
        <w:tc>
          <w:tcPr>
            <w:tcW w:w="1800" w:type="dxa"/>
          </w:tcPr>
          <w:p>
            <w:pPr>
              <w:pStyle w:val="TableParagraph"/>
              <w:rPr>
                <w:rFonts w:ascii="Times New Roman"/>
                <w:sz w:val="18"/>
              </w:rPr>
            </w:pPr>
          </w:p>
        </w:tc>
        <w:tc>
          <w:tcPr>
            <w:tcW w:w="592" w:type="dxa"/>
          </w:tcPr>
          <w:p>
            <w:pPr>
              <w:pStyle w:val="TableParagraph"/>
              <w:rPr>
                <w:rFonts w:ascii="Times New Roman"/>
                <w:sz w:val="18"/>
              </w:rPr>
            </w:pPr>
          </w:p>
        </w:tc>
        <w:tc>
          <w:tcPr>
            <w:tcW w:w="598" w:type="dxa"/>
          </w:tcPr>
          <w:p>
            <w:pPr>
              <w:pStyle w:val="TableParagraph"/>
              <w:rPr>
                <w:rFonts w:ascii="Times New Roman"/>
                <w:sz w:val="18"/>
              </w:rPr>
            </w:pPr>
          </w:p>
        </w:tc>
        <w:tc>
          <w:tcPr>
            <w:tcW w:w="597" w:type="dxa"/>
          </w:tcPr>
          <w:p>
            <w:pPr>
              <w:pStyle w:val="TableParagraph"/>
              <w:rPr>
                <w:rFonts w:ascii="Times New Roman"/>
                <w:sz w:val="18"/>
              </w:rPr>
            </w:pPr>
          </w:p>
        </w:tc>
        <w:tc>
          <w:tcPr>
            <w:tcW w:w="598" w:type="dxa"/>
          </w:tcPr>
          <w:p>
            <w:pPr>
              <w:pStyle w:val="TableParagraph"/>
              <w:rPr>
                <w:rFonts w:ascii="Times New Roman"/>
                <w:sz w:val="18"/>
              </w:rPr>
            </w:pPr>
          </w:p>
        </w:tc>
        <w:tc>
          <w:tcPr>
            <w:tcW w:w="598" w:type="dxa"/>
          </w:tcPr>
          <w:p>
            <w:pPr>
              <w:pStyle w:val="TableParagraph"/>
              <w:rPr>
                <w:rFonts w:ascii="Times New Roman"/>
                <w:sz w:val="18"/>
              </w:rPr>
            </w:pPr>
          </w:p>
        </w:tc>
        <w:tc>
          <w:tcPr>
            <w:tcW w:w="610" w:type="dxa"/>
          </w:tcPr>
          <w:p>
            <w:pPr>
              <w:pStyle w:val="TableParagraph"/>
              <w:rPr>
                <w:rFonts w:ascii="Times New Roman"/>
                <w:sz w:val="18"/>
              </w:rPr>
            </w:pPr>
          </w:p>
        </w:tc>
        <w:tc>
          <w:tcPr>
            <w:tcW w:w="558" w:type="dxa"/>
            <w:tcBorders>
              <w:right w:val="single" w:sz="4" w:space="0" w:color="000000"/>
            </w:tcBorders>
          </w:tcPr>
          <w:p>
            <w:pPr>
              <w:pStyle w:val="TableParagraph"/>
              <w:spacing w:before="10"/>
              <w:rPr>
                <w:sz w:val="15"/>
              </w:rPr>
            </w:pPr>
          </w:p>
          <w:p>
            <w:pPr>
              <w:pStyle w:val="TableParagraph"/>
              <w:ind w:left="60" w:right="153"/>
              <w:jc w:val="center"/>
              <w:rPr>
                <w:b/>
                <w:sz w:val="16"/>
              </w:rPr>
            </w:pPr>
            <w:r>
              <w:rPr>
                <w:b/>
                <w:w w:val="105"/>
                <w:sz w:val="16"/>
              </w:rPr>
              <w:t>10</w:t>
            </w:r>
          </w:p>
        </w:tc>
      </w:tr>
      <w:tr>
        <w:trPr>
          <w:trHeight w:val="552" w:hRule="atLeast"/>
        </w:trPr>
        <w:tc>
          <w:tcPr>
            <w:tcW w:w="823" w:type="dxa"/>
            <w:tcBorders>
              <w:left w:val="single" w:sz="4" w:space="0" w:color="000000"/>
            </w:tcBorders>
          </w:tcPr>
          <w:p>
            <w:pPr>
              <w:pStyle w:val="TableParagraph"/>
              <w:rPr>
                <w:rFonts w:ascii="Times New Roman"/>
                <w:sz w:val="18"/>
              </w:rPr>
            </w:pPr>
          </w:p>
        </w:tc>
        <w:tc>
          <w:tcPr>
            <w:tcW w:w="598" w:type="dxa"/>
          </w:tcPr>
          <w:p>
            <w:pPr>
              <w:pStyle w:val="TableParagraph"/>
              <w:rPr>
                <w:rFonts w:ascii="Times New Roman"/>
                <w:sz w:val="18"/>
              </w:rPr>
            </w:pPr>
          </w:p>
        </w:tc>
        <w:tc>
          <w:tcPr>
            <w:tcW w:w="1800" w:type="dxa"/>
          </w:tcPr>
          <w:p>
            <w:pPr>
              <w:pStyle w:val="TableParagraph"/>
              <w:rPr>
                <w:rFonts w:ascii="Times New Roman"/>
                <w:sz w:val="18"/>
              </w:rPr>
            </w:pPr>
          </w:p>
        </w:tc>
        <w:tc>
          <w:tcPr>
            <w:tcW w:w="592" w:type="dxa"/>
          </w:tcPr>
          <w:p>
            <w:pPr>
              <w:pStyle w:val="TableParagraph"/>
              <w:rPr>
                <w:rFonts w:ascii="Times New Roman"/>
                <w:sz w:val="18"/>
              </w:rPr>
            </w:pPr>
          </w:p>
        </w:tc>
        <w:tc>
          <w:tcPr>
            <w:tcW w:w="598" w:type="dxa"/>
          </w:tcPr>
          <w:p>
            <w:pPr>
              <w:pStyle w:val="TableParagraph"/>
              <w:rPr>
                <w:rFonts w:ascii="Times New Roman"/>
                <w:sz w:val="18"/>
              </w:rPr>
            </w:pPr>
          </w:p>
        </w:tc>
        <w:tc>
          <w:tcPr>
            <w:tcW w:w="597" w:type="dxa"/>
          </w:tcPr>
          <w:p>
            <w:pPr>
              <w:pStyle w:val="TableParagraph"/>
              <w:rPr>
                <w:rFonts w:ascii="Times New Roman"/>
                <w:sz w:val="18"/>
              </w:rPr>
            </w:pPr>
          </w:p>
        </w:tc>
        <w:tc>
          <w:tcPr>
            <w:tcW w:w="598" w:type="dxa"/>
          </w:tcPr>
          <w:p>
            <w:pPr>
              <w:pStyle w:val="TableParagraph"/>
              <w:rPr>
                <w:rFonts w:ascii="Times New Roman"/>
                <w:sz w:val="18"/>
              </w:rPr>
            </w:pPr>
          </w:p>
        </w:tc>
        <w:tc>
          <w:tcPr>
            <w:tcW w:w="598" w:type="dxa"/>
          </w:tcPr>
          <w:p>
            <w:pPr>
              <w:pStyle w:val="TableParagraph"/>
              <w:rPr>
                <w:rFonts w:ascii="Times New Roman"/>
                <w:sz w:val="18"/>
              </w:rPr>
            </w:pPr>
          </w:p>
        </w:tc>
        <w:tc>
          <w:tcPr>
            <w:tcW w:w="610" w:type="dxa"/>
          </w:tcPr>
          <w:p>
            <w:pPr>
              <w:pStyle w:val="TableParagraph"/>
              <w:rPr>
                <w:rFonts w:ascii="Times New Roman"/>
                <w:sz w:val="18"/>
              </w:rPr>
            </w:pPr>
          </w:p>
        </w:tc>
        <w:tc>
          <w:tcPr>
            <w:tcW w:w="558" w:type="dxa"/>
            <w:tcBorders>
              <w:right w:val="single" w:sz="4" w:space="0" w:color="000000"/>
            </w:tcBorders>
          </w:tcPr>
          <w:p>
            <w:pPr>
              <w:pStyle w:val="TableParagraph"/>
              <w:spacing w:before="11"/>
              <w:rPr>
                <w:sz w:val="15"/>
              </w:rPr>
            </w:pPr>
          </w:p>
          <w:p>
            <w:pPr>
              <w:pStyle w:val="TableParagraph"/>
              <w:ind w:right="186"/>
              <w:jc w:val="center"/>
              <w:rPr>
                <w:b/>
                <w:sz w:val="16"/>
              </w:rPr>
            </w:pPr>
            <w:r>
              <w:rPr>
                <w:b/>
                <w:w w:val="103"/>
                <w:sz w:val="16"/>
              </w:rPr>
              <w:t>5</w:t>
            </w:r>
          </w:p>
        </w:tc>
      </w:tr>
      <w:tr>
        <w:trPr>
          <w:trHeight w:val="551" w:hRule="atLeast"/>
        </w:trPr>
        <w:tc>
          <w:tcPr>
            <w:tcW w:w="823" w:type="dxa"/>
            <w:tcBorders>
              <w:left w:val="single" w:sz="4" w:space="0" w:color="000000"/>
            </w:tcBorders>
          </w:tcPr>
          <w:p>
            <w:pPr>
              <w:pStyle w:val="TableParagraph"/>
              <w:rPr>
                <w:rFonts w:ascii="Times New Roman"/>
                <w:sz w:val="18"/>
              </w:rPr>
            </w:pPr>
          </w:p>
        </w:tc>
        <w:tc>
          <w:tcPr>
            <w:tcW w:w="598" w:type="dxa"/>
          </w:tcPr>
          <w:p>
            <w:pPr>
              <w:pStyle w:val="TableParagraph"/>
              <w:rPr>
                <w:rFonts w:ascii="Times New Roman"/>
                <w:sz w:val="18"/>
              </w:rPr>
            </w:pPr>
          </w:p>
        </w:tc>
        <w:tc>
          <w:tcPr>
            <w:tcW w:w="1800" w:type="dxa"/>
          </w:tcPr>
          <w:p>
            <w:pPr>
              <w:pStyle w:val="TableParagraph"/>
              <w:rPr>
                <w:rFonts w:ascii="Times New Roman"/>
                <w:sz w:val="18"/>
              </w:rPr>
            </w:pPr>
          </w:p>
        </w:tc>
        <w:tc>
          <w:tcPr>
            <w:tcW w:w="592" w:type="dxa"/>
          </w:tcPr>
          <w:p>
            <w:pPr>
              <w:pStyle w:val="TableParagraph"/>
              <w:rPr>
                <w:rFonts w:ascii="Times New Roman"/>
                <w:sz w:val="18"/>
              </w:rPr>
            </w:pPr>
          </w:p>
        </w:tc>
        <w:tc>
          <w:tcPr>
            <w:tcW w:w="598" w:type="dxa"/>
          </w:tcPr>
          <w:p>
            <w:pPr>
              <w:pStyle w:val="TableParagraph"/>
              <w:rPr>
                <w:rFonts w:ascii="Times New Roman"/>
                <w:sz w:val="18"/>
              </w:rPr>
            </w:pPr>
          </w:p>
        </w:tc>
        <w:tc>
          <w:tcPr>
            <w:tcW w:w="597" w:type="dxa"/>
          </w:tcPr>
          <w:p>
            <w:pPr>
              <w:pStyle w:val="TableParagraph"/>
              <w:rPr>
                <w:rFonts w:ascii="Times New Roman"/>
                <w:sz w:val="18"/>
              </w:rPr>
            </w:pPr>
          </w:p>
        </w:tc>
        <w:tc>
          <w:tcPr>
            <w:tcW w:w="598" w:type="dxa"/>
          </w:tcPr>
          <w:p>
            <w:pPr>
              <w:pStyle w:val="TableParagraph"/>
              <w:rPr>
                <w:rFonts w:ascii="Times New Roman"/>
                <w:sz w:val="18"/>
              </w:rPr>
            </w:pPr>
          </w:p>
        </w:tc>
        <w:tc>
          <w:tcPr>
            <w:tcW w:w="598" w:type="dxa"/>
          </w:tcPr>
          <w:p>
            <w:pPr>
              <w:pStyle w:val="TableParagraph"/>
              <w:rPr>
                <w:rFonts w:ascii="Times New Roman"/>
                <w:sz w:val="18"/>
              </w:rPr>
            </w:pPr>
          </w:p>
        </w:tc>
        <w:tc>
          <w:tcPr>
            <w:tcW w:w="610" w:type="dxa"/>
          </w:tcPr>
          <w:p>
            <w:pPr>
              <w:pStyle w:val="TableParagraph"/>
              <w:rPr>
                <w:rFonts w:ascii="Times New Roman"/>
                <w:sz w:val="18"/>
              </w:rPr>
            </w:pPr>
          </w:p>
        </w:tc>
        <w:tc>
          <w:tcPr>
            <w:tcW w:w="558" w:type="dxa"/>
            <w:tcBorders>
              <w:right w:val="single" w:sz="4" w:space="0" w:color="000000"/>
            </w:tcBorders>
          </w:tcPr>
          <w:p>
            <w:pPr>
              <w:pStyle w:val="TableParagraph"/>
              <w:spacing w:before="10"/>
              <w:rPr>
                <w:sz w:val="15"/>
              </w:rPr>
            </w:pPr>
          </w:p>
          <w:p>
            <w:pPr>
              <w:pStyle w:val="TableParagraph"/>
              <w:ind w:right="186"/>
              <w:jc w:val="center"/>
              <w:rPr>
                <w:b/>
                <w:sz w:val="16"/>
              </w:rPr>
            </w:pPr>
            <w:r>
              <w:rPr>
                <w:b/>
                <w:w w:val="103"/>
                <w:sz w:val="16"/>
              </w:rPr>
              <w:t>0</w:t>
            </w:r>
          </w:p>
        </w:tc>
      </w:tr>
      <w:tr>
        <w:trPr>
          <w:trHeight w:val="372" w:hRule="atLeast"/>
        </w:trPr>
        <w:tc>
          <w:tcPr>
            <w:tcW w:w="823" w:type="dxa"/>
            <w:tcBorders>
              <w:left w:val="single" w:sz="4" w:space="0" w:color="000000"/>
            </w:tcBorders>
          </w:tcPr>
          <w:p>
            <w:pPr>
              <w:pStyle w:val="TableParagraph"/>
              <w:rPr>
                <w:rFonts w:ascii="Times New Roman"/>
                <w:sz w:val="18"/>
              </w:rPr>
            </w:pPr>
          </w:p>
        </w:tc>
        <w:tc>
          <w:tcPr>
            <w:tcW w:w="598" w:type="dxa"/>
          </w:tcPr>
          <w:p>
            <w:pPr>
              <w:pStyle w:val="TableParagraph"/>
              <w:rPr>
                <w:rFonts w:ascii="Times New Roman"/>
                <w:sz w:val="18"/>
              </w:rPr>
            </w:pPr>
          </w:p>
        </w:tc>
        <w:tc>
          <w:tcPr>
            <w:tcW w:w="1800" w:type="dxa"/>
          </w:tcPr>
          <w:p>
            <w:pPr>
              <w:pStyle w:val="TableParagraph"/>
              <w:rPr>
                <w:rFonts w:ascii="Times New Roman"/>
                <w:sz w:val="18"/>
              </w:rPr>
            </w:pPr>
          </w:p>
        </w:tc>
        <w:tc>
          <w:tcPr>
            <w:tcW w:w="592" w:type="dxa"/>
          </w:tcPr>
          <w:p>
            <w:pPr>
              <w:pStyle w:val="TableParagraph"/>
              <w:rPr>
                <w:rFonts w:ascii="Times New Roman"/>
                <w:sz w:val="18"/>
              </w:rPr>
            </w:pPr>
          </w:p>
        </w:tc>
        <w:tc>
          <w:tcPr>
            <w:tcW w:w="598" w:type="dxa"/>
          </w:tcPr>
          <w:p>
            <w:pPr>
              <w:pStyle w:val="TableParagraph"/>
              <w:rPr>
                <w:rFonts w:ascii="Times New Roman"/>
                <w:sz w:val="18"/>
              </w:rPr>
            </w:pPr>
          </w:p>
        </w:tc>
        <w:tc>
          <w:tcPr>
            <w:tcW w:w="597" w:type="dxa"/>
          </w:tcPr>
          <w:p>
            <w:pPr>
              <w:pStyle w:val="TableParagraph"/>
              <w:rPr>
                <w:rFonts w:ascii="Times New Roman"/>
                <w:sz w:val="18"/>
              </w:rPr>
            </w:pPr>
          </w:p>
        </w:tc>
        <w:tc>
          <w:tcPr>
            <w:tcW w:w="598" w:type="dxa"/>
          </w:tcPr>
          <w:p>
            <w:pPr>
              <w:pStyle w:val="TableParagraph"/>
              <w:rPr>
                <w:rFonts w:ascii="Times New Roman"/>
                <w:sz w:val="18"/>
              </w:rPr>
            </w:pPr>
          </w:p>
        </w:tc>
        <w:tc>
          <w:tcPr>
            <w:tcW w:w="598" w:type="dxa"/>
          </w:tcPr>
          <w:p>
            <w:pPr>
              <w:pStyle w:val="TableParagraph"/>
              <w:rPr>
                <w:rFonts w:ascii="Times New Roman"/>
                <w:sz w:val="18"/>
              </w:rPr>
            </w:pPr>
          </w:p>
        </w:tc>
        <w:tc>
          <w:tcPr>
            <w:tcW w:w="610" w:type="dxa"/>
          </w:tcPr>
          <w:p>
            <w:pPr>
              <w:pStyle w:val="TableParagraph"/>
              <w:rPr>
                <w:rFonts w:ascii="Times New Roman"/>
                <w:sz w:val="18"/>
              </w:rPr>
            </w:pPr>
          </w:p>
        </w:tc>
        <w:tc>
          <w:tcPr>
            <w:tcW w:w="558" w:type="dxa"/>
            <w:tcBorders>
              <w:right w:val="single" w:sz="4" w:space="0" w:color="000000"/>
            </w:tcBorders>
          </w:tcPr>
          <w:p>
            <w:pPr>
              <w:pStyle w:val="TableParagraph"/>
              <w:spacing w:before="10"/>
              <w:rPr>
                <w:sz w:val="15"/>
              </w:rPr>
            </w:pPr>
          </w:p>
          <w:p>
            <w:pPr>
              <w:pStyle w:val="TableParagraph"/>
              <w:spacing w:line="169" w:lineRule="exact"/>
              <w:ind w:left="30" w:right="153"/>
              <w:jc w:val="center"/>
              <w:rPr>
                <w:b/>
                <w:sz w:val="16"/>
              </w:rPr>
            </w:pPr>
            <w:r>
              <w:rPr>
                <w:b/>
                <w:w w:val="105"/>
                <w:sz w:val="16"/>
              </w:rPr>
              <w:t>-5</w:t>
            </w:r>
          </w:p>
        </w:tc>
      </w:tr>
      <w:tr>
        <w:trPr>
          <w:trHeight w:val="245" w:hRule="atLeast"/>
        </w:trPr>
        <w:tc>
          <w:tcPr>
            <w:tcW w:w="823" w:type="dxa"/>
            <w:tcBorders>
              <w:left w:val="single" w:sz="4" w:space="0" w:color="000000"/>
            </w:tcBorders>
          </w:tcPr>
          <w:p>
            <w:pPr>
              <w:pStyle w:val="TableParagraph"/>
              <w:rPr>
                <w:rFonts w:ascii="Times New Roman"/>
                <w:sz w:val="16"/>
              </w:rPr>
            </w:pPr>
          </w:p>
        </w:tc>
        <w:tc>
          <w:tcPr>
            <w:tcW w:w="598" w:type="dxa"/>
          </w:tcPr>
          <w:p>
            <w:pPr>
              <w:pStyle w:val="TableParagraph"/>
              <w:rPr>
                <w:rFonts w:ascii="Times New Roman"/>
                <w:sz w:val="16"/>
              </w:rPr>
            </w:pPr>
          </w:p>
        </w:tc>
        <w:tc>
          <w:tcPr>
            <w:tcW w:w="1800" w:type="dxa"/>
          </w:tcPr>
          <w:p>
            <w:pPr>
              <w:pStyle w:val="TableParagraph"/>
              <w:spacing w:before="3"/>
              <w:ind w:left="46"/>
              <w:jc w:val="center"/>
              <w:rPr>
                <w:b/>
                <w:sz w:val="16"/>
              </w:rPr>
            </w:pPr>
            <w:r>
              <w:rPr>
                <w:b/>
                <w:w w:val="105"/>
                <w:sz w:val="16"/>
              </w:rPr>
              <w:t>World GDP growth</w:t>
            </w:r>
          </w:p>
        </w:tc>
        <w:tc>
          <w:tcPr>
            <w:tcW w:w="592" w:type="dxa"/>
          </w:tcPr>
          <w:p>
            <w:pPr>
              <w:pStyle w:val="TableParagraph"/>
              <w:rPr>
                <w:rFonts w:ascii="Times New Roman"/>
                <w:sz w:val="16"/>
              </w:rPr>
            </w:pPr>
          </w:p>
        </w:tc>
        <w:tc>
          <w:tcPr>
            <w:tcW w:w="598" w:type="dxa"/>
          </w:tcPr>
          <w:p>
            <w:pPr>
              <w:pStyle w:val="TableParagraph"/>
              <w:rPr>
                <w:rFonts w:ascii="Times New Roman"/>
                <w:sz w:val="16"/>
              </w:rPr>
            </w:pPr>
          </w:p>
        </w:tc>
        <w:tc>
          <w:tcPr>
            <w:tcW w:w="597" w:type="dxa"/>
          </w:tcPr>
          <w:p>
            <w:pPr>
              <w:pStyle w:val="TableParagraph"/>
              <w:rPr>
                <w:rFonts w:ascii="Times New Roman"/>
                <w:sz w:val="16"/>
              </w:rPr>
            </w:pPr>
          </w:p>
        </w:tc>
        <w:tc>
          <w:tcPr>
            <w:tcW w:w="598" w:type="dxa"/>
          </w:tcPr>
          <w:p>
            <w:pPr>
              <w:pStyle w:val="TableParagraph"/>
              <w:rPr>
                <w:rFonts w:ascii="Times New Roman"/>
                <w:sz w:val="16"/>
              </w:rPr>
            </w:pPr>
          </w:p>
        </w:tc>
        <w:tc>
          <w:tcPr>
            <w:tcW w:w="598" w:type="dxa"/>
          </w:tcPr>
          <w:p>
            <w:pPr>
              <w:pStyle w:val="TableParagraph"/>
              <w:rPr>
                <w:rFonts w:ascii="Times New Roman"/>
                <w:sz w:val="16"/>
              </w:rPr>
            </w:pPr>
          </w:p>
        </w:tc>
        <w:tc>
          <w:tcPr>
            <w:tcW w:w="610" w:type="dxa"/>
          </w:tcPr>
          <w:p>
            <w:pPr>
              <w:pStyle w:val="TableParagraph"/>
              <w:rPr>
                <w:rFonts w:ascii="Times New Roman"/>
                <w:sz w:val="16"/>
              </w:rPr>
            </w:pPr>
          </w:p>
        </w:tc>
        <w:tc>
          <w:tcPr>
            <w:tcW w:w="558" w:type="dxa"/>
            <w:tcBorders>
              <w:right w:val="single" w:sz="4" w:space="0" w:color="000000"/>
            </w:tcBorders>
          </w:tcPr>
          <w:p>
            <w:pPr>
              <w:pStyle w:val="TableParagraph"/>
              <w:rPr>
                <w:rFonts w:ascii="Times New Roman"/>
                <w:sz w:val="16"/>
              </w:rPr>
            </w:pPr>
          </w:p>
        </w:tc>
      </w:tr>
      <w:tr>
        <w:trPr>
          <w:trHeight w:val="456" w:hRule="atLeast"/>
        </w:trPr>
        <w:tc>
          <w:tcPr>
            <w:tcW w:w="823" w:type="dxa"/>
            <w:tcBorders>
              <w:left w:val="single" w:sz="4" w:space="0" w:color="000000"/>
            </w:tcBorders>
          </w:tcPr>
          <w:p>
            <w:pPr>
              <w:pStyle w:val="TableParagraph"/>
              <w:rPr>
                <w:rFonts w:ascii="Times New Roman"/>
                <w:sz w:val="18"/>
              </w:rPr>
            </w:pPr>
          </w:p>
        </w:tc>
        <w:tc>
          <w:tcPr>
            <w:tcW w:w="598" w:type="dxa"/>
          </w:tcPr>
          <w:p>
            <w:pPr>
              <w:pStyle w:val="TableParagraph"/>
              <w:rPr>
                <w:rFonts w:ascii="Times New Roman"/>
                <w:sz w:val="18"/>
              </w:rPr>
            </w:pPr>
          </w:p>
        </w:tc>
        <w:tc>
          <w:tcPr>
            <w:tcW w:w="1800" w:type="dxa"/>
          </w:tcPr>
          <w:p>
            <w:pPr>
              <w:pStyle w:val="TableParagraph"/>
              <w:spacing w:before="56"/>
              <w:ind w:left="87"/>
              <w:jc w:val="center"/>
              <w:rPr>
                <w:b/>
                <w:sz w:val="16"/>
              </w:rPr>
            </w:pPr>
            <w:r>
              <w:rPr>
                <w:b/>
                <w:w w:val="105"/>
                <w:sz w:val="16"/>
              </w:rPr>
              <w:t>World trade growth</w:t>
            </w:r>
          </w:p>
        </w:tc>
        <w:tc>
          <w:tcPr>
            <w:tcW w:w="592" w:type="dxa"/>
          </w:tcPr>
          <w:p>
            <w:pPr>
              <w:pStyle w:val="TableParagraph"/>
              <w:rPr>
                <w:rFonts w:ascii="Times New Roman"/>
                <w:sz w:val="18"/>
              </w:rPr>
            </w:pPr>
          </w:p>
        </w:tc>
        <w:tc>
          <w:tcPr>
            <w:tcW w:w="598" w:type="dxa"/>
          </w:tcPr>
          <w:p>
            <w:pPr>
              <w:pStyle w:val="TableParagraph"/>
              <w:rPr>
                <w:rFonts w:ascii="Times New Roman"/>
                <w:sz w:val="18"/>
              </w:rPr>
            </w:pPr>
          </w:p>
        </w:tc>
        <w:tc>
          <w:tcPr>
            <w:tcW w:w="597" w:type="dxa"/>
          </w:tcPr>
          <w:p>
            <w:pPr>
              <w:pStyle w:val="TableParagraph"/>
              <w:rPr>
                <w:rFonts w:ascii="Times New Roman"/>
                <w:sz w:val="18"/>
              </w:rPr>
            </w:pPr>
          </w:p>
        </w:tc>
        <w:tc>
          <w:tcPr>
            <w:tcW w:w="598" w:type="dxa"/>
          </w:tcPr>
          <w:p>
            <w:pPr>
              <w:pStyle w:val="TableParagraph"/>
              <w:rPr>
                <w:rFonts w:ascii="Times New Roman"/>
                <w:sz w:val="18"/>
              </w:rPr>
            </w:pPr>
          </w:p>
        </w:tc>
        <w:tc>
          <w:tcPr>
            <w:tcW w:w="598" w:type="dxa"/>
          </w:tcPr>
          <w:p>
            <w:pPr>
              <w:pStyle w:val="TableParagraph"/>
              <w:rPr>
                <w:rFonts w:ascii="Times New Roman"/>
                <w:sz w:val="18"/>
              </w:rPr>
            </w:pPr>
          </w:p>
        </w:tc>
        <w:tc>
          <w:tcPr>
            <w:tcW w:w="610" w:type="dxa"/>
          </w:tcPr>
          <w:p>
            <w:pPr>
              <w:pStyle w:val="TableParagraph"/>
              <w:rPr>
                <w:rFonts w:ascii="Times New Roman"/>
                <w:sz w:val="18"/>
              </w:rPr>
            </w:pPr>
          </w:p>
        </w:tc>
        <w:tc>
          <w:tcPr>
            <w:tcW w:w="558" w:type="dxa"/>
            <w:tcBorders>
              <w:right w:val="single" w:sz="4" w:space="0" w:color="000000"/>
            </w:tcBorders>
          </w:tcPr>
          <w:p>
            <w:pPr>
              <w:pStyle w:val="TableParagraph"/>
              <w:spacing w:before="117"/>
              <w:ind w:left="116" w:right="152"/>
              <w:jc w:val="center"/>
              <w:rPr>
                <w:b/>
                <w:sz w:val="16"/>
              </w:rPr>
            </w:pPr>
            <w:r>
              <w:rPr>
                <w:b/>
                <w:w w:val="105"/>
                <w:sz w:val="16"/>
              </w:rPr>
              <w:t>-10</w:t>
            </w:r>
          </w:p>
        </w:tc>
      </w:tr>
      <w:tr>
        <w:trPr>
          <w:trHeight w:val="409" w:hRule="atLeast"/>
        </w:trPr>
        <w:tc>
          <w:tcPr>
            <w:tcW w:w="823" w:type="dxa"/>
            <w:tcBorders>
              <w:left w:val="single" w:sz="4" w:space="0" w:color="000000"/>
            </w:tcBorders>
          </w:tcPr>
          <w:p>
            <w:pPr>
              <w:pStyle w:val="TableParagraph"/>
              <w:rPr>
                <w:rFonts w:ascii="Times New Roman"/>
                <w:sz w:val="18"/>
              </w:rPr>
            </w:pPr>
          </w:p>
        </w:tc>
        <w:tc>
          <w:tcPr>
            <w:tcW w:w="598" w:type="dxa"/>
          </w:tcPr>
          <w:p>
            <w:pPr>
              <w:pStyle w:val="TableParagraph"/>
              <w:rPr>
                <w:rFonts w:ascii="Times New Roman"/>
                <w:sz w:val="18"/>
              </w:rPr>
            </w:pPr>
          </w:p>
        </w:tc>
        <w:tc>
          <w:tcPr>
            <w:tcW w:w="1800" w:type="dxa"/>
          </w:tcPr>
          <w:p>
            <w:pPr>
              <w:pStyle w:val="TableParagraph"/>
              <w:rPr>
                <w:rFonts w:ascii="Times New Roman"/>
                <w:sz w:val="18"/>
              </w:rPr>
            </w:pPr>
          </w:p>
        </w:tc>
        <w:tc>
          <w:tcPr>
            <w:tcW w:w="592" w:type="dxa"/>
          </w:tcPr>
          <w:p>
            <w:pPr>
              <w:pStyle w:val="TableParagraph"/>
              <w:rPr>
                <w:rFonts w:ascii="Times New Roman"/>
                <w:sz w:val="18"/>
              </w:rPr>
            </w:pPr>
          </w:p>
        </w:tc>
        <w:tc>
          <w:tcPr>
            <w:tcW w:w="598" w:type="dxa"/>
          </w:tcPr>
          <w:p>
            <w:pPr>
              <w:pStyle w:val="TableParagraph"/>
              <w:rPr>
                <w:rFonts w:ascii="Times New Roman"/>
                <w:sz w:val="18"/>
              </w:rPr>
            </w:pPr>
          </w:p>
        </w:tc>
        <w:tc>
          <w:tcPr>
            <w:tcW w:w="597" w:type="dxa"/>
          </w:tcPr>
          <w:p>
            <w:pPr>
              <w:pStyle w:val="TableParagraph"/>
              <w:rPr>
                <w:rFonts w:ascii="Times New Roman"/>
                <w:sz w:val="18"/>
              </w:rPr>
            </w:pPr>
          </w:p>
        </w:tc>
        <w:tc>
          <w:tcPr>
            <w:tcW w:w="598" w:type="dxa"/>
          </w:tcPr>
          <w:p>
            <w:pPr>
              <w:pStyle w:val="TableParagraph"/>
              <w:rPr>
                <w:rFonts w:ascii="Times New Roman"/>
                <w:sz w:val="18"/>
              </w:rPr>
            </w:pPr>
          </w:p>
        </w:tc>
        <w:tc>
          <w:tcPr>
            <w:tcW w:w="598" w:type="dxa"/>
          </w:tcPr>
          <w:p>
            <w:pPr>
              <w:pStyle w:val="TableParagraph"/>
              <w:rPr>
                <w:rFonts w:ascii="Times New Roman"/>
                <w:sz w:val="18"/>
              </w:rPr>
            </w:pPr>
          </w:p>
        </w:tc>
        <w:tc>
          <w:tcPr>
            <w:tcW w:w="610" w:type="dxa"/>
          </w:tcPr>
          <w:p>
            <w:pPr>
              <w:pStyle w:val="TableParagraph"/>
              <w:rPr>
                <w:rFonts w:ascii="Times New Roman"/>
                <w:sz w:val="18"/>
              </w:rPr>
            </w:pPr>
          </w:p>
        </w:tc>
        <w:tc>
          <w:tcPr>
            <w:tcW w:w="558" w:type="dxa"/>
            <w:tcBorders>
              <w:right w:val="single" w:sz="4" w:space="0" w:color="000000"/>
            </w:tcBorders>
          </w:tcPr>
          <w:p>
            <w:pPr>
              <w:pStyle w:val="TableParagraph"/>
              <w:spacing w:before="7"/>
              <w:rPr>
                <w:sz w:val="18"/>
              </w:rPr>
            </w:pPr>
          </w:p>
          <w:p>
            <w:pPr>
              <w:pStyle w:val="TableParagraph"/>
              <w:spacing w:line="175" w:lineRule="exact"/>
              <w:ind w:left="116" w:right="152"/>
              <w:jc w:val="center"/>
              <w:rPr>
                <w:b/>
                <w:sz w:val="16"/>
              </w:rPr>
            </w:pPr>
            <w:r>
              <w:rPr>
                <w:b/>
                <w:w w:val="105"/>
                <w:sz w:val="16"/>
              </w:rPr>
              <w:t>-15</w:t>
            </w:r>
          </w:p>
        </w:tc>
      </w:tr>
      <w:tr>
        <w:trPr>
          <w:trHeight w:val="487" w:hRule="atLeast"/>
        </w:trPr>
        <w:tc>
          <w:tcPr>
            <w:tcW w:w="823" w:type="dxa"/>
            <w:tcBorders>
              <w:left w:val="single" w:sz="4" w:space="0" w:color="000000"/>
              <w:bottom w:val="single" w:sz="4" w:space="0" w:color="000000"/>
            </w:tcBorders>
          </w:tcPr>
          <w:p>
            <w:pPr>
              <w:pStyle w:val="TableParagraph"/>
              <w:spacing w:before="9"/>
              <w:ind w:left="342"/>
              <w:rPr>
                <w:b/>
                <w:sz w:val="16"/>
              </w:rPr>
            </w:pPr>
            <w:r>
              <w:rPr>
                <w:b/>
                <w:w w:val="105"/>
                <w:sz w:val="16"/>
              </w:rPr>
              <w:t>2000</w:t>
            </w:r>
          </w:p>
        </w:tc>
        <w:tc>
          <w:tcPr>
            <w:tcW w:w="598" w:type="dxa"/>
            <w:tcBorders>
              <w:bottom w:val="single" w:sz="4" w:space="0" w:color="000000"/>
            </w:tcBorders>
          </w:tcPr>
          <w:p>
            <w:pPr>
              <w:pStyle w:val="TableParagraph"/>
              <w:spacing w:before="9"/>
              <w:ind w:left="122"/>
              <w:rPr>
                <w:b/>
                <w:sz w:val="16"/>
              </w:rPr>
            </w:pPr>
            <w:r>
              <w:rPr>
                <w:b/>
                <w:w w:val="105"/>
                <w:sz w:val="16"/>
              </w:rPr>
              <w:t>2001</w:t>
            </w:r>
          </w:p>
        </w:tc>
        <w:tc>
          <w:tcPr>
            <w:tcW w:w="1800" w:type="dxa"/>
            <w:tcBorders>
              <w:bottom w:val="single" w:sz="4" w:space="0" w:color="000000"/>
            </w:tcBorders>
          </w:tcPr>
          <w:p>
            <w:pPr>
              <w:pStyle w:val="TableParagraph"/>
              <w:tabs>
                <w:tab w:pos="598" w:val="left" w:leader="none"/>
                <w:tab w:pos="1196" w:val="left" w:leader="none"/>
              </w:tabs>
              <w:spacing w:before="9"/>
              <w:jc w:val="center"/>
              <w:rPr>
                <w:b/>
                <w:sz w:val="16"/>
              </w:rPr>
            </w:pPr>
            <w:r>
              <w:rPr>
                <w:b/>
                <w:w w:val="105"/>
                <w:sz w:val="16"/>
              </w:rPr>
              <w:t>2002</w:t>
              <w:tab/>
              <w:t>2003</w:t>
              <w:tab/>
              <w:t>2004</w:t>
            </w:r>
          </w:p>
        </w:tc>
        <w:tc>
          <w:tcPr>
            <w:tcW w:w="592" w:type="dxa"/>
            <w:tcBorders>
              <w:bottom w:val="single" w:sz="4" w:space="0" w:color="000000"/>
            </w:tcBorders>
          </w:tcPr>
          <w:p>
            <w:pPr>
              <w:pStyle w:val="TableParagraph"/>
              <w:spacing w:before="9"/>
              <w:ind w:left="115"/>
              <w:rPr>
                <w:b/>
                <w:sz w:val="16"/>
              </w:rPr>
            </w:pPr>
            <w:r>
              <w:rPr>
                <w:b/>
                <w:w w:val="105"/>
                <w:sz w:val="16"/>
              </w:rPr>
              <w:t>2005</w:t>
            </w:r>
          </w:p>
        </w:tc>
        <w:tc>
          <w:tcPr>
            <w:tcW w:w="598" w:type="dxa"/>
            <w:tcBorders>
              <w:bottom w:val="single" w:sz="4" w:space="0" w:color="000000"/>
            </w:tcBorders>
          </w:tcPr>
          <w:p>
            <w:pPr>
              <w:pStyle w:val="TableParagraph"/>
              <w:spacing w:before="9"/>
              <w:ind w:left="122"/>
              <w:rPr>
                <w:b/>
                <w:sz w:val="16"/>
              </w:rPr>
            </w:pPr>
            <w:r>
              <w:rPr>
                <w:b/>
                <w:w w:val="105"/>
                <w:sz w:val="16"/>
              </w:rPr>
              <w:t>2006</w:t>
            </w:r>
          </w:p>
        </w:tc>
        <w:tc>
          <w:tcPr>
            <w:tcW w:w="597" w:type="dxa"/>
            <w:tcBorders>
              <w:bottom w:val="single" w:sz="4" w:space="0" w:color="000000"/>
            </w:tcBorders>
          </w:tcPr>
          <w:p>
            <w:pPr>
              <w:pStyle w:val="TableParagraph"/>
              <w:spacing w:before="9"/>
              <w:ind w:left="121"/>
              <w:rPr>
                <w:b/>
                <w:sz w:val="16"/>
              </w:rPr>
            </w:pPr>
            <w:r>
              <w:rPr>
                <w:b/>
                <w:w w:val="105"/>
                <w:sz w:val="16"/>
              </w:rPr>
              <w:t>2007</w:t>
            </w:r>
          </w:p>
        </w:tc>
        <w:tc>
          <w:tcPr>
            <w:tcW w:w="598" w:type="dxa"/>
            <w:tcBorders>
              <w:bottom w:val="single" w:sz="4" w:space="0" w:color="000000"/>
            </w:tcBorders>
          </w:tcPr>
          <w:p>
            <w:pPr>
              <w:pStyle w:val="TableParagraph"/>
              <w:spacing w:before="9"/>
              <w:ind w:left="122"/>
              <w:rPr>
                <w:b/>
                <w:sz w:val="16"/>
              </w:rPr>
            </w:pPr>
            <w:r>
              <w:rPr>
                <w:b/>
                <w:w w:val="105"/>
                <w:sz w:val="16"/>
              </w:rPr>
              <w:t>2008</w:t>
            </w:r>
          </w:p>
        </w:tc>
        <w:tc>
          <w:tcPr>
            <w:tcW w:w="598" w:type="dxa"/>
            <w:tcBorders>
              <w:bottom w:val="single" w:sz="4" w:space="0" w:color="000000"/>
            </w:tcBorders>
          </w:tcPr>
          <w:p>
            <w:pPr>
              <w:pStyle w:val="TableParagraph"/>
              <w:spacing w:before="9"/>
              <w:ind w:left="122"/>
              <w:rPr>
                <w:b/>
                <w:sz w:val="16"/>
              </w:rPr>
            </w:pPr>
            <w:r>
              <w:rPr>
                <w:b/>
                <w:w w:val="105"/>
                <w:sz w:val="16"/>
              </w:rPr>
              <w:t>2009</w:t>
            </w:r>
          </w:p>
        </w:tc>
        <w:tc>
          <w:tcPr>
            <w:tcW w:w="610" w:type="dxa"/>
            <w:tcBorders>
              <w:bottom w:val="single" w:sz="4" w:space="0" w:color="000000"/>
            </w:tcBorders>
          </w:tcPr>
          <w:p>
            <w:pPr>
              <w:pStyle w:val="TableParagraph"/>
              <w:spacing w:before="9"/>
              <w:ind w:left="122"/>
              <w:rPr>
                <w:b/>
                <w:sz w:val="16"/>
              </w:rPr>
            </w:pPr>
            <w:r>
              <w:rPr>
                <w:b/>
                <w:w w:val="105"/>
                <w:sz w:val="16"/>
              </w:rPr>
              <w:t>2010</w:t>
            </w:r>
          </w:p>
        </w:tc>
        <w:tc>
          <w:tcPr>
            <w:tcW w:w="558" w:type="dxa"/>
            <w:tcBorders>
              <w:bottom w:val="single" w:sz="4" w:space="0" w:color="000000"/>
              <w:right w:val="single" w:sz="4" w:space="0" w:color="000000"/>
            </w:tcBorders>
          </w:tcPr>
          <w:p>
            <w:pPr>
              <w:pStyle w:val="TableParagraph"/>
              <w:rPr>
                <w:rFonts w:ascii="Times New Roman"/>
                <w:sz w:val="18"/>
              </w:rPr>
            </w:pPr>
          </w:p>
        </w:tc>
      </w:tr>
      <w:tr>
        <w:trPr>
          <w:trHeight w:val="310" w:hRule="atLeast"/>
        </w:trPr>
        <w:tc>
          <w:tcPr>
            <w:tcW w:w="737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Pr>
                <w:sz w:val="18"/>
              </w:rPr>
            </w:pPr>
            <w:r>
              <w:rPr>
                <w:sz w:val="18"/>
              </w:rPr>
              <w:t>Source: IMF</w:t>
            </w:r>
          </w:p>
        </w:tc>
      </w:tr>
    </w:tbl>
    <w:p>
      <w:pPr>
        <w:pStyle w:val="BodyText"/>
        <w:spacing w:before="6"/>
        <w:rPr>
          <w:sz w:val="21"/>
        </w:rPr>
      </w:pPr>
    </w:p>
    <w:p>
      <w:pPr>
        <w:pStyle w:val="BodyText"/>
        <w:spacing w:line="360" w:lineRule="auto" w:before="94"/>
        <w:ind w:left="234" w:right="178"/>
      </w:pPr>
      <w:r>
        <w:rPr/>
        <w:t>Another key feature of the new global economy, which has resulted from this high degree of interdependence between national economies, is how it has changed the way growth and inflation respond to demand pressures. In a highly integrated global economy, demand pressures can be less easily contained within national borders. They can spill over and affect neighbouring countries – and in the case</w:t>
      </w:r>
      <w:r>
        <w:rPr>
          <w:spacing w:val="5"/>
        </w:rPr>
        <w:t> </w:t>
      </w:r>
      <w:r>
        <w:rPr/>
        <w:t>of</w:t>
      </w:r>
    </w:p>
    <w:p>
      <w:pPr>
        <w:spacing w:after="0" w:line="360" w:lineRule="auto"/>
        <w:sectPr>
          <w:pgSz w:w="11900" w:h="16840"/>
          <w:pgMar w:header="0" w:footer="1340" w:top="1360" w:bottom="1540" w:left="900" w:right="1020"/>
        </w:sectPr>
      </w:pPr>
    </w:p>
    <w:p>
      <w:pPr>
        <w:pStyle w:val="BodyText"/>
        <w:spacing w:line="360" w:lineRule="auto" w:before="77"/>
        <w:ind w:left="234" w:right="121"/>
      </w:pPr>
      <w:r>
        <w:rPr/>
        <w:t>large economies like the United States and China they can affect the whole world. Global inflation trends have also been affected by the entrance of China and other low-cost producers into world markets.</w:t>
      </w:r>
    </w:p>
    <w:p>
      <w:pPr>
        <w:pStyle w:val="BodyText"/>
        <w:spacing w:before="11"/>
        <w:rPr>
          <w:sz w:val="29"/>
        </w:rPr>
      </w:pPr>
    </w:p>
    <w:p>
      <w:pPr>
        <w:pStyle w:val="BodyText"/>
        <w:spacing w:line="360" w:lineRule="auto"/>
        <w:ind w:left="234" w:right="142"/>
      </w:pPr>
      <w:r>
        <w:rPr/>
        <w:pict>
          <v:group style="position:absolute;margin-left:67.019997pt;margin-top:218.239807pt;width:334.1pt;height:160.15pt;mso-position-horizontal-relative:page;mso-position-vertical-relative:paragraph;z-index:-254947328" coordorigin="1340,4365" coordsize="6682,3203">
            <v:rect style="position:absolute;left:1700;top:4980;width:480;height:2549" filled="true" fillcolor="#333399" stroked="false">
              <v:fill type="solid"/>
            </v:rect>
            <v:rect style="position:absolute;left:2180;top:5850;width:465;height:1679" filled="true" fillcolor="#993300" stroked="false">
              <v:fill type="solid"/>
            </v:rect>
            <v:rect style="position:absolute;left:3364;top:5999;width:466;height:1530" filled="true" fillcolor="#333399" stroked="false">
              <v:fill type="solid"/>
            </v:rect>
            <v:rect style="position:absolute;left:3830;top:6209;width:480;height:1320" filled="true" fillcolor="#993300" stroked="false">
              <v:fill type="solid"/>
            </v:rect>
            <v:rect style="position:absolute;left:5014;top:5324;width:465;height:2205" filled="true" fillcolor="#333399" stroked="false">
              <v:fill type="solid"/>
            </v:rect>
            <v:rect style="position:absolute;left:5479;top:6374;width:480;height:1155" filled="true" fillcolor="#993300" stroked="false">
              <v:fill type="solid"/>
            </v:rect>
            <v:rect style="position:absolute;left:6664;top:4800;width:465;height:2729" filled="true" fillcolor="#333399" stroked="false">
              <v:fill type="solid"/>
            </v:rect>
            <v:rect style="position:absolute;left:7129;top:6719;width:480;height:810" filled="true" fillcolor="#993300" stroked="false">
              <v:fill type="solid"/>
            </v:rect>
            <v:line style="position:absolute" from="7962,4372" to="7962,7568" stroked="true" strokeweight=".72pt" strokecolor="#000000">
              <v:stroke dashstyle="solid"/>
            </v:line>
            <v:shape style="position:absolute;left:7962;top:4364;width:60;height:3165" coordorigin="7962,4365" coordsize="60,3165" path="m8022,7515l7962,7515,7962,7529,8022,7529,8022,7515m8022,7065l7962,7065,7962,7079,8022,7079,8022,7065m8022,6615l7962,6615,7962,6629,8022,6629,8022,6615m8022,6165l7962,6165,7962,6179,8022,6179,8022,6165m8022,5715l7962,5715,7962,5730,8022,5730,8022,5715m8022,5265l7962,5265,7962,5280,8022,5280,8022,5265m8022,4815l7962,4815,7962,4830,8022,4830,8022,4815m8022,4365l7962,4365,7962,4380,8022,4380,8022,4365e" filled="true" fillcolor="#000000" stroked="false">
              <v:path arrowok="t"/>
              <v:fill type="solid"/>
            </v:shape>
            <v:line style="position:absolute" from="1348,7522" to="7962,7522" stroked="true" strokeweight=".72pt" strokecolor="#000000">
              <v:stroke dashstyle="solid"/>
            </v:line>
            <v:shape style="position:absolute;left:1340;top:7522;width:4979;height:46" coordorigin="1340,7522" coordsize="4979,46" path="m1355,7522l1340,7522,1340,7568,1355,7568,1355,7522m3005,7522l2990,7522,2990,7568,3005,7568,3005,7522m4669,7522l4655,7522,4655,7568,4669,7568,4669,7522m6319,7522l6305,7522,6305,7568,6319,7568,6319,7522e" filled="true" fillcolor="#000000" stroked="false">
              <v:path arrowok="t"/>
              <v:fill type="solid"/>
            </v:shape>
            <v:rect style="position:absolute;left:2780;top:4710;width:75;height:75" filled="true" fillcolor="#333399" stroked="false">
              <v:fill type="solid"/>
            </v:rect>
            <v:rect style="position:absolute;left:2780;top:4994;width:75;height:76" filled="true" fillcolor="#993300" stroked="false">
              <v:fill type="solid"/>
            </v:rect>
            <w10:wrap type="none"/>
          </v:group>
        </w:pict>
      </w:r>
      <w:r>
        <w:rPr/>
        <w:t>In the 1990s and the early 2000s, we saw a relatively benign aspect of these global trends.  A plentiful supply of low-cost manufactured goods from China and other emerging markets dampened the inflationary response we might otherwise have seen from the strong growth of demand in the United States and other economies where demand was being supported by the global credit boom. As a result, the financial excesses in the United States and some other countries in the mid-2000s were not reflected in particularly strong GDP growth or rising domestic inflation. This phenomenon undoubtedly contributed to the “Great Stability” of growth and inflation observed in many economies, including the UK, at that time and played a part</w:t>
      </w:r>
      <w:r>
        <w:rPr>
          <w:spacing w:val="-5"/>
        </w:rPr>
        <w:t> </w:t>
      </w:r>
      <w:r>
        <w:rPr/>
        <w:t>in</w:t>
      </w:r>
      <w:r>
        <w:rPr>
          <w:spacing w:val="-5"/>
        </w:rPr>
        <w:t> </w:t>
      </w:r>
      <w:r>
        <w:rPr/>
        <w:t>discouraging</w:t>
      </w:r>
      <w:r>
        <w:rPr>
          <w:spacing w:val="-5"/>
        </w:rPr>
        <w:t> </w:t>
      </w:r>
      <w:r>
        <w:rPr/>
        <w:t>a</w:t>
      </w:r>
      <w:r>
        <w:rPr>
          <w:spacing w:val="-4"/>
        </w:rPr>
        <w:t> </w:t>
      </w:r>
      <w:r>
        <w:rPr/>
        <w:t>monetary</w:t>
      </w:r>
      <w:r>
        <w:rPr>
          <w:spacing w:val="-5"/>
        </w:rPr>
        <w:t> </w:t>
      </w:r>
      <w:r>
        <w:rPr/>
        <w:t>policy</w:t>
      </w:r>
      <w:r>
        <w:rPr>
          <w:spacing w:val="-5"/>
        </w:rPr>
        <w:t> </w:t>
      </w:r>
      <w:r>
        <w:rPr/>
        <w:t>response</w:t>
      </w:r>
      <w:r>
        <w:rPr>
          <w:spacing w:val="-4"/>
        </w:rPr>
        <w:t> </w:t>
      </w:r>
      <w:r>
        <w:rPr/>
        <w:t>to</w:t>
      </w:r>
      <w:r>
        <w:rPr>
          <w:spacing w:val="-5"/>
        </w:rPr>
        <w:t> </w:t>
      </w:r>
      <w:r>
        <w:rPr/>
        <w:t>the</w:t>
      </w:r>
      <w:r>
        <w:rPr>
          <w:spacing w:val="-5"/>
        </w:rPr>
        <w:t> </w:t>
      </w:r>
      <w:r>
        <w:rPr/>
        <w:t>emerging</w:t>
      </w:r>
      <w:r>
        <w:rPr>
          <w:spacing w:val="-4"/>
        </w:rPr>
        <w:t> </w:t>
      </w:r>
      <w:r>
        <w:rPr/>
        <w:t>global</w:t>
      </w:r>
      <w:r>
        <w:rPr>
          <w:spacing w:val="-5"/>
        </w:rPr>
        <w:t> </w:t>
      </w:r>
      <w:r>
        <w:rPr/>
        <w:t>credit</w:t>
      </w:r>
      <w:r>
        <w:rPr>
          <w:spacing w:val="-5"/>
        </w:rPr>
        <w:t> </w:t>
      </w:r>
      <w:r>
        <w:rPr/>
        <w:t>boom,</w:t>
      </w:r>
      <w:r>
        <w:rPr>
          <w:spacing w:val="-4"/>
        </w:rPr>
        <w:t> </w:t>
      </w:r>
      <w:r>
        <w:rPr/>
        <w:t>particularly</w:t>
      </w:r>
      <w:r>
        <w:rPr>
          <w:spacing w:val="-5"/>
        </w:rPr>
        <w:t> </w:t>
      </w:r>
      <w:r>
        <w:rPr/>
        <w:t>in</w:t>
      </w:r>
      <w:r>
        <w:rPr>
          <w:spacing w:val="-5"/>
        </w:rPr>
        <w:t> </w:t>
      </w:r>
      <w:r>
        <w:rPr/>
        <w:t>the</w:t>
      </w:r>
      <w:r>
        <w:rPr>
          <w:spacing w:val="-4"/>
        </w:rPr>
        <w:t> </w:t>
      </w:r>
      <w:r>
        <w:rPr/>
        <w:t>United States.</w:t>
      </w:r>
      <w:r>
        <w:rPr>
          <w:vertAlign w:val="superscript"/>
        </w:rPr>
        <w:t>4</w:t>
      </w:r>
    </w:p>
    <w:p>
      <w:pPr>
        <w:pStyle w:val="BodyText"/>
      </w:pPr>
    </w:p>
    <w:p>
      <w:pPr>
        <w:pStyle w:val="BodyText"/>
        <w:spacing w:before="3"/>
        <w:rPr>
          <w:sz w:val="10"/>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8"/>
        <w:gridCol w:w="2261"/>
        <w:gridCol w:w="1405"/>
        <w:gridCol w:w="1439"/>
        <w:gridCol w:w="751"/>
      </w:tblGrid>
      <w:tr>
        <w:trPr>
          <w:trHeight w:val="689" w:hRule="atLeast"/>
        </w:trPr>
        <w:tc>
          <w:tcPr>
            <w:tcW w:w="7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7"/>
              <w:rPr>
                <w:b/>
                <w:sz w:val="20"/>
              </w:rPr>
            </w:pPr>
            <w:r>
              <w:rPr>
                <w:b/>
                <w:sz w:val="20"/>
              </w:rPr>
              <w:t>Chart 3: GDP growth in OECD and developing countries by decade</w:t>
            </w:r>
          </w:p>
          <w:p>
            <w:pPr>
              <w:pStyle w:val="TableParagraph"/>
              <w:spacing w:before="113"/>
              <w:ind w:left="107"/>
              <w:rPr>
                <w:sz w:val="20"/>
              </w:rPr>
            </w:pPr>
            <w:r>
              <w:rPr>
                <w:sz w:val="20"/>
              </w:rPr>
              <w:t>Average percentage change on previous years; GDP at constant prices</w:t>
            </w:r>
          </w:p>
        </w:tc>
      </w:tr>
      <w:tr>
        <w:trPr>
          <w:trHeight w:val="438" w:hRule="atLeast"/>
        </w:trPr>
        <w:tc>
          <w:tcPr>
            <w:tcW w:w="1518" w:type="dxa"/>
            <w:tcBorders>
              <w:top w:val="single" w:sz="4" w:space="0" w:color="000000"/>
              <w:left w:val="single" w:sz="4" w:space="0" w:color="000000"/>
            </w:tcBorders>
          </w:tcPr>
          <w:p>
            <w:pPr>
              <w:pStyle w:val="TableParagraph"/>
              <w:rPr>
                <w:rFonts w:ascii="Times New Roman"/>
                <w:sz w:val="18"/>
              </w:rPr>
            </w:pPr>
          </w:p>
        </w:tc>
        <w:tc>
          <w:tcPr>
            <w:tcW w:w="2261" w:type="dxa"/>
            <w:vMerge w:val="restart"/>
            <w:tcBorders>
              <w:top w:val="single" w:sz="4" w:space="0" w:color="000000"/>
              <w:bottom w:val="single" w:sz="4" w:space="0" w:color="000000"/>
            </w:tcBorders>
          </w:tcPr>
          <w:p>
            <w:pPr>
              <w:pStyle w:val="TableParagraph"/>
              <w:rPr>
                <w:sz w:val="18"/>
              </w:rPr>
            </w:pPr>
          </w:p>
          <w:p>
            <w:pPr>
              <w:pStyle w:val="TableParagraph"/>
              <w:spacing w:before="6"/>
              <w:rPr>
                <w:sz w:val="25"/>
              </w:rPr>
            </w:pPr>
          </w:p>
          <w:p>
            <w:pPr>
              <w:pStyle w:val="TableParagraph"/>
              <w:spacing w:line="369" w:lineRule="auto" w:before="1"/>
              <w:ind w:left="247"/>
              <w:rPr>
                <w:b/>
                <w:sz w:val="16"/>
              </w:rPr>
            </w:pPr>
            <w:r>
              <w:rPr>
                <w:b/>
                <w:sz w:val="16"/>
              </w:rPr>
              <w:t>Developing countries </w:t>
            </w:r>
            <w:r>
              <w:rPr>
                <w:b/>
                <w:w w:val="105"/>
                <w:sz w:val="16"/>
              </w:rPr>
              <w:t>OECD countries</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
              <w:rPr>
                <w:sz w:val="18"/>
              </w:rPr>
            </w:pPr>
          </w:p>
          <w:p>
            <w:pPr>
              <w:pStyle w:val="TableParagraph"/>
              <w:ind w:left="934" w:right="819"/>
              <w:jc w:val="center"/>
              <w:rPr>
                <w:b/>
                <w:sz w:val="16"/>
              </w:rPr>
            </w:pPr>
            <w:r>
              <w:rPr>
                <w:b/>
                <w:w w:val="105"/>
                <w:sz w:val="16"/>
              </w:rPr>
              <w:t>1980s</w:t>
            </w:r>
          </w:p>
        </w:tc>
        <w:tc>
          <w:tcPr>
            <w:tcW w:w="1405" w:type="dxa"/>
            <w:tcBorders>
              <w:top w:val="single" w:sz="4" w:space="0" w:color="000000"/>
            </w:tcBorders>
          </w:tcPr>
          <w:p>
            <w:pPr>
              <w:pStyle w:val="TableParagraph"/>
              <w:rPr>
                <w:rFonts w:ascii="Times New Roman"/>
                <w:sz w:val="18"/>
              </w:rPr>
            </w:pPr>
          </w:p>
        </w:tc>
        <w:tc>
          <w:tcPr>
            <w:tcW w:w="1439" w:type="dxa"/>
            <w:tcBorders>
              <w:top w:val="single" w:sz="4" w:space="0" w:color="000000"/>
            </w:tcBorders>
          </w:tcPr>
          <w:p>
            <w:pPr>
              <w:pStyle w:val="TableParagraph"/>
              <w:rPr>
                <w:rFonts w:ascii="Times New Roman"/>
                <w:sz w:val="18"/>
              </w:rPr>
            </w:pPr>
          </w:p>
        </w:tc>
        <w:tc>
          <w:tcPr>
            <w:tcW w:w="751" w:type="dxa"/>
            <w:tcBorders>
              <w:top w:val="single" w:sz="4" w:space="0" w:color="000000"/>
              <w:right w:val="single" w:sz="4" w:space="0" w:color="000000"/>
            </w:tcBorders>
          </w:tcPr>
          <w:p>
            <w:pPr>
              <w:pStyle w:val="TableParagraph"/>
              <w:spacing w:before="124"/>
              <w:ind w:right="263"/>
              <w:jc w:val="right"/>
              <w:rPr>
                <w:b/>
                <w:sz w:val="16"/>
              </w:rPr>
            </w:pPr>
            <w:r>
              <w:rPr>
                <w:b/>
                <w:w w:val="103"/>
                <w:sz w:val="16"/>
              </w:rPr>
              <w:t>7</w:t>
            </w:r>
          </w:p>
        </w:tc>
      </w:tr>
      <w:tr>
        <w:trPr>
          <w:trHeight w:val="440" w:hRule="atLeast"/>
        </w:trPr>
        <w:tc>
          <w:tcPr>
            <w:tcW w:w="1518" w:type="dxa"/>
            <w:tcBorders>
              <w:left w:val="single" w:sz="4" w:space="0" w:color="000000"/>
            </w:tcBorders>
          </w:tcPr>
          <w:p>
            <w:pPr>
              <w:pStyle w:val="TableParagraph"/>
              <w:rPr>
                <w:rFonts w:ascii="Times New Roman"/>
                <w:sz w:val="18"/>
              </w:rPr>
            </w:pPr>
          </w:p>
        </w:tc>
        <w:tc>
          <w:tcPr>
            <w:tcW w:w="2261" w:type="dxa"/>
            <w:vMerge/>
            <w:tcBorders>
              <w:top w:val="nil"/>
              <w:bottom w:val="single" w:sz="4" w:space="0" w:color="000000"/>
            </w:tcBorders>
          </w:tcPr>
          <w:p>
            <w:pPr>
              <w:rPr>
                <w:sz w:val="2"/>
                <w:szCs w:val="2"/>
              </w:rPr>
            </w:pPr>
          </w:p>
        </w:tc>
        <w:tc>
          <w:tcPr>
            <w:tcW w:w="1405" w:type="dxa"/>
          </w:tcPr>
          <w:p>
            <w:pPr>
              <w:pStyle w:val="TableParagraph"/>
              <w:rPr>
                <w:rFonts w:ascii="Times New Roman"/>
                <w:sz w:val="18"/>
              </w:rPr>
            </w:pPr>
          </w:p>
        </w:tc>
        <w:tc>
          <w:tcPr>
            <w:tcW w:w="1439" w:type="dxa"/>
          </w:tcPr>
          <w:p>
            <w:pPr>
              <w:pStyle w:val="TableParagraph"/>
              <w:rPr>
                <w:rFonts w:ascii="Times New Roman"/>
                <w:sz w:val="18"/>
              </w:rPr>
            </w:pPr>
          </w:p>
        </w:tc>
        <w:tc>
          <w:tcPr>
            <w:tcW w:w="751" w:type="dxa"/>
            <w:tcBorders>
              <w:right w:val="single" w:sz="4" w:space="0" w:color="000000"/>
            </w:tcBorders>
          </w:tcPr>
          <w:p>
            <w:pPr>
              <w:pStyle w:val="TableParagraph"/>
              <w:spacing w:before="127"/>
              <w:ind w:right="263"/>
              <w:jc w:val="right"/>
              <w:rPr>
                <w:b/>
                <w:sz w:val="16"/>
              </w:rPr>
            </w:pPr>
            <w:r>
              <w:rPr>
                <w:b/>
                <w:w w:val="103"/>
                <w:sz w:val="16"/>
              </w:rPr>
              <w:t>6</w:t>
            </w:r>
          </w:p>
        </w:tc>
      </w:tr>
      <w:tr>
        <w:trPr>
          <w:trHeight w:val="440" w:hRule="atLeast"/>
        </w:trPr>
        <w:tc>
          <w:tcPr>
            <w:tcW w:w="1518" w:type="dxa"/>
            <w:tcBorders>
              <w:left w:val="single" w:sz="4" w:space="0" w:color="000000"/>
            </w:tcBorders>
          </w:tcPr>
          <w:p>
            <w:pPr>
              <w:pStyle w:val="TableParagraph"/>
              <w:rPr>
                <w:rFonts w:ascii="Times New Roman"/>
                <w:sz w:val="18"/>
              </w:rPr>
            </w:pPr>
          </w:p>
        </w:tc>
        <w:tc>
          <w:tcPr>
            <w:tcW w:w="2261" w:type="dxa"/>
            <w:vMerge/>
            <w:tcBorders>
              <w:top w:val="nil"/>
              <w:bottom w:val="single" w:sz="4" w:space="0" w:color="000000"/>
            </w:tcBorders>
          </w:tcPr>
          <w:p>
            <w:pPr>
              <w:rPr>
                <w:sz w:val="2"/>
                <w:szCs w:val="2"/>
              </w:rPr>
            </w:pPr>
          </w:p>
        </w:tc>
        <w:tc>
          <w:tcPr>
            <w:tcW w:w="1405" w:type="dxa"/>
          </w:tcPr>
          <w:p>
            <w:pPr>
              <w:pStyle w:val="TableParagraph"/>
              <w:rPr>
                <w:rFonts w:ascii="Times New Roman"/>
                <w:sz w:val="18"/>
              </w:rPr>
            </w:pPr>
          </w:p>
        </w:tc>
        <w:tc>
          <w:tcPr>
            <w:tcW w:w="1439" w:type="dxa"/>
          </w:tcPr>
          <w:p>
            <w:pPr>
              <w:pStyle w:val="TableParagraph"/>
              <w:rPr>
                <w:rFonts w:ascii="Times New Roman"/>
                <w:sz w:val="18"/>
              </w:rPr>
            </w:pPr>
          </w:p>
        </w:tc>
        <w:tc>
          <w:tcPr>
            <w:tcW w:w="751" w:type="dxa"/>
            <w:tcBorders>
              <w:right w:val="single" w:sz="4" w:space="0" w:color="000000"/>
            </w:tcBorders>
          </w:tcPr>
          <w:p>
            <w:pPr>
              <w:pStyle w:val="TableParagraph"/>
              <w:spacing w:before="127"/>
              <w:ind w:right="263"/>
              <w:jc w:val="right"/>
              <w:rPr>
                <w:b/>
                <w:sz w:val="16"/>
              </w:rPr>
            </w:pPr>
            <w:r>
              <w:rPr>
                <w:b/>
                <w:w w:val="103"/>
                <w:sz w:val="16"/>
              </w:rPr>
              <w:t>5</w:t>
            </w:r>
          </w:p>
        </w:tc>
      </w:tr>
      <w:tr>
        <w:trPr>
          <w:trHeight w:val="441" w:hRule="atLeast"/>
        </w:trPr>
        <w:tc>
          <w:tcPr>
            <w:tcW w:w="1518" w:type="dxa"/>
            <w:tcBorders>
              <w:left w:val="single" w:sz="4" w:space="0" w:color="000000"/>
            </w:tcBorders>
          </w:tcPr>
          <w:p>
            <w:pPr>
              <w:pStyle w:val="TableParagraph"/>
              <w:rPr>
                <w:rFonts w:ascii="Times New Roman"/>
                <w:sz w:val="18"/>
              </w:rPr>
            </w:pPr>
          </w:p>
        </w:tc>
        <w:tc>
          <w:tcPr>
            <w:tcW w:w="2261" w:type="dxa"/>
            <w:vMerge/>
            <w:tcBorders>
              <w:top w:val="nil"/>
              <w:bottom w:val="single" w:sz="4" w:space="0" w:color="000000"/>
            </w:tcBorders>
          </w:tcPr>
          <w:p>
            <w:pPr>
              <w:rPr>
                <w:sz w:val="2"/>
                <w:szCs w:val="2"/>
              </w:rPr>
            </w:pPr>
          </w:p>
        </w:tc>
        <w:tc>
          <w:tcPr>
            <w:tcW w:w="1405" w:type="dxa"/>
          </w:tcPr>
          <w:p>
            <w:pPr>
              <w:pStyle w:val="TableParagraph"/>
              <w:rPr>
                <w:rFonts w:ascii="Times New Roman"/>
                <w:sz w:val="18"/>
              </w:rPr>
            </w:pPr>
          </w:p>
        </w:tc>
        <w:tc>
          <w:tcPr>
            <w:tcW w:w="1439" w:type="dxa"/>
          </w:tcPr>
          <w:p>
            <w:pPr>
              <w:pStyle w:val="TableParagraph"/>
              <w:rPr>
                <w:rFonts w:ascii="Times New Roman"/>
                <w:sz w:val="18"/>
              </w:rPr>
            </w:pPr>
          </w:p>
        </w:tc>
        <w:tc>
          <w:tcPr>
            <w:tcW w:w="751" w:type="dxa"/>
            <w:tcBorders>
              <w:right w:val="single" w:sz="4" w:space="0" w:color="000000"/>
            </w:tcBorders>
          </w:tcPr>
          <w:p>
            <w:pPr>
              <w:pStyle w:val="TableParagraph"/>
              <w:spacing w:before="127"/>
              <w:ind w:right="263"/>
              <w:jc w:val="right"/>
              <w:rPr>
                <w:b/>
                <w:sz w:val="16"/>
              </w:rPr>
            </w:pPr>
            <w:r>
              <w:rPr>
                <w:b/>
                <w:w w:val="103"/>
                <w:sz w:val="16"/>
              </w:rPr>
              <w:t>4</w:t>
            </w:r>
          </w:p>
        </w:tc>
      </w:tr>
      <w:tr>
        <w:trPr>
          <w:trHeight w:val="440" w:hRule="atLeast"/>
        </w:trPr>
        <w:tc>
          <w:tcPr>
            <w:tcW w:w="1518" w:type="dxa"/>
            <w:tcBorders>
              <w:left w:val="single" w:sz="4" w:space="0" w:color="000000"/>
            </w:tcBorders>
          </w:tcPr>
          <w:p>
            <w:pPr>
              <w:pStyle w:val="TableParagraph"/>
              <w:rPr>
                <w:rFonts w:ascii="Times New Roman"/>
                <w:sz w:val="18"/>
              </w:rPr>
            </w:pPr>
          </w:p>
        </w:tc>
        <w:tc>
          <w:tcPr>
            <w:tcW w:w="2261" w:type="dxa"/>
            <w:vMerge/>
            <w:tcBorders>
              <w:top w:val="nil"/>
              <w:bottom w:val="single" w:sz="4" w:space="0" w:color="000000"/>
            </w:tcBorders>
          </w:tcPr>
          <w:p>
            <w:pPr>
              <w:rPr>
                <w:sz w:val="2"/>
                <w:szCs w:val="2"/>
              </w:rPr>
            </w:pPr>
          </w:p>
        </w:tc>
        <w:tc>
          <w:tcPr>
            <w:tcW w:w="1405" w:type="dxa"/>
          </w:tcPr>
          <w:p>
            <w:pPr>
              <w:pStyle w:val="TableParagraph"/>
              <w:rPr>
                <w:rFonts w:ascii="Times New Roman"/>
                <w:sz w:val="18"/>
              </w:rPr>
            </w:pPr>
          </w:p>
        </w:tc>
        <w:tc>
          <w:tcPr>
            <w:tcW w:w="1439" w:type="dxa"/>
          </w:tcPr>
          <w:p>
            <w:pPr>
              <w:pStyle w:val="TableParagraph"/>
              <w:rPr>
                <w:rFonts w:ascii="Times New Roman"/>
                <w:sz w:val="18"/>
              </w:rPr>
            </w:pPr>
          </w:p>
        </w:tc>
        <w:tc>
          <w:tcPr>
            <w:tcW w:w="751" w:type="dxa"/>
            <w:tcBorders>
              <w:right w:val="single" w:sz="4" w:space="0" w:color="000000"/>
            </w:tcBorders>
          </w:tcPr>
          <w:p>
            <w:pPr>
              <w:pStyle w:val="TableParagraph"/>
              <w:spacing w:before="127"/>
              <w:ind w:right="263"/>
              <w:jc w:val="right"/>
              <w:rPr>
                <w:b/>
                <w:sz w:val="16"/>
              </w:rPr>
            </w:pPr>
            <w:r>
              <w:rPr>
                <w:b/>
                <w:w w:val="103"/>
                <w:sz w:val="16"/>
              </w:rPr>
              <w:t>3</w:t>
            </w:r>
          </w:p>
        </w:tc>
      </w:tr>
      <w:tr>
        <w:trPr>
          <w:trHeight w:val="440" w:hRule="atLeast"/>
        </w:trPr>
        <w:tc>
          <w:tcPr>
            <w:tcW w:w="1518" w:type="dxa"/>
            <w:tcBorders>
              <w:left w:val="single" w:sz="4" w:space="0" w:color="000000"/>
            </w:tcBorders>
          </w:tcPr>
          <w:p>
            <w:pPr>
              <w:pStyle w:val="TableParagraph"/>
              <w:rPr>
                <w:rFonts w:ascii="Times New Roman"/>
                <w:sz w:val="18"/>
              </w:rPr>
            </w:pPr>
          </w:p>
        </w:tc>
        <w:tc>
          <w:tcPr>
            <w:tcW w:w="2261" w:type="dxa"/>
            <w:vMerge/>
            <w:tcBorders>
              <w:top w:val="nil"/>
              <w:bottom w:val="single" w:sz="4" w:space="0" w:color="000000"/>
            </w:tcBorders>
          </w:tcPr>
          <w:p>
            <w:pPr>
              <w:rPr>
                <w:sz w:val="2"/>
                <w:szCs w:val="2"/>
              </w:rPr>
            </w:pPr>
          </w:p>
        </w:tc>
        <w:tc>
          <w:tcPr>
            <w:tcW w:w="1405" w:type="dxa"/>
          </w:tcPr>
          <w:p>
            <w:pPr>
              <w:pStyle w:val="TableParagraph"/>
              <w:rPr>
                <w:rFonts w:ascii="Times New Roman"/>
                <w:sz w:val="18"/>
              </w:rPr>
            </w:pPr>
          </w:p>
        </w:tc>
        <w:tc>
          <w:tcPr>
            <w:tcW w:w="1439" w:type="dxa"/>
          </w:tcPr>
          <w:p>
            <w:pPr>
              <w:pStyle w:val="TableParagraph"/>
              <w:rPr>
                <w:rFonts w:ascii="Times New Roman"/>
                <w:sz w:val="18"/>
              </w:rPr>
            </w:pPr>
          </w:p>
        </w:tc>
        <w:tc>
          <w:tcPr>
            <w:tcW w:w="751" w:type="dxa"/>
            <w:tcBorders>
              <w:right w:val="single" w:sz="4" w:space="0" w:color="000000"/>
            </w:tcBorders>
          </w:tcPr>
          <w:p>
            <w:pPr>
              <w:pStyle w:val="TableParagraph"/>
              <w:spacing w:before="127"/>
              <w:ind w:right="263"/>
              <w:jc w:val="right"/>
              <w:rPr>
                <w:b/>
                <w:sz w:val="16"/>
              </w:rPr>
            </w:pPr>
            <w:r>
              <w:rPr>
                <w:b/>
                <w:w w:val="103"/>
                <w:sz w:val="16"/>
              </w:rPr>
              <w:t>2</w:t>
            </w:r>
          </w:p>
        </w:tc>
      </w:tr>
      <w:tr>
        <w:trPr>
          <w:trHeight w:val="440" w:hRule="atLeast"/>
        </w:trPr>
        <w:tc>
          <w:tcPr>
            <w:tcW w:w="1518" w:type="dxa"/>
            <w:tcBorders>
              <w:left w:val="single" w:sz="4" w:space="0" w:color="000000"/>
            </w:tcBorders>
          </w:tcPr>
          <w:p>
            <w:pPr>
              <w:pStyle w:val="TableParagraph"/>
              <w:rPr>
                <w:rFonts w:ascii="Times New Roman"/>
                <w:sz w:val="18"/>
              </w:rPr>
            </w:pPr>
          </w:p>
        </w:tc>
        <w:tc>
          <w:tcPr>
            <w:tcW w:w="2261" w:type="dxa"/>
            <w:vMerge/>
            <w:tcBorders>
              <w:top w:val="nil"/>
              <w:bottom w:val="single" w:sz="4" w:space="0" w:color="000000"/>
            </w:tcBorders>
          </w:tcPr>
          <w:p>
            <w:pPr>
              <w:rPr>
                <w:sz w:val="2"/>
                <w:szCs w:val="2"/>
              </w:rPr>
            </w:pPr>
          </w:p>
        </w:tc>
        <w:tc>
          <w:tcPr>
            <w:tcW w:w="1405" w:type="dxa"/>
          </w:tcPr>
          <w:p>
            <w:pPr>
              <w:pStyle w:val="TableParagraph"/>
              <w:rPr>
                <w:rFonts w:ascii="Times New Roman"/>
                <w:sz w:val="18"/>
              </w:rPr>
            </w:pPr>
          </w:p>
        </w:tc>
        <w:tc>
          <w:tcPr>
            <w:tcW w:w="1439" w:type="dxa"/>
          </w:tcPr>
          <w:p>
            <w:pPr>
              <w:pStyle w:val="TableParagraph"/>
              <w:rPr>
                <w:rFonts w:ascii="Times New Roman"/>
                <w:sz w:val="18"/>
              </w:rPr>
            </w:pPr>
          </w:p>
        </w:tc>
        <w:tc>
          <w:tcPr>
            <w:tcW w:w="751" w:type="dxa"/>
            <w:tcBorders>
              <w:right w:val="single" w:sz="4" w:space="0" w:color="000000"/>
            </w:tcBorders>
          </w:tcPr>
          <w:p>
            <w:pPr>
              <w:pStyle w:val="TableParagraph"/>
              <w:spacing w:before="127"/>
              <w:ind w:right="263"/>
              <w:jc w:val="right"/>
              <w:rPr>
                <w:b/>
                <w:sz w:val="16"/>
              </w:rPr>
            </w:pPr>
            <w:r>
              <w:rPr>
                <w:b/>
                <w:w w:val="103"/>
                <w:sz w:val="16"/>
              </w:rPr>
              <w:t>1</w:t>
            </w:r>
          </w:p>
        </w:tc>
      </w:tr>
      <w:tr>
        <w:trPr>
          <w:trHeight w:val="352" w:hRule="atLeast"/>
        </w:trPr>
        <w:tc>
          <w:tcPr>
            <w:tcW w:w="1518" w:type="dxa"/>
            <w:tcBorders>
              <w:left w:val="single" w:sz="4" w:space="0" w:color="000000"/>
            </w:tcBorders>
          </w:tcPr>
          <w:p>
            <w:pPr>
              <w:pStyle w:val="TableParagraph"/>
              <w:rPr>
                <w:rFonts w:ascii="Times New Roman"/>
                <w:sz w:val="18"/>
              </w:rPr>
            </w:pPr>
          </w:p>
        </w:tc>
        <w:tc>
          <w:tcPr>
            <w:tcW w:w="2261" w:type="dxa"/>
            <w:vMerge/>
            <w:tcBorders>
              <w:top w:val="nil"/>
              <w:bottom w:val="single" w:sz="4" w:space="0" w:color="000000"/>
            </w:tcBorders>
          </w:tcPr>
          <w:p>
            <w:pPr>
              <w:rPr>
                <w:sz w:val="2"/>
                <w:szCs w:val="2"/>
              </w:rPr>
            </w:pPr>
          </w:p>
        </w:tc>
        <w:tc>
          <w:tcPr>
            <w:tcW w:w="1405" w:type="dxa"/>
          </w:tcPr>
          <w:p>
            <w:pPr>
              <w:pStyle w:val="TableParagraph"/>
              <w:rPr>
                <w:rFonts w:ascii="Times New Roman"/>
                <w:sz w:val="18"/>
              </w:rPr>
            </w:pPr>
          </w:p>
        </w:tc>
        <w:tc>
          <w:tcPr>
            <w:tcW w:w="1439" w:type="dxa"/>
          </w:tcPr>
          <w:p>
            <w:pPr>
              <w:pStyle w:val="TableParagraph"/>
              <w:rPr>
                <w:rFonts w:ascii="Times New Roman"/>
                <w:sz w:val="18"/>
              </w:rPr>
            </w:pPr>
          </w:p>
        </w:tc>
        <w:tc>
          <w:tcPr>
            <w:tcW w:w="751" w:type="dxa"/>
            <w:tcBorders>
              <w:right w:val="single" w:sz="4" w:space="0" w:color="000000"/>
            </w:tcBorders>
          </w:tcPr>
          <w:p>
            <w:pPr>
              <w:pStyle w:val="TableParagraph"/>
              <w:spacing w:before="127"/>
              <w:ind w:right="263"/>
              <w:jc w:val="right"/>
              <w:rPr>
                <w:b/>
                <w:sz w:val="16"/>
              </w:rPr>
            </w:pPr>
            <w:r>
              <w:rPr>
                <w:b/>
                <w:w w:val="103"/>
                <w:sz w:val="16"/>
              </w:rPr>
              <w:t>0</w:t>
            </w:r>
          </w:p>
        </w:tc>
      </w:tr>
      <w:tr>
        <w:trPr>
          <w:trHeight w:val="605" w:hRule="atLeast"/>
        </w:trPr>
        <w:tc>
          <w:tcPr>
            <w:tcW w:w="1518" w:type="dxa"/>
            <w:tcBorders>
              <w:left w:val="single" w:sz="4" w:space="0" w:color="000000"/>
              <w:bottom w:val="single" w:sz="4" w:space="0" w:color="000000"/>
            </w:tcBorders>
          </w:tcPr>
          <w:p>
            <w:pPr>
              <w:pStyle w:val="TableParagraph"/>
              <w:spacing w:before="39"/>
              <w:ind w:left="822"/>
              <w:rPr>
                <w:b/>
                <w:sz w:val="16"/>
              </w:rPr>
            </w:pPr>
            <w:r>
              <w:rPr>
                <w:b/>
                <w:w w:val="105"/>
                <w:sz w:val="16"/>
              </w:rPr>
              <w:t>1970s</w:t>
            </w:r>
          </w:p>
        </w:tc>
        <w:tc>
          <w:tcPr>
            <w:tcW w:w="2261" w:type="dxa"/>
            <w:vMerge/>
            <w:tcBorders>
              <w:top w:val="nil"/>
              <w:bottom w:val="single" w:sz="4" w:space="0" w:color="000000"/>
            </w:tcBorders>
          </w:tcPr>
          <w:p>
            <w:pPr>
              <w:rPr>
                <w:sz w:val="2"/>
                <w:szCs w:val="2"/>
              </w:rPr>
            </w:pPr>
          </w:p>
        </w:tc>
        <w:tc>
          <w:tcPr>
            <w:tcW w:w="1405" w:type="dxa"/>
            <w:tcBorders>
              <w:bottom w:val="single" w:sz="4" w:space="0" w:color="000000"/>
            </w:tcBorders>
          </w:tcPr>
          <w:p>
            <w:pPr>
              <w:pStyle w:val="TableParagraph"/>
              <w:spacing w:before="39"/>
              <w:ind w:left="355"/>
              <w:rPr>
                <w:b/>
                <w:sz w:val="16"/>
              </w:rPr>
            </w:pPr>
            <w:r>
              <w:rPr>
                <w:b/>
                <w:w w:val="105"/>
                <w:sz w:val="16"/>
              </w:rPr>
              <w:t>1990s</w:t>
            </w:r>
          </w:p>
        </w:tc>
        <w:tc>
          <w:tcPr>
            <w:tcW w:w="1439" w:type="dxa"/>
            <w:tcBorders>
              <w:bottom w:val="single" w:sz="4" w:space="0" w:color="000000"/>
            </w:tcBorders>
          </w:tcPr>
          <w:p>
            <w:pPr>
              <w:pStyle w:val="TableParagraph"/>
              <w:spacing w:before="39"/>
              <w:ind w:left="604"/>
              <w:rPr>
                <w:b/>
                <w:sz w:val="16"/>
              </w:rPr>
            </w:pPr>
            <w:r>
              <w:rPr>
                <w:b/>
                <w:w w:val="105"/>
                <w:sz w:val="16"/>
              </w:rPr>
              <w:t>2000s</w:t>
            </w:r>
          </w:p>
        </w:tc>
        <w:tc>
          <w:tcPr>
            <w:tcW w:w="751" w:type="dxa"/>
            <w:tcBorders>
              <w:bottom w:val="single" w:sz="4" w:space="0" w:color="000000"/>
              <w:right w:val="single" w:sz="4" w:space="0" w:color="000000"/>
            </w:tcBorders>
          </w:tcPr>
          <w:p>
            <w:pPr>
              <w:pStyle w:val="TableParagraph"/>
              <w:rPr>
                <w:rFonts w:ascii="Times New Roman"/>
                <w:sz w:val="18"/>
              </w:rPr>
            </w:pPr>
          </w:p>
        </w:tc>
      </w:tr>
      <w:tr>
        <w:trPr>
          <w:trHeight w:val="311" w:hRule="atLeast"/>
        </w:trPr>
        <w:tc>
          <w:tcPr>
            <w:tcW w:w="7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Pr>
                <w:sz w:val="18"/>
              </w:rPr>
            </w:pPr>
            <w:r>
              <w:rPr>
                <w:sz w:val="18"/>
              </w:rPr>
              <w:t>Source: IMF, OECD</w:t>
            </w:r>
          </w:p>
        </w:tc>
      </w:tr>
    </w:tbl>
    <w:p>
      <w:pPr>
        <w:pStyle w:val="BodyText"/>
        <w:spacing w:before="6"/>
        <w:rPr>
          <w:sz w:val="21"/>
        </w:rPr>
      </w:pPr>
    </w:p>
    <w:p>
      <w:pPr>
        <w:pStyle w:val="BodyText"/>
        <w:spacing w:line="360" w:lineRule="auto" w:before="94"/>
        <w:ind w:left="234" w:right="164"/>
      </w:pPr>
      <w:r>
        <w:rPr/>
        <w:t>However, strong growth was experienced over the past decade in emerging market and developing economies. As Chart 3 shows, this created a particularly marked divergence in growth between the advanced economies and the non-OECD world in the 2000s, which appears unprecedented in post-war economic history. Strong growth in resource-hungry emerging market and developing economies has also put upward pressure on the price of energy and commodities since the mid-2000s, as Chart 4 shows. That, in turn, has benefited countries and regions which are major producers of these primary products – giving further momentum to the growth of some developing economies. But these rises in energy and commodity prices are now starting to exert a pronounced influence on global inflation trends more generally. And after a</w:t>
      </w:r>
    </w:p>
    <w:p>
      <w:pPr>
        <w:pStyle w:val="BodyText"/>
      </w:pPr>
    </w:p>
    <w:p>
      <w:pPr>
        <w:pStyle w:val="BodyText"/>
        <w:spacing w:before="10"/>
        <w:rPr>
          <w:sz w:val="21"/>
        </w:rPr>
      </w:pPr>
      <w:r>
        <w:rPr/>
        <w:pict>
          <v:shape style="position:absolute;margin-left:56.700001pt;margin-top:14.818716pt;width:144pt;height:.1pt;mso-position-horizontal-relative:page;mso-position-vertical-relative:paragraph;z-index:-251653120;mso-wrap-distance-left:0;mso-wrap-distance-right:0" coordorigin="1134,296" coordsize="2880,0" path="m1134,296l4014,296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4 </w:t>
      </w:r>
      <w:r>
        <w:rPr>
          <w:sz w:val="16"/>
        </w:rPr>
        <w:t>For a more detailed discussion of the causes and consequences of the global credit boom, see Hume and Sentance (2009).</w:t>
      </w:r>
    </w:p>
    <w:p>
      <w:pPr>
        <w:spacing w:after="0"/>
        <w:jc w:val="left"/>
        <w:rPr>
          <w:sz w:val="16"/>
        </w:rPr>
        <w:sectPr>
          <w:pgSz w:w="11900" w:h="16840"/>
          <w:pgMar w:header="0" w:footer="1340" w:top="1360" w:bottom="1540" w:left="900" w:right="1020"/>
        </w:sectPr>
      </w:pPr>
    </w:p>
    <w:p>
      <w:pPr>
        <w:pStyle w:val="BodyText"/>
        <w:spacing w:line="360" w:lineRule="auto" w:before="77"/>
        <w:ind w:left="233" w:right="311"/>
      </w:pPr>
      <w:r>
        <w:rPr/>
        <w:t>short dip in energy and commodity prices in the recession, the upward price trends in these global markets have quickly reasserted themselves in the recovery.</w:t>
      </w:r>
    </w:p>
    <w:p>
      <w:pPr>
        <w:pStyle w:val="BodyText"/>
      </w:pPr>
    </w:p>
    <w:p>
      <w:pPr>
        <w:pStyle w:val="BodyText"/>
        <w:spacing w:before="2"/>
        <w:rPr>
          <w:sz w:val="10"/>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518"/>
        <w:gridCol w:w="2205"/>
        <w:gridCol w:w="539"/>
        <w:gridCol w:w="542"/>
        <w:gridCol w:w="542"/>
        <w:gridCol w:w="542"/>
        <w:gridCol w:w="542"/>
        <w:gridCol w:w="461"/>
        <w:gridCol w:w="545"/>
      </w:tblGrid>
      <w:tr>
        <w:trPr>
          <w:trHeight w:val="690" w:hRule="atLeast"/>
        </w:trPr>
        <w:tc>
          <w:tcPr>
            <w:tcW w:w="737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7"/>
              <w:rPr>
                <w:b/>
                <w:sz w:val="20"/>
              </w:rPr>
            </w:pPr>
            <w:r>
              <w:rPr>
                <w:b/>
                <w:sz w:val="20"/>
              </w:rPr>
              <w:t>Chart 4: Global energy and commodity prices, 2000-2011</w:t>
            </w:r>
          </w:p>
          <w:p>
            <w:pPr>
              <w:pStyle w:val="TableParagraph"/>
              <w:spacing w:before="113"/>
              <w:ind w:left="107"/>
              <w:rPr>
                <w:sz w:val="20"/>
              </w:rPr>
            </w:pPr>
            <w:r>
              <w:rPr>
                <w:sz w:val="20"/>
              </w:rPr>
              <w:t>Rebased in 2000 at 100</w:t>
            </w:r>
          </w:p>
        </w:tc>
      </w:tr>
      <w:tr>
        <w:trPr>
          <w:trHeight w:val="442" w:hRule="atLeast"/>
        </w:trPr>
        <w:tc>
          <w:tcPr>
            <w:tcW w:w="934" w:type="dxa"/>
            <w:tcBorders>
              <w:top w:val="single" w:sz="4" w:space="0" w:color="000000"/>
              <w:left w:val="single" w:sz="4" w:space="0" w:color="000000"/>
            </w:tcBorders>
          </w:tcPr>
          <w:p>
            <w:pPr>
              <w:pStyle w:val="TableParagraph"/>
              <w:spacing w:before="115"/>
              <w:ind w:left="237"/>
              <w:rPr>
                <w:b/>
                <w:sz w:val="16"/>
              </w:rPr>
            </w:pPr>
            <w:r>
              <w:rPr>
                <w:b/>
                <w:w w:val="105"/>
                <w:sz w:val="16"/>
              </w:rPr>
              <w:t>700</w:t>
            </w:r>
          </w:p>
        </w:tc>
        <w:tc>
          <w:tcPr>
            <w:tcW w:w="518" w:type="dxa"/>
            <w:tcBorders>
              <w:top w:val="single" w:sz="4" w:space="0" w:color="000000"/>
            </w:tcBorders>
          </w:tcPr>
          <w:p>
            <w:pPr>
              <w:pStyle w:val="TableParagraph"/>
              <w:tabs>
                <w:tab w:pos="419" w:val="left" w:leader="none"/>
              </w:tabs>
              <w:spacing w:before="115"/>
              <w:ind w:right="8"/>
              <w:jc w:val="right"/>
              <w:rPr>
                <w:b/>
                <w:sz w:val="16"/>
              </w:rPr>
            </w:pPr>
            <w:r>
              <w:rPr>
                <w:b/>
                <w:w w:val="103"/>
                <w:sz w:val="16"/>
                <w:u w:val="thick" w:color="333399"/>
              </w:rPr>
              <w:t> </w:t>
            </w:r>
            <w:r>
              <w:rPr>
                <w:b/>
                <w:sz w:val="16"/>
                <w:u w:val="thick" w:color="333399"/>
              </w:rPr>
              <w:tab/>
            </w:r>
          </w:p>
        </w:tc>
        <w:tc>
          <w:tcPr>
            <w:tcW w:w="2205" w:type="dxa"/>
            <w:vMerge w:val="restart"/>
            <w:tcBorders>
              <w:top w:val="single" w:sz="4" w:space="0" w:color="000000"/>
              <w:bottom w:val="single" w:sz="4" w:space="0" w:color="000000"/>
            </w:tcBorders>
          </w:tcPr>
          <w:p>
            <w:pPr>
              <w:pStyle w:val="TableParagraph"/>
              <w:spacing w:before="1"/>
              <w:rPr>
                <w:sz w:val="21"/>
              </w:rPr>
            </w:pPr>
          </w:p>
          <w:p>
            <w:pPr>
              <w:pStyle w:val="TableParagraph"/>
              <w:spacing w:line="235" w:lineRule="auto"/>
              <w:ind w:left="21" w:right="193"/>
              <w:rPr>
                <w:b/>
                <w:sz w:val="16"/>
              </w:rPr>
            </w:pPr>
            <w:r>
              <w:rPr>
                <w:b/>
                <w:w w:val="105"/>
                <w:sz w:val="16"/>
              </w:rPr>
              <w:t>S&amp;P</w:t>
            </w:r>
            <w:r>
              <w:rPr>
                <w:b/>
                <w:spacing w:val="-33"/>
                <w:w w:val="105"/>
                <w:sz w:val="16"/>
              </w:rPr>
              <w:t> </w:t>
            </w:r>
            <w:r>
              <w:rPr>
                <w:b/>
                <w:w w:val="105"/>
                <w:sz w:val="16"/>
              </w:rPr>
              <w:t>GSCI</w:t>
            </w:r>
            <w:r>
              <w:rPr>
                <w:b/>
                <w:spacing w:val="-29"/>
                <w:w w:val="105"/>
                <w:sz w:val="16"/>
              </w:rPr>
              <w:t> </w:t>
            </w:r>
            <w:r>
              <w:rPr>
                <w:b/>
                <w:w w:val="105"/>
                <w:sz w:val="16"/>
              </w:rPr>
              <w:t>agriculture</w:t>
            </w:r>
            <w:r>
              <w:rPr>
                <w:b/>
                <w:spacing w:val="-31"/>
                <w:w w:val="105"/>
                <w:sz w:val="16"/>
              </w:rPr>
              <w:t> </w:t>
            </w:r>
            <w:r>
              <w:rPr>
                <w:b/>
                <w:w w:val="105"/>
                <w:sz w:val="16"/>
              </w:rPr>
              <w:t>and livestock</w:t>
            </w:r>
            <w:r>
              <w:rPr>
                <w:b/>
                <w:spacing w:val="-22"/>
                <w:w w:val="105"/>
                <w:sz w:val="16"/>
              </w:rPr>
              <w:t> </w:t>
            </w:r>
            <w:r>
              <w:rPr>
                <w:b/>
                <w:w w:val="105"/>
                <w:sz w:val="16"/>
              </w:rPr>
              <w:t>index</w:t>
            </w:r>
            <w:r>
              <w:rPr>
                <w:b/>
                <w:spacing w:val="-21"/>
                <w:w w:val="105"/>
                <w:sz w:val="16"/>
              </w:rPr>
              <w:t> </w:t>
            </w:r>
            <w:r>
              <w:rPr>
                <w:b/>
                <w:w w:val="105"/>
                <w:sz w:val="16"/>
              </w:rPr>
              <w:t>(RHS)</w:t>
            </w:r>
          </w:p>
          <w:p>
            <w:pPr>
              <w:pStyle w:val="TableParagraph"/>
              <w:spacing w:before="9"/>
              <w:rPr>
                <w:sz w:val="18"/>
              </w:rPr>
            </w:pPr>
          </w:p>
          <w:p>
            <w:pPr>
              <w:pStyle w:val="TableParagraph"/>
              <w:spacing w:line="235" w:lineRule="auto" w:before="1"/>
              <w:ind w:left="21" w:right="69"/>
              <w:rPr>
                <w:b/>
                <w:sz w:val="16"/>
              </w:rPr>
            </w:pPr>
            <w:r>
              <w:rPr>
                <w:b/>
                <w:w w:val="105"/>
                <w:sz w:val="16"/>
              </w:rPr>
              <w:t>S&amp;P</w:t>
            </w:r>
            <w:r>
              <w:rPr>
                <w:b/>
                <w:spacing w:val="-33"/>
                <w:w w:val="105"/>
                <w:sz w:val="16"/>
              </w:rPr>
              <w:t> </w:t>
            </w:r>
            <w:r>
              <w:rPr>
                <w:b/>
                <w:w w:val="105"/>
                <w:sz w:val="16"/>
              </w:rPr>
              <w:t>GSCI</w:t>
            </w:r>
            <w:r>
              <w:rPr>
                <w:b/>
                <w:spacing w:val="-29"/>
                <w:w w:val="105"/>
                <w:sz w:val="16"/>
              </w:rPr>
              <w:t> </w:t>
            </w:r>
            <w:r>
              <w:rPr>
                <w:b/>
                <w:w w:val="105"/>
                <w:sz w:val="16"/>
              </w:rPr>
              <w:t>industrial</w:t>
            </w:r>
            <w:r>
              <w:rPr>
                <w:b/>
                <w:spacing w:val="-28"/>
                <w:w w:val="105"/>
                <w:sz w:val="16"/>
              </w:rPr>
              <w:t> </w:t>
            </w:r>
            <w:r>
              <w:rPr>
                <w:b/>
                <w:w w:val="105"/>
                <w:sz w:val="16"/>
              </w:rPr>
              <w:t>metals index</w:t>
            </w:r>
            <w:r>
              <w:rPr>
                <w:b/>
                <w:spacing w:val="-20"/>
                <w:w w:val="105"/>
                <w:sz w:val="16"/>
              </w:rPr>
              <w:t> </w:t>
            </w:r>
            <w:r>
              <w:rPr>
                <w:b/>
                <w:w w:val="105"/>
                <w:sz w:val="16"/>
              </w:rPr>
              <w:t>(RHS)</w:t>
            </w:r>
          </w:p>
          <w:p>
            <w:pPr>
              <w:pStyle w:val="TableParagraph"/>
              <w:spacing w:before="5"/>
              <w:rPr>
                <w:sz w:val="18"/>
              </w:rPr>
            </w:pPr>
          </w:p>
          <w:p>
            <w:pPr>
              <w:pStyle w:val="TableParagraph"/>
              <w:ind w:left="21"/>
              <w:rPr>
                <w:b/>
                <w:sz w:val="16"/>
              </w:rPr>
            </w:pPr>
            <w:r>
              <w:rPr>
                <w:b/>
                <w:w w:val="105"/>
                <w:sz w:val="16"/>
              </w:rPr>
              <w:t>Brent crude (LHS)</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8"/>
              <w:rPr>
                <w:sz w:val="22"/>
              </w:rPr>
            </w:pPr>
          </w:p>
          <w:p>
            <w:pPr>
              <w:pStyle w:val="TableParagraph"/>
              <w:ind w:left="129"/>
              <w:rPr>
                <w:b/>
                <w:sz w:val="16"/>
              </w:rPr>
            </w:pPr>
            <w:r>
              <w:rPr>
                <w:b/>
                <w:w w:val="105"/>
                <w:sz w:val="16"/>
              </w:rPr>
              <w:t>2002 2003 2004 2005</w:t>
            </w:r>
          </w:p>
        </w:tc>
        <w:tc>
          <w:tcPr>
            <w:tcW w:w="539" w:type="dxa"/>
            <w:tcBorders>
              <w:top w:val="single" w:sz="4" w:space="0" w:color="000000"/>
            </w:tcBorders>
          </w:tcPr>
          <w:p>
            <w:pPr>
              <w:pStyle w:val="TableParagraph"/>
              <w:rPr>
                <w:rFonts w:ascii="Times New Roman"/>
                <w:sz w:val="18"/>
              </w:rPr>
            </w:pPr>
          </w:p>
        </w:tc>
        <w:tc>
          <w:tcPr>
            <w:tcW w:w="542" w:type="dxa"/>
            <w:tcBorders>
              <w:top w:val="single" w:sz="4" w:space="0" w:color="000000"/>
            </w:tcBorders>
          </w:tcPr>
          <w:p>
            <w:pPr>
              <w:pStyle w:val="TableParagraph"/>
              <w:rPr>
                <w:rFonts w:ascii="Times New Roman"/>
                <w:sz w:val="18"/>
              </w:rPr>
            </w:pPr>
          </w:p>
        </w:tc>
        <w:tc>
          <w:tcPr>
            <w:tcW w:w="542" w:type="dxa"/>
            <w:tcBorders>
              <w:top w:val="single" w:sz="4" w:space="0" w:color="000000"/>
            </w:tcBorders>
          </w:tcPr>
          <w:p>
            <w:pPr>
              <w:pStyle w:val="TableParagraph"/>
              <w:rPr>
                <w:rFonts w:ascii="Times New Roman"/>
                <w:sz w:val="18"/>
              </w:rPr>
            </w:pPr>
          </w:p>
        </w:tc>
        <w:tc>
          <w:tcPr>
            <w:tcW w:w="542" w:type="dxa"/>
            <w:tcBorders>
              <w:top w:val="single" w:sz="4" w:space="0" w:color="000000"/>
            </w:tcBorders>
          </w:tcPr>
          <w:p>
            <w:pPr>
              <w:pStyle w:val="TableParagraph"/>
              <w:rPr>
                <w:rFonts w:ascii="Times New Roman"/>
                <w:sz w:val="18"/>
              </w:rPr>
            </w:pPr>
          </w:p>
        </w:tc>
        <w:tc>
          <w:tcPr>
            <w:tcW w:w="542" w:type="dxa"/>
            <w:tcBorders>
              <w:top w:val="single" w:sz="4" w:space="0" w:color="000000"/>
            </w:tcBorders>
          </w:tcPr>
          <w:p>
            <w:pPr>
              <w:pStyle w:val="TableParagraph"/>
              <w:rPr>
                <w:rFonts w:ascii="Times New Roman"/>
                <w:sz w:val="18"/>
              </w:rPr>
            </w:pPr>
          </w:p>
        </w:tc>
        <w:tc>
          <w:tcPr>
            <w:tcW w:w="461" w:type="dxa"/>
            <w:tcBorders>
              <w:top w:val="single" w:sz="4" w:space="0" w:color="000000"/>
            </w:tcBorders>
          </w:tcPr>
          <w:p>
            <w:pPr>
              <w:pStyle w:val="TableParagraph"/>
              <w:rPr>
                <w:rFonts w:ascii="Times New Roman"/>
                <w:sz w:val="18"/>
              </w:rPr>
            </w:pPr>
          </w:p>
        </w:tc>
        <w:tc>
          <w:tcPr>
            <w:tcW w:w="545" w:type="dxa"/>
            <w:tcBorders>
              <w:top w:val="single" w:sz="4" w:space="0" w:color="000000"/>
              <w:right w:val="single" w:sz="4" w:space="0" w:color="000000"/>
            </w:tcBorders>
          </w:tcPr>
          <w:p>
            <w:pPr>
              <w:pStyle w:val="TableParagraph"/>
              <w:spacing w:before="123"/>
              <w:ind w:left="18"/>
              <w:rPr>
                <w:b/>
                <w:sz w:val="16"/>
              </w:rPr>
            </w:pPr>
            <w:r>
              <w:rPr>
                <w:b/>
                <w:w w:val="105"/>
                <w:sz w:val="16"/>
              </w:rPr>
              <w:t>350</w:t>
            </w:r>
          </w:p>
        </w:tc>
      </w:tr>
      <w:tr>
        <w:trPr>
          <w:trHeight w:val="461" w:hRule="atLeast"/>
        </w:trPr>
        <w:tc>
          <w:tcPr>
            <w:tcW w:w="934" w:type="dxa"/>
            <w:tcBorders>
              <w:left w:val="single" w:sz="4" w:space="0" w:color="000000"/>
            </w:tcBorders>
          </w:tcPr>
          <w:p>
            <w:pPr>
              <w:pStyle w:val="TableParagraph"/>
              <w:spacing w:before="133"/>
              <w:ind w:left="237"/>
              <w:rPr>
                <w:b/>
                <w:sz w:val="16"/>
              </w:rPr>
            </w:pPr>
            <w:r>
              <w:rPr>
                <w:b/>
                <w:w w:val="105"/>
                <w:sz w:val="16"/>
              </w:rPr>
              <w:t>600</w:t>
            </w:r>
          </w:p>
        </w:tc>
        <w:tc>
          <w:tcPr>
            <w:tcW w:w="518" w:type="dxa"/>
          </w:tcPr>
          <w:p>
            <w:pPr>
              <w:pStyle w:val="TableParagraph"/>
              <w:rPr>
                <w:rFonts w:ascii="Times New Roman"/>
                <w:sz w:val="18"/>
              </w:rPr>
            </w:pPr>
          </w:p>
        </w:tc>
        <w:tc>
          <w:tcPr>
            <w:tcW w:w="2205" w:type="dxa"/>
            <w:vMerge/>
            <w:tcBorders>
              <w:top w:val="nil"/>
              <w:bottom w:val="single" w:sz="4" w:space="0" w:color="000000"/>
            </w:tcBorders>
          </w:tcPr>
          <w:p>
            <w:pPr>
              <w:rPr>
                <w:sz w:val="2"/>
                <w:szCs w:val="2"/>
              </w:rPr>
            </w:pPr>
          </w:p>
        </w:tc>
        <w:tc>
          <w:tcPr>
            <w:tcW w:w="539" w:type="dxa"/>
          </w:tcPr>
          <w:p>
            <w:pPr>
              <w:pStyle w:val="TableParagraph"/>
              <w:rPr>
                <w:rFonts w:ascii="Times New Roman"/>
                <w:sz w:val="18"/>
              </w:rPr>
            </w:pPr>
          </w:p>
        </w:tc>
        <w:tc>
          <w:tcPr>
            <w:tcW w:w="542" w:type="dxa"/>
          </w:tcPr>
          <w:p>
            <w:pPr>
              <w:pStyle w:val="TableParagraph"/>
              <w:rPr>
                <w:rFonts w:ascii="Times New Roman"/>
                <w:sz w:val="18"/>
              </w:rPr>
            </w:pPr>
          </w:p>
        </w:tc>
        <w:tc>
          <w:tcPr>
            <w:tcW w:w="542" w:type="dxa"/>
          </w:tcPr>
          <w:p>
            <w:pPr>
              <w:pStyle w:val="TableParagraph"/>
              <w:rPr>
                <w:rFonts w:ascii="Times New Roman"/>
                <w:sz w:val="18"/>
              </w:rPr>
            </w:pPr>
          </w:p>
        </w:tc>
        <w:tc>
          <w:tcPr>
            <w:tcW w:w="542" w:type="dxa"/>
          </w:tcPr>
          <w:p>
            <w:pPr>
              <w:pStyle w:val="TableParagraph"/>
              <w:rPr>
                <w:rFonts w:ascii="Times New Roman"/>
                <w:sz w:val="18"/>
              </w:rPr>
            </w:pPr>
          </w:p>
        </w:tc>
        <w:tc>
          <w:tcPr>
            <w:tcW w:w="542" w:type="dxa"/>
          </w:tcPr>
          <w:p>
            <w:pPr>
              <w:pStyle w:val="TableParagraph"/>
              <w:rPr>
                <w:rFonts w:ascii="Times New Roman"/>
                <w:sz w:val="18"/>
              </w:rPr>
            </w:pPr>
          </w:p>
        </w:tc>
        <w:tc>
          <w:tcPr>
            <w:tcW w:w="461" w:type="dxa"/>
          </w:tcPr>
          <w:p>
            <w:pPr>
              <w:pStyle w:val="TableParagraph"/>
              <w:rPr>
                <w:rFonts w:ascii="Times New Roman"/>
                <w:sz w:val="18"/>
              </w:rPr>
            </w:pPr>
          </w:p>
        </w:tc>
        <w:tc>
          <w:tcPr>
            <w:tcW w:w="545" w:type="dxa"/>
            <w:tcBorders>
              <w:right w:val="single" w:sz="4" w:space="0" w:color="000000"/>
            </w:tcBorders>
          </w:tcPr>
          <w:p>
            <w:pPr>
              <w:pStyle w:val="TableParagraph"/>
              <w:spacing w:before="142"/>
              <w:ind w:left="18"/>
              <w:rPr>
                <w:b/>
                <w:sz w:val="16"/>
              </w:rPr>
            </w:pPr>
            <w:r>
              <w:rPr>
                <w:b/>
                <w:w w:val="105"/>
                <w:sz w:val="16"/>
              </w:rPr>
              <w:t>300</w:t>
            </w:r>
          </w:p>
        </w:tc>
      </w:tr>
      <w:tr>
        <w:trPr>
          <w:trHeight w:val="462" w:hRule="atLeast"/>
        </w:trPr>
        <w:tc>
          <w:tcPr>
            <w:tcW w:w="934" w:type="dxa"/>
            <w:tcBorders>
              <w:left w:val="single" w:sz="4" w:space="0" w:color="000000"/>
            </w:tcBorders>
          </w:tcPr>
          <w:p>
            <w:pPr>
              <w:pStyle w:val="TableParagraph"/>
              <w:spacing w:before="133"/>
              <w:ind w:left="237"/>
              <w:rPr>
                <w:b/>
                <w:sz w:val="16"/>
              </w:rPr>
            </w:pPr>
            <w:r>
              <w:rPr>
                <w:b/>
                <w:w w:val="105"/>
                <w:sz w:val="16"/>
              </w:rPr>
              <w:t>500</w:t>
            </w:r>
          </w:p>
        </w:tc>
        <w:tc>
          <w:tcPr>
            <w:tcW w:w="518" w:type="dxa"/>
          </w:tcPr>
          <w:p>
            <w:pPr>
              <w:pStyle w:val="TableParagraph"/>
              <w:rPr>
                <w:rFonts w:ascii="Times New Roman"/>
                <w:sz w:val="18"/>
              </w:rPr>
            </w:pPr>
          </w:p>
        </w:tc>
        <w:tc>
          <w:tcPr>
            <w:tcW w:w="2205" w:type="dxa"/>
            <w:vMerge/>
            <w:tcBorders>
              <w:top w:val="nil"/>
              <w:bottom w:val="single" w:sz="4" w:space="0" w:color="000000"/>
            </w:tcBorders>
          </w:tcPr>
          <w:p>
            <w:pPr>
              <w:rPr>
                <w:sz w:val="2"/>
                <w:szCs w:val="2"/>
              </w:rPr>
            </w:pPr>
          </w:p>
        </w:tc>
        <w:tc>
          <w:tcPr>
            <w:tcW w:w="539" w:type="dxa"/>
          </w:tcPr>
          <w:p>
            <w:pPr>
              <w:pStyle w:val="TableParagraph"/>
              <w:rPr>
                <w:rFonts w:ascii="Times New Roman"/>
                <w:sz w:val="18"/>
              </w:rPr>
            </w:pPr>
          </w:p>
        </w:tc>
        <w:tc>
          <w:tcPr>
            <w:tcW w:w="542" w:type="dxa"/>
          </w:tcPr>
          <w:p>
            <w:pPr>
              <w:pStyle w:val="TableParagraph"/>
              <w:rPr>
                <w:rFonts w:ascii="Times New Roman"/>
                <w:sz w:val="18"/>
              </w:rPr>
            </w:pPr>
          </w:p>
        </w:tc>
        <w:tc>
          <w:tcPr>
            <w:tcW w:w="542" w:type="dxa"/>
          </w:tcPr>
          <w:p>
            <w:pPr>
              <w:pStyle w:val="TableParagraph"/>
              <w:rPr>
                <w:rFonts w:ascii="Times New Roman"/>
                <w:sz w:val="18"/>
              </w:rPr>
            </w:pPr>
          </w:p>
        </w:tc>
        <w:tc>
          <w:tcPr>
            <w:tcW w:w="542" w:type="dxa"/>
          </w:tcPr>
          <w:p>
            <w:pPr>
              <w:pStyle w:val="TableParagraph"/>
              <w:rPr>
                <w:rFonts w:ascii="Times New Roman"/>
                <w:sz w:val="18"/>
              </w:rPr>
            </w:pPr>
          </w:p>
        </w:tc>
        <w:tc>
          <w:tcPr>
            <w:tcW w:w="542" w:type="dxa"/>
          </w:tcPr>
          <w:p>
            <w:pPr>
              <w:pStyle w:val="TableParagraph"/>
              <w:rPr>
                <w:rFonts w:ascii="Times New Roman"/>
                <w:sz w:val="18"/>
              </w:rPr>
            </w:pPr>
          </w:p>
        </w:tc>
        <w:tc>
          <w:tcPr>
            <w:tcW w:w="461" w:type="dxa"/>
          </w:tcPr>
          <w:p>
            <w:pPr>
              <w:pStyle w:val="TableParagraph"/>
              <w:rPr>
                <w:rFonts w:ascii="Times New Roman"/>
                <w:sz w:val="18"/>
              </w:rPr>
            </w:pPr>
          </w:p>
        </w:tc>
        <w:tc>
          <w:tcPr>
            <w:tcW w:w="545" w:type="dxa"/>
            <w:tcBorders>
              <w:right w:val="single" w:sz="4" w:space="0" w:color="000000"/>
            </w:tcBorders>
          </w:tcPr>
          <w:p>
            <w:pPr>
              <w:pStyle w:val="TableParagraph"/>
              <w:spacing w:before="143"/>
              <w:ind w:left="18"/>
              <w:rPr>
                <w:b/>
                <w:sz w:val="16"/>
              </w:rPr>
            </w:pPr>
            <w:r>
              <w:rPr>
                <w:b/>
                <w:w w:val="105"/>
                <w:sz w:val="16"/>
              </w:rPr>
              <w:t>250</w:t>
            </w:r>
          </w:p>
        </w:tc>
      </w:tr>
      <w:tr>
        <w:trPr>
          <w:trHeight w:val="461" w:hRule="atLeast"/>
        </w:trPr>
        <w:tc>
          <w:tcPr>
            <w:tcW w:w="934" w:type="dxa"/>
            <w:tcBorders>
              <w:left w:val="single" w:sz="4" w:space="0" w:color="000000"/>
            </w:tcBorders>
          </w:tcPr>
          <w:p>
            <w:pPr>
              <w:pStyle w:val="TableParagraph"/>
              <w:spacing w:before="133"/>
              <w:ind w:left="237"/>
              <w:rPr>
                <w:b/>
                <w:sz w:val="16"/>
              </w:rPr>
            </w:pPr>
            <w:r>
              <w:rPr>
                <w:b/>
                <w:w w:val="105"/>
                <w:sz w:val="16"/>
              </w:rPr>
              <w:t>400</w:t>
            </w:r>
          </w:p>
        </w:tc>
        <w:tc>
          <w:tcPr>
            <w:tcW w:w="518" w:type="dxa"/>
          </w:tcPr>
          <w:p>
            <w:pPr>
              <w:pStyle w:val="TableParagraph"/>
              <w:rPr>
                <w:rFonts w:ascii="Times New Roman"/>
                <w:sz w:val="18"/>
              </w:rPr>
            </w:pPr>
          </w:p>
        </w:tc>
        <w:tc>
          <w:tcPr>
            <w:tcW w:w="2205" w:type="dxa"/>
            <w:vMerge/>
            <w:tcBorders>
              <w:top w:val="nil"/>
              <w:bottom w:val="single" w:sz="4" w:space="0" w:color="000000"/>
            </w:tcBorders>
          </w:tcPr>
          <w:p>
            <w:pPr>
              <w:rPr>
                <w:sz w:val="2"/>
                <w:szCs w:val="2"/>
              </w:rPr>
            </w:pPr>
          </w:p>
        </w:tc>
        <w:tc>
          <w:tcPr>
            <w:tcW w:w="539" w:type="dxa"/>
          </w:tcPr>
          <w:p>
            <w:pPr>
              <w:pStyle w:val="TableParagraph"/>
              <w:rPr>
                <w:rFonts w:ascii="Times New Roman"/>
                <w:sz w:val="18"/>
              </w:rPr>
            </w:pPr>
          </w:p>
        </w:tc>
        <w:tc>
          <w:tcPr>
            <w:tcW w:w="542" w:type="dxa"/>
          </w:tcPr>
          <w:p>
            <w:pPr>
              <w:pStyle w:val="TableParagraph"/>
              <w:rPr>
                <w:rFonts w:ascii="Times New Roman"/>
                <w:sz w:val="18"/>
              </w:rPr>
            </w:pPr>
          </w:p>
        </w:tc>
        <w:tc>
          <w:tcPr>
            <w:tcW w:w="542" w:type="dxa"/>
          </w:tcPr>
          <w:p>
            <w:pPr>
              <w:pStyle w:val="TableParagraph"/>
              <w:rPr>
                <w:rFonts w:ascii="Times New Roman"/>
                <w:sz w:val="18"/>
              </w:rPr>
            </w:pPr>
          </w:p>
        </w:tc>
        <w:tc>
          <w:tcPr>
            <w:tcW w:w="542" w:type="dxa"/>
          </w:tcPr>
          <w:p>
            <w:pPr>
              <w:pStyle w:val="TableParagraph"/>
              <w:rPr>
                <w:rFonts w:ascii="Times New Roman"/>
                <w:sz w:val="18"/>
              </w:rPr>
            </w:pPr>
          </w:p>
        </w:tc>
        <w:tc>
          <w:tcPr>
            <w:tcW w:w="542" w:type="dxa"/>
          </w:tcPr>
          <w:p>
            <w:pPr>
              <w:pStyle w:val="TableParagraph"/>
              <w:rPr>
                <w:rFonts w:ascii="Times New Roman"/>
                <w:sz w:val="18"/>
              </w:rPr>
            </w:pPr>
          </w:p>
        </w:tc>
        <w:tc>
          <w:tcPr>
            <w:tcW w:w="461" w:type="dxa"/>
          </w:tcPr>
          <w:p>
            <w:pPr>
              <w:pStyle w:val="TableParagraph"/>
              <w:rPr>
                <w:rFonts w:ascii="Times New Roman"/>
                <w:sz w:val="18"/>
              </w:rPr>
            </w:pPr>
          </w:p>
        </w:tc>
        <w:tc>
          <w:tcPr>
            <w:tcW w:w="545" w:type="dxa"/>
            <w:tcBorders>
              <w:right w:val="single" w:sz="4" w:space="0" w:color="000000"/>
            </w:tcBorders>
          </w:tcPr>
          <w:p>
            <w:pPr>
              <w:pStyle w:val="TableParagraph"/>
              <w:spacing w:before="142"/>
              <w:ind w:left="18"/>
              <w:rPr>
                <w:b/>
                <w:sz w:val="16"/>
              </w:rPr>
            </w:pPr>
            <w:r>
              <w:rPr>
                <w:b/>
                <w:w w:val="105"/>
                <w:sz w:val="16"/>
              </w:rPr>
              <w:t>200</w:t>
            </w:r>
          </w:p>
        </w:tc>
      </w:tr>
      <w:tr>
        <w:trPr>
          <w:trHeight w:val="461" w:hRule="atLeast"/>
        </w:trPr>
        <w:tc>
          <w:tcPr>
            <w:tcW w:w="934" w:type="dxa"/>
            <w:tcBorders>
              <w:left w:val="single" w:sz="4" w:space="0" w:color="000000"/>
            </w:tcBorders>
          </w:tcPr>
          <w:p>
            <w:pPr>
              <w:pStyle w:val="TableParagraph"/>
              <w:spacing w:before="133"/>
              <w:ind w:left="237"/>
              <w:rPr>
                <w:b/>
                <w:sz w:val="16"/>
              </w:rPr>
            </w:pPr>
            <w:r>
              <w:rPr>
                <w:b/>
                <w:w w:val="105"/>
                <w:sz w:val="16"/>
              </w:rPr>
              <w:t>300</w:t>
            </w:r>
          </w:p>
        </w:tc>
        <w:tc>
          <w:tcPr>
            <w:tcW w:w="518" w:type="dxa"/>
          </w:tcPr>
          <w:p>
            <w:pPr>
              <w:pStyle w:val="TableParagraph"/>
              <w:rPr>
                <w:rFonts w:ascii="Times New Roman"/>
                <w:sz w:val="18"/>
              </w:rPr>
            </w:pPr>
          </w:p>
        </w:tc>
        <w:tc>
          <w:tcPr>
            <w:tcW w:w="2205" w:type="dxa"/>
            <w:vMerge/>
            <w:tcBorders>
              <w:top w:val="nil"/>
              <w:bottom w:val="single" w:sz="4" w:space="0" w:color="000000"/>
            </w:tcBorders>
          </w:tcPr>
          <w:p>
            <w:pPr>
              <w:rPr>
                <w:sz w:val="2"/>
                <w:szCs w:val="2"/>
              </w:rPr>
            </w:pPr>
          </w:p>
        </w:tc>
        <w:tc>
          <w:tcPr>
            <w:tcW w:w="539" w:type="dxa"/>
          </w:tcPr>
          <w:p>
            <w:pPr>
              <w:pStyle w:val="TableParagraph"/>
              <w:rPr>
                <w:rFonts w:ascii="Times New Roman"/>
                <w:sz w:val="18"/>
              </w:rPr>
            </w:pPr>
          </w:p>
        </w:tc>
        <w:tc>
          <w:tcPr>
            <w:tcW w:w="542" w:type="dxa"/>
          </w:tcPr>
          <w:p>
            <w:pPr>
              <w:pStyle w:val="TableParagraph"/>
              <w:rPr>
                <w:rFonts w:ascii="Times New Roman"/>
                <w:sz w:val="18"/>
              </w:rPr>
            </w:pPr>
          </w:p>
        </w:tc>
        <w:tc>
          <w:tcPr>
            <w:tcW w:w="542" w:type="dxa"/>
          </w:tcPr>
          <w:p>
            <w:pPr>
              <w:pStyle w:val="TableParagraph"/>
              <w:rPr>
                <w:rFonts w:ascii="Times New Roman"/>
                <w:sz w:val="18"/>
              </w:rPr>
            </w:pPr>
          </w:p>
        </w:tc>
        <w:tc>
          <w:tcPr>
            <w:tcW w:w="542" w:type="dxa"/>
          </w:tcPr>
          <w:p>
            <w:pPr>
              <w:pStyle w:val="TableParagraph"/>
              <w:rPr>
                <w:rFonts w:ascii="Times New Roman"/>
                <w:sz w:val="18"/>
              </w:rPr>
            </w:pPr>
          </w:p>
        </w:tc>
        <w:tc>
          <w:tcPr>
            <w:tcW w:w="542" w:type="dxa"/>
          </w:tcPr>
          <w:p>
            <w:pPr>
              <w:pStyle w:val="TableParagraph"/>
              <w:rPr>
                <w:rFonts w:ascii="Times New Roman"/>
                <w:sz w:val="18"/>
              </w:rPr>
            </w:pPr>
          </w:p>
        </w:tc>
        <w:tc>
          <w:tcPr>
            <w:tcW w:w="461" w:type="dxa"/>
          </w:tcPr>
          <w:p>
            <w:pPr>
              <w:pStyle w:val="TableParagraph"/>
              <w:rPr>
                <w:rFonts w:ascii="Times New Roman"/>
                <w:sz w:val="18"/>
              </w:rPr>
            </w:pPr>
          </w:p>
        </w:tc>
        <w:tc>
          <w:tcPr>
            <w:tcW w:w="545" w:type="dxa"/>
            <w:tcBorders>
              <w:right w:val="single" w:sz="4" w:space="0" w:color="000000"/>
            </w:tcBorders>
          </w:tcPr>
          <w:p>
            <w:pPr>
              <w:pStyle w:val="TableParagraph"/>
              <w:spacing w:before="142"/>
              <w:ind w:left="18"/>
              <w:rPr>
                <w:b/>
                <w:sz w:val="16"/>
              </w:rPr>
            </w:pPr>
            <w:r>
              <w:rPr>
                <w:b/>
                <w:w w:val="105"/>
                <w:sz w:val="16"/>
              </w:rPr>
              <w:t>150</w:t>
            </w:r>
          </w:p>
        </w:tc>
      </w:tr>
      <w:tr>
        <w:trPr>
          <w:trHeight w:val="462" w:hRule="atLeast"/>
        </w:trPr>
        <w:tc>
          <w:tcPr>
            <w:tcW w:w="934" w:type="dxa"/>
            <w:tcBorders>
              <w:left w:val="single" w:sz="4" w:space="0" w:color="000000"/>
            </w:tcBorders>
          </w:tcPr>
          <w:p>
            <w:pPr>
              <w:pStyle w:val="TableParagraph"/>
              <w:spacing w:before="133"/>
              <w:ind w:left="237"/>
              <w:rPr>
                <w:b/>
                <w:sz w:val="16"/>
              </w:rPr>
            </w:pPr>
            <w:r>
              <w:rPr>
                <w:b/>
                <w:w w:val="105"/>
                <w:sz w:val="16"/>
              </w:rPr>
              <w:t>200</w:t>
            </w:r>
          </w:p>
        </w:tc>
        <w:tc>
          <w:tcPr>
            <w:tcW w:w="518" w:type="dxa"/>
          </w:tcPr>
          <w:p>
            <w:pPr>
              <w:pStyle w:val="TableParagraph"/>
              <w:rPr>
                <w:rFonts w:ascii="Times New Roman"/>
                <w:sz w:val="18"/>
              </w:rPr>
            </w:pPr>
          </w:p>
        </w:tc>
        <w:tc>
          <w:tcPr>
            <w:tcW w:w="2205" w:type="dxa"/>
            <w:vMerge/>
            <w:tcBorders>
              <w:top w:val="nil"/>
              <w:bottom w:val="single" w:sz="4" w:space="0" w:color="000000"/>
            </w:tcBorders>
          </w:tcPr>
          <w:p>
            <w:pPr>
              <w:rPr>
                <w:sz w:val="2"/>
                <w:szCs w:val="2"/>
              </w:rPr>
            </w:pPr>
          </w:p>
        </w:tc>
        <w:tc>
          <w:tcPr>
            <w:tcW w:w="539" w:type="dxa"/>
          </w:tcPr>
          <w:p>
            <w:pPr>
              <w:pStyle w:val="TableParagraph"/>
              <w:rPr>
                <w:rFonts w:ascii="Times New Roman"/>
                <w:sz w:val="18"/>
              </w:rPr>
            </w:pPr>
          </w:p>
        </w:tc>
        <w:tc>
          <w:tcPr>
            <w:tcW w:w="542" w:type="dxa"/>
          </w:tcPr>
          <w:p>
            <w:pPr>
              <w:pStyle w:val="TableParagraph"/>
              <w:rPr>
                <w:rFonts w:ascii="Times New Roman"/>
                <w:sz w:val="18"/>
              </w:rPr>
            </w:pPr>
          </w:p>
        </w:tc>
        <w:tc>
          <w:tcPr>
            <w:tcW w:w="542" w:type="dxa"/>
          </w:tcPr>
          <w:p>
            <w:pPr>
              <w:pStyle w:val="TableParagraph"/>
              <w:rPr>
                <w:rFonts w:ascii="Times New Roman"/>
                <w:sz w:val="18"/>
              </w:rPr>
            </w:pPr>
          </w:p>
        </w:tc>
        <w:tc>
          <w:tcPr>
            <w:tcW w:w="542" w:type="dxa"/>
          </w:tcPr>
          <w:p>
            <w:pPr>
              <w:pStyle w:val="TableParagraph"/>
              <w:rPr>
                <w:rFonts w:ascii="Times New Roman"/>
                <w:sz w:val="18"/>
              </w:rPr>
            </w:pPr>
          </w:p>
        </w:tc>
        <w:tc>
          <w:tcPr>
            <w:tcW w:w="542" w:type="dxa"/>
          </w:tcPr>
          <w:p>
            <w:pPr>
              <w:pStyle w:val="TableParagraph"/>
              <w:rPr>
                <w:rFonts w:ascii="Times New Roman"/>
                <w:sz w:val="18"/>
              </w:rPr>
            </w:pPr>
          </w:p>
        </w:tc>
        <w:tc>
          <w:tcPr>
            <w:tcW w:w="461" w:type="dxa"/>
          </w:tcPr>
          <w:p>
            <w:pPr>
              <w:pStyle w:val="TableParagraph"/>
              <w:rPr>
                <w:rFonts w:ascii="Times New Roman"/>
                <w:sz w:val="18"/>
              </w:rPr>
            </w:pPr>
          </w:p>
        </w:tc>
        <w:tc>
          <w:tcPr>
            <w:tcW w:w="545" w:type="dxa"/>
            <w:tcBorders>
              <w:right w:val="single" w:sz="4" w:space="0" w:color="000000"/>
            </w:tcBorders>
          </w:tcPr>
          <w:p>
            <w:pPr>
              <w:pStyle w:val="TableParagraph"/>
              <w:spacing w:before="143"/>
              <w:ind w:left="18"/>
              <w:rPr>
                <w:b/>
                <w:sz w:val="16"/>
              </w:rPr>
            </w:pPr>
            <w:r>
              <w:rPr>
                <w:b/>
                <w:w w:val="105"/>
                <w:sz w:val="16"/>
              </w:rPr>
              <w:t>100</w:t>
            </w:r>
          </w:p>
        </w:tc>
      </w:tr>
      <w:tr>
        <w:trPr>
          <w:trHeight w:val="462" w:hRule="atLeast"/>
        </w:trPr>
        <w:tc>
          <w:tcPr>
            <w:tcW w:w="934" w:type="dxa"/>
            <w:tcBorders>
              <w:left w:val="single" w:sz="4" w:space="0" w:color="000000"/>
            </w:tcBorders>
          </w:tcPr>
          <w:p>
            <w:pPr>
              <w:pStyle w:val="TableParagraph"/>
              <w:spacing w:before="133"/>
              <w:ind w:left="237"/>
              <w:rPr>
                <w:b/>
                <w:sz w:val="16"/>
              </w:rPr>
            </w:pPr>
            <w:r>
              <w:rPr>
                <w:b/>
                <w:w w:val="105"/>
                <w:sz w:val="16"/>
              </w:rPr>
              <w:t>100</w:t>
            </w:r>
          </w:p>
        </w:tc>
        <w:tc>
          <w:tcPr>
            <w:tcW w:w="518" w:type="dxa"/>
          </w:tcPr>
          <w:p>
            <w:pPr>
              <w:pStyle w:val="TableParagraph"/>
              <w:rPr>
                <w:rFonts w:ascii="Times New Roman"/>
                <w:sz w:val="18"/>
              </w:rPr>
            </w:pPr>
          </w:p>
        </w:tc>
        <w:tc>
          <w:tcPr>
            <w:tcW w:w="2205" w:type="dxa"/>
            <w:vMerge/>
            <w:tcBorders>
              <w:top w:val="nil"/>
              <w:bottom w:val="single" w:sz="4" w:space="0" w:color="000000"/>
            </w:tcBorders>
          </w:tcPr>
          <w:p>
            <w:pPr>
              <w:rPr>
                <w:sz w:val="2"/>
                <w:szCs w:val="2"/>
              </w:rPr>
            </w:pPr>
          </w:p>
        </w:tc>
        <w:tc>
          <w:tcPr>
            <w:tcW w:w="539" w:type="dxa"/>
          </w:tcPr>
          <w:p>
            <w:pPr>
              <w:pStyle w:val="TableParagraph"/>
              <w:rPr>
                <w:rFonts w:ascii="Times New Roman"/>
                <w:sz w:val="18"/>
              </w:rPr>
            </w:pPr>
          </w:p>
        </w:tc>
        <w:tc>
          <w:tcPr>
            <w:tcW w:w="542" w:type="dxa"/>
          </w:tcPr>
          <w:p>
            <w:pPr>
              <w:pStyle w:val="TableParagraph"/>
              <w:rPr>
                <w:rFonts w:ascii="Times New Roman"/>
                <w:sz w:val="18"/>
              </w:rPr>
            </w:pPr>
          </w:p>
        </w:tc>
        <w:tc>
          <w:tcPr>
            <w:tcW w:w="542" w:type="dxa"/>
          </w:tcPr>
          <w:p>
            <w:pPr>
              <w:pStyle w:val="TableParagraph"/>
              <w:rPr>
                <w:rFonts w:ascii="Times New Roman"/>
                <w:sz w:val="18"/>
              </w:rPr>
            </w:pPr>
          </w:p>
        </w:tc>
        <w:tc>
          <w:tcPr>
            <w:tcW w:w="542" w:type="dxa"/>
          </w:tcPr>
          <w:p>
            <w:pPr>
              <w:pStyle w:val="TableParagraph"/>
              <w:rPr>
                <w:rFonts w:ascii="Times New Roman"/>
                <w:sz w:val="18"/>
              </w:rPr>
            </w:pPr>
          </w:p>
        </w:tc>
        <w:tc>
          <w:tcPr>
            <w:tcW w:w="542" w:type="dxa"/>
          </w:tcPr>
          <w:p>
            <w:pPr>
              <w:pStyle w:val="TableParagraph"/>
              <w:rPr>
                <w:rFonts w:ascii="Times New Roman"/>
                <w:sz w:val="18"/>
              </w:rPr>
            </w:pPr>
          </w:p>
        </w:tc>
        <w:tc>
          <w:tcPr>
            <w:tcW w:w="461" w:type="dxa"/>
          </w:tcPr>
          <w:p>
            <w:pPr>
              <w:pStyle w:val="TableParagraph"/>
              <w:rPr>
                <w:rFonts w:ascii="Times New Roman"/>
                <w:sz w:val="18"/>
              </w:rPr>
            </w:pPr>
          </w:p>
        </w:tc>
        <w:tc>
          <w:tcPr>
            <w:tcW w:w="545" w:type="dxa"/>
            <w:tcBorders>
              <w:right w:val="single" w:sz="4" w:space="0" w:color="000000"/>
            </w:tcBorders>
          </w:tcPr>
          <w:p>
            <w:pPr>
              <w:pStyle w:val="TableParagraph"/>
              <w:spacing w:before="142"/>
              <w:ind w:left="16"/>
              <w:rPr>
                <w:b/>
                <w:sz w:val="16"/>
              </w:rPr>
            </w:pPr>
            <w:r>
              <w:rPr>
                <w:b/>
                <w:w w:val="105"/>
                <w:sz w:val="16"/>
              </w:rPr>
              <w:t>50</w:t>
            </w:r>
          </w:p>
        </w:tc>
      </w:tr>
      <w:tr>
        <w:trPr>
          <w:trHeight w:val="366" w:hRule="atLeast"/>
        </w:trPr>
        <w:tc>
          <w:tcPr>
            <w:tcW w:w="934" w:type="dxa"/>
            <w:tcBorders>
              <w:left w:val="single" w:sz="4" w:space="0" w:color="000000"/>
            </w:tcBorders>
          </w:tcPr>
          <w:p>
            <w:pPr>
              <w:pStyle w:val="TableParagraph"/>
              <w:spacing w:before="133"/>
              <w:jc w:val="center"/>
              <w:rPr>
                <w:b/>
                <w:sz w:val="16"/>
              </w:rPr>
            </w:pPr>
            <w:r>
              <w:rPr>
                <w:b/>
                <w:w w:val="103"/>
                <w:sz w:val="16"/>
              </w:rPr>
              <w:t>0</w:t>
            </w:r>
          </w:p>
        </w:tc>
        <w:tc>
          <w:tcPr>
            <w:tcW w:w="518" w:type="dxa"/>
          </w:tcPr>
          <w:p>
            <w:pPr>
              <w:pStyle w:val="TableParagraph"/>
              <w:rPr>
                <w:rFonts w:ascii="Times New Roman"/>
                <w:sz w:val="18"/>
              </w:rPr>
            </w:pPr>
          </w:p>
        </w:tc>
        <w:tc>
          <w:tcPr>
            <w:tcW w:w="2205" w:type="dxa"/>
            <w:vMerge/>
            <w:tcBorders>
              <w:top w:val="nil"/>
              <w:bottom w:val="single" w:sz="4" w:space="0" w:color="000000"/>
            </w:tcBorders>
          </w:tcPr>
          <w:p>
            <w:pPr>
              <w:rPr>
                <w:sz w:val="2"/>
                <w:szCs w:val="2"/>
              </w:rPr>
            </w:pPr>
          </w:p>
        </w:tc>
        <w:tc>
          <w:tcPr>
            <w:tcW w:w="539" w:type="dxa"/>
          </w:tcPr>
          <w:p>
            <w:pPr>
              <w:pStyle w:val="TableParagraph"/>
              <w:rPr>
                <w:rFonts w:ascii="Times New Roman"/>
                <w:sz w:val="18"/>
              </w:rPr>
            </w:pPr>
          </w:p>
        </w:tc>
        <w:tc>
          <w:tcPr>
            <w:tcW w:w="542" w:type="dxa"/>
          </w:tcPr>
          <w:p>
            <w:pPr>
              <w:pStyle w:val="TableParagraph"/>
              <w:rPr>
                <w:rFonts w:ascii="Times New Roman"/>
                <w:sz w:val="18"/>
              </w:rPr>
            </w:pPr>
          </w:p>
        </w:tc>
        <w:tc>
          <w:tcPr>
            <w:tcW w:w="542" w:type="dxa"/>
          </w:tcPr>
          <w:p>
            <w:pPr>
              <w:pStyle w:val="TableParagraph"/>
              <w:rPr>
                <w:rFonts w:ascii="Times New Roman"/>
                <w:sz w:val="18"/>
              </w:rPr>
            </w:pPr>
          </w:p>
        </w:tc>
        <w:tc>
          <w:tcPr>
            <w:tcW w:w="542" w:type="dxa"/>
          </w:tcPr>
          <w:p>
            <w:pPr>
              <w:pStyle w:val="TableParagraph"/>
              <w:rPr>
                <w:rFonts w:ascii="Times New Roman"/>
                <w:sz w:val="18"/>
              </w:rPr>
            </w:pPr>
          </w:p>
        </w:tc>
        <w:tc>
          <w:tcPr>
            <w:tcW w:w="542" w:type="dxa"/>
          </w:tcPr>
          <w:p>
            <w:pPr>
              <w:pStyle w:val="TableParagraph"/>
              <w:rPr>
                <w:rFonts w:ascii="Times New Roman"/>
                <w:sz w:val="18"/>
              </w:rPr>
            </w:pPr>
          </w:p>
        </w:tc>
        <w:tc>
          <w:tcPr>
            <w:tcW w:w="461" w:type="dxa"/>
          </w:tcPr>
          <w:p>
            <w:pPr>
              <w:pStyle w:val="TableParagraph"/>
              <w:rPr>
                <w:rFonts w:ascii="Times New Roman"/>
                <w:sz w:val="18"/>
              </w:rPr>
            </w:pPr>
          </w:p>
        </w:tc>
        <w:tc>
          <w:tcPr>
            <w:tcW w:w="545" w:type="dxa"/>
            <w:tcBorders>
              <w:right w:val="single" w:sz="4" w:space="0" w:color="000000"/>
            </w:tcBorders>
          </w:tcPr>
          <w:p>
            <w:pPr>
              <w:pStyle w:val="TableParagraph"/>
              <w:spacing w:before="142"/>
              <w:ind w:left="15"/>
              <w:rPr>
                <w:b/>
                <w:sz w:val="16"/>
              </w:rPr>
            </w:pPr>
            <w:r>
              <w:rPr>
                <w:b/>
                <w:w w:val="103"/>
                <w:sz w:val="16"/>
              </w:rPr>
              <w:t>0</w:t>
            </w:r>
          </w:p>
        </w:tc>
      </w:tr>
      <w:tr>
        <w:trPr>
          <w:trHeight w:val="457" w:hRule="atLeast"/>
        </w:trPr>
        <w:tc>
          <w:tcPr>
            <w:tcW w:w="934" w:type="dxa"/>
            <w:tcBorders>
              <w:left w:val="single" w:sz="4" w:space="0" w:color="000000"/>
              <w:bottom w:val="single" w:sz="4" w:space="0" w:color="000000"/>
            </w:tcBorders>
          </w:tcPr>
          <w:p>
            <w:pPr>
              <w:pStyle w:val="TableParagraph"/>
              <w:spacing w:before="39"/>
              <w:ind w:left="490"/>
              <w:rPr>
                <w:b/>
                <w:sz w:val="16"/>
              </w:rPr>
            </w:pPr>
            <w:r>
              <w:rPr>
                <w:b/>
                <w:w w:val="105"/>
                <w:sz w:val="16"/>
              </w:rPr>
              <w:t>2000</w:t>
            </w:r>
          </w:p>
        </w:tc>
        <w:tc>
          <w:tcPr>
            <w:tcW w:w="518" w:type="dxa"/>
            <w:tcBorders>
              <w:bottom w:val="single" w:sz="4" w:space="0" w:color="000000"/>
            </w:tcBorders>
          </w:tcPr>
          <w:p>
            <w:pPr>
              <w:pStyle w:val="TableParagraph"/>
              <w:spacing w:before="39"/>
              <w:ind w:right="51"/>
              <w:jc w:val="right"/>
              <w:rPr>
                <w:b/>
                <w:sz w:val="16"/>
              </w:rPr>
            </w:pPr>
            <w:r>
              <w:rPr>
                <w:b/>
                <w:sz w:val="16"/>
              </w:rPr>
              <w:t>2001</w:t>
            </w:r>
          </w:p>
        </w:tc>
        <w:tc>
          <w:tcPr>
            <w:tcW w:w="2205" w:type="dxa"/>
            <w:vMerge/>
            <w:tcBorders>
              <w:top w:val="nil"/>
              <w:bottom w:val="single" w:sz="4" w:space="0" w:color="000000"/>
            </w:tcBorders>
          </w:tcPr>
          <w:p>
            <w:pPr>
              <w:rPr>
                <w:sz w:val="2"/>
                <w:szCs w:val="2"/>
              </w:rPr>
            </w:pPr>
          </w:p>
        </w:tc>
        <w:tc>
          <w:tcPr>
            <w:tcW w:w="539" w:type="dxa"/>
            <w:tcBorders>
              <w:bottom w:val="single" w:sz="4" w:space="0" w:color="000000"/>
            </w:tcBorders>
          </w:tcPr>
          <w:p>
            <w:pPr>
              <w:pStyle w:val="TableParagraph"/>
              <w:spacing w:before="39"/>
              <w:ind w:left="92"/>
              <w:rPr>
                <w:b/>
                <w:sz w:val="16"/>
              </w:rPr>
            </w:pPr>
            <w:r>
              <w:rPr>
                <w:b/>
                <w:w w:val="105"/>
                <w:sz w:val="16"/>
              </w:rPr>
              <w:t>2006</w:t>
            </w:r>
          </w:p>
        </w:tc>
        <w:tc>
          <w:tcPr>
            <w:tcW w:w="542" w:type="dxa"/>
            <w:tcBorders>
              <w:bottom w:val="single" w:sz="4" w:space="0" w:color="000000"/>
            </w:tcBorders>
          </w:tcPr>
          <w:p>
            <w:pPr>
              <w:pStyle w:val="TableParagraph"/>
              <w:spacing w:before="39"/>
              <w:ind w:left="95"/>
              <w:rPr>
                <w:b/>
                <w:sz w:val="16"/>
              </w:rPr>
            </w:pPr>
            <w:r>
              <w:rPr>
                <w:b/>
                <w:w w:val="105"/>
                <w:sz w:val="16"/>
              </w:rPr>
              <w:t>2007</w:t>
            </w:r>
          </w:p>
        </w:tc>
        <w:tc>
          <w:tcPr>
            <w:tcW w:w="542" w:type="dxa"/>
            <w:tcBorders>
              <w:bottom w:val="single" w:sz="4" w:space="0" w:color="000000"/>
            </w:tcBorders>
          </w:tcPr>
          <w:p>
            <w:pPr>
              <w:pStyle w:val="TableParagraph"/>
              <w:spacing w:before="39"/>
              <w:ind w:left="95"/>
              <w:rPr>
                <w:b/>
                <w:sz w:val="16"/>
              </w:rPr>
            </w:pPr>
            <w:r>
              <w:rPr>
                <w:b/>
                <w:w w:val="105"/>
                <w:sz w:val="16"/>
              </w:rPr>
              <w:t>2008</w:t>
            </w:r>
          </w:p>
        </w:tc>
        <w:tc>
          <w:tcPr>
            <w:tcW w:w="542" w:type="dxa"/>
            <w:tcBorders>
              <w:bottom w:val="single" w:sz="4" w:space="0" w:color="000000"/>
            </w:tcBorders>
          </w:tcPr>
          <w:p>
            <w:pPr>
              <w:pStyle w:val="TableParagraph"/>
              <w:spacing w:before="39"/>
              <w:ind w:left="96"/>
              <w:rPr>
                <w:b/>
                <w:sz w:val="16"/>
              </w:rPr>
            </w:pPr>
            <w:r>
              <w:rPr>
                <w:b/>
                <w:w w:val="105"/>
                <w:sz w:val="16"/>
              </w:rPr>
              <w:t>2009</w:t>
            </w:r>
          </w:p>
        </w:tc>
        <w:tc>
          <w:tcPr>
            <w:tcW w:w="542" w:type="dxa"/>
            <w:tcBorders>
              <w:bottom w:val="single" w:sz="4" w:space="0" w:color="000000"/>
            </w:tcBorders>
          </w:tcPr>
          <w:p>
            <w:pPr>
              <w:pStyle w:val="TableParagraph"/>
              <w:spacing w:before="39"/>
              <w:ind w:left="96"/>
              <w:rPr>
                <w:b/>
                <w:sz w:val="16"/>
              </w:rPr>
            </w:pPr>
            <w:r>
              <w:rPr>
                <w:b/>
                <w:w w:val="105"/>
                <w:sz w:val="16"/>
              </w:rPr>
              <w:t>2010</w:t>
            </w:r>
          </w:p>
        </w:tc>
        <w:tc>
          <w:tcPr>
            <w:tcW w:w="461" w:type="dxa"/>
            <w:tcBorders>
              <w:bottom w:val="single" w:sz="4" w:space="0" w:color="000000"/>
            </w:tcBorders>
          </w:tcPr>
          <w:p>
            <w:pPr>
              <w:pStyle w:val="TableParagraph"/>
              <w:spacing w:before="39"/>
              <w:ind w:left="96"/>
              <w:rPr>
                <w:b/>
                <w:sz w:val="16"/>
              </w:rPr>
            </w:pPr>
            <w:r>
              <w:rPr>
                <w:b/>
                <w:sz w:val="16"/>
              </w:rPr>
              <w:t>2011</w:t>
            </w:r>
          </w:p>
        </w:tc>
        <w:tc>
          <w:tcPr>
            <w:tcW w:w="545" w:type="dxa"/>
            <w:tcBorders>
              <w:bottom w:val="single" w:sz="4" w:space="0" w:color="000000"/>
              <w:right w:val="single" w:sz="4" w:space="0" w:color="000000"/>
            </w:tcBorders>
          </w:tcPr>
          <w:p>
            <w:pPr>
              <w:pStyle w:val="TableParagraph"/>
              <w:rPr>
                <w:rFonts w:ascii="Times New Roman"/>
                <w:sz w:val="18"/>
              </w:rPr>
            </w:pPr>
          </w:p>
        </w:tc>
      </w:tr>
      <w:tr>
        <w:trPr>
          <w:trHeight w:val="311" w:hRule="atLeast"/>
        </w:trPr>
        <w:tc>
          <w:tcPr>
            <w:tcW w:w="737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Pr>
                <w:sz w:val="18"/>
              </w:rPr>
            </w:pPr>
            <w:r>
              <w:rPr>
                <w:sz w:val="18"/>
              </w:rPr>
              <w:t>Source: Thompson Datastream</w:t>
            </w:r>
          </w:p>
        </w:tc>
      </w:tr>
    </w:tbl>
    <w:p>
      <w:pPr>
        <w:pStyle w:val="BodyText"/>
        <w:spacing w:before="6"/>
        <w:rPr>
          <w:sz w:val="21"/>
        </w:rPr>
      </w:pPr>
    </w:p>
    <w:p>
      <w:pPr>
        <w:pStyle w:val="BodyText"/>
        <w:spacing w:line="360" w:lineRule="auto" w:before="94"/>
        <w:ind w:left="233" w:right="178"/>
      </w:pPr>
      <w:r>
        <w:rPr/>
        <w:pict>
          <v:group style="position:absolute;margin-left:87.599998pt;margin-top:-224.840195pt;width:304.5pt;height:167.65pt;mso-position-horizontal-relative:page;mso-position-vertical-relative:paragraph;z-index:-254946304" coordorigin="1752,-4497" coordsize="6090,3353">
            <v:line style="position:absolute" from="1813,-4490" to="1813,-1190" stroked="true" strokeweight=".78pt" strokecolor="#868686">
              <v:stroke dashstyle="solid"/>
            </v:line>
            <v:shape style="position:absolute;left:1752;top:-4497;width:60;height:3315" coordorigin="1752,-4497" coordsize="60,3315" path="m1812,-1197l1752,-1197,1752,-1182,1812,-1182,1812,-1197m1812,-1677l1752,-1677,1752,-1662,1812,-1662,1812,-1677m1812,-2142l1752,-2142,1752,-2127,1812,-2127,1812,-2142m1812,-2607l1752,-2607,1752,-2592,1812,-2592,1812,-2607m1812,-3087l1752,-3087,1752,-3071,1812,-3071,1812,-3087m1812,-3551l1752,-3551,1752,-3537,1812,-3537,1812,-3551m1812,-4031l1752,-4031,1752,-4017,1812,-4017,1812,-4031m1812,-4497l1752,-4497,1752,-4481,1812,-4481,1812,-4497e" filled="true" fillcolor="#868686" stroked="false">
              <v:path arrowok="t"/>
              <v:fill type="solid"/>
            </v:shape>
            <v:line style="position:absolute" from="7797,-4490" to="7797,-1190" stroked="true" strokeweight=".78pt" strokecolor="#000000">
              <v:stroke dashstyle="solid"/>
            </v:line>
            <v:shape style="position:absolute;left:7797;top:-4497;width:45;height:3315" coordorigin="7798,-4497" coordsize="45,3315" path="m7842,-1197l7798,-1197,7798,-1182,7842,-1182,7842,-1197m7842,-1677l7798,-1677,7798,-1662,7842,-1662,7842,-1677m7842,-2142l7798,-2142,7798,-2127,7842,-2127,7842,-2142m7842,-2607l7798,-2607,7798,-2592,7842,-2592,7842,-2607m7842,-3087l7798,-3087,7798,-3071,7842,-3071,7842,-3087m7842,-3551l7798,-3551,7798,-3537,7842,-3537,7842,-3551m7842,-4031l7798,-4031,7798,-4017,7842,-4017,7842,-4031m7842,-4497l7798,-4497,7798,-4481,7842,-4481,7842,-4497e" filled="true" fillcolor="#000000" stroked="false">
              <v:path arrowok="t"/>
              <v:fill type="solid"/>
            </v:shape>
            <v:line style="position:absolute" from="1812,-1190" to="7798,-1190" stroked="true" strokeweight=".72pt" strokecolor="#000000">
              <v:stroke dashstyle="solid"/>
            </v:line>
            <v:shape style="position:absolute;left:1804;top:-1190;width:5970;height:46" coordorigin="1805,-1190" coordsize="5970,46" path="m1820,-1190l1805,-1190,1805,-1144,1820,-1144,1820,-1190m2360,-1190l2345,-1190,2345,-1144,2360,-1144,2360,-1190m2900,-1190l2885,-1190,2885,-1144,2900,-1144,2900,-1190m3440,-1190l3425,-1190,3425,-1144,3440,-1144,3440,-1190m3980,-1190l3965,-1190,3965,-1144,3980,-1144,3980,-1190m4519,-1190l4505,-1190,4505,-1144,4519,-1144,4519,-1190m5075,-1190l5059,-1190,5059,-1144,5075,-1144,5075,-1190m5615,-1190l5599,-1190,5599,-1144,5615,-1144,5615,-1190m6155,-1190l6139,-1190,6139,-1144,6155,-1144,6155,-1190m6695,-1190l6679,-1190,6679,-1144,6695,-1144,6695,-1190m7235,-1190l7219,-1190,7219,-1144,7235,-1144,7235,-1190m7775,-1190l7759,-1190,7759,-1144,7775,-1144,7775,-1190e" filled="true" fillcolor="#000000" stroked="false">
              <v:path arrowok="t"/>
              <v:fill type="solid"/>
            </v:shape>
            <v:shape style="position:absolute;left:1804;top:-4192;width:6000;height:2697" type="#_x0000_t75" stroked="false">
              <v:imagedata r:id="rId10" o:title=""/>
            </v:shape>
            <w10:wrap type="none"/>
          </v:group>
        </w:pict>
      </w:r>
      <w:r>
        <w:rPr/>
        <w:t>These global developments have also underpinned the international financial imbalances which emerged in the 2000s. The US recorded a significant deterioration in its current account position, with the counterpart of large surpluses in China and among oil and commodity producers. These imbalances have corrected to some degree over the course of the recession as deliberate steps were taken in China and other Asian economies to boost demand to make up for the shortfall in western economies. But as the world economy bounces back from recession, there is now a risk that global demand is too strong. And the strong upward pressure on global energy and commodity prices we are now experiencing can be seen as a warning signal of this shift in the global demand climate.</w:t>
      </w:r>
    </w:p>
    <w:p>
      <w:pPr>
        <w:pStyle w:val="BodyText"/>
        <w:spacing w:before="2"/>
        <w:rPr>
          <w:sz w:val="30"/>
        </w:rPr>
      </w:pPr>
    </w:p>
    <w:p>
      <w:pPr>
        <w:pStyle w:val="Heading1"/>
      </w:pPr>
      <w:r>
        <w:rPr/>
        <w:t>Global influences on UK inflation and monetary policy</w:t>
      </w:r>
    </w:p>
    <w:p>
      <w:pPr>
        <w:pStyle w:val="BodyText"/>
        <w:rPr>
          <w:b/>
          <w:sz w:val="22"/>
        </w:rPr>
      </w:pPr>
    </w:p>
    <w:p>
      <w:pPr>
        <w:pStyle w:val="BodyText"/>
        <w:spacing w:before="9"/>
        <w:rPr>
          <w:b/>
          <w:sz w:val="17"/>
        </w:rPr>
      </w:pPr>
    </w:p>
    <w:p>
      <w:pPr>
        <w:pStyle w:val="BodyText"/>
        <w:spacing w:line="360" w:lineRule="auto"/>
        <w:ind w:left="233" w:right="106"/>
      </w:pPr>
      <w:r>
        <w:rPr/>
        <w:t>The operation of this “new global economy” has therefore provided the backdrop to my time on the MPC, and has driven the main developments that the Committee has had to respond to. The role of the MPC is to maintain low and stable inflation in the UK – currently defined in terms of a 2% target for CPI inflation. But this task is greatly complicated by the wide variety of ways in which global economic developments impact the UK economy and hence influence our rate of inflation. I believe it helps to think of these in terms of three key channels of influence: import prices; demand; and the pricing climate.</w:t>
      </w:r>
      <w:r>
        <w:rPr>
          <w:spacing w:val="15"/>
        </w:rPr>
        <w:t> </w:t>
      </w:r>
      <w:r>
        <w:rPr/>
        <w:t>Let me discuss these in turn.</w:t>
      </w:r>
    </w:p>
    <w:p>
      <w:pPr>
        <w:pStyle w:val="BodyText"/>
        <w:spacing w:before="1"/>
        <w:rPr>
          <w:sz w:val="30"/>
        </w:rPr>
      </w:pPr>
    </w:p>
    <w:p>
      <w:pPr>
        <w:pStyle w:val="BodyText"/>
        <w:spacing w:line="360" w:lineRule="auto"/>
        <w:ind w:left="234" w:right="187"/>
      </w:pPr>
      <w:r>
        <w:rPr/>
        <w:t>It is quite clear in an open economy like the UK that the prices of imported goods and services will affect our rate of inflation – both through their direct effect and as potential competition for domestic producers.</w:t>
      </w:r>
    </w:p>
    <w:p>
      <w:pPr>
        <w:spacing w:after="0" w:line="360" w:lineRule="auto"/>
        <w:sectPr>
          <w:footerReference w:type="default" r:id="rId9"/>
          <w:pgSz w:w="11900" w:h="16840"/>
          <w:pgMar w:footer="1340" w:header="0" w:top="1360" w:bottom="1540" w:left="900" w:right="1020"/>
          <w:pgNumType w:start="7"/>
        </w:sectPr>
      </w:pPr>
    </w:p>
    <w:p>
      <w:pPr>
        <w:pStyle w:val="BodyText"/>
        <w:spacing w:line="360" w:lineRule="auto" w:before="77"/>
        <w:ind w:left="233" w:right="254"/>
      </w:pPr>
      <w:r>
        <w:rPr/>
        <w:pict>
          <v:group style="position:absolute;margin-left:69.239998pt;margin-top:135.090012pt;width:325.1pt;height:166.45pt;mso-position-horizontal-relative:page;mso-position-vertical-relative:paragraph;z-index:-254944256" coordorigin="1385,2702" coordsize="6502,3329">
            <v:line style="position:absolute" from="7827,2709" to="7827,6023" stroked="true" strokeweight=".78pt" strokecolor="#000000">
              <v:stroke dashstyle="solid"/>
            </v:line>
            <v:shape style="position:absolute;left:7827;top:2701;width:59;height:3329" coordorigin="7828,2702" coordsize="59,3329" path="m7886,6016l7828,6016,7828,6031,7886,6031,7886,6016m7886,5461l7828,5461,7828,5476,7886,5476,7886,5461m7886,4906l7828,4906,7828,4921,7886,4921,7886,4906m7886,4351l7828,4351,7828,4366,7886,4366,7886,4351m7886,3812l7828,3812,7828,3826,7886,3826,7886,3812m7886,3256l7828,3256,7828,3272,7886,3272,7886,3256m7886,2702l7828,2702,7828,2716,7886,2716,7886,2702e" filled="true" fillcolor="#000000" stroked="false">
              <v:path arrowok="t"/>
              <v:fill type="solid"/>
            </v:shape>
            <v:line style="position:absolute" from="1392,4913" to="7828,4913" stroked="true" strokeweight=".71997pt" strokecolor="#000000">
              <v:stroke dashstyle="solid"/>
            </v:line>
            <v:shape style="position:absolute;left:1384;top:4913;width:5865;height:60" coordorigin="1385,4913" coordsize="5865,60" path="m1400,4913l1385,4913,1385,4973,1400,4973,1400,4913m1985,4913l1970,4913,1970,4973,1985,4973,1985,4913m2570,4913l2555,4913,2555,4973,2570,4973,2570,4913m3155,4913l3140,4913,3140,4973,3155,4973,3155,4913m3740,4913l3725,4913,3725,4973,3740,4973,3740,4913m4325,4913l4310,4913,4310,4973,4325,4973,4325,4913m4909,4913l4895,4913,4895,4973,4909,4973,4909,4913m5495,4913l5479,4913,5479,4973,5495,4973,5495,4913m6079,4913l6065,4913,6065,4973,6079,4973,6079,4913m6665,4913l6649,4913,6649,4973,6665,4973,6665,4913m7249,4913l7235,4913,7235,4973,7249,4973,7249,4913e" filled="true" fillcolor="#000000" stroked="false">
              <v:path arrowok="t"/>
              <v:fill type="solid"/>
            </v:shape>
            <v:shape style="position:absolute;left:1398;top:4336;width:6423;height:540" coordorigin="1398,4336" coordsize="6423,540" path="m1520,4828l1466,4828,1478,4832,1474,4833,1512,4858,1514,4862,1560,4862,1606,4876,1616,4876,1672,4848,1603,4848,1608,4846,1575,4834,1529,4834,1520,4832,1526,4832,1520,4828xm1758,4828l1706,4828,1720,4832,1715,4834,1752,4858,1758,4864,1765,4862,1771,4858,1792,4836,1750,4836,1758,4828xm2722,4764l2770,4844,2772,4846,2777,4846,2837,4862,2846,4862,2872,4836,2830,4836,2836,4830,2814,4824,2792,4824,2784,4816,2788,4816,2761,4772,2735,4772,2722,4764xm1480,4802l1471,4802,1411,4816,1403,4820,1398,4828,1400,4834,1403,4844,1411,4848,1418,4846,1474,4833,1466,4828,1520,4828,1483,4804,1480,4802xm1608,4846l1603,4848,1615,4848,1608,4846xm1720,4802l1710,4802,1666,4818,1663,4818,1608,4846,1615,4848,1672,4848,1676,4846,1675,4846,1715,4834,1706,4828,1758,4828,1758,4827,1723,4804,1720,4802xm1902,4814l1946,4844,1950,4846,1955,4848,1960,4846,2002,4833,1997,4832,2110,4832,2111,4830,2112,4830,2113,4828,2125,4820,1963,4820,1950,4818,1956,4816,1910,4816,1902,4814xm2442,4801l2484,4842,2490,4846,2497,4848,2537,4822,2506,4822,2486,4820,2497,4813,2486,4802,2447,4802,2442,4801xm2110,4832l2005,4832,2002,4833,2057,4846,2065,4846,2110,4832xm1758,4827l1750,4836,1769,4834,1758,4827xm1913,4786l1801,4786,1798,4788,1758,4827,1769,4834,1750,4836,1792,4836,1812,4816,1805,4816,1816,4812,1951,4812,1919,4790,1916,4788,1913,4786xm2836,4830l2830,4836,2844,4832,2836,4830xm2972,4786l2881,4786,2878,4788,2836,4830,2844,4832,2830,4836,2872,4836,2892,4816,2885,4816,2896,4812,2987,4812,3016,4790,2966,4790,2972,4786xm1526,4832l1520,4832,1529,4834,1526,4832xm1570,4832l1526,4832,1529,4834,1575,4834,1570,4832xm1706,4828l1715,4834,1720,4832,1706,4828xm2005,4832l1997,4832,2002,4833,2005,4832xm1466,4828l1474,4833,1478,4832,1466,4828xm2784,4816l2792,4824,2788,4817,2784,4816xm2788,4817l2792,4824,2814,4824,2788,4817xm2497,4813l2486,4820,2506,4822,2497,4813xm2567,4790l2532,4790,2497,4813,2506,4822,2537,4822,2549,4814,2552,4810,2567,4790xm1957,4816l1950,4818,1963,4820,1957,4816xm2004,4802l1996,4802,1957,4816,1963,4820,2125,4820,2128,4818,2056,4818,2062,4816,2004,4802xm7050,4750l7013,4750,7020,4756,7017,4756,7057,4810,7062,4816,7072,4820,7079,4814,7107,4792,7081,4792,7061,4790,7073,4781,7055,4756,7020,4756,7016,4755,7054,4755,7050,4750xm2062,4816l2056,4818,2064,4816,2062,4816xm2099,4803l2062,4816,2064,4816,2056,4818,2128,4818,2150,4804,2096,4804,2099,4803xm3364,4756l3236,4756,3232,4758,3270,4772,3316,4772,3360,4786,3358,4786,3422,4818,3428,4816,3433,4814,3469,4790,3416,4790,3425,4785,3372,4758,3370,4758,3364,4756xm2788,4816l2784,4816,2788,4817,2788,4816xm1816,4812l1805,4816,1812,4816,1816,4812xm1951,4812l1816,4812,1812,4816,1905,4816,1902,4814,1954,4814,1951,4812xm1954,4814l1902,4814,1910,4816,1956,4816,1957,4816,1954,4814xm2896,4812l2885,4816,2892,4816,2896,4812xm2987,4812l2896,4812,2892,4816,2981,4816,2984,4814,2987,4812xm3808,4786l3852,4814,3857,4816,3913,4816,3916,4812,3936,4792,3894,4792,3896,4790,3868,4790,3860,4786,3811,4786,3808,4786xm4094,4786l4136,4814,4140,4816,4148,4816,4208,4802,4210,4802,4212,4800,4213,4798,4225,4790,4153,4790,4141,4786,4096,4786,4094,4786xm2100,4802l2099,4803,2096,4804,2100,4802xm2153,4802l2100,4802,2096,4804,2150,4804,2153,4802xm2141,4775l2099,4803,2100,4802,2153,4802,2159,4798,2161,4798,2162,4796,2176,4778,2138,4778,2141,4775xm2440,4798l2442,4801,2447,4802,2440,4798xm2482,4798l2440,4798,2447,4802,2486,4802,2482,4798xm2377,4738l2353,4738,2342,4746,2380,4782,2381,4784,2383,4786,2387,4786,2442,4801,2440,4798,2482,4798,2460,4776,2459,4774,2456,4772,2454,4772,2416,4762,2400,4762,2394,4756,2394,4756,2377,4738xm2588,4726l2582,4726,2576,4728,2573,4732,2528,4792,2532,4790,2567,4790,2591,4759,2581,4756,2597,4750,2748,4750,2746,4744,2741,4742,2648,4742,2588,4726xm4012,4726l4006,4726,3946,4742,3943,4742,3941,4744,3940,4746,3894,4792,3905,4786,3942,4786,3956,4772,3954,4772,3960,4768,3969,4768,4009,4757,4006,4756,4098,4756,4060,4742,4014,4728,4012,4726xm3942,4786l3905,4786,3894,4792,3936,4792,3942,4786xm7073,4781l7061,4790,7081,4792,7073,4781xm7119,4745l7073,4781,7081,4792,7107,4792,7139,4768,7161,4746,7118,4746,7119,4745xm3075,4742l3029,4742,3026,4744,2966,4790,2975,4786,3021,4786,3039,4772,3035,4772,3044,4768,3089,4768,3122,4746,3120,4744,3072,4744,3075,4742xm3021,4786l2975,4786,2966,4790,3016,4790,3021,4786xm3425,4785l3416,4790,3432,4788,3425,4785xm3822,4758l3463,4758,3462,4760,3425,4785,3432,4788,3416,4790,3469,4790,3478,4784,3482,4784,3520,4772,3841,4772,3823,4760,3822,4758xm3859,4784l3806,4784,3811,4786,3860,4786,3868,4790,3859,4784xm3900,4786l3862,4786,3868,4790,3896,4790,3900,4786xm4146,4785l4141,4786,4153,4790,4146,4785xm4198,4773l4146,4785,4153,4790,4225,4790,4249,4774,4196,4774,4198,4773xm3157,4738l3133,4738,3122,4746,3160,4782,3164,4786,3170,4788,3176,4786,3224,4762,3180,4762,3163,4758,3172,4754,3157,4738xm3482,4784l3478,4784,3475,4786,3482,4784xm3751,4772l3616,4772,3660,4786,3714,4786,3756,4773,3751,4772xm3806,4784l3808,4786,3811,4786,3806,4784xm4092,4784l4094,4786,4096,4786,4092,4784xm4144,4784l4092,4784,4096,4786,4141,4786,4146,4785,4144,4784xm4098,4756l4014,4756,4009,4757,4050,4772,4094,4786,4092,4784,4144,4784,4108,4760,4108,4758,4104,4758,4098,4756xm3841,4772l3760,4772,3756,4773,3808,4786,3806,4784,3859,4784,3841,4772xm2142,4774l2141,4775,2138,4778,2142,4774xm2179,4774l2142,4774,2138,4778,2176,4778,2179,4774xm2261,4712l2190,4712,2186,4714,2183,4718,2141,4775,2142,4774,2179,4774,2202,4742,2195,4742,2207,4736,2297,4736,2263,4714,2261,4712xm4201,4772l4198,4773,4196,4774,4201,4772xm4252,4772l4201,4772,4196,4774,4249,4774,4252,4772xm3760,4772l3751,4772,3756,4773,3760,4772xm4300,4712l4290,4712,4286,4714,4242,4744,4198,4773,4201,4772,4252,4772,4258,4768,4295,4744,4290,4742,4303,4738,4415,4738,4444,4728,4344,4728,4336,4726,4337,4726,4300,4712xm2246,4738l2292,4768,2297,4772,2303,4772,2342,4746,2340,4744,2292,4744,2295,4742,2255,4742,2246,4738xm2748,4750l2597,4750,2591,4759,2641,4772,2726,4772,2722,4764,2756,4764,2748,4750xm2756,4764l2722,4764,2735,4772,2761,4772,2756,4764xm3044,4768l3035,4772,3039,4772,3044,4768xm3089,4768l3044,4768,3039,4772,3085,4772,3089,4768xm3960,4768l3954,4772,3957,4771,3960,4768xm3957,4771l3954,4772,3956,4772,3957,4771xm3969,4768l3960,4768,3957,4771,3969,4768xm2394,4756l2400,4762,2394,4756,2394,4756xm2394,4756l2400,4762,2416,4762,2394,4756xm3172,4754l3163,4758,3180,4762,3172,4754xm3230,4726l3227,4726,3223,4728,3172,4754,3180,4762,3224,4762,3232,4758,3226,4756,3364,4756,3325,4742,3280,4742,3235,4728,3230,4726xm2597,4750l2581,4756,2591,4759,2597,4750xm3236,4756l3226,4756,3232,4758,3236,4756xm3625,4742l3510,4742,3466,4758,3670,4758,3625,4742xm3710,4756l3665,4756,3670,4758,3706,4758,3710,4756xm3758,4742l3750,4742,3706,4758,3820,4758,3818,4756,3758,4742xm4014,4756l4006,4756,4009,4757,4014,4756xm2394,4756l2394,4756,2394,4756,2394,4756xm4415,4738l4303,4738,4295,4744,4336,4756,4344,4756,4404,4742,4415,4738xm7013,4750l7016,4755,7020,4756,7013,4750xm6866,4695l6925,4738,6928,4742,6974,4742,7016,4755,7013,4750,7050,4750,7037,4732,7032,4728,7030,4728,6990,4714,6943,4714,6935,4712,6940,4712,6919,4696,6870,4696,6866,4695xm7121,4744l7119,4745,7118,4746,7121,4744xm7163,4744l7121,4744,7118,4746,7161,4746,7163,4744xm2353,4738l2334,4738,2342,4746,2353,4738xm3133,4738l3114,4738,3122,4746,3133,4738xm7161,4705l7119,4745,7121,4744,7163,4744,7188,4720,7189,4718,7194,4706,7160,4706,7161,4705xm2300,4739l2292,4744,2309,4744,2300,4739xm2342,4710l2300,4739,2309,4744,2340,4744,2334,4738,2377,4738,2356,4716,2351,4712,2342,4710xm3122,4710l3072,4744,3080,4742,3118,4742,3114,4738,3157,4738,3136,4716,3131,4712,3122,4710xm3118,4742l3080,4742,3072,4744,3120,4744,3118,4742xm4303,4738l4290,4742,4295,4744,4303,4738xm2207,4736l2195,4742,2202,4742,2207,4736xm2297,4736l2207,4736,2202,4742,2252,4742,2246,4738,2300,4738,2297,4736xm2300,4738l2246,4738,2255,4742,2295,4742,2300,4739,2300,4738xm5029,4708l4976,4708,4988,4712,4984,4713,5022,4738,5027,4742,5033,4742,5038,4738,5074,4714,5022,4714,5030,4709,5029,4708xm5756,4665l5797,4720,5800,4724,5804,4726,5850,4742,5906,4742,5909,4738,5942,4714,5891,4714,5894,4712,5860,4712,5827,4702,5821,4702,5814,4698,5818,4698,5795,4666,5761,4666,5756,4665xm4337,4726l4336,4726,4344,4728,4337,4726xm4588,4683l4531,4696,4441,4696,4440,4698,4396,4712,4337,4726,4344,4728,4444,4728,4450,4726,4538,4726,4598,4712,4600,4712,4602,4710,4603,4708,4639,4684,4586,4684,4588,4683xm4829,4696l4872,4724,4877,4726,4928,4726,4984,4713,4976,4708,5029,4708,5017,4700,4888,4700,4879,4696,4830,4696,4829,4696xm5030,4709l5022,4714,5038,4714,5030,4709xm5113,4669l5070,4682,5069,4682,5066,4684,5030,4709,5038,4714,5074,4714,5083,4708,5091,4708,5124,4696,5126,4696,5129,4694,5160,4670,5111,4670,5113,4669xm6090,4666l5957,4666,5953,4668,5951,4670,5891,4714,5899,4712,5944,4712,5966,4696,5959,4696,5969,4694,6103,4694,6135,4670,6085,4670,6090,4666xm5944,4712l5899,4712,5891,4714,5942,4714,5944,4712xm6940,4712l6935,4712,6943,4714,6940,4712xm6984,4712l6940,4712,6943,4714,6990,4714,6984,4712xm4976,4708l4984,4713,4988,4712,4976,4708xm5091,4708l5083,4708,5080,4712,5091,4708xm7164,4702l7161,4705,7160,4706,7164,4702xm7195,4702l7164,4702,7160,4706,7194,4706,7195,4702xm7268,4516l7259,4516,7255,4520,7253,4522,7207,4582,7207,4584,7206,4586,7161,4705,7164,4702,7195,4702,7233,4600,7231,4600,7266,4554,7254,4542,7277,4540,7294,4540,7272,4518,7268,4516xm5814,4698l5821,4702,5819,4700,5814,4698xm5819,4700l5821,4702,5827,4702,5819,4700xm4879,4694l4826,4694,4830,4696,4879,4696,4888,4700,4879,4694xm4990,4682l4981,4682,4921,4696,4882,4696,4888,4700,5017,4700,4993,4684,4990,4682xm5818,4698l5814,4698,5819,4700,5818,4698xm4826,4694l4829,4696,4830,4696,4826,4694xm5969,4694l5959,4696,5966,4696,5969,4694xm6103,4694l5969,4694,5966,4696,6101,4696,6103,4694xm6865,4694l6866,4695,6870,4696,6865,4694xm6916,4694l6865,4694,6870,4696,6919,4696,6916,4694xm4788,4650l4723,4650,4734,4652,4730,4654,4783,4680,4784,4682,4786,4682,4829,4696,4826,4694,4879,4694,4843,4670,4842,4668,4840,4668,4800,4654,4796,4654,4788,4650xm6772,4602l6817,4674,6818,4678,6822,4680,6824,4682,6866,4695,6865,4694,6916,4694,6883,4670,6882,4670,6881,4668,6880,4668,6857,4660,6842,4660,6834,4652,6838,4652,6810,4604,6776,4604,6772,4602xm4591,4682l4588,4683,4586,4684,4591,4682xm4642,4682l4591,4682,4586,4684,4639,4684,4642,4682xm4733,4622l4726,4622,4680,4638,4636,4652,4633,4652,4632,4654,4588,4683,4591,4682,4642,4682,4648,4678,4655,4678,4690,4666,4730,4654,4723,4650,4788,4650,4736,4624,4733,4622xm4655,4678l4648,4678,4644,4682,4655,4678xm5114,4668l5113,4669,5111,4670,5114,4668xm5163,4668l5114,4668,5111,4670,5160,4670,5163,4668xm6194,4622l6149,4622,6145,4624,6085,4670,6095,4666,6140,4666,6158,4652,6155,4652,6163,4648,6210,4648,6232,4626,6190,4626,6194,4622xm6140,4666l6095,4666,6085,4670,6135,4670,6140,4666xm5184,4622l5174,4622,5171,4624,5113,4669,5114,4668,5163,4668,5181,4654,5174,4652,5189,4648,5407,4648,5419,4640,5366,4640,5369,4638,5220,4638,5225,4636,5184,4622xm5407,4648l5189,4648,5181,4654,5220,4666,5230,4666,5269,4654,5264,4652,5401,4652,5407,4648xm5401,4652l5274,4652,5269,4654,5310,4666,5381,4666,5383,4664,5401,4652xm5753,4660l5756,4665,5761,4666,5753,4660xm5790,4660l5753,4660,5761,4666,5795,4666,5790,4660xm5659,4588l5623,4588,5615,4594,5651,4618,5696,4648,5699,4652,5701,4652,5756,4665,5753,4660,5790,4660,5777,4642,5772,4638,5768,4636,5717,4624,5713,4624,5708,4622,5710,4622,5668,4594,5659,4588xm6834,4652l6842,4660,6839,4654,6834,4652xm6839,4654l6842,4660,6857,4660,6839,4654xm5189,4648l5174,4652,5181,4654,5189,4648xm4794,4652l4796,4654,4800,4654,4794,4652xm6838,4652l6834,4652,6839,4654,6838,4652xm5274,4652l5264,4652,5269,4654,5274,4652xm4723,4650l4730,4654,4734,4652,4723,4650xm6163,4648l6155,4652,6158,4652,6163,4648xm6210,4648l6163,4648,6158,4652,6204,4652,6208,4650,6210,4648xm5468,4576l5461,4576,5456,4580,5411,4610,5366,4640,5375,4636,5425,4636,5428,4634,5465,4610,5456,4604,5509,4604,5473,4580,5468,4576xm5425,4636l5375,4636,5366,4640,5419,4640,5425,4636xm5225,4636l5220,4638,5230,4638,5225,4636xm5274,4622l5264,4622,5225,4636,5230,4638,5320,4638,5274,4622xm5372,4636l5315,4636,5320,4638,5369,4638,5372,4636xm5509,4604l5473,4604,5465,4610,5501,4634,5504,4636,5513,4636,5573,4622,5575,4622,5578,4618,5590,4610,5518,4610,5506,4606,5510,4605,5509,4604xm6281,4550l6236,4580,6190,4626,6199,4622,6236,4622,6254,4604,6253,4604,6256,4602,6256,4602,6298,4574,6300,4574,6300,4572,6320,4552,6280,4552,6281,4550xm6236,4622l6199,4622,6190,4626,6232,4626,6236,4622xm5708,4622l5713,4624,5711,4623,5708,4622xm5711,4623l5713,4624,5717,4624,5711,4623xm5710,4622l5708,4622,5711,4623,5710,4622xm5510,4605l5506,4606,5518,4610,5510,4605xm5563,4593l5510,4605,5518,4610,5590,4610,5614,4594,5561,4594,5563,4593xm5473,4604l5456,4604,5465,4610,5473,4604xm7294,4540l7277,4540,7266,4554,7320,4608,7330,4608,7356,4582,7314,4582,7325,4571,7294,4540xm6576,4479l6620,4582,6625,4590,6630,4592,6674,4606,6686,4606,6739,4580,6737,4578,6673,4578,6678,4576,6662,4570,6648,4570,6640,4562,6645,4562,6610,4482,6580,4482,6576,4479xm6256,4602l6253,4604,6254,4603,6256,4602xm6254,4603l6253,4604,6254,4604,6254,4603xm6772,4600l6772,4602,6776,4604,6772,4600xm6807,4600l6772,4600,6776,4604,6810,4604,6807,4600xm6256,4602l6256,4602,6254,4603,6256,4602xm6784,4574l6731,4574,6746,4576,6739,4580,6772,4602,6772,4600,6807,4600,6798,4584,6797,4582,6794,4580,6793,4580,6784,4574xm7234,4598l7231,4600,7233,4600,7234,4598xm5566,4592l5563,4593,5561,4594,5566,4592xm5612,4592l5566,4592,5561,4594,5614,4594,5615,4594,5612,4592xm5623,4588l5606,4588,5615,4594,5623,4588xm5618,4562l5611,4562,5606,4564,5563,4593,5566,4592,5612,4592,5606,4588,5659,4588,5623,4564,5618,4562xm7754,4546l7711,4546,7651,4562,7456,4562,7516,4576,7560,4592,7658,4592,7718,4576,7768,4576,7770,4572,7791,4552,7748,4552,7754,4546xm7325,4571l7314,4582,7336,4582,7325,4571xm7418,4502l7411,4502,7406,4504,7361,4534,7360,4536,7358,4536,7325,4571,7336,4582,7356,4582,7380,4558,7378,4558,7415,4534,7406,4528,7459,4528,7423,4504,7418,4502xm6731,4574l6739,4580,6746,4576,6731,4574xm6678,4576l6673,4578,6684,4578,6678,4576xm6744,4546l6738,4546,6678,4576,6684,4578,6737,4578,6731,4574,6784,4574,6748,4550,6744,4546xm6640,4562l6648,4570,6645,4564,6640,4562xm6645,4564l6648,4570,6662,4570,6645,4564xm6645,4562l6640,4562,6645,4564,6645,4562xm7459,4528l7423,4528,7415,4534,7451,4558,7453,4560,7454,4562,7570,4562,7523,4546,7471,4534,7468,4534,7463,4532,7465,4532,7459,4528xm7277,4540l7254,4542,7266,4554,7277,4540xm6373,4492l6340,4492,6280,4552,6320,4552,6360,4512,6361,4512,6373,4492xm7810,4500l7800,4500,7748,4552,7759,4546,7797,4546,7816,4528,7820,4522,7820,4512,7816,4506,7810,4500xm7797,4546l7759,4546,7748,4552,7791,4552,7797,4546xm7463,4532l7468,4534,7466,4533,7463,4532xm7466,4533l7468,4534,7471,4534,7466,4533xm7423,4528l7406,4528,7415,4534,7423,4528xm7465,4532l7463,4532,7466,4533,7465,4532xm6431,4384l6386,4414,6384,4416,6337,4494,6340,4492,6373,4492,6406,4438,6403,4438,6408,4434,6409,4434,6448,4408,6449,4408,6471,4386,6430,4386,6431,4384xm6576,4478l6576,4479,6580,4482,6576,4478xm6609,4478l6576,4478,6580,4482,6610,4482,6609,4478xm6511,4360l6473,4360,6496,4362,6484,4374,6533,4436,6576,4479,6576,4478,6609,4478,6604,4466,6602,4464,6600,4462,6557,4418,6511,4360xm6408,4434l6403,4438,6407,4435,6408,4434xm6407,4435l6403,4438,6406,4438,6407,4435xm6409,4434l6408,4434,6407,4435,6409,4434xm6490,4336l6481,4336,6478,4338,6430,4386,6471,4386,6484,4374,6473,4360,6511,4360,6497,4342,6493,4340,6490,4336xm6473,4360l6484,4374,6496,4362,6473,4360xe" filled="true" fillcolor="#333399" stroked="false">
              <v:path arrowok="t"/>
              <v:fill type="solid"/>
            </v:shape>
            <v:shape style="position:absolute;left:1400;top:3186;width:6376;height:2380" coordorigin="1400,3186" coordsize="6376,2380" path="m2437,5486l2482,5566,2507,5566,2522,5546,2483,5546,2495,5530,2478,5506,2454,5506,2437,5486xm2495,5530l2483,5546,2508,5546,2495,5530xm2528,5486l2495,5530,2508,5546,2522,5546,2552,5506,2526,5506,2528,5486xm2269,4866l2240,4866,2286,5046,2330,5226,2375,5506,2405,5506,2387,5486,2401,5482,2359,5226,2315,5026,2269,4866xm2401,5482l2387,5486,2405,5506,2401,5482xm2460,5466l2447,5466,2401,5482,2405,5506,2448,5506,2437,5486,2462,5486,2460,5466xm2462,5486l2437,5486,2454,5506,2478,5506,2462,5486xm2597,5306l2572,5306,2526,5506,2555,5506,2593,5353,2573,5326,2612,5326,2597,5306xm2612,5326l2599,5326,2593,5353,2633,5406,2659,5406,2667,5386,2630,5386,2639,5363,2612,5326xm2639,5363l2630,5386,2657,5386,2639,5363xm2748,5266l2676,5266,2639,5363,2657,5386,2667,5386,2704,5286,2759,5286,2748,5266xm2759,5286l2722,5286,2767,5366,2852,5366,2867,5346,2792,5346,2780,5326,2781,5326,2759,5286xm2599,5326l2573,5326,2593,5353,2599,5326xm2781,5326l2780,5326,2792,5346,2781,5326xm2840,5326l2781,5326,2792,5346,2828,5346,2840,5326xm3047,4986l3023,4986,2962,5066,2917,5126,2916,5126,2916,5146,2870,5286,2873,5286,2828,5346,2867,5346,2897,5306,2899,5306,2899,5286,2945,5146,2942,5146,2988,5066,3033,5020,3023,5006,3062,5006,3047,4986xm3664,4846l3658,4866,3654,4869,3676,4886,3661,4899,3696,5006,3742,5106,3740,5106,3800,5286,3802,5306,3822,5306,3838,5286,3804,5286,3822,5262,3769,5086,3768,5086,3724,5006,3679,4866,3673,4866,3664,4846xm3822,5262l3804,5286,3829,5286,3822,5262xm3850,5226l3822,5262,3829,5286,3838,5286,3871,5246,3846,5246,3850,5226xm3892,5126l3846,5246,3874,5246,3919,5146,3890,5146,3892,5126xm3288,5006l3287,5006,3273,5025,3307,5086,3353,5086,3413,5166,3439,5166,3443,5146,3410,5146,3416,5119,3377,5066,3332,5066,3288,5006xm3416,5119l3410,5146,3437,5146,3416,5119xm3485,4946l3455,4946,3416,5119,3437,5146,3443,5146,3485,4946xm3965,4946l3935,4946,3890,5146,3919,5146,3959,4971,3943,4966,3965,4946xm3139,4926l3110,4926,3139,4946,3124,4986,3124,4986,3156,5126,3179,5126,3209,5106,3161,5106,3180,5087,3139,4926xm5455,4964l5495,5106,5497,5126,5513,5126,5573,5106,5524,5106,5506,5086,5518,5086,5485,4966,5460,4966,5455,4964xm3180,5087l3161,5106,3185,5106,3180,5087xm3221,5046l3180,5087,3185,5106,3209,5106,3239,5086,3242,5066,3218,5066,3221,5046xm5518,5086l5506,5086,5524,5106,5518,5086xm5600,4926l5555,5086,5518,5086,5524,5106,5584,5106,5615,4984,5600,4926xm5629,4926l5615,4984,5645,5106,5675,5106,5678,5086,5645,5086,5657,5025,5629,4926xm5657,5025l5645,5086,5674,5086,5657,5025xm5713,4846l5690,4846,5657,5025,5674,5086,5678,5086,5717,4880,5695,4866,5743,4866,5713,4846xm3062,5006l3047,5006,3033,5020,3068,5066,3094,5066,3101,5046,3066,5046,3075,5023,3062,5006xm3262,5007l3218,5066,3242,5066,3273,5025,3262,5007xm3075,5023l3066,5046,3092,5046,3075,5023xm3110,4926l3075,5023,3092,5046,3101,5046,3124,4986,3110,4926xm5743,4866l5719,4866,5717,4880,5755,4906,5750,4906,5796,5046,5824,5046,5831,5026,5796,5026,5811,4986,5779,4886,5773,4886,5743,4866xm3956,4926l3940,4926,3936,4946,3965,4946,3959,4971,4003,4986,4050,5026,4066,5026,4068,5006,4042,5006,4055,4983,4016,4966,3956,4926xm5811,4986l5796,5026,5824,5026,5811,4986xm5915,4686l5885,4686,5840,4906,5811,4986,5824,5026,5831,5026,5869,4926,5911,4706,5910,4706,5915,4686xm6799,3966l6769,3966,6790,3986,6772,3994,6815,4366,6859,4666,6920,4926,6966,5026,6994,5026,7001,5006,6966,5006,6978,4973,6948,4906,6949,4906,6889,4666,6845,4366,6799,3966xm3286,4986l3266,4986,3263,5006,3262,5007,3273,5025,3287,5006,3288,5006,3286,4986xm3047,5006l3023,5006,3033,5020,3047,5006xm3263,5006l3262,5006,3262,5007,3263,5006xm4055,4983l4042,5006,4063,4986,4055,4983xm4218,4686l4190,4686,4132,4826,4087,4926,4055,4983,4063,4986,4042,5006,4068,5006,4112,4946,4158,4846,4206,4738,4192,4706,4227,4706,4218,4686xm6978,4973l6966,5006,6994,5006,6978,4973xm7142,4546l7115,4546,7055,4806,7056,4806,7010,4886,6978,4973,6994,5006,7001,5006,7039,4906,7082,4826,7084,4826,7084,4806,7135,4600,7116,4566,7152,4566,7142,4546xm3040,4966l3030,4966,3026,4986,3044,4986,3040,4966xm3110,4926l3124,4986,3139,4946,3110,4926xm5629,4926l5600,4926,5615,4984,5629,4926xm3965,4946l3943,4966,3959,4971,3965,4946xm5450,4946l5455,4964,5460,4966,5450,4946xm5479,4946l5450,4946,5460,4966,5485,4966,5479,4946xm5450,4946l5414,4946,5455,4964,5450,4946xm3562,4866l3505,4866,3503,4886,3458,4946,3482,4946,3527,4886,3594,4886,3562,4866xm5169,4404l5210,4566,5255,4706,5256,4706,5302,4806,5303,4806,5363,4886,5407,4946,5478,4946,5474,4926,5431,4926,5387,4866,5327,4786,5328,4786,5284,4706,5239,4546,5199,4406,5173,4406,5169,4404xm3132,4906l3119,4906,3113,4926,3138,4926,3132,4906xm3652,4871l3617,4900,3626,4906,3553,4906,3613,4926,3630,4926,3661,4899,3652,4871xm4297,4906l4284,4906,4290,4926,4297,4906xm5622,4906l5608,4906,5602,4926,5627,4926,5622,4906xm3594,4886l3527,4886,3515,4906,3610,4906,3617,4900,3594,4886xm3617,4900l3610,4906,3626,4906,3617,4900xm4281,4904l4280,4906,4281,4906,4281,4904xm4355,4566l4325,4566,4289,4843,4308,4886,4281,4906,4282,4906,4309,4906,4355,4566xm4289,4843l4281,4904,4281,4906,4308,4886,4289,4843xm4227,4706l4219,4706,4206,4738,4236,4806,4281,4904,4289,4843,4264,4786,4227,4706xm3654,4869l3652,4871,3661,4899,3676,4886,3654,4869xm2208,4766l2209,4786,2183,4786,2243,4886,2240,4866,2268,4866,2208,4766xm5719,4866l5695,4866,5717,4880,5719,4866xm3650,4866l3652,4871,3654,4869,3650,4866xm1532,4626l1464,4626,1402,4766,1400,4766,1409,4786,1424,4786,1479,4666,1475,4666,1488,4646,1534,4646,1532,4626xm1559,4713l1550,4766,1553,4786,1573,4786,1579,4766,1559,4713xm2165,4526l2162,4526,2140,4556,2180,4786,2209,4786,2165,4526xm1506,4646l1550,4766,1559,4713,1541,4666,1520,4666,1506,4646xm1684,4406l1660,4406,1597,4466,1596,4466,1595,4486,1559,4713,1579,4766,1580,4766,1625,4486,1621,4486,1660,4448,1655,4426,1685,4426,1684,4406xm4219,4706l4192,4706,4206,4738,4219,4706xm5915,4686l5910,4706,5911,4705,5915,4686xm5911,4705l5910,4706,5911,4706,5911,4705xm7231,4626l7179,4626,7188,4646,7224,4646,7211,4652,7253,4706,7278,4706,7288,4686,7252,4686,7263,4668,7231,4626xm6160,3806l6150,3806,6082,3866,6080,3866,6079,3886,6035,4246,5990,4446,5945,4626,5950,4626,5890,4686,5915,4686,5911,4705,5970,4646,5974,4646,5975,4626,6019,4446,6065,4266,6109,3886,6106,3886,6154,3838,6144,3826,6185,3826,6160,3806xm4211,4666l4199,4666,4193,4686,4217,4686,4211,4666xm7263,4668l7252,4686,7277,4686,7263,4668xm7524,4026l7512,4026,7508,4046,7448,4106,7446,4106,7445,4126,7400,4266,7356,4466,7310,4586,7312,4586,7263,4668,7277,4686,7288,4686,7338,4586,7384,4466,7429,4266,7474,4126,7471,4126,7516,4066,7514,4066,7531,4046,7570,4046,7524,4026xm1488,4646l1475,4666,1479,4666,1488,4646xm1506,4646l1488,4646,1479,4666,1513,4666,1506,4646xm1534,4646l1506,4646,1520,4666,1541,4666,1534,4646xm1925,4446l1895,4446,1900,4466,1899,4466,1940,4666,1969,4666,1940,4646,1957,4604,1929,4466,1900,4466,1899,4465,1929,4465,1925,4446xm1957,4604l1940,4646,1969,4666,1957,4604xm2015,4526l1986,4526,1957,4604,1969,4666,2005,4556,1991,4546,2015,4526xm4414,4386l4399,4429,4477,4566,4520,4666,4535,4618,4502,4546,4414,4386xm4535,4618l4520,4666,4548,4646,4535,4618xm4625,4186l4580,4466,4535,4618,4548,4646,4520,4666,4549,4666,4609,4466,4643,4258,4625,4186xm7152,4566l7144,4566,7135,4600,7162,4646,7164,4666,7180,4666,7211,4652,7207,4646,7188,4646,7170,4626,7179,4626,7152,4566xm7224,4646l7207,4646,7211,4652,7224,4646xm1685,4426l1681,4426,1660,4448,1700,4626,1702,4646,1727,4646,1742,4626,1703,4626,1723,4599,1685,4426xm7179,4626l7170,4626,7188,4646,7179,4626xm1723,4599l1703,4626,1729,4626,1723,4599xm1812,4326l1795,4326,1792,4346,1745,4566,1748,4566,1723,4599,1729,4626,1742,4626,1772,4586,1775,4586,1775,4566,1812,4384,1794,4366,1819,4346,1830,4346,1812,4326xm7220,4606l7214,4626,7228,4626,7220,4606xm2132,4566l2110,4566,2093,4586,2056,4586,2100,4606,2113,4606,2117,4586,2132,4566xm7144,4566l7116,4566,7135,4600,7144,4566xm2009,4506l1991,4506,1987,4526,2015,4526,2005,4556,2051,4586,2093,4586,2108,4566,2069,4566,2009,4506xm2135,4530l2093,4586,2110,4566,2132,4566,2140,4556,2135,4530xm4414,4386l4386,4386,4326,4566,4354,4566,4399,4429,4386,4406,4414,4386xm2015,4526l1991,4546,2005,4556,2015,4526xm2159,4506l2142,4506,2138,4526,2135,4530,2140,4556,2162,4526,2164,4526,2159,4506xm2138,4526l2135,4526,2135,4530,2138,4526xm4810,4486l4793,4486,4775,4506,4726,4506,4786,4526,4802,4526,4805,4506,4810,4486xm4655,4186l4643,4258,4670,4366,4716,4506,4775,4506,4780,4486,4744,4486,4699,4366,4655,4186xm4894,4126l4865,4126,4820,4326,4775,4506,4793,4486,4810,4486,4849,4326,4883,4192,4866,4146,4900,4146,4894,4126xm1895,4446l1899,4465,1900,4466,1895,4446xm1830,4346l1819,4346,1812,4384,1854,4426,1899,4465,1895,4446,1922,4446,1830,4346xm1681,4426l1655,4426,1660,4448,1681,4426xm4414,4386l4386,4406,4399,4429,4414,4386xm5165,4386l5169,4404,5173,4406,5165,4386xm5194,4386l5165,4386,5173,4406,5199,4406,5194,4386xm5132,4350l5135,4366,5108,4366,5169,4404,5165,4386,5186,4386,5132,4350xm4405,4366l4393,4366,4387,4386,4410,4386,4405,4366xm1819,4346l1794,4366,1812,4384,1819,4346xm5089,4106l5074,4186,5105,4366,5135,4366,5126,4346,5131,4346,5089,4106xm5126,4346l5135,4366,5132,4350,5126,4346xm5131,4346l5126,4346,5132,4350,5131,4346xm4994,4246l4933,4246,4939,4266,4988,4266,4974,4271,5017,4346,5044,4346,5047,4326,5015,4326,5022,4292,4994,4246xm5022,4292l5015,4326,5042,4326,5022,4292xm5060,4106l5022,4292,5042,4326,5047,4326,5074,4186,5060,4106xm4900,4146l4895,4146,4883,4192,4910,4266,4913,4286,4928,4286,4974,4271,4972,4266,4939,4266,4921,4246,4933,4246,4900,4146xm4988,4266l4972,4266,4974,4271,4988,4266xm4933,4246l4921,4246,4939,4266,4933,4246xm4652,4166l4626,4166,4625,4186,4643,4258,4655,4186,4652,4166xm7726,4226l7596,4226,7600,4246,7661,4246,7726,4226xm7578,4046l7531,4046,7516,4066,7550,4066,7595,4226,7624,4226,7614,4206,7618,4206,7579,4066,7578,4046xm7614,4206l7624,4226,7619,4208,7614,4206xm7619,4208l7624,4226,7648,4226,7654,4224,7619,4208xm7654,4224l7648,4226,7660,4226,7654,4224xm7762,4126l7752,4126,7747,4146,7703,4206,7708,4206,7654,4224,7660,4226,7727,4226,7771,4166,7776,4146,7769,4146,7762,4126xm7618,4206l7614,4206,7619,4208,7618,4206xm4895,4146l4866,4146,4883,4192,4895,4146xm5089,4106l5060,4106,5074,4186,5089,4106xm5082,4086l5068,4086,5062,4106,5088,4106,5082,4086xm7531,4046l7514,4066,7516,4066,7531,4046xm6426,3206l6472,3306,6530,3466,6575,3606,6620,3726,6665,3866,6666,3866,6726,3986,6730,4006,6744,4006,6772,3994,6771,3986,6754,3986,6734,3966,6744,3966,6694,3866,6649,3706,6604,3586,6559,3446,6498,3286,6465,3226,6444,3226,6426,3206xm6769,3966l6772,3994,6790,3986,6769,3966xm6744,3966l6734,3966,6754,3986,6744,3966xm6769,3966l6744,3966,6754,3986,6771,3986,6769,3966xm6788,3946l6784,3946,6780,3966,6793,3966,6788,3946xm6185,3826l6166,3826,6154,3838,6193,3886,6210,3886,6214,3866,6185,3866,6190,3831,6185,3826xm6190,3831l6185,3866,6210,3846,6190,3831xm6426,3206l6384,3206,6337,3266,6276,3386,6275,3386,6230,3566,6190,3831,6210,3846,6185,3866,6215,3866,6259,3566,6304,3386,6364,3266,6375,3266,6406,3226,6435,3226,6426,3206xm6166,3826l6144,3826,6154,3838,6166,3826xm6375,3266l6364,3266,6360,3286,6375,3266xm6450,3186l6434,3186,6390,3206,6426,3206,6444,3226,6465,3226,6454,3206,6450,3186xe" filled="true" fillcolor="#993300" stroked="false">
              <v:path arrowok="t"/>
              <v:fill type="solid"/>
            </v:shape>
            <v:line style="position:absolute" from="1595,3001" to="2015,3001" stroked="true" strokeweight="1.5pt" strokecolor="#333399">
              <v:stroke dashstyle="solid"/>
            </v:line>
            <v:line style="position:absolute" from="1595,3407" to="2015,3407" stroked="true" strokeweight="1.5pt" strokecolor="#993300">
              <v:stroke dashstyle="solid"/>
            </v:line>
            <w10:wrap type="none"/>
          </v:group>
        </w:pict>
      </w:r>
      <w:r>
        <w:rPr/>
        <w:t>Imports of goods and services are over 30% of UK GDP and Chart 5 shows that we experience much more price volatility from this direction than is typical of consumer prices in general. This chart also show that the mid-2000s saw a shift from a period of falling import prices to a period over which there has been much stronger imported inflation.</w:t>
      </w:r>
    </w:p>
    <w:p>
      <w:pPr>
        <w:pStyle w:val="BodyText"/>
      </w:pPr>
    </w:p>
    <w:p>
      <w:pPr>
        <w:pStyle w:val="BodyText"/>
        <w:spacing w:before="2"/>
        <w:rPr>
          <w:sz w:val="10"/>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3"/>
        <w:gridCol w:w="749"/>
      </w:tblGrid>
      <w:tr>
        <w:trPr>
          <w:trHeight w:val="690" w:hRule="atLeast"/>
        </w:trPr>
        <w:tc>
          <w:tcPr>
            <w:tcW w:w="7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7"/>
              <w:rPr>
                <w:b/>
                <w:sz w:val="20"/>
              </w:rPr>
            </w:pPr>
            <w:r>
              <w:rPr>
                <w:b/>
                <w:sz w:val="20"/>
              </w:rPr>
              <w:t>Chart 5: CPI inflation and goods import prices, 2000-2010</w:t>
            </w:r>
          </w:p>
          <w:p>
            <w:pPr>
              <w:pStyle w:val="TableParagraph"/>
              <w:spacing w:before="113"/>
              <w:ind w:left="107"/>
              <w:rPr>
                <w:sz w:val="20"/>
              </w:rPr>
            </w:pPr>
            <w:r>
              <w:rPr>
                <w:sz w:val="20"/>
              </w:rPr>
              <w:t>Percentage increase on previous year</w:t>
            </w:r>
          </w:p>
        </w:tc>
      </w:tr>
      <w:tr>
        <w:trPr>
          <w:trHeight w:val="350" w:hRule="atLeast"/>
        </w:trPr>
        <w:tc>
          <w:tcPr>
            <w:tcW w:w="6593" w:type="dxa"/>
            <w:tcBorders>
              <w:top w:val="single" w:sz="4" w:space="0" w:color="000000"/>
              <w:left w:val="single" w:sz="4" w:space="0" w:color="000000"/>
            </w:tcBorders>
          </w:tcPr>
          <w:p>
            <w:pPr>
              <w:pStyle w:val="TableParagraph"/>
              <w:rPr>
                <w:rFonts w:ascii="Times New Roman"/>
                <w:sz w:val="18"/>
              </w:rPr>
            </w:pPr>
          </w:p>
        </w:tc>
        <w:tc>
          <w:tcPr>
            <w:tcW w:w="749" w:type="dxa"/>
            <w:tcBorders>
              <w:top w:val="single" w:sz="4" w:space="0" w:color="000000"/>
              <w:right w:val="single" w:sz="4" w:space="0" w:color="000000"/>
            </w:tcBorders>
          </w:tcPr>
          <w:p>
            <w:pPr>
              <w:pStyle w:val="TableParagraph"/>
              <w:spacing w:before="113"/>
              <w:ind w:left="205" w:right="196"/>
              <w:jc w:val="center"/>
              <w:rPr>
                <w:b/>
                <w:sz w:val="16"/>
              </w:rPr>
            </w:pPr>
            <w:r>
              <w:rPr>
                <w:b/>
                <w:w w:val="105"/>
                <w:sz w:val="16"/>
              </w:rPr>
              <w:t>20</w:t>
            </w:r>
          </w:p>
        </w:tc>
      </w:tr>
      <w:tr>
        <w:trPr>
          <w:trHeight w:val="275" w:hRule="atLeast"/>
        </w:trPr>
        <w:tc>
          <w:tcPr>
            <w:tcW w:w="6593" w:type="dxa"/>
            <w:tcBorders>
              <w:left w:val="single" w:sz="4" w:space="0" w:color="000000"/>
            </w:tcBorders>
          </w:tcPr>
          <w:p>
            <w:pPr>
              <w:pStyle w:val="TableParagraph"/>
              <w:spacing w:before="51"/>
              <w:ind w:left="910"/>
              <w:rPr>
                <w:b/>
                <w:sz w:val="16"/>
              </w:rPr>
            </w:pPr>
            <w:r>
              <w:rPr>
                <w:b/>
                <w:w w:val="105"/>
                <w:sz w:val="16"/>
              </w:rPr>
              <w:t>CPI inflation</w:t>
            </w:r>
          </w:p>
        </w:tc>
        <w:tc>
          <w:tcPr>
            <w:tcW w:w="749" w:type="dxa"/>
            <w:tcBorders>
              <w:right w:val="single" w:sz="4" w:space="0" w:color="000000"/>
            </w:tcBorders>
          </w:tcPr>
          <w:p>
            <w:pPr>
              <w:pStyle w:val="TableParagraph"/>
              <w:rPr>
                <w:rFonts w:ascii="Times New Roman"/>
                <w:sz w:val="18"/>
              </w:rPr>
            </w:pPr>
          </w:p>
        </w:tc>
      </w:tr>
      <w:tr>
        <w:trPr>
          <w:trHeight w:val="201" w:hRule="atLeast"/>
        </w:trPr>
        <w:tc>
          <w:tcPr>
            <w:tcW w:w="6593" w:type="dxa"/>
            <w:tcBorders>
              <w:left w:val="single" w:sz="4" w:space="0" w:color="000000"/>
            </w:tcBorders>
          </w:tcPr>
          <w:p>
            <w:pPr>
              <w:pStyle w:val="TableParagraph"/>
              <w:rPr>
                <w:rFonts w:ascii="Times New Roman"/>
                <w:sz w:val="14"/>
              </w:rPr>
            </w:pPr>
          </w:p>
        </w:tc>
        <w:tc>
          <w:tcPr>
            <w:tcW w:w="749" w:type="dxa"/>
            <w:tcBorders>
              <w:right w:val="single" w:sz="4" w:space="0" w:color="000000"/>
            </w:tcBorders>
          </w:tcPr>
          <w:p>
            <w:pPr>
              <w:pStyle w:val="TableParagraph"/>
              <w:spacing w:line="142" w:lineRule="exact" w:before="39"/>
              <w:ind w:left="205" w:right="196"/>
              <w:jc w:val="center"/>
              <w:rPr>
                <w:b/>
                <w:sz w:val="16"/>
              </w:rPr>
            </w:pPr>
            <w:r>
              <w:rPr>
                <w:b/>
                <w:w w:val="105"/>
                <w:sz w:val="16"/>
              </w:rPr>
              <w:t>15</w:t>
            </w:r>
          </w:p>
        </w:tc>
      </w:tr>
      <w:tr>
        <w:trPr>
          <w:trHeight w:val="275" w:hRule="atLeast"/>
        </w:trPr>
        <w:tc>
          <w:tcPr>
            <w:tcW w:w="6593" w:type="dxa"/>
            <w:tcBorders>
              <w:left w:val="single" w:sz="4" w:space="0" w:color="000000"/>
            </w:tcBorders>
          </w:tcPr>
          <w:p>
            <w:pPr>
              <w:pStyle w:val="TableParagraph"/>
              <w:spacing w:line="161" w:lineRule="exact"/>
              <w:ind w:left="910"/>
              <w:rPr>
                <w:b/>
                <w:sz w:val="16"/>
              </w:rPr>
            </w:pPr>
            <w:r>
              <w:rPr>
                <w:b/>
                <w:w w:val="105"/>
                <w:sz w:val="16"/>
              </w:rPr>
              <w:t>Goods import price inflation</w:t>
            </w:r>
          </w:p>
        </w:tc>
        <w:tc>
          <w:tcPr>
            <w:tcW w:w="749" w:type="dxa"/>
            <w:tcBorders>
              <w:right w:val="single" w:sz="4" w:space="0" w:color="000000"/>
            </w:tcBorders>
          </w:tcPr>
          <w:p>
            <w:pPr>
              <w:pStyle w:val="TableParagraph"/>
              <w:rPr>
                <w:rFonts w:ascii="Times New Roman"/>
                <w:sz w:val="18"/>
              </w:rPr>
            </w:pPr>
          </w:p>
        </w:tc>
      </w:tr>
      <w:tr>
        <w:trPr>
          <w:trHeight w:val="482" w:hRule="atLeast"/>
        </w:trPr>
        <w:tc>
          <w:tcPr>
            <w:tcW w:w="6593" w:type="dxa"/>
            <w:tcBorders>
              <w:left w:val="single" w:sz="4" w:space="0" w:color="000000"/>
            </w:tcBorders>
          </w:tcPr>
          <w:p>
            <w:pPr>
              <w:pStyle w:val="TableParagraph"/>
              <w:rPr>
                <w:rFonts w:ascii="Times New Roman"/>
                <w:sz w:val="18"/>
              </w:rPr>
            </w:pPr>
          </w:p>
        </w:tc>
        <w:tc>
          <w:tcPr>
            <w:tcW w:w="749" w:type="dxa"/>
            <w:tcBorders>
              <w:right w:val="single" w:sz="4" w:space="0" w:color="000000"/>
            </w:tcBorders>
          </w:tcPr>
          <w:p>
            <w:pPr>
              <w:pStyle w:val="TableParagraph"/>
              <w:spacing w:before="113"/>
              <w:ind w:left="205" w:right="196"/>
              <w:jc w:val="center"/>
              <w:rPr>
                <w:b/>
                <w:sz w:val="16"/>
              </w:rPr>
            </w:pPr>
            <w:r>
              <w:rPr>
                <w:b/>
                <w:w w:val="105"/>
                <w:sz w:val="16"/>
              </w:rPr>
              <w:t>10</w:t>
            </w:r>
          </w:p>
        </w:tc>
      </w:tr>
      <w:tr>
        <w:trPr>
          <w:trHeight w:val="552" w:hRule="atLeast"/>
        </w:trPr>
        <w:tc>
          <w:tcPr>
            <w:tcW w:w="6593" w:type="dxa"/>
            <w:tcBorders>
              <w:left w:val="single" w:sz="4" w:space="0" w:color="000000"/>
            </w:tcBorders>
          </w:tcPr>
          <w:p>
            <w:pPr>
              <w:pStyle w:val="TableParagraph"/>
              <w:rPr>
                <w:rFonts w:ascii="Times New Roman"/>
                <w:sz w:val="18"/>
              </w:rPr>
            </w:pPr>
          </w:p>
        </w:tc>
        <w:tc>
          <w:tcPr>
            <w:tcW w:w="749" w:type="dxa"/>
            <w:tcBorders>
              <w:right w:val="single" w:sz="4" w:space="0" w:color="000000"/>
            </w:tcBorders>
          </w:tcPr>
          <w:p>
            <w:pPr>
              <w:pStyle w:val="TableParagraph"/>
              <w:spacing w:before="10"/>
              <w:rPr>
                <w:sz w:val="15"/>
              </w:rPr>
            </w:pPr>
          </w:p>
          <w:p>
            <w:pPr>
              <w:pStyle w:val="TableParagraph"/>
              <w:ind w:right="81"/>
              <w:jc w:val="center"/>
              <w:rPr>
                <w:b/>
                <w:sz w:val="16"/>
              </w:rPr>
            </w:pPr>
            <w:r>
              <w:rPr>
                <w:b/>
                <w:w w:val="103"/>
                <w:sz w:val="16"/>
              </w:rPr>
              <w:t>5</w:t>
            </w:r>
          </w:p>
        </w:tc>
      </w:tr>
      <w:tr>
        <w:trPr>
          <w:trHeight w:val="552" w:hRule="atLeast"/>
        </w:trPr>
        <w:tc>
          <w:tcPr>
            <w:tcW w:w="6593" w:type="dxa"/>
            <w:tcBorders>
              <w:left w:val="single" w:sz="4" w:space="0" w:color="000000"/>
            </w:tcBorders>
          </w:tcPr>
          <w:p>
            <w:pPr>
              <w:pStyle w:val="TableParagraph"/>
              <w:rPr>
                <w:rFonts w:ascii="Times New Roman"/>
                <w:sz w:val="18"/>
              </w:rPr>
            </w:pPr>
          </w:p>
        </w:tc>
        <w:tc>
          <w:tcPr>
            <w:tcW w:w="749" w:type="dxa"/>
            <w:tcBorders>
              <w:right w:val="single" w:sz="4" w:space="0" w:color="000000"/>
            </w:tcBorders>
          </w:tcPr>
          <w:p>
            <w:pPr>
              <w:pStyle w:val="TableParagraph"/>
              <w:spacing w:before="11"/>
              <w:rPr>
                <w:sz w:val="15"/>
              </w:rPr>
            </w:pPr>
          </w:p>
          <w:p>
            <w:pPr>
              <w:pStyle w:val="TableParagraph"/>
              <w:ind w:right="81"/>
              <w:jc w:val="center"/>
              <w:rPr>
                <w:b/>
                <w:sz w:val="16"/>
              </w:rPr>
            </w:pPr>
            <w:r>
              <w:rPr>
                <w:b/>
                <w:w w:val="103"/>
                <w:sz w:val="16"/>
              </w:rPr>
              <w:t>0</w:t>
            </w:r>
          </w:p>
        </w:tc>
      </w:tr>
      <w:tr>
        <w:trPr>
          <w:trHeight w:val="551" w:hRule="atLeast"/>
        </w:trPr>
        <w:tc>
          <w:tcPr>
            <w:tcW w:w="6593" w:type="dxa"/>
            <w:tcBorders>
              <w:left w:val="single" w:sz="4" w:space="0" w:color="000000"/>
            </w:tcBorders>
          </w:tcPr>
          <w:p>
            <w:pPr>
              <w:pStyle w:val="TableParagraph"/>
              <w:rPr>
                <w:rFonts w:ascii="Times New Roman"/>
                <w:sz w:val="18"/>
              </w:rPr>
            </w:pPr>
          </w:p>
        </w:tc>
        <w:tc>
          <w:tcPr>
            <w:tcW w:w="749" w:type="dxa"/>
            <w:tcBorders>
              <w:right w:val="single" w:sz="4" w:space="0" w:color="000000"/>
            </w:tcBorders>
          </w:tcPr>
          <w:p>
            <w:pPr>
              <w:pStyle w:val="TableParagraph"/>
              <w:spacing w:before="10"/>
              <w:rPr>
                <w:sz w:val="15"/>
              </w:rPr>
            </w:pPr>
          </w:p>
          <w:p>
            <w:pPr>
              <w:pStyle w:val="TableParagraph"/>
              <w:ind w:left="177" w:right="196"/>
              <w:jc w:val="center"/>
              <w:rPr>
                <w:b/>
                <w:sz w:val="16"/>
              </w:rPr>
            </w:pPr>
            <w:r>
              <w:rPr>
                <w:b/>
                <w:w w:val="105"/>
                <w:sz w:val="16"/>
              </w:rPr>
              <w:t>-5</w:t>
            </w:r>
          </w:p>
        </w:tc>
      </w:tr>
      <w:tr>
        <w:trPr>
          <w:trHeight w:val="412" w:hRule="atLeast"/>
        </w:trPr>
        <w:tc>
          <w:tcPr>
            <w:tcW w:w="6593" w:type="dxa"/>
            <w:tcBorders>
              <w:left w:val="single" w:sz="4" w:space="0" w:color="000000"/>
            </w:tcBorders>
          </w:tcPr>
          <w:p>
            <w:pPr>
              <w:pStyle w:val="TableParagraph"/>
              <w:rPr>
                <w:rFonts w:ascii="Times New Roman"/>
                <w:sz w:val="18"/>
              </w:rPr>
            </w:pPr>
          </w:p>
        </w:tc>
        <w:tc>
          <w:tcPr>
            <w:tcW w:w="749" w:type="dxa"/>
            <w:tcBorders>
              <w:right w:val="single" w:sz="4" w:space="0" w:color="000000"/>
            </w:tcBorders>
          </w:tcPr>
          <w:p>
            <w:pPr>
              <w:pStyle w:val="TableParagraph"/>
              <w:spacing w:before="10"/>
              <w:rPr>
                <w:sz w:val="15"/>
              </w:rPr>
            </w:pPr>
          </w:p>
          <w:p>
            <w:pPr>
              <w:pStyle w:val="TableParagraph"/>
              <w:ind w:left="263" w:right="195"/>
              <w:jc w:val="center"/>
              <w:rPr>
                <w:b/>
                <w:sz w:val="16"/>
              </w:rPr>
            </w:pPr>
            <w:r>
              <w:rPr>
                <w:b/>
                <w:w w:val="105"/>
                <w:sz w:val="16"/>
              </w:rPr>
              <w:t>-10</w:t>
            </w:r>
          </w:p>
        </w:tc>
      </w:tr>
      <w:tr>
        <w:trPr>
          <w:trHeight w:val="462" w:hRule="atLeast"/>
        </w:trPr>
        <w:tc>
          <w:tcPr>
            <w:tcW w:w="6593" w:type="dxa"/>
            <w:tcBorders>
              <w:left w:val="single" w:sz="4" w:space="0" w:color="000000"/>
              <w:bottom w:val="single" w:sz="4" w:space="0" w:color="000000"/>
            </w:tcBorders>
          </w:tcPr>
          <w:p>
            <w:pPr>
              <w:pStyle w:val="TableParagraph"/>
              <w:tabs>
                <w:tab w:pos="689" w:val="left" w:leader="none"/>
                <w:tab w:pos="1273" w:val="left" w:leader="none"/>
                <w:tab w:pos="1859" w:val="left" w:leader="none"/>
                <w:tab w:pos="2443" w:val="left" w:leader="none"/>
                <w:tab w:pos="3029" w:val="left" w:leader="none"/>
                <w:tab w:pos="3613" w:val="left" w:leader="none"/>
                <w:tab w:pos="4198" w:val="left" w:leader="none"/>
                <w:tab w:pos="4783" w:val="left" w:leader="none"/>
                <w:tab w:pos="5368" w:val="left" w:leader="none"/>
                <w:tab w:pos="5952" w:val="left" w:leader="none"/>
              </w:tabs>
              <w:spacing w:before="44"/>
              <w:ind w:left="104"/>
              <w:rPr>
                <w:b/>
                <w:sz w:val="16"/>
              </w:rPr>
            </w:pPr>
            <w:r>
              <w:rPr>
                <w:b/>
                <w:w w:val="105"/>
                <w:sz w:val="16"/>
              </w:rPr>
              <w:t>2000</w:t>
              <w:tab/>
              <w:t>2001</w:t>
              <w:tab/>
              <w:t>2002</w:t>
              <w:tab/>
              <w:t>2003</w:t>
              <w:tab/>
              <w:t>2004</w:t>
              <w:tab/>
              <w:t>2005</w:t>
              <w:tab/>
              <w:t>2006</w:t>
              <w:tab/>
              <w:t>2007</w:t>
              <w:tab/>
              <w:t>2008</w:t>
              <w:tab/>
              <w:t>2009</w:t>
              <w:tab/>
              <w:t>2010</w:t>
            </w:r>
          </w:p>
        </w:tc>
        <w:tc>
          <w:tcPr>
            <w:tcW w:w="749" w:type="dxa"/>
            <w:tcBorders>
              <w:bottom w:val="single" w:sz="4" w:space="0" w:color="000000"/>
              <w:right w:val="single" w:sz="4" w:space="0" w:color="000000"/>
            </w:tcBorders>
          </w:tcPr>
          <w:p>
            <w:pPr>
              <w:pStyle w:val="TableParagraph"/>
              <w:rPr>
                <w:rFonts w:ascii="Times New Roman"/>
                <w:sz w:val="18"/>
              </w:rPr>
            </w:pPr>
          </w:p>
        </w:tc>
      </w:tr>
      <w:tr>
        <w:trPr>
          <w:trHeight w:val="311" w:hRule="atLeast"/>
        </w:trPr>
        <w:tc>
          <w:tcPr>
            <w:tcW w:w="7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Pr>
                <w:sz w:val="18"/>
              </w:rPr>
            </w:pPr>
            <w:r>
              <w:rPr>
                <w:sz w:val="18"/>
              </w:rPr>
              <w:t>Source: Office of National Statistics</w:t>
            </w:r>
          </w:p>
        </w:tc>
      </w:tr>
    </w:tbl>
    <w:p>
      <w:pPr>
        <w:pStyle w:val="BodyText"/>
        <w:spacing w:before="6"/>
        <w:rPr>
          <w:sz w:val="21"/>
        </w:rPr>
      </w:pPr>
    </w:p>
    <w:p>
      <w:pPr>
        <w:pStyle w:val="BodyText"/>
        <w:spacing w:line="360" w:lineRule="auto" w:before="94"/>
        <w:ind w:left="233" w:right="198"/>
      </w:pPr>
      <w:r>
        <w:rPr/>
        <w:t>The situation in the early 2000s reflected the downward pressure on the cost of manufactured goods from China and other low cost producers, coupled with the impact of weak global demand associated with 9/11 and other global shocks. The recent upward pressure on global commodity and energy prices also largely reflects the strong growth of demand from Asia and emerging market economies. In both cases, it is trends in the emerging market and developing economies which appear to have shaped global price developments over the past decade, and this pattern looks set to continue into the future.</w:t>
      </w:r>
    </w:p>
    <w:p>
      <w:pPr>
        <w:pStyle w:val="BodyText"/>
        <w:rPr>
          <w:sz w:val="30"/>
        </w:rPr>
      </w:pPr>
    </w:p>
    <w:p>
      <w:pPr>
        <w:pStyle w:val="BodyText"/>
        <w:spacing w:line="360" w:lineRule="auto" w:before="1"/>
        <w:ind w:left="233" w:right="173"/>
      </w:pPr>
      <w:r>
        <w:rPr/>
        <w:t>The second channel of influence from the global economy is via demand. Global economic developments affect demand conditions in the UK both directly and indirectly. The direct influence comes through changes in the demand for UK exports of goods and service. This is a particularly important factor for manufacturing industry, which exports around half the value of its production. </w:t>
      </w:r>
      <w:r>
        <w:rPr>
          <w:vertAlign w:val="superscript"/>
        </w:rPr>
        <w:t>5</w:t>
      </w:r>
      <w:r>
        <w:rPr>
          <w:vertAlign w:val="baseline"/>
        </w:rPr>
        <w:t> So as the global economy has bounced back from recession, it is not surprising to see this reflected in a strong rebound in UK manufacturing output, which is growing at its strongest rate since the mid-1990s. The services sector is in general much less export-intensive, though some specific service sectors – such as the airline industry and financial and business services – have significant international exposures and tend to be more sensitive to the global demand cycle.</w:t>
      </w:r>
    </w:p>
    <w:p>
      <w:pPr>
        <w:pStyle w:val="BodyText"/>
      </w:pPr>
    </w:p>
    <w:p>
      <w:pPr>
        <w:pStyle w:val="BodyText"/>
        <w:spacing w:before="10"/>
        <w:rPr>
          <w:sz w:val="21"/>
        </w:rPr>
      </w:pPr>
      <w:r>
        <w:rPr/>
        <w:pict>
          <v:shape style="position:absolute;margin-left:56.700001pt;margin-top:14.780435pt;width:144pt;height:.1pt;mso-position-horizontal-relative:page;mso-position-vertical-relative:paragraph;z-index:-251650048;mso-wrap-distance-left:0;mso-wrap-distance-right:0" coordorigin="1134,296" coordsize="2880,0" path="m1134,296l4014,296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5 </w:t>
      </w:r>
      <w:r>
        <w:rPr>
          <w:sz w:val="16"/>
        </w:rPr>
        <w:t>See Sentance (2007) for more details.</w:t>
      </w:r>
    </w:p>
    <w:p>
      <w:pPr>
        <w:spacing w:after="0"/>
        <w:jc w:val="left"/>
        <w:rPr>
          <w:sz w:val="16"/>
        </w:rPr>
        <w:sectPr>
          <w:footerReference w:type="default" r:id="rId11"/>
          <w:pgSz w:w="11900" w:h="16840"/>
          <w:pgMar w:footer="1340" w:header="0" w:top="1360" w:bottom="1540" w:left="900" w:right="1020"/>
          <w:pgNumType w:start="8"/>
        </w:sectPr>
      </w:pPr>
    </w:p>
    <w:p>
      <w:pPr>
        <w:pStyle w:val="BodyText"/>
        <w:spacing w:line="360" w:lineRule="auto" w:before="77"/>
        <w:ind w:left="234" w:right="154"/>
      </w:pPr>
      <w:r>
        <w:rPr/>
        <w:pict>
          <v:group style="position:absolute;margin-left:67.019997pt;margin-top:154.529984pt;width:330.3pt;height:151.9pt;mso-position-horizontal-relative:page;mso-position-vertical-relative:paragraph;z-index:-254942208" coordorigin="1340,3091" coordsize="6606,3038">
            <v:rect style="position:absolute;left:1550;top:4066;width:270;height:1995" filled="true" fillcolor="#333399" stroked="false">
              <v:fill type="solid"/>
            </v:rect>
            <v:rect style="position:absolute;left:1820;top:3586;width:255;height:2475" filled="true" fillcolor="#993300" stroked="false">
              <v:fill type="solid"/>
            </v:rect>
            <v:rect style="position:absolute;left:2480;top:5055;width:270;height:1006" filled="true" fillcolor="#333399" stroked="false">
              <v:fill type="solid"/>
            </v:rect>
            <v:rect style="position:absolute;left:2750;top:4830;width:270;height:1230" filled="true" fillcolor="#993300" stroked="false">
              <v:fill type="solid"/>
            </v:rect>
            <v:rect style="position:absolute;left:3410;top:5430;width:270;height:630" filled="true" fillcolor="#333399" stroked="false">
              <v:fill type="solid"/>
            </v:rect>
            <v:rect style="position:absolute;left:3680;top:4860;width:270;height:1200" filled="true" fillcolor="#993300" stroked="false">
              <v:fill type="solid"/>
            </v:rect>
            <v:rect style="position:absolute;left:4340;top:5505;width:269;height:556" filled="true" fillcolor="#333399" stroked="false">
              <v:fill type="solid"/>
            </v:rect>
            <v:rect style="position:absolute;left:4609;top:5295;width:270;height:766" filled="true" fillcolor="#993300" stroked="false">
              <v:fill type="solid"/>
            </v:rect>
            <v:rect style="position:absolute;left:5284;top:5655;width:255;height:406" filled="true" fillcolor="#333399" stroked="false">
              <v:fill type="solid"/>
            </v:rect>
            <v:rect style="position:absolute;left:5539;top:5640;width:270;height:420" filled="true" fillcolor="#993300" stroked="false">
              <v:fill type="solid"/>
            </v:rect>
            <v:line style="position:absolute" from="6215,6016" to="6485,6016" stroked="true" strokeweight="4.5pt" strokecolor="#333399">
              <v:stroke dashstyle="solid"/>
            </v:line>
            <v:rect style="position:absolute;left:6484;top:5505;width:255;height:556" filled="true" fillcolor="#993300" stroked="false">
              <v:fill type="solid"/>
            </v:rect>
            <v:rect style="position:absolute;left:7144;top:5835;width:270;height:226" filled="true" fillcolor="#333399" stroked="false">
              <v:fill type="solid"/>
            </v:rect>
            <v:rect style="position:absolute;left:7414;top:5715;width:270;height:346" filled="true" fillcolor="#993300" stroked="false">
              <v:fill type="solid"/>
            </v:rect>
            <v:line style="position:absolute" from="7872,3098" to="7872,6128" stroked="true" strokeweight=".72pt" strokecolor="#000000">
              <v:stroke dashstyle="solid"/>
            </v:line>
            <v:shape style="position:absolute;left:7872;top:3090;width:75;height:2985" coordorigin="7872,3091" coordsize="75,2985" path="m7946,6061l7872,6061,7872,6075,7946,6075,7946,6061m7946,5565l7872,5565,7872,5581,7946,5581,7946,5565m7946,5071l7872,5071,7872,5085,7946,5085,7946,5071m7946,4576l7872,4576,7872,4591,7946,4591,7946,4576m7946,4081l7872,4081,7872,4096,7946,4096,7946,4081m7946,3586l7872,3586,7872,3601,7946,3601,7946,3586m7946,3091l7872,3091,7872,3106,7946,3106,7946,3091e" filled="true" fillcolor="#000000" stroked="false">
              <v:path arrowok="t"/>
              <v:fill type="solid"/>
            </v:shape>
            <v:line style="position:absolute" from="1348,6068" to="7872,6068" stroked="true" strokeweight=".72pt" strokecolor="#000000">
              <v:stroke dashstyle="solid"/>
            </v:line>
            <v:shape style="position:absolute;left:1340;top:6067;width:5609;height:60" coordorigin="1340,6068" coordsize="5609,60" path="m1355,6068l1340,6068,1340,6128,1355,6128,1355,6068m2285,6068l2270,6068,2270,6128,2285,6128,2285,6068m3215,6068l3200,6068,3200,6128,3215,6128,3215,6068m4160,6068l4145,6068,4145,6128,4160,6128,4160,6068m5089,6068l5075,6068,5075,6128,5089,6128,5089,6068m6019,6068l6005,6068,6005,6128,6019,6128,6019,6068m6949,6068l6935,6068,6935,6128,6949,6128,6949,6068e" filled="true" fillcolor="#000000" stroked="false">
              <v:path arrowok="t"/>
              <v:fill type="solid"/>
            </v:shape>
            <v:rect style="position:absolute;left:6469;top:3390;width:120;height:120" filled="true" fillcolor="#333399" stroked="false">
              <v:fill type="solid"/>
            </v:rect>
            <v:rect style="position:absolute;left:6469;top:3720;width:120;height:120" filled="true" fillcolor="#993300" stroked="false">
              <v:fill type="solid"/>
            </v:rect>
            <w10:wrap type="none"/>
          </v:group>
        </w:pict>
      </w:r>
      <w:r>
        <w:rPr/>
        <w:t>But just as important as these direct linkages to the global economy via exports is the indirect impact of global developments on UK demand. The UK business community is very international, reflecting our tradition as a trading nation and the openness of our financial markets to overseas investment. Chart 6 shows that, apart from the United States, the UK has been the largest major industrialised economy in terms of flows of inward and outward direct investment over the past decade.</w:t>
      </w:r>
    </w:p>
    <w:p>
      <w:pPr>
        <w:pStyle w:val="BodyText"/>
      </w:pPr>
    </w:p>
    <w:p>
      <w:pPr>
        <w:pStyle w:val="BodyText"/>
        <w:spacing w:before="3"/>
        <w:rPr>
          <w:sz w:val="10"/>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0"/>
        <w:gridCol w:w="1018"/>
        <w:gridCol w:w="823"/>
        <w:gridCol w:w="1027"/>
        <w:gridCol w:w="927"/>
        <w:gridCol w:w="1636"/>
        <w:gridCol w:w="869"/>
      </w:tblGrid>
      <w:tr>
        <w:trPr>
          <w:trHeight w:val="689" w:hRule="atLeast"/>
        </w:trPr>
        <w:tc>
          <w:tcPr>
            <w:tcW w:w="74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6: Foreign Direct Investment flows from 2000 to 2010</w:t>
            </w:r>
          </w:p>
          <w:p>
            <w:pPr>
              <w:pStyle w:val="TableParagraph"/>
              <w:spacing w:before="114"/>
              <w:ind w:left="107"/>
              <w:rPr>
                <w:sz w:val="20"/>
              </w:rPr>
            </w:pPr>
            <w:r>
              <w:rPr>
                <w:sz w:val="20"/>
              </w:rPr>
              <w:t>Trillions of dollars, cumulative sum of annual flows</w:t>
            </w:r>
          </w:p>
        </w:tc>
      </w:tr>
      <w:tr>
        <w:trPr>
          <w:trHeight w:val="429" w:hRule="atLeast"/>
        </w:trPr>
        <w:tc>
          <w:tcPr>
            <w:tcW w:w="1100" w:type="dxa"/>
            <w:tcBorders>
              <w:top w:val="single" w:sz="4" w:space="0" w:color="000000"/>
              <w:left w:val="single" w:sz="4" w:space="0" w:color="000000"/>
            </w:tcBorders>
          </w:tcPr>
          <w:p>
            <w:pPr>
              <w:pStyle w:val="TableParagraph"/>
              <w:rPr>
                <w:rFonts w:ascii="Times New Roman"/>
                <w:sz w:val="18"/>
              </w:rPr>
            </w:pPr>
          </w:p>
        </w:tc>
        <w:tc>
          <w:tcPr>
            <w:tcW w:w="1018" w:type="dxa"/>
            <w:tcBorders>
              <w:top w:val="single" w:sz="4" w:space="0" w:color="000000"/>
            </w:tcBorders>
          </w:tcPr>
          <w:p>
            <w:pPr>
              <w:pStyle w:val="TableParagraph"/>
              <w:rPr>
                <w:rFonts w:ascii="Times New Roman"/>
                <w:sz w:val="18"/>
              </w:rPr>
            </w:pPr>
          </w:p>
        </w:tc>
        <w:tc>
          <w:tcPr>
            <w:tcW w:w="823" w:type="dxa"/>
            <w:tcBorders>
              <w:top w:val="single" w:sz="4" w:space="0" w:color="000000"/>
            </w:tcBorders>
          </w:tcPr>
          <w:p>
            <w:pPr>
              <w:pStyle w:val="TableParagraph"/>
              <w:rPr>
                <w:rFonts w:ascii="Times New Roman"/>
                <w:sz w:val="18"/>
              </w:rPr>
            </w:pPr>
          </w:p>
        </w:tc>
        <w:tc>
          <w:tcPr>
            <w:tcW w:w="1027" w:type="dxa"/>
            <w:tcBorders>
              <w:top w:val="single" w:sz="4" w:space="0" w:color="000000"/>
            </w:tcBorders>
          </w:tcPr>
          <w:p>
            <w:pPr>
              <w:pStyle w:val="TableParagraph"/>
              <w:rPr>
                <w:rFonts w:ascii="Times New Roman"/>
                <w:sz w:val="18"/>
              </w:rPr>
            </w:pPr>
          </w:p>
        </w:tc>
        <w:tc>
          <w:tcPr>
            <w:tcW w:w="927" w:type="dxa"/>
            <w:tcBorders>
              <w:top w:val="single" w:sz="4" w:space="0" w:color="000000"/>
            </w:tcBorders>
          </w:tcPr>
          <w:p>
            <w:pPr>
              <w:pStyle w:val="TableParagraph"/>
              <w:rPr>
                <w:rFonts w:ascii="Times New Roman"/>
                <w:sz w:val="18"/>
              </w:rPr>
            </w:pPr>
          </w:p>
        </w:tc>
        <w:tc>
          <w:tcPr>
            <w:tcW w:w="1636" w:type="dxa"/>
            <w:tcBorders>
              <w:top w:val="single" w:sz="4" w:space="0" w:color="000000"/>
            </w:tcBorders>
          </w:tcPr>
          <w:p>
            <w:pPr>
              <w:pStyle w:val="TableParagraph"/>
              <w:rPr>
                <w:rFonts w:ascii="Times New Roman"/>
                <w:sz w:val="18"/>
              </w:rPr>
            </w:pPr>
          </w:p>
        </w:tc>
        <w:tc>
          <w:tcPr>
            <w:tcW w:w="869" w:type="dxa"/>
            <w:tcBorders>
              <w:top w:val="single" w:sz="4" w:space="0" w:color="000000"/>
              <w:right w:val="single" w:sz="4" w:space="0" w:color="000000"/>
            </w:tcBorders>
          </w:tcPr>
          <w:p>
            <w:pPr>
              <w:pStyle w:val="TableParagraph"/>
              <w:spacing w:before="92"/>
              <w:ind w:right="194"/>
              <w:jc w:val="right"/>
              <w:rPr>
                <w:rFonts w:ascii="Calibri"/>
                <w:b/>
                <w:sz w:val="19"/>
              </w:rPr>
            </w:pPr>
            <w:r>
              <w:rPr>
                <w:rFonts w:ascii="Calibri"/>
                <w:color w:val="FFFFFF"/>
                <w:sz w:val="22"/>
              </w:rPr>
              <w:t>bn </w:t>
            </w:r>
            <w:r>
              <w:rPr>
                <w:rFonts w:ascii="Calibri"/>
                <w:b/>
                <w:sz w:val="19"/>
              </w:rPr>
              <w:t>3.0</w:t>
            </w:r>
          </w:p>
        </w:tc>
      </w:tr>
      <w:tr>
        <w:trPr>
          <w:trHeight w:val="661" w:hRule="atLeast"/>
        </w:trPr>
        <w:tc>
          <w:tcPr>
            <w:tcW w:w="1100" w:type="dxa"/>
            <w:tcBorders>
              <w:left w:val="single" w:sz="4" w:space="0" w:color="000000"/>
            </w:tcBorders>
          </w:tcPr>
          <w:p>
            <w:pPr>
              <w:pStyle w:val="TableParagraph"/>
              <w:rPr>
                <w:rFonts w:ascii="Times New Roman"/>
                <w:sz w:val="18"/>
              </w:rPr>
            </w:pPr>
          </w:p>
        </w:tc>
        <w:tc>
          <w:tcPr>
            <w:tcW w:w="1018" w:type="dxa"/>
          </w:tcPr>
          <w:p>
            <w:pPr>
              <w:pStyle w:val="TableParagraph"/>
              <w:rPr>
                <w:rFonts w:ascii="Times New Roman"/>
                <w:sz w:val="18"/>
              </w:rPr>
            </w:pPr>
          </w:p>
        </w:tc>
        <w:tc>
          <w:tcPr>
            <w:tcW w:w="823" w:type="dxa"/>
          </w:tcPr>
          <w:p>
            <w:pPr>
              <w:pStyle w:val="TableParagraph"/>
              <w:rPr>
                <w:rFonts w:ascii="Times New Roman"/>
                <w:sz w:val="18"/>
              </w:rPr>
            </w:pPr>
          </w:p>
        </w:tc>
        <w:tc>
          <w:tcPr>
            <w:tcW w:w="1027" w:type="dxa"/>
          </w:tcPr>
          <w:p>
            <w:pPr>
              <w:pStyle w:val="TableParagraph"/>
              <w:rPr>
                <w:rFonts w:ascii="Times New Roman"/>
                <w:sz w:val="18"/>
              </w:rPr>
            </w:pPr>
          </w:p>
        </w:tc>
        <w:tc>
          <w:tcPr>
            <w:tcW w:w="927" w:type="dxa"/>
          </w:tcPr>
          <w:p>
            <w:pPr>
              <w:pStyle w:val="TableParagraph"/>
              <w:rPr>
                <w:rFonts w:ascii="Times New Roman"/>
                <w:sz w:val="18"/>
              </w:rPr>
            </w:pPr>
          </w:p>
        </w:tc>
        <w:tc>
          <w:tcPr>
            <w:tcW w:w="1636" w:type="dxa"/>
          </w:tcPr>
          <w:p>
            <w:pPr>
              <w:pStyle w:val="TableParagraph"/>
              <w:spacing w:before="38"/>
              <w:ind w:left="602"/>
              <w:rPr>
                <w:rFonts w:ascii="Calibri"/>
                <w:b/>
                <w:sz w:val="19"/>
              </w:rPr>
            </w:pPr>
            <w:r>
              <w:rPr>
                <w:rFonts w:ascii="Calibri"/>
                <w:b/>
                <w:w w:val="105"/>
                <w:sz w:val="19"/>
              </w:rPr>
              <w:t>Inflow</w:t>
            </w:r>
          </w:p>
          <w:p>
            <w:pPr>
              <w:pStyle w:val="TableParagraph"/>
              <w:spacing w:before="104"/>
              <w:ind w:left="602"/>
              <w:rPr>
                <w:rFonts w:ascii="Calibri"/>
                <w:b/>
                <w:sz w:val="19"/>
              </w:rPr>
            </w:pPr>
            <w:r>
              <w:rPr>
                <w:rFonts w:ascii="Calibri"/>
                <w:b/>
                <w:w w:val="105"/>
                <w:sz w:val="19"/>
              </w:rPr>
              <w:t>Outflow</w:t>
            </w:r>
          </w:p>
        </w:tc>
        <w:tc>
          <w:tcPr>
            <w:tcW w:w="869" w:type="dxa"/>
            <w:tcBorders>
              <w:right w:val="single" w:sz="4" w:space="0" w:color="000000"/>
            </w:tcBorders>
          </w:tcPr>
          <w:p>
            <w:pPr>
              <w:pStyle w:val="TableParagraph"/>
              <w:spacing w:before="3"/>
              <w:rPr>
                <w:sz w:val="16"/>
              </w:rPr>
            </w:pPr>
          </w:p>
          <w:p>
            <w:pPr>
              <w:pStyle w:val="TableParagraph"/>
              <w:ind w:right="194"/>
              <w:jc w:val="right"/>
              <w:rPr>
                <w:rFonts w:ascii="Calibri"/>
                <w:b/>
                <w:sz w:val="19"/>
              </w:rPr>
            </w:pPr>
            <w:r>
              <w:rPr>
                <w:rFonts w:ascii="Calibri"/>
                <w:b/>
                <w:sz w:val="19"/>
              </w:rPr>
              <w:t>2.5</w:t>
            </w:r>
          </w:p>
        </w:tc>
      </w:tr>
      <w:tr>
        <w:trPr>
          <w:trHeight w:val="401" w:hRule="atLeast"/>
        </w:trPr>
        <w:tc>
          <w:tcPr>
            <w:tcW w:w="1100" w:type="dxa"/>
            <w:tcBorders>
              <w:left w:val="single" w:sz="4" w:space="0" w:color="000000"/>
            </w:tcBorders>
          </w:tcPr>
          <w:p>
            <w:pPr>
              <w:pStyle w:val="TableParagraph"/>
              <w:rPr>
                <w:rFonts w:ascii="Times New Roman"/>
                <w:sz w:val="18"/>
              </w:rPr>
            </w:pPr>
          </w:p>
        </w:tc>
        <w:tc>
          <w:tcPr>
            <w:tcW w:w="1018" w:type="dxa"/>
          </w:tcPr>
          <w:p>
            <w:pPr>
              <w:pStyle w:val="TableParagraph"/>
              <w:rPr>
                <w:rFonts w:ascii="Times New Roman"/>
                <w:sz w:val="18"/>
              </w:rPr>
            </w:pPr>
          </w:p>
        </w:tc>
        <w:tc>
          <w:tcPr>
            <w:tcW w:w="823" w:type="dxa"/>
          </w:tcPr>
          <w:p>
            <w:pPr>
              <w:pStyle w:val="TableParagraph"/>
              <w:rPr>
                <w:rFonts w:ascii="Times New Roman"/>
                <w:sz w:val="18"/>
              </w:rPr>
            </w:pPr>
          </w:p>
        </w:tc>
        <w:tc>
          <w:tcPr>
            <w:tcW w:w="1027" w:type="dxa"/>
          </w:tcPr>
          <w:p>
            <w:pPr>
              <w:pStyle w:val="TableParagraph"/>
              <w:rPr>
                <w:rFonts w:ascii="Times New Roman"/>
                <w:sz w:val="18"/>
              </w:rPr>
            </w:pPr>
          </w:p>
        </w:tc>
        <w:tc>
          <w:tcPr>
            <w:tcW w:w="927" w:type="dxa"/>
          </w:tcPr>
          <w:p>
            <w:pPr>
              <w:pStyle w:val="TableParagraph"/>
              <w:rPr>
                <w:rFonts w:ascii="Times New Roman"/>
                <w:sz w:val="18"/>
              </w:rPr>
            </w:pPr>
          </w:p>
        </w:tc>
        <w:tc>
          <w:tcPr>
            <w:tcW w:w="1636" w:type="dxa"/>
          </w:tcPr>
          <w:p>
            <w:pPr>
              <w:pStyle w:val="TableParagraph"/>
              <w:rPr>
                <w:rFonts w:ascii="Times New Roman"/>
                <w:sz w:val="18"/>
              </w:rPr>
            </w:pPr>
          </w:p>
        </w:tc>
        <w:tc>
          <w:tcPr>
            <w:tcW w:w="869" w:type="dxa"/>
            <w:tcBorders>
              <w:right w:val="single" w:sz="4" w:space="0" w:color="000000"/>
            </w:tcBorders>
          </w:tcPr>
          <w:p>
            <w:pPr>
              <w:pStyle w:val="TableParagraph"/>
              <w:spacing w:before="22"/>
              <w:ind w:right="194"/>
              <w:jc w:val="right"/>
              <w:rPr>
                <w:rFonts w:ascii="Calibri"/>
                <w:b/>
                <w:sz w:val="19"/>
              </w:rPr>
            </w:pPr>
            <w:r>
              <w:rPr>
                <w:rFonts w:ascii="Calibri"/>
                <w:b/>
                <w:sz w:val="19"/>
              </w:rPr>
              <w:t>2.0</w:t>
            </w:r>
          </w:p>
        </w:tc>
      </w:tr>
      <w:tr>
        <w:trPr>
          <w:trHeight w:val="495" w:hRule="atLeast"/>
        </w:trPr>
        <w:tc>
          <w:tcPr>
            <w:tcW w:w="1100" w:type="dxa"/>
            <w:tcBorders>
              <w:left w:val="single" w:sz="4" w:space="0" w:color="000000"/>
            </w:tcBorders>
          </w:tcPr>
          <w:p>
            <w:pPr>
              <w:pStyle w:val="TableParagraph"/>
              <w:rPr>
                <w:rFonts w:ascii="Times New Roman"/>
                <w:sz w:val="18"/>
              </w:rPr>
            </w:pPr>
          </w:p>
        </w:tc>
        <w:tc>
          <w:tcPr>
            <w:tcW w:w="1018" w:type="dxa"/>
          </w:tcPr>
          <w:p>
            <w:pPr>
              <w:pStyle w:val="TableParagraph"/>
              <w:rPr>
                <w:rFonts w:ascii="Times New Roman"/>
                <w:sz w:val="18"/>
              </w:rPr>
            </w:pPr>
          </w:p>
        </w:tc>
        <w:tc>
          <w:tcPr>
            <w:tcW w:w="823" w:type="dxa"/>
          </w:tcPr>
          <w:p>
            <w:pPr>
              <w:pStyle w:val="TableParagraph"/>
              <w:rPr>
                <w:rFonts w:ascii="Times New Roman"/>
                <w:sz w:val="18"/>
              </w:rPr>
            </w:pPr>
          </w:p>
        </w:tc>
        <w:tc>
          <w:tcPr>
            <w:tcW w:w="1027" w:type="dxa"/>
          </w:tcPr>
          <w:p>
            <w:pPr>
              <w:pStyle w:val="TableParagraph"/>
              <w:rPr>
                <w:rFonts w:ascii="Times New Roman"/>
                <w:sz w:val="18"/>
              </w:rPr>
            </w:pPr>
          </w:p>
        </w:tc>
        <w:tc>
          <w:tcPr>
            <w:tcW w:w="927" w:type="dxa"/>
          </w:tcPr>
          <w:p>
            <w:pPr>
              <w:pStyle w:val="TableParagraph"/>
              <w:rPr>
                <w:rFonts w:ascii="Times New Roman"/>
                <w:sz w:val="18"/>
              </w:rPr>
            </w:pPr>
          </w:p>
        </w:tc>
        <w:tc>
          <w:tcPr>
            <w:tcW w:w="1636" w:type="dxa"/>
          </w:tcPr>
          <w:p>
            <w:pPr>
              <w:pStyle w:val="TableParagraph"/>
              <w:rPr>
                <w:rFonts w:ascii="Times New Roman"/>
                <w:sz w:val="18"/>
              </w:rPr>
            </w:pPr>
          </w:p>
        </w:tc>
        <w:tc>
          <w:tcPr>
            <w:tcW w:w="869" w:type="dxa"/>
            <w:tcBorders>
              <w:right w:val="single" w:sz="4" w:space="0" w:color="000000"/>
            </w:tcBorders>
          </w:tcPr>
          <w:p>
            <w:pPr>
              <w:pStyle w:val="TableParagraph"/>
              <w:spacing w:before="115"/>
              <w:ind w:right="194"/>
              <w:jc w:val="right"/>
              <w:rPr>
                <w:rFonts w:ascii="Calibri"/>
                <w:b/>
                <w:sz w:val="19"/>
              </w:rPr>
            </w:pPr>
            <w:r>
              <w:rPr>
                <w:rFonts w:ascii="Calibri"/>
                <w:b/>
                <w:sz w:val="19"/>
              </w:rPr>
              <w:t>1.5</w:t>
            </w:r>
          </w:p>
        </w:tc>
      </w:tr>
      <w:tr>
        <w:trPr>
          <w:trHeight w:val="495" w:hRule="atLeast"/>
        </w:trPr>
        <w:tc>
          <w:tcPr>
            <w:tcW w:w="1100" w:type="dxa"/>
            <w:tcBorders>
              <w:left w:val="single" w:sz="4" w:space="0" w:color="000000"/>
            </w:tcBorders>
          </w:tcPr>
          <w:p>
            <w:pPr>
              <w:pStyle w:val="TableParagraph"/>
              <w:rPr>
                <w:rFonts w:ascii="Times New Roman"/>
                <w:sz w:val="18"/>
              </w:rPr>
            </w:pPr>
          </w:p>
        </w:tc>
        <w:tc>
          <w:tcPr>
            <w:tcW w:w="1018" w:type="dxa"/>
          </w:tcPr>
          <w:p>
            <w:pPr>
              <w:pStyle w:val="TableParagraph"/>
              <w:rPr>
                <w:rFonts w:ascii="Times New Roman"/>
                <w:sz w:val="18"/>
              </w:rPr>
            </w:pPr>
          </w:p>
        </w:tc>
        <w:tc>
          <w:tcPr>
            <w:tcW w:w="823" w:type="dxa"/>
          </w:tcPr>
          <w:p>
            <w:pPr>
              <w:pStyle w:val="TableParagraph"/>
              <w:rPr>
                <w:rFonts w:ascii="Times New Roman"/>
                <w:sz w:val="18"/>
              </w:rPr>
            </w:pPr>
          </w:p>
        </w:tc>
        <w:tc>
          <w:tcPr>
            <w:tcW w:w="1027" w:type="dxa"/>
          </w:tcPr>
          <w:p>
            <w:pPr>
              <w:pStyle w:val="TableParagraph"/>
              <w:rPr>
                <w:rFonts w:ascii="Times New Roman"/>
                <w:sz w:val="18"/>
              </w:rPr>
            </w:pPr>
          </w:p>
        </w:tc>
        <w:tc>
          <w:tcPr>
            <w:tcW w:w="927" w:type="dxa"/>
          </w:tcPr>
          <w:p>
            <w:pPr>
              <w:pStyle w:val="TableParagraph"/>
              <w:rPr>
                <w:rFonts w:ascii="Times New Roman"/>
                <w:sz w:val="18"/>
              </w:rPr>
            </w:pPr>
          </w:p>
        </w:tc>
        <w:tc>
          <w:tcPr>
            <w:tcW w:w="1636" w:type="dxa"/>
          </w:tcPr>
          <w:p>
            <w:pPr>
              <w:pStyle w:val="TableParagraph"/>
              <w:rPr>
                <w:rFonts w:ascii="Times New Roman"/>
                <w:sz w:val="18"/>
              </w:rPr>
            </w:pPr>
          </w:p>
        </w:tc>
        <w:tc>
          <w:tcPr>
            <w:tcW w:w="869" w:type="dxa"/>
            <w:tcBorders>
              <w:right w:val="single" w:sz="4" w:space="0" w:color="000000"/>
            </w:tcBorders>
          </w:tcPr>
          <w:p>
            <w:pPr>
              <w:pStyle w:val="TableParagraph"/>
              <w:spacing w:before="115"/>
              <w:ind w:right="194"/>
              <w:jc w:val="right"/>
              <w:rPr>
                <w:rFonts w:ascii="Calibri"/>
                <w:b/>
                <w:sz w:val="19"/>
              </w:rPr>
            </w:pPr>
            <w:r>
              <w:rPr>
                <w:rFonts w:ascii="Calibri"/>
                <w:b/>
                <w:sz w:val="19"/>
              </w:rPr>
              <w:t>1.0</w:t>
            </w:r>
          </w:p>
        </w:tc>
      </w:tr>
      <w:tr>
        <w:trPr>
          <w:trHeight w:val="495" w:hRule="atLeast"/>
        </w:trPr>
        <w:tc>
          <w:tcPr>
            <w:tcW w:w="1100" w:type="dxa"/>
            <w:tcBorders>
              <w:left w:val="single" w:sz="4" w:space="0" w:color="000000"/>
            </w:tcBorders>
          </w:tcPr>
          <w:p>
            <w:pPr>
              <w:pStyle w:val="TableParagraph"/>
              <w:rPr>
                <w:rFonts w:ascii="Times New Roman"/>
                <w:sz w:val="18"/>
              </w:rPr>
            </w:pPr>
          </w:p>
        </w:tc>
        <w:tc>
          <w:tcPr>
            <w:tcW w:w="1018" w:type="dxa"/>
          </w:tcPr>
          <w:p>
            <w:pPr>
              <w:pStyle w:val="TableParagraph"/>
              <w:rPr>
                <w:rFonts w:ascii="Times New Roman"/>
                <w:sz w:val="18"/>
              </w:rPr>
            </w:pPr>
          </w:p>
        </w:tc>
        <w:tc>
          <w:tcPr>
            <w:tcW w:w="823" w:type="dxa"/>
          </w:tcPr>
          <w:p>
            <w:pPr>
              <w:pStyle w:val="TableParagraph"/>
              <w:rPr>
                <w:rFonts w:ascii="Times New Roman"/>
                <w:sz w:val="18"/>
              </w:rPr>
            </w:pPr>
          </w:p>
        </w:tc>
        <w:tc>
          <w:tcPr>
            <w:tcW w:w="1027" w:type="dxa"/>
          </w:tcPr>
          <w:p>
            <w:pPr>
              <w:pStyle w:val="TableParagraph"/>
              <w:rPr>
                <w:rFonts w:ascii="Times New Roman"/>
                <w:sz w:val="18"/>
              </w:rPr>
            </w:pPr>
          </w:p>
        </w:tc>
        <w:tc>
          <w:tcPr>
            <w:tcW w:w="927" w:type="dxa"/>
          </w:tcPr>
          <w:p>
            <w:pPr>
              <w:pStyle w:val="TableParagraph"/>
              <w:rPr>
                <w:rFonts w:ascii="Times New Roman"/>
                <w:sz w:val="18"/>
              </w:rPr>
            </w:pPr>
          </w:p>
        </w:tc>
        <w:tc>
          <w:tcPr>
            <w:tcW w:w="1636" w:type="dxa"/>
          </w:tcPr>
          <w:p>
            <w:pPr>
              <w:pStyle w:val="TableParagraph"/>
              <w:rPr>
                <w:rFonts w:ascii="Times New Roman"/>
                <w:sz w:val="18"/>
              </w:rPr>
            </w:pPr>
          </w:p>
        </w:tc>
        <w:tc>
          <w:tcPr>
            <w:tcW w:w="869" w:type="dxa"/>
            <w:tcBorders>
              <w:right w:val="single" w:sz="4" w:space="0" w:color="000000"/>
            </w:tcBorders>
          </w:tcPr>
          <w:p>
            <w:pPr>
              <w:pStyle w:val="TableParagraph"/>
              <w:spacing w:before="115"/>
              <w:ind w:right="194"/>
              <w:jc w:val="right"/>
              <w:rPr>
                <w:rFonts w:ascii="Calibri"/>
                <w:b/>
                <w:sz w:val="19"/>
              </w:rPr>
            </w:pPr>
            <w:r>
              <w:rPr>
                <w:rFonts w:ascii="Calibri"/>
                <w:b/>
                <w:sz w:val="19"/>
              </w:rPr>
              <w:t>0.5</w:t>
            </w:r>
          </w:p>
        </w:tc>
      </w:tr>
      <w:tr>
        <w:trPr>
          <w:trHeight w:val="377" w:hRule="atLeast"/>
        </w:trPr>
        <w:tc>
          <w:tcPr>
            <w:tcW w:w="1100" w:type="dxa"/>
            <w:tcBorders>
              <w:left w:val="single" w:sz="4" w:space="0" w:color="000000"/>
            </w:tcBorders>
          </w:tcPr>
          <w:p>
            <w:pPr>
              <w:pStyle w:val="TableParagraph"/>
              <w:rPr>
                <w:rFonts w:ascii="Times New Roman"/>
                <w:sz w:val="18"/>
              </w:rPr>
            </w:pPr>
          </w:p>
        </w:tc>
        <w:tc>
          <w:tcPr>
            <w:tcW w:w="1018" w:type="dxa"/>
          </w:tcPr>
          <w:p>
            <w:pPr>
              <w:pStyle w:val="TableParagraph"/>
              <w:rPr>
                <w:rFonts w:ascii="Times New Roman"/>
                <w:sz w:val="18"/>
              </w:rPr>
            </w:pPr>
          </w:p>
        </w:tc>
        <w:tc>
          <w:tcPr>
            <w:tcW w:w="823" w:type="dxa"/>
          </w:tcPr>
          <w:p>
            <w:pPr>
              <w:pStyle w:val="TableParagraph"/>
              <w:rPr>
                <w:rFonts w:ascii="Times New Roman"/>
                <w:sz w:val="18"/>
              </w:rPr>
            </w:pPr>
          </w:p>
        </w:tc>
        <w:tc>
          <w:tcPr>
            <w:tcW w:w="1027" w:type="dxa"/>
          </w:tcPr>
          <w:p>
            <w:pPr>
              <w:pStyle w:val="TableParagraph"/>
              <w:rPr>
                <w:rFonts w:ascii="Times New Roman"/>
                <w:sz w:val="18"/>
              </w:rPr>
            </w:pPr>
          </w:p>
        </w:tc>
        <w:tc>
          <w:tcPr>
            <w:tcW w:w="927" w:type="dxa"/>
          </w:tcPr>
          <w:p>
            <w:pPr>
              <w:pStyle w:val="TableParagraph"/>
              <w:rPr>
                <w:rFonts w:ascii="Times New Roman"/>
                <w:sz w:val="18"/>
              </w:rPr>
            </w:pPr>
          </w:p>
        </w:tc>
        <w:tc>
          <w:tcPr>
            <w:tcW w:w="1636" w:type="dxa"/>
          </w:tcPr>
          <w:p>
            <w:pPr>
              <w:pStyle w:val="TableParagraph"/>
              <w:rPr>
                <w:rFonts w:ascii="Times New Roman"/>
                <w:sz w:val="18"/>
              </w:rPr>
            </w:pPr>
          </w:p>
        </w:tc>
        <w:tc>
          <w:tcPr>
            <w:tcW w:w="869" w:type="dxa"/>
            <w:tcBorders>
              <w:right w:val="single" w:sz="4" w:space="0" w:color="000000"/>
            </w:tcBorders>
          </w:tcPr>
          <w:p>
            <w:pPr>
              <w:pStyle w:val="TableParagraph"/>
              <w:spacing w:before="115"/>
              <w:ind w:right="194"/>
              <w:jc w:val="right"/>
              <w:rPr>
                <w:rFonts w:ascii="Calibri"/>
                <w:b/>
                <w:sz w:val="19"/>
              </w:rPr>
            </w:pPr>
            <w:r>
              <w:rPr>
                <w:rFonts w:ascii="Calibri"/>
                <w:b/>
                <w:sz w:val="19"/>
              </w:rPr>
              <w:t>0.0</w:t>
            </w:r>
          </w:p>
        </w:tc>
      </w:tr>
      <w:tr>
        <w:trPr>
          <w:trHeight w:val="250" w:hRule="atLeast"/>
        </w:trPr>
        <w:tc>
          <w:tcPr>
            <w:tcW w:w="1100" w:type="dxa"/>
            <w:tcBorders>
              <w:left w:val="single" w:sz="4" w:space="0" w:color="000000"/>
            </w:tcBorders>
          </w:tcPr>
          <w:p>
            <w:pPr>
              <w:pStyle w:val="TableParagraph"/>
              <w:spacing w:line="230" w:lineRule="exact"/>
              <w:ind w:right="153"/>
              <w:jc w:val="right"/>
              <w:rPr>
                <w:rFonts w:ascii="Calibri"/>
                <w:b/>
                <w:sz w:val="19"/>
              </w:rPr>
            </w:pPr>
            <w:r>
              <w:rPr>
                <w:rFonts w:ascii="Calibri"/>
                <w:b/>
                <w:sz w:val="19"/>
              </w:rPr>
              <w:t>United</w:t>
            </w:r>
          </w:p>
        </w:tc>
        <w:tc>
          <w:tcPr>
            <w:tcW w:w="1018" w:type="dxa"/>
          </w:tcPr>
          <w:p>
            <w:pPr>
              <w:pStyle w:val="TableParagraph"/>
              <w:spacing w:line="230" w:lineRule="exact"/>
              <w:ind w:right="199"/>
              <w:jc w:val="right"/>
              <w:rPr>
                <w:rFonts w:ascii="Calibri"/>
                <w:b/>
                <w:sz w:val="19"/>
              </w:rPr>
            </w:pPr>
            <w:r>
              <w:rPr>
                <w:rFonts w:ascii="Calibri"/>
                <w:b/>
                <w:sz w:val="19"/>
              </w:rPr>
              <w:t>United</w:t>
            </w:r>
          </w:p>
        </w:tc>
        <w:tc>
          <w:tcPr>
            <w:tcW w:w="823" w:type="dxa"/>
          </w:tcPr>
          <w:p>
            <w:pPr>
              <w:pStyle w:val="TableParagraph"/>
              <w:spacing w:line="230" w:lineRule="exact"/>
              <w:ind w:left="147"/>
              <w:rPr>
                <w:rFonts w:ascii="Calibri"/>
                <w:b/>
                <w:sz w:val="19"/>
              </w:rPr>
            </w:pPr>
            <w:r>
              <w:rPr>
                <w:rFonts w:ascii="Calibri"/>
                <w:b/>
                <w:w w:val="105"/>
                <w:sz w:val="19"/>
              </w:rPr>
              <w:t>France</w:t>
            </w:r>
          </w:p>
        </w:tc>
        <w:tc>
          <w:tcPr>
            <w:tcW w:w="1027" w:type="dxa"/>
          </w:tcPr>
          <w:p>
            <w:pPr>
              <w:pStyle w:val="TableParagraph"/>
              <w:spacing w:line="230" w:lineRule="exact"/>
              <w:ind w:left="151"/>
              <w:rPr>
                <w:rFonts w:ascii="Calibri"/>
                <w:b/>
                <w:sz w:val="19"/>
              </w:rPr>
            </w:pPr>
            <w:r>
              <w:rPr>
                <w:rFonts w:ascii="Calibri"/>
                <w:b/>
                <w:w w:val="105"/>
                <w:sz w:val="19"/>
              </w:rPr>
              <w:t>Germany</w:t>
            </w:r>
          </w:p>
        </w:tc>
        <w:tc>
          <w:tcPr>
            <w:tcW w:w="927" w:type="dxa"/>
          </w:tcPr>
          <w:p>
            <w:pPr>
              <w:pStyle w:val="TableParagraph"/>
              <w:spacing w:line="230" w:lineRule="exact"/>
              <w:ind w:left="132"/>
              <w:rPr>
                <w:rFonts w:ascii="Calibri"/>
                <w:b/>
                <w:sz w:val="19"/>
              </w:rPr>
            </w:pPr>
            <w:r>
              <w:rPr>
                <w:rFonts w:ascii="Calibri"/>
                <w:b/>
                <w:w w:val="105"/>
                <w:sz w:val="19"/>
              </w:rPr>
              <w:t>Canada</w:t>
            </w:r>
          </w:p>
        </w:tc>
        <w:tc>
          <w:tcPr>
            <w:tcW w:w="1636" w:type="dxa"/>
          </w:tcPr>
          <w:p>
            <w:pPr>
              <w:pStyle w:val="TableParagraph"/>
              <w:tabs>
                <w:tab w:pos="1190" w:val="left" w:leader="none"/>
              </w:tabs>
              <w:spacing w:line="230" w:lineRule="exact"/>
              <w:ind w:left="213"/>
              <w:rPr>
                <w:rFonts w:ascii="Calibri"/>
                <w:b/>
                <w:sz w:val="19"/>
              </w:rPr>
            </w:pPr>
            <w:r>
              <w:rPr>
                <w:rFonts w:ascii="Calibri"/>
                <w:b/>
                <w:spacing w:val="-4"/>
                <w:w w:val="105"/>
                <w:sz w:val="19"/>
              </w:rPr>
              <w:t>Japan</w:t>
              <w:tab/>
            </w:r>
            <w:r>
              <w:rPr>
                <w:rFonts w:ascii="Calibri"/>
                <w:b/>
                <w:w w:val="105"/>
                <w:sz w:val="19"/>
              </w:rPr>
              <w:t>Italy</w:t>
            </w:r>
          </w:p>
        </w:tc>
        <w:tc>
          <w:tcPr>
            <w:tcW w:w="869" w:type="dxa"/>
            <w:tcBorders>
              <w:right w:val="single" w:sz="4" w:space="0" w:color="000000"/>
            </w:tcBorders>
          </w:tcPr>
          <w:p>
            <w:pPr>
              <w:pStyle w:val="TableParagraph"/>
              <w:rPr>
                <w:rFonts w:ascii="Times New Roman"/>
                <w:sz w:val="18"/>
              </w:rPr>
            </w:pPr>
          </w:p>
        </w:tc>
      </w:tr>
      <w:tr>
        <w:trPr>
          <w:trHeight w:val="514" w:hRule="atLeast"/>
        </w:trPr>
        <w:tc>
          <w:tcPr>
            <w:tcW w:w="1100" w:type="dxa"/>
            <w:tcBorders>
              <w:left w:val="single" w:sz="4" w:space="0" w:color="000000"/>
              <w:bottom w:val="single" w:sz="4" w:space="0" w:color="000000"/>
            </w:tcBorders>
          </w:tcPr>
          <w:p>
            <w:pPr>
              <w:pStyle w:val="TableParagraph"/>
              <w:spacing w:line="220" w:lineRule="exact"/>
              <w:ind w:right="178"/>
              <w:jc w:val="right"/>
              <w:rPr>
                <w:rFonts w:ascii="Calibri"/>
                <w:b/>
                <w:sz w:val="19"/>
              </w:rPr>
            </w:pPr>
            <w:r>
              <w:rPr>
                <w:rFonts w:ascii="Calibri"/>
                <w:b/>
                <w:sz w:val="19"/>
              </w:rPr>
              <w:t>States</w:t>
            </w:r>
          </w:p>
        </w:tc>
        <w:tc>
          <w:tcPr>
            <w:tcW w:w="1018" w:type="dxa"/>
            <w:tcBorders>
              <w:bottom w:val="single" w:sz="4" w:space="0" w:color="000000"/>
            </w:tcBorders>
          </w:tcPr>
          <w:p>
            <w:pPr>
              <w:pStyle w:val="TableParagraph"/>
              <w:spacing w:line="220" w:lineRule="exact"/>
              <w:ind w:right="136"/>
              <w:jc w:val="right"/>
              <w:rPr>
                <w:rFonts w:ascii="Calibri"/>
                <w:b/>
                <w:sz w:val="19"/>
              </w:rPr>
            </w:pPr>
            <w:r>
              <w:rPr>
                <w:rFonts w:ascii="Calibri"/>
                <w:b/>
                <w:sz w:val="19"/>
              </w:rPr>
              <w:t>Kingdom</w:t>
            </w:r>
          </w:p>
        </w:tc>
        <w:tc>
          <w:tcPr>
            <w:tcW w:w="823" w:type="dxa"/>
            <w:tcBorders>
              <w:bottom w:val="single" w:sz="4" w:space="0" w:color="000000"/>
            </w:tcBorders>
          </w:tcPr>
          <w:p>
            <w:pPr>
              <w:pStyle w:val="TableParagraph"/>
              <w:rPr>
                <w:rFonts w:ascii="Times New Roman"/>
                <w:sz w:val="18"/>
              </w:rPr>
            </w:pPr>
          </w:p>
        </w:tc>
        <w:tc>
          <w:tcPr>
            <w:tcW w:w="1027" w:type="dxa"/>
            <w:tcBorders>
              <w:bottom w:val="single" w:sz="4" w:space="0" w:color="000000"/>
            </w:tcBorders>
          </w:tcPr>
          <w:p>
            <w:pPr>
              <w:pStyle w:val="TableParagraph"/>
              <w:rPr>
                <w:rFonts w:ascii="Times New Roman"/>
                <w:sz w:val="18"/>
              </w:rPr>
            </w:pPr>
          </w:p>
        </w:tc>
        <w:tc>
          <w:tcPr>
            <w:tcW w:w="927" w:type="dxa"/>
            <w:tcBorders>
              <w:bottom w:val="single" w:sz="4" w:space="0" w:color="000000"/>
            </w:tcBorders>
          </w:tcPr>
          <w:p>
            <w:pPr>
              <w:pStyle w:val="TableParagraph"/>
              <w:rPr>
                <w:rFonts w:ascii="Times New Roman"/>
                <w:sz w:val="18"/>
              </w:rPr>
            </w:pPr>
          </w:p>
        </w:tc>
        <w:tc>
          <w:tcPr>
            <w:tcW w:w="1636" w:type="dxa"/>
            <w:tcBorders>
              <w:bottom w:val="single" w:sz="4" w:space="0" w:color="000000"/>
            </w:tcBorders>
          </w:tcPr>
          <w:p>
            <w:pPr>
              <w:pStyle w:val="TableParagraph"/>
              <w:rPr>
                <w:rFonts w:ascii="Times New Roman"/>
                <w:sz w:val="18"/>
              </w:rPr>
            </w:pPr>
          </w:p>
        </w:tc>
        <w:tc>
          <w:tcPr>
            <w:tcW w:w="869" w:type="dxa"/>
            <w:tcBorders>
              <w:bottom w:val="single" w:sz="4" w:space="0" w:color="000000"/>
              <w:right w:val="single" w:sz="4" w:space="0" w:color="000000"/>
            </w:tcBorders>
          </w:tcPr>
          <w:p>
            <w:pPr>
              <w:pStyle w:val="TableParagraph"/>
              <w:rPr>
                <w:rFonts w:ascii="Times New Roman"/>
                <w:sz w:val="18"/>
              </w:rPr>
            </w:pPr>
          </w:p>
        </w:tc>
      </w:tr>
      <w:tr>
        <w:trPr>
          <w:trHeight w:val="310" w:hRule="atLeast"/>
        </w:trPr>
        <w:tc>
          <w:tcPr>
            <w:tcW w:w="74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Pr>
                <w:sz w:val="18"/>
              </w:rPr>
            </w:pPr>
            <w:r>
              <w:rPr>
                <w:sz w:val="18"/>
              </w:rPr>
              <w:t>Source: OECD</w:t>
            </w:r>
          </w:p>
        </w:tc>
      </w:tr>
    </w:tbl>
    <w:p>
      <w:pPr>
        <w:pStyle w:val="BodyText"/>
        <w:spacing w:before="7"/>
        <w:rPr>
          <w:sz w:val="21"/>
        </w:rPr>
      </w:pPr>
    </w:p>
    <w:p>
      <w:pPr>
        <w:pStyle w:val="BodyText"/>
        <w:spacing w:line="360" w:lineRule="auto" w:before="94"/>
        <w:ind w:left="234" w:right="276"/>
      </w:pPr>
      <w:r>
        <w:rPr/>
        <w:t>There are also linkages from the global economy to UK demand through financial markets, which have had the dramatic effects we have observed through the financial crisis. And we have also seen in the recent cycle how swings in international business confidence can affect the investment and employment climate here in the UK. In a narrow accounting sense, these swings in confidence can show up in the GDP figures as changes in UK investment and consumer spending. But they are ultimately driven by changes in the global demand climate – impacting our economy because of the widespread activities of international companies here in the UK and our role as a global financial centre.</w:t>
      </w:r>
    </w:p>
    <w:p>
      <w:pPr>
        <w:pStyle w:val="BodyText"/>
        <w:spacing w:before="10"/>
        <w:rPr>
          <w:sz w:val="29"/>
        </w:rPr>
      </w:pPr>
    </w:p>
    <w:p>
      <w:pPr>
        <w:pStyle w:val="BodyText"/>
        <w:spacing w:line="360" w:lineRule="auto" w:before="1"/>
        <w:ind w:left="233" w:right="132"/>
      </w:pPr>
      <w:r>
        <w:rPr/>
        <w:t>In addition to these cost and demand impacts, there is a third way in which global economic conditions might also affect UK inflation, which is through their impact on the pricing climate. As businesses become more specialised and international in focus, some economists have argued that global conditions have become increasingly important in affecting pricing behaviour, relative to domestic factors.</w:t>
      </w:r>
      <w:r>
        <w:rPr>
          <w:vertAlign w:val="superscript"/>
        </w:rPr>
        <w:t>6</w:t>
      </w:r>
      <w:r>
        <w:rPr>
          <w:vertAlign w:val="baseline"/>
        </w:rPr>
        <w:t> According to this view, the global balance of demand and supply and competitive pressures on global markets may come to have a significant impact on prices in economies which are open to international trade, such as the UK. Excess global capacity represents a ready supply of traded goods which can readily enter the UK market, exerting a</w:t>
      </w:r>
    </w:p>
    <w:p>
      <w:pPr>
        <w:pStyle w:val="BodyText"/>
      </w:pPr>
    </w:p>
    <w:p>
      <w:pPr>
        <w:pStyle w:val="BodyText"/>
        <w:spacing w:before="11"/>
        <w:rPr>
          <w:sz w:val="21"/>
        </w:rPr>
      </w:pPr>
      <w:r>
        <w:rPr/>
        <w:pict>
          <v:shape style="position:absolute;margin-left:56.700001pt;margin-top:14.83392pt;width:144pt;height:.1pt;mso-position-horizontal-relative:page;mso-position-vertical-relative:paragraph;z-index:-251648000;mso-wrap-distance-left:0;mso-wrap-distance-right:0" coordorigin="1134,297" coordsize="2880,0" path="m1134,297l4014,297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6 </w:t>
      </w:r>
      <w:r>
        <w:rPr>
          <w:sz w:val="16"/>
        </w:rPr>
        <w:t>See Borio and Filardo (20007) for a fuller discussion of this argument.</w:t>
      </w:r>
    </w:p>
    <w:p>
      <w:pPr>
        <w:spacing w:after="0"/>
        <w:jc w:val="left"/>
        <w:rPr>
          <w:sz w:val="16"/>
        </w:rPr>
        <w:sectPr>
          <w:footerReference w:type="default" r:id="rId12"/>
          <w:pgSz w:w="11900" w:h="16840"/>
          <w:pgMar w:footer="1340" w:header="0" w:top="1360" w:bottom="1540" w:left="900" w:right="1020"/>
          <w:pgNumType w:start="9"/>
        </w:sectPr>
      </w:pPr>
    </w:p>
    <w:p>
      <w:pPr>
        <w:pStyle w:val="BodyText"/>
        <w:spacing w:line="360" w:lineRule="auto" w:before="77"/>
        <w:ind w:left="233"/>
      </w:pPr>
      <w:r>
        <w:rPr/>
        <w:t>competitive discipline on price increases by UK businesses and holding down inflation. But when global capacity is tight or tightening, this disciplining effect on price-setting may be much weaker.</w:t>
      </w:r>
    </w:p>
    <w:p>
      <w:pPr>
        <w:pStyle w:val="BodyText"/>
        <w:spacing w:before="11"/>
        <w:rPr>
          <w:sz w:val="29"/>
        </w:rPr>
      </w:pPr>
    </w:p>
    <w:p>
      <w:pPr>
        <w:pStyle w:val="BodyText"/>
        <w:spacing w:line="360" w:lineRule="auto"/>
        <w:ind w:left="233" w:right="142"/>
      </w:pPr>
      <w:r>
        <w:rPr/>
        <w:pict>
          <v:group style="position:absolute;margin-left:75.239998pt;margin-top:218.239807pt;width:322.9pt;height:158.25pt;mso-position-horizontal-relative:page;mso-position-vertical-relative:paragraph;z-index:-254940160" coordorigin="1505,4365" coordsize="6458,3165">
            <v:line style="position:absolute" from="7902,4372" to="7902,7522" stroked="true" strokeweight=".72pt" strokecolor="#000000">
              <v:stroke dashstyle="solid"/>
            </v:line>
            <v:shape style="position:absolute;left:7902;top:4364;width:60;height:3165" coordorigin="7902,4365" coordsize="60,3165" path="m7962,7515l7902,7515,7902,7529,7962,7529,7962,7515m7962,7169l7902,7169,7902,7185,7962,7185,7962,7169m7962,6809l7902,6809,7902,6825,7962,6825,7962,6809m7962,6465l7902,6465,7902,6479,7962,6479,7962,6465m7962,6119l7902,6119,7902,6135,7962,6135,7962,6119m7962,5760l7902,5760,7902,5775,7962,5775,7962,5760m7962,5415l7902,5415,7902,5430,7962,5430,7962,5415m7962,5055l7902,5055,7902,5070,7962,5070,7962,5055m7962,4710l7902,4710,7902,4725,7962,4725,7962,4710m7962,4365l7902,4365,7902,4380,7962,4380,7962,4365e" filled="true" fillcolor="#000000" stroked="false">
              <v:path arrowok="t"/>
              <v:fill type="solid"/>
            </v:shape>
            <v:line style="position:absolute" from="1512,5423" to="7902,5423" stroked="true" strokeweight=".78pt" strokecolor="#000000">
              <v:stroke dashstyle="solid"/>
            </v:line>
            <v:shape style="position:absolute;left:1504;top:5422;width:6135;height:46" coordorigin="1505,5422" coordsize="6135,46" path="m1520,5422l1505,5422,1505,5468,1520,5468,1520,5422m1790,5422l1775,5422,1775,5468,1790,5468,1790,5422m2075,5422l2060,5422,2060,5468,2075,5468,2075,5422m2345,5422l2330,5422,2330,5468,2345,5468,2345,5422m2630,5422l2615,5422,2615,5468,2630,5468,2630,5422m2900,5422l2885,5422,2885,5468,2900,5468,2900,5422m3185,5422l3170,5422,3170,5468,3185,5468,3185,5422m3455,5422l3440,5422,3440,5468,3455,5468,3455,5422m3740,5422l3725,5422,3725,5468,3740,5468,3740,5422m4025,5422l4010,5422,4010,5468,4025,5468,4025,5422m4295,5422l4280,5422,4280,5468,4295,5468,4295,5422m4579,5422l4565,5422,4565,5468,4579,5468,4579,5422m4849,5422l4835,5422,4835,5468,4849,5468,4849,5422m5135,5422l5119,5422,5119,5468,5135,5468,5135,5422m5405,5422l5389,5422,5389,5468,5405,5468,5405,5422m5689,5422l5675,5422,5675,5468,5689,5468,5689,5422m5959,5422l5945,5422,5945,5468,5959,5468,5959,5422m6245,5422l6229,5422,6229,5468,6245,5468,6245,5422m6529,5422l6515,5422,6515,5468,6529,5468,6529,5422m6799,5422l6785,5422,6785,5468,6799,5468,6799,5422m7085,5422l7069,5422,7069,5468,7085,5468,7085,5422m7355,5422l7339,5422,7339,5468,7355,5468,7355,5422m7639,5422l7625,5422,7625,5468,7639,5468,7639,5422e" filled="true" fillcolor="#000000" stroked="false">
              <v:path arrowok="t"/>
              <v:fill type="solid"/>
            </v:shape>
            <v:shape style="position:absolute;left:1622;top:4800;width:6170;height:1740" coordorigin="1622,4800" coordsize="6170,1740" path="m6635,5121l6922,6533,6925,6538,6931,6539,6936,6540,6942,6539,6946,6534,6956,6521,6949,6521,6923,6515,6943,6491,6667,5124,6638,5124,6635,5121xm6943,6491l6923,6515,6949,6521,6943,6491xm7772,5728l7766,5733,7480,5928,7194,6184,7194,6185,7193,6185,6943,6491,6949,6521,6956,6521,7215,6206,7214,6206,7216,6204,7216,6204,7500,5951,7783,5757,7790,5752,7792,5744,7782,5729,7772,5728xm7216,6204l7214,6206,7215,6205,7216,6204xm7215,6205l7214,6206,7215,6206,7215,6205xm7216,6204l7216,6204,7215,6205,7216,6204xm1639,4918l1632,4923,1625,4926,1622,4936,1627,4943,1913,5378,1913,5379,1914,5380,2200,5680,2468,6009,2471,6012,2476,6015,2484,6015,2489,6012,2491,6010,2508,5991,2491,5991,2468,5990,2480,5977,2221,5660,1936,5360,1936,5360,1652,4926,1648,4919,1639,4918xm2480,5977l2468,5990,2491,5991,2480,5977xm3360,5432l3314,5432,3030,5550,2760,5656,2755,5658,2754,5660,2480,5977,2491,5991,2508,5991,2774,5684,2771,5684,2777,5680,2780,5680,3041,5579,3325,5459,3328,5458,3329,5457,3330,5457,3360,5432xm4452,5138l4417,5138,4441,5139,4428,5156,4687,5573,4688,5574,4688,5576,4690,5577,4975,5817,4976,5818,4979,5819,4981,5819,5266,5895,5272,5896,5278,5894,5281,5890,5300,5870,5258,5870,5265,5862,4998,5793,4994,5793,4988,5790,4992,5790,4714,5556,4712,5556,4710,5553,4710,5553,4452,5138xm5265,5862l5258,5870,5274,5865,5265,5862xm5816,5447l5534,5566,5530,5568,5528,5570,5265,5862,5274,5865,5258,5870,5300,5870,5548,5594,5545,5594,5551,5590,5554,5590,5831,5474,5832,5472,5834,5471,5836,5470,5854,5450,5814,5450,5816,5447xm4988,5790l4994,5793,4993,5792,4988,5790xm4993,5792l4994,5793,4998,5793,4993,5792xm4992,5790l4988,5790,4993,5792,4992,5790xm2777,5680l2771,5684,2775,5682,2777,5680xm2775,5682l2771,5684,2774,5684,2775,5682xm2780,5680l2777,5680,2775,5682,2780,5680xm5551,5590l5545,5594,5550,5592,5551,5590xm5550,5592l5545,5594,5548,5594,5550,5592xm5554,5590l5551,5590,5550,5592,5554,5590xm4710,5553l4712,5556,4710,5553,4710,5553xm4710,5553l4712,5556,4714,5556,4710,5553xm4710,5553l4710,5553,4710,5553,4710,5553xm3620,5230l3578,5230,3600,5231,3588,5241,3864,5544,3866,5548,3871,5550,3876,5549,4092,5525,3886,5525,3874,5520,3881,5520,3620,5230xm3881,5520l3874,5520,3886,5525,3881,5520xm4136,5491l3881,5520,3886,5525,4092,5525,4146,5519,4151,5519,4154,5517,4157,5514,4171,5495,4133,5495,4136,5491xm4144,5490l4136,5491,4133,5495,4144,5490xm4175,5490l4144,5490,4133,5495,4171,5495,4175,5490xm4435,5115l4426,5115,4421,5117,4418,5121,4136,5491,4144,5490,4175,5490,4428,5156,4417,5138,4452,5138,4442,5122,4440,5118,4435,5115xm5819,5446l5816,5447,5814,5450,5819,5446xm5857,5446l5819,5446,5814,5450,5854,5450,5857,5446xm6384,4800l6374,4800,6371,4802,6368,4805,6084,5150,5816,5447,5819,5446,5857,5446,6106,5170,6380,4838,6368,4824,6408,4824,6391,4805,6388,4802,6384,4800xm3595,5204l3587,5204,3581,5208,3311,5433,3314,5432,3360,5432,3588,5241,3578,5230,3620,5230,3601,5210,3595,5204xm1936,5360l1936,5360,1938,5362,1936,5360xm3578,5230l3588,5241,3600,5231,3578,5230xm4417,5138l4428,5156,4441,5139,4417,5138xm6635,5118l6635,5121,6638,5124,6635,5118xm6666,5118l6635,5118,6638,5124,6667,5124,6666,5118xm6408,4824l6391,4824,6380,4838,6635,5121,6635,5118,6666,5118,6665,5112,6664,5109,6662,5106,6661,5105,6408,4824xm6391,4824l6368,4824,6380,4838,6391,4824xe" filled="true" fillcolor="#333399" stroked="false">
              <v:path arrowok="t"/>
              <v:fill type="solid"/>
            </v:shape>
            <v:shape style="position:absolute;left:1622;top:4812;width:6170;height:2284" coordorigin="1622,4812" coordsize="6170,2284" path="m6635,5404l6920,7089,6925,7094,6931,7095,6938,7096,6944,7092,6947,7088,6953,7077,6949,7077,6922,7072,6943,7038,6666,5406,6636,5406,6635,5404xm6943,7038l6922,7072,6949,7077,6943,7038xm7522,6423l7481,6423,7195,6633,7192,6636,6943,7038,6949,7077,6953,7077,7214,6657,7213,6657,7217,6652,7220,6652,7499,6447,7500,6446,7522,6423xm7217,6652l7213,6657,7214,6656,7217,6652xm7214,6656l7213,6657,7214,6657,7214,6656xm7220,6652l7217,6652,7214,6656,7220,6652xm7778,6118l7769,6118,7764,6124,7478,6424,7481,6423,7522,6423,7786,6146,7792,6140,7790,6130,7778,6118xm2198,5604l2467,6023,2470,6027,2474,6029,2478,6029,2483,6030,2488,6028,2509,6006,2492,6006,2470,6004,2483,5991,2236,5607,2202,5607,2198,5604xm2483,5991l2470,6004,2492,6006,2483,5991xm2765,5714l2759,5715,2483,5991,2492,6006,2509,6006,2769,5747,2760,5744,2776,5740,2842,5740,2770,5716,2765,5714xm2842,5740l2776,5740,2769,5747,3034,5835,3037,5835,3040,5834,3115,5806,3030,5806,3035,5804,2842,5740xm4451,4912l4416,4912,4441,4914,4427,4933,4686,5422,4688,5424,4974,5740,4975,5742,4978,5744,4981,5745,5266,5819,5272,5820,5278,5819,5281,5814,5297,5795,5258,5795,5264,5788,5007,5720,4996,5720,4988,5715,4991,5715,4711,5405,4712,5405,4451,4912xm3035,5804l3030,5806,3040,5806,3035,5804xm3313,5701l3035,5804,3040,5806,3115,5806,3325,5729,3326,5728,3329,5727,3330,5726,3353,5704,3310,5704,3313,5701xm5264,5788l5258,5795,5274,5790,5264,5788xm5857,5283l5816,5283,5532,5462,5528,5465,5264,5788,5274,5790,5258,5795,5297,5795,5548,5488,5548,5488,5551,5484,5553,5484,5833,5308,5833,5307,5834,5306,5836,5306,5857,5283xm2776,5740l2760,5744,2769,5747,2776,5740xm4988,5715l4996,5720,4992,5716,4988,5715xm4992,5716l4996,5720,5007,5720,4992,5716xm4991,5715l4988,5715,4992,5716,4991,5715xm3314,5700l3313,5701,3310,5704,3314,5700xm3357,5700l3314,5700,3310,5704,3353,5704,3357,5700xm3876,5445l3586,5445,3582,5447,3580,5448,3313,5701,3314,5700,3357,5700,3596,5475,3592,5475,3600,5471,3626,5471,3876,5445xm2197,5603l2198,5604,2202,5607,2197,5603xm2233,5603l2197,5603,2202,5607,2236,5607,2233,5603xm1640,4812l1633,4816,1626,4821,1622,4829,1627,4836,1914,5411,1916,5412,2198,5604,2197,5603,2233,5603,2222,5586,2219,5583,1942,5393,1938,5393,1933,5387,1935,5387,1650,4816,1640,4812xm5551,5484l5548,5488,5549,5487,5551,5484xm5549,5487l5548,5488,5548,5488,5549,5487xm5553,5484l5551,5484,5549,5487,5553,5484xm3600,5471l3592,5475,3597,5474,3600,5471xm3597,5474l3592,5475,3596,5475,3597,5474xm3626,5471l3600,5471,3597,5474,3626,5471xm3872,5415l3588,5445,3878,5445,3881,5444,3882,5442,3928,5417,3868,5417,3872,5415xm3874,5415l3872,5415,3868,5417,3874,5415xm3932,5415l3874,5415,3868,5417,3928,5417,3932,5415xm4134,5269l3872,5415,3874,5415,3932,5415,4152,5294,4154,5292,4156,5291,4157,5289,4170,5271,4133,5271,4134,5269xm4712,5405l4711,5405,4714,5408,4712,5405xm6635,5403l6635,5404,6636,5406,6635,5403xm6666,5403l6635,5403,6636,5406,6666,5406,6666,5403xm6400,4836l6366,4836,6388,4842,6373,4852,6635,5404,6635,5403,6666,5403,6665,5397,6664,5396,6664,5393,6400,4836xm1933,5387l1938,5393,1936,5389,1933,5387xm1936,5389l1938,5393,1942,5393,1936,5389xm1935,5387l1933,5387,1936,5389,1935,5387xm6379,4815l6376,4815,6372,4817,6086,4997,6084,5000,5814,5284,5816,5283,5857,5283,6103,5022,6103,5022,6106,5020,6107,5020,6373,4852,6366,4836,6400,4836,6394,4823,6391,4820,6388,4817,6384,4816,6379,4815xm4138,5267l4134,5269,4133,5271,4138,5267xm4173,5267l4138,5267,4133,5271,4170,5271,4173,5267xm4426,4889l4421,4892,4418,4896,4134,5269,4138,5267,4173,5267,4427,4933,4416,4912,4451,4912,4444,4898,4441,4894,4436,4890,4432,4890,4426,4889xm6106,5020l6103,5022,6104,5022,6106,5020xm6104,5022l6103,5022,6103,5022,6104,5022xm6107,5020l6106,5020,6104,5022,6107,5020xm4416,4912l4427,4933,4441,4914,4416,4912xm6366,4836l6373,4852,6388,4842,6366,4836xe" filled="true" fillcolor="#993300" stroked="false">
              <v:path arrowok="t"/>
              <v:fill type="solid"/>
            </v:shape>
            <v:line style="position:absolute" from="1835,6510" to="2255,6510" stroked="true" strokeweight="1.5pt" strokecolor="#333399">
              <v:stroke dashstyle="solid"/>
            </v:line>
            <v:line style="position:absolute" from="1835,7110" to="2255,7110" stroked="true" strokeweight="1.5pt" strokecolor="#993300">
              <v:stroke dashstyle="solid"/>
            </v:line>
            <w10:wrap type="none"/>
          </v:group>
        </w:pict>
      </w:r>
      <w:r>
        <w:rPr/>
        <w:t>Chart 7 shows measures of spare capacity within the international economy produced by the OECD and IMF, which have moved broadly in the same direction over the last couple of decades. These measures reflect the global capacity pressures many industries were experiencing immediately prior to the financial crisis, followed by the emergence of a large margin of spare capacity as the recession took hold. Both measures now show that a tightening in global capacity pressures is currently underway and is expected to continue through this year and into 2012. These global capacity pressures will have a significant impact on UK inflation, particularly through the prices of manufactures and other goods traded on world markets. We cannot consider capacity pressures on inflation in the UK without taking into account these global influences, alongside domestic measures of spare capacity.</w:t>
      </w:r>
    </w:p>
    <w:p>
      <w:pPr>
        <w:pStyle w:val="BodyText"/>
      </w:pPr>
    </w:p>
    <w:p>
      <w:pPr>
        <w:pStyle w:val="BodyText"/>
        <w:spacing w:before="3"/>
        <w:rPr>
          <w:sz w:val="10"/>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2782"/>
        <w:gridCol w:w="556"/>
        <w:gridCol w:w="556"/>
        <w:gridCol w:w="557"/>
        <w:gridCol w:w="557"/>
        <w:gridCol w:w="557"/>
        <w:gridCol w:w="524"/>
        <w:gridCol w:w="488"/>
      </w:tblGrid>
      <w:tr>
        <w:trPr>
          <w:trHeight w:val="689" w:hRule="atLeast"/>
        </w:trPr>
        <w:tc>
          <w:tcPr>
            <w:tcW w:w="7372" w:type="dxa"/>
            <w:gridSpan w:val="9"/>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7"/>
              <w:rPr>
                <w:b/>
                <w:sz w:val="20"/>
              </w:rPr>
            </w:pPr>
            <w:r>
              <w:rPr>
                <w:b/>
                <w:sz w:val="20"/>
              </w:rPr>
              <w:t>Chart 7: International spare capacity measures</w:t>
            </w:r>
          </w:p>
          <w:p>
            <w:pPr>
              <w:pStyle w:val="TableParagraph"/>
              <w:spacing w:before="113"/>
              <w:ind w:left="107"/>
              <w:rPr>
                <w:sz w:val="20"/>
              </w:rPr>
            </w:pPr>
            <w:r>
              <w:rPr>
                <w:sz w:val="20"/>
              </w:rPr>
              <w:t>Deviation of actual GDP from potential GDP, % of potential GDP</w:t>
            </w:r>
          </w:p>
        </w:tc>
      </w:tr>
      <w:tr>
        <w:trPr>
          <w:trHeight w:val="392" w:hRule="atLeast"/>
        </w:trPr>
        <w:tc>
          <w:tcPr>
            <w:tcW w:w="795" w:type="dxa"/>
            <w:tcBorders>
              <w:top w:val="single" w:sz="4" w:space="0" w:color="000000"/>
              <w:left w:val="single" w:sz="4" w:space="0" w:color="000000"/>
            </w:tcBorders>
          </w:tcPr>
          <w:p>
            <w:pPr>
              <w:pStyle w:val="TableParagraph"/>
              <w:rPr>
                <w:rFonts w:ascii="Times New Roman"/>
                <w:sz w:val="18"/>
              </w:rPr>
            </w:pPr>
          </w:p>
        </w:tc>
        <w:tc>
          <w:tcPr>
            <w:tcW w:w="2782" w:type="dxa"/>
            <w:tcBorders>
              <w:top w:val="single" w:sz="4" w:space="0" w:color="000000"/>
            </w:tcBorders>
          </w:tcPr>
          <w:p>
            <w:pPr>
              <w:pStyle w:val="TableParagraph"/>
              <w:rPr>
                <w:rFonts w:ascii="Times New Roman"/>
                <w:sz w:val="18"/>
              </w:rPr>
            </w:pPr>
          </w:p>
        </w:tc>
        <w:tc>
          <w:tcPr>
            <w:tcW w:w="556" w:type="dxa"/>
            <w:tcBorders>
              <w:top w:val="single" w:sz="4" w:space="0" w:color="000000"/>
            </w:tcBorders>
          </w:tcPr>
          <w:p>
            <w:pPr>
              <w:pStyle w:val="TableParagraph"/>
              <w:rPr>
                <w:rFonts w:ascii="Times New Roman"/>
                <w:sz w:val="18"/>
              </w:rPr>
            </w:pPr>
          </w:p>
        </w:tc>
        <w:tc>
          <w:tcPr>
            <w:tcW w:w="556" w:type="dxa"/>
            <w:tcBorders>
              <w:top w:val="single" w:sz="4" w:space="0" w:color="000000"/>
            </w:tcBorders>
          </w:tcPr>
          <w:p>
            <w:pPr>
              <w:pStyle w:val="TableParagraph"/>
              <w:rPr>
                <w:rFonts w:ascii="Times New Roman"/>
                <w:sz w:val="18"/>
              </w:rPr>
            </w:pPr>
          </w:p>
        </w:tc>
        <w:tc>
          <w:tcPr>
            <w:tcW w:w="557" w:type="dxa"/>
            <w:tcBorders>
              <w:top w:val="single" w:sz="4" w:space="0" w:color="000000"/>
            </w:tcBorders>
          </w:tcPr>
          <w:p>
            <w:pPr>
              <w:pStyle w:val="TableParagraph"/>
              <w:rPr>
                <w:rFonts w:ascii="Times New Roman"/>
                <w:sz w:val="18"/>
              </w:rPr>
            </w:pPr>
          </w:p>
        </w:tc>
        <w:tc>
          <w:tcPr>
            <w:tcW w:w="557" w:type="dxa"/>
            <w:tcBorders>
              <w:top w:val="single" w:sz="4" w:space="0" w:color="000000"/>
            </w:tcBorders>
          </w:tcPr>
          <w:p>
            <w:pPr>
              <w:pStyle w:val="TableParagraph"/>
              <w:rPr>
                <w:rFonts w:ascii="Times New Roman"/>
                <w:sz w:val="18"/>
              </w:rPr>
            </w:pPr>
          </w:p>
        </w:tc>
        <w:tc>
          <w:tcPr>
            <w:tcW w:w="557" w:type="dxa"/>
            <w:tcBorders>
              <w:top w:val="single" w:sz="4" w:space="0" w:color="000000"/>
            </w:tcBorders>
          </w:tcPr>
          <w:p>
            <w:pPr>
              <w:pStyle w:val="TableParagraph"/>
              <w:rPr>
                <w:rFonts w:ascii="Times New Roman"/>
                <w:sz w:val="18"/>
              </w:rPr>
            </w:pPr>
          </w:p>
        </w:tc>
        <w:tc>
          <w:tcPr>
            <w:tcW w:w="524" w:type="dxa"/>
            <w:tcBorders>
              <w:top w:val="single" w:sz="4" w:space="0" w:color="000000"/>
            </w:tcBorders>
          </w:tcPr>
          <w:p>
            <w:pPr>
              <w:pStyle w:val="TableParagraph"/>
              <w:rPr>
                <w:rFonts w:ascii="Times New Roman"/>
                <w:sz w:val="18"/>
              </w:rPr>
            </w:pPr>
          </w:p>
        </w:tc>
        <w:tc>
          <w:tcPr>
            <w:tcW w:w="488" w:type="dxa"/>
            <w:tcBorders>
              <w:top w:val="single" w:sz="4" w:space="0" w:color="000000"/>
              <w:right w:val="single" w:sz="4" w:space="0" w:color="000000"/>
            </w:tcBorders>
          </w:tcPr>
          <w:p>
            <w:pPr>
              <w:pStyle w:val="TableParagraph"/>
              <w:spacing w:before="124"/>
              <w:ind w:left="71"/>
              <w:rPr>
                <w:b/>
                <w:sz w:val="16"/>
              </w:rPr>
            </w:pPr>
            <w:r>
              <w:rPr>
                <w:b/>
                <w:w w:val="103"/>
                <w:sz w:val="16"/>
              </w:rPr>
              <w:t>3</w:t>
            </w:r>
          </w:p>
        </w:tc>
      </w:tr>
      <w:tr>
        <w:trPr>
          <w:trHeight w:val="350" w:hRule="atLeast"/>
        </w:trPr>
        <w:tc>
          <w:tcPr>
            <w:tcW w:w="795" w:type="dxa"/>
            <w:tcBorders>
              <w:left w:val="single" w:sz="4" w:space="0" w:color="000000"/>
            </w:tcBorders>
          </w:tcPr>
          <w:p>
            <w:pPr>
              <w:pStyle w:val="TableParagraph"/>
              <w:rPr>
                <w:rFonts w:ascii="Times New Roman"/>
                <w:sz w:val="18"/>
              </w:rPr>
            </w:pPr>
          </w:p>
        </w:tc>
        <w:tc>
          <w:tcPr>
            <w:tcW w:w="2782" w:type="dxa"/>
          </w:tcPr>
          <w:p>
            <w:pPr>
              <w:pStyle w:val="TableParagraph"/>
              <w:rPr>
                <w:rFonts w:ascii="Times New Roman"/>
                <w:sz w:val="18"/>
              </w:rPr>
            </w:pPr>
          </w:p>
        </w:tc>
        <w:tc>
          <w:tcPr>
            <w:tcW w:w="556" w:type="dxa"/>
          </w:tcPr>
          <w:p>
            <w:pPr>
              <w:pStyle w:val="TableParagraph"/>
              <w:rPr>
                <w:rFonts w:ascii="Times New Roman"/>
                <w:sz w:val="18"/>
              </w:rPr>
            </w:pPr>
          </w:p>
        </w:tc>
        <w:tc>
          <w:tcPr>
            <w:tcW w:w="556" w:type="dxa"/>
          </w:tcPr>
          <w:p>
            <w:pPr>
              <w:pStyle w:val="TableParagraph"/>
              <w:rPr>
                <w:rFonts w:ascii="Times New Roman"/>
                <w:sz w:val="18"/>
              </w:rPr>
            </w:pPr>
          </w:p>
        </w:tc>
        <w:tc>
          <w:tcPr>
            <w:tcW w:w="557" w:type="dxa"/>
          </w:tcPr>
          <w:p>
            <w:pPr>
              <w:pStyle w:val="TableParagraph"/>
              <w:rPr>
                <w:rFonts w:ascii="Times New Roman"/>
                <w:sz w:val="18"/>
              </w:rPr>
            </w:pPr>
          </w:p>
        </w:tc>
        <w:tc>
          <w:tcPr>
            <w:tcW w:w="557" w:type="dxa"/>
          </w:tcPr>
          <w:p>
            <w:pPr>
              <w:pStyle w:val="TableParagraph"/>
              <w:rPr>
                <w:rFonts w:ascii="Times New Roman"/>
                <w:sz w:val="18"/>
              </w:rPr>
            </w:pPr>
          </w:p>
        </w:tc>
        <w:tc>
          <w:tcPr>
            <w:tcW w:w="557" w:type="dxa"/>
          </w:tcPr>
          <w:p>
            <w:pPr>
              <w:pStyle w:val="TableParagraph"/>
              <w:rPr>
                <w:rFonts w:ascii="Times New Roman"/>
                <w:sz w:val="18"/>
              </w:rPr>
            </w:pPr>
          </w:p>
        </w:tc>
        <w:tc>
          <w:tcPr>
            <w:tcW w:w="524" w:type="dxa"/>
          </w:tcPr>
          <w:p>
            <w:pPr>
              <w:pStyle w:val="TableParagraph"/>
              <w:rPr>
                <w:rFonts w:ascii="Times New Roman"/>
                <w:sz w:val="18"/>
              </w:rPr>
            </w:pPr>
          </w:p>
        </w:tc>
        <w:tc>
          <w:tcPr>
            <w:tcW w:w="488" w:type="dxa"/>
            <w:tcBorders>
              <w:right w:val="single" w:sz="4" w:space="0" w:color="000000"/>
            </w:tcBorders>
          </w:tcPr>
          <w:p>
            <w:pPr>
              <w:pStyle w:val="TableParagraph"/>
              <w:spacing w:before="82"/>
              <w:ind w:left="71"/>
              <w:rPr>
                <w:b/>
                <w:sz w:val="16"/>
              </w:rPr>
            </w:pPr>
            <w:r>
              <w:rPr>
                <w:b/>
                <w:w w:val="103"/>
                <w:sz w:val="16"/>
              </w:rPr>
              <w:t>2</w:t>
            </w:r>
          </w:p>
        </w:tc>
      </w:tr>
      <w:tr>
        <w:trPr>
          <w:trHeight w:val="351" w:hRule="atLeast"/>
        </w:trPr>
        <w:tc>
          <w:tcPr>
            <w:tcW w:w="795" w:type="dxa"/>
            <w:tcBorders>
              <w:left w:val="single" w:sz="4" w:space="0" w:color="000000"/>
            </w:tcBorders>
          </w:tcPr>
          <w:p>
            <w:pPr>
              <w:pStyle w:val="TableParagraph"/>
              <w:rPr>
                <w:rFonts w:ascii="Times New Roman"/>
                <w:sz w:val="18"/>
              </w:rPr>
            </w:pPr>
          </w:p>
        </w:tc>
        <w:tc>
          <w:tcPr>
            <w:tcW w:w="2782" w:type="dxa"/>
          </w:tcPr>
          <w:p>
            <w:pPr>
              <w:pStyle w:val="TableParagraph"/>
              <w:rPr>
                <w:rFonts w:ascii="Times New Roman"/>
                <w:sz w:val="18"/>
              </w:rPr>
            </w:pPr>
          </w:p>
        </w:tc>
        <w:tc>
          <w:tcPr>
            <w:tcW w:w="556" w:type="dxa"/>
          </w:tcPr>
          <w:p>
            <w:pPr>
              <w:pStyle w:val="TableParagraph"/>
              <w:rPr>
                <w:rFonts w:ascii="Times New Roman"/>
                <w:sz w:val="18"/>
              </w:rPr>
            </w:pPr>
          </w:p>
        </w:tc>
        <w:tc>
          <w:tcPr>
            <w:tcW w:w="556" w:type="dxa"/>
          </w:tcPr>
          <w:p>
            <w:pPr>
              <w:pStyle w:val="TableParagraph"/>
              <w:rPr>
                <w:rFonts w:ascii="Times New Roman"/>
                <w:sz w:val="18"/>
              </w:rPr>
            </w:pPr>
          </w:p>
        </w:tc>
        <w:tc>
          <w:tcPr>
            <w:tcW w:w="557" w:type="dxa"/>
          </w:tcPr>
          <w:p>
            <w:pPr>
              <w:pStyle w:val="TableParagraph"/>
              <w:rPr>
                <w:rFonts w:ascii="Times New Roman"/>
                <w:sz w:val="18"/>
              </w:rPr>
            </w:pPr>
          </w:p>
        </w:tc>
        <w:tc>
          <w:tcPr>
            <w:tcW w:w="557" w:type="dxa"/>
          </w:tcPr>
          <w:p>
            <w:pPr>
              <w:pStyle w:val="TableParagraph"/>
              <w:rPr>
                <w:rFonts w:ascii="Times New Roman"/>
                <w:sz w:val="18"/>
              </w:rPr>
            </w:pPr>
          </w:p>
        </w:tc>
        <w:tc>
          <w:tcPr>
            <w:tcW w:w="557" w:type="dxa"/>
          </w:tcPr>
          <w:p>
            <w:pPr>
              <w:pStyle w:val="TableParagraph"/>
              <w:rPr>
                <w:rFonts w:ascii="Times New Roman"/>
                <w:sz w:val="18"/>
              </w:rPr>
            </w:pPr>
          </w:p>
        </w:tc>
        <w:tc>
          <w:tcPr>
            <w:tcW w:w="524" w:type="dxa"/>
          </w:tcPr>
          <w:p>
            <w:pPr>
              <w:pStyle w:val="TableParagraph"/>
              <w:rPr>
                <w:rFonts w:ascii="Times New Roman"/>
                <w:sz w:val="18"/>
              </w:rPr>
            </w:pPr>
          </w:p>
        </w:tc>
        <w:tc>
          <w:tcPr>
            <w:tcW w:w="488" w:type="dxa"/>
            <w:tcBorders>
              <w:right w:val="single" w:sz="4" w:space="0" w:color="000000"/>
            </w:tcBorders>
          </w:tcPr>
          <w:p>
            <w:pPr>
              <w:pStyle w:val="TableParagraph"/>
              <w:spacing w:before="82"/>
              <w:ind w:left="71"/>
              <w:rPr>
                <w:b/>
                <w:sz w:val="16"/>
              </w:rPr>
            </w:pPr>
            <w:r>
              <w:rPr>
                <w:b/>
                <w:w w:val="103"/>
                <w:sz w:val="16"/>
              </w:rPr>
              <w:t>1</w:t>
            </w:r>
          </w:p>
        </w:tc>
      </w:tr>
      <w:tr>
        <w:trPr>
          <w:trHeight w:val="351" w:hRule="atLeast"/>
        </w:trPr>
        <w:tc>
          <w:tcPr>
            <w:tcW w:w="795" w:type="dxa"/>
            <w:tcBorders>
              <w:left w:val="single" w:sz="4" w:space="0" w:color="000000"/>
            </w:tcBorders>
          </w:tcPr>
          <w:p>
            <w:pPr>
              <w:pStyle w:val="TableParagraph"/>
              <w:rPr>
                <w:rFonts w:ascii="Times New Roman"/>
                <w:sz w:val="18"/>
              </w:rPr>
            </w:pPr>
          </w:p>
        </w:tc>
        <w:tc>
          <w:tcPr>
            <w:tcW w:w="2782" w:type="dxa"/>
          </w:tcPr>
          <w:p>
            <w:pPr>
              <w:pStyle w:val="TableParagraph"/>
              <w:rPr>
                <w:rFonts w:ascii="Times New Roman"/>
                <w:sz w:val="18"/>
              </w:rPr>
            </w:pPr>
          </w:p>
        </w:tc>
        <w:tc>
          <w:tcPr>
            <w:tcW w:w="556" w:type="dxa"/>
          </w:tcPr>
          <w:p>
            <w:pPr>
              <w:pStyle w:val="TableParagraph"/>
              <w:rPr>
                <w:rFonts w:ascii="Times New Roman"/>
                <w:sz w:val="18"/>
              </w:rPr>
            </w:pPr>
          </w:p>
        </w:tc>
        <w:tc>
          <w:tcPr>
            <w:tcW w:w="556" w:type="dxa"/>
          </w:tcPr>
          <w:p>
            <w:pPr>
              <w:pStyle w:val="TableParagraph"/>
              <w:rPr>
                <w:rFonts w:ascii="Times New Roman"/>
                <w:sz w:val="18"/>
              </w:rPr>
            </w:pPr>
          </w:p>
        </w:tc>
        <w:tc>
          <w:tcPr>
            <w:tcW w:w="557" w:type="dxa"/>
          </w:tcPr>
          <w:p>
            <w:pPr>
              <w:pStyle w:val="TableParagraph"/>
              <w:rPr>
                <w:rFonts w:ascii="Times New Roman"/>
                <w:sz w:val="18"/>
              </w:rPr>
            </w:pPr>
          </w:p>
        </w:tc>
        <w:tc>
          <w:tcPr>
            <w:tcW w:w="557" w:type="dxa"/>
          </w:tcPr>
          <w:p>
            <w:pPr>
              <w:pStyle w:val="TableParagraph"/>
              <w:rPr>
                <w:rFonts w:ascii="Times New Roman"/>
                <w:sz w:val="18"/>
              </w:rPr>
            </w:pPr>
          </w:p>
        </w:tc>
        <w:tc>
          <w:tcPr>
            <w:tcW w:w="557" w:type="dxa"/>
          </w:tcPr>
          <w:p>
            <w:pPr>
              <w:pStyle w:val="TableParagraph"/>
              <w:rPr>
                <w:rFonts w:ascii="Times New Roman"/>
                <w:sz w:val="18"/>
              </w:rPr>
            </w:pPr>
          </w:p>
        </w:tc>
        <w:tc>
          <w:tcPr>
            <w:tcW w:w="524" w:type="dxa"/>
          </w:tcPr>
          <w:p>
            <w:pPr>
              <w:pStyle w:val="TableParagraph"/>
              <w:rPr>
                <w:rFonts w:ascii="Times New Roman"/>
                <w:sz w:val="18"/>
              </w:rPr>
            </w:pPr>
          </w:p>
        </w:tc>
        <w:tc>
          <w:tcPr>
            <w:tcW w:w="488" w:type="dxa"/>
            <w:tcBorders>
              <w:right w:val="single" w:sz="4" w:space="0" w:color="000000"/>
            </w:tcBorders>
          </w:tcPr>
          <w:p>
            <w:pPr>
              <w:pStyle w:val="TableParagraph"/>
              <w:spacing w:before="83"/>
              <w:ind w:left="71"/>
              <w:rPr>
                <w:b/>
                <w:sz w:val="16"/>
              </w:rPr>
            </w:pPr>
            <w:r>
              <w:rPr>
                <w:b/>
                <w:w w:val="103"/>
                <w:sz w:val="16"/>
              </w:rPr>
              <w:t>0</w:t>
            </w:r>
          </w:p>
        </w:tc>
      </w:tr>
      <w:tr>
        <w:trPr>
          <w:trHeight w:val="350" w:hRule="atLeast"/>
        </w:trPr>
        <w:tc>
          <w:tcPr>
            <w:tcW w:w="795" w:type="dxa"/>
            <w:tcBorders>
              <w:left w:val="single" w:sz="4" w:space="0" w:color="000000"/>
            </w:tcBorders>
          </w:tcPr>
          <w:p>
            <w:pPr>
              <w:pStyle w:val="TableParagraph"/>
              <w:rPr>
                <w:rFonts w:ascii="Times New Roman"/>
                <w:sz w:val="18"/>
              </w:rPr>
            </w:pPr>
          </w:p>
        </w:tc>
        <w:tc>
          <w:tcPr>
            <w:tcW w:w="2782" w:type="dxa"/>
          </w:tcPr>
          <w:p>
            <w:pPr>
              <w:pStyle w:val="TableParagraph"/>
              <w:rPr>
                <w:rFonts w:ascii="Times New Roman"/>
                <w:sz w:val="18"/>
              </w:rPr>
            </w:pPr>
          </w:p>
        </w:tc>
        <w:tc>
          <w:tcPr>
            <w:tcW w:w="556" w:type="dxa"/>
          </w:tcPr>
          <w:p>
            <w:pPr>
              <w:pStyle w:val="TableParagraph"/>
              <w:rPr>
                <w:rFonts w:ascii="Times New Roman"/>
                <w:sz w:val="18"/>
              </w:rPr>
            </w:pPr>
          </w:p>
        </w:tc>
        <w:tc>
          <w:tcPr>
            <w:tcW w:w="556" w:type="dxa"/>
          </w:tcPr>
          <w:p>
            <w:pPr>
              <w:pStyle w:val="TableParagraph"/>
              <w:rPr>
                <w:rFonts w:ascii="Times New Roman"/>
                <w:sz w:val="18"/>
              </w:rPr>
            </w:pPr>
          </w:p>
        </w:tc>
        <w:tc>
          <w:tcPr>
            <w:tcW w:w="557" w:type="dxa"/>
          </w:tcPr>
          <w:p>
            <w:pPr>
              <w:pStyle w:val="TableParagraph"/>
              <w:rPr>
                <w:rFonts w:ascii="Times New Roman"/>
                <w:sz w:val="18"/>
              </w:rPr>
            </w:pPr>
          </w:p>
        </w:tc>
        <w:tc>
          <w:tcPr>
            <w:tcW w:w="557" w:type="dxa"/>
          </w:tcPr>
          <w:p>
            <w:pPr>
              <w:pStyle w:val="TableParagraph"/>
              <w:rPr>
                <w:rFonts w:ascii="Times New Roman"/>
                <w:sz w:val="18"/>
              </w:rPr>
            </w:pPr>
          </w:p>
        </w:tc>
        <w:tc>
          <w:tcPr>
            <w:tcW w:w="557" w:type="dxa"/>
          </w:tcPr>
          <w:p>
            <w:pPr>
              <w:pStyle w:val="TableParagraph"/>
              <w:rPr>
                <w:rFonts w:ascii="Times New Roman"/>
                <w:sz w:val="18"/>
              </w:rPr>
            </w:pPr>
          </w:p>
        </w:tc>
        <w:tc>
          <w:tcPr>
            <w:tcW w:w="524" w:type="dxa"/>
          </w:tcPr>
          <w:p>
            <w:pPr>
              <w:pStyle w:val="TableParagraph"/>
              <w:rPr>
                <w:rFonts w:ascii="Times New Roman"/>
                <w:sz w:val="18"/>
              </w:rPr>
            </w:pPr>
          </w:p>
        </w:tc>
        <w:tc>
          <w:tcPr>
            <w:tcW w:w="488" w:type="dxa"/>
            <w:tcBorders>
              <w:right w:val="single" w:sz="4" w:space="0" w:color="000000"/>
            </w:tcBorders>
          </w:tcPr>
          <w:p>
            <w:pPr>
              <w:pStyle w:val="TableParagraph"/>
              <w:spacing w:before="82"/>
              <w:ind w:left="68"/>
              <w:rPr>
                <w:b/>
                <w:sz w:val="16"/>
              </w:rPr>
            </w:pPr>
            <w:r>
              <w:rPr>
                <w:b/>
                <w:w w:val="105"/>
                <w:sz w:val="16"/>
              </w:rPr>
              <w:t>-1</w:t>
            </w:r>
          </w:p>
        </w:tc>
      </w:tr>
      <w:tr>
        <w:trPr>
          <w:trHeight w:val="350" w:hRule="atLeast"/>
        </w:trPr>
        <w:tc>
          <w:tcPr>
            <w:tcW w:w="795" w:type="dxa"/>
            <w:tcBorders>
              <w:left w:val="single" w:sz="4" w:space="0" w:color="000000"/>
            </w:tcBorders>
          </w:tcPr>
          <w:p>
            <w:pPr>
              <w:pStyle w:val="TableParagraph"/>
              <w:rPr>
                <w:rFonts w:ascii="Times New Roman"/>
                <w:sz w:val="18"/>
              </w:rPr>
            </w:pPr>
          </w:p>
        </w:tc>
        <w:tc>
          <w:tcPr>
            <w:tcW w:w="2782" w:type="dxa"/>
          </w:tcPr>
          <w:p>
            <w:pPr>
              <w:pStyle w:val="TableParagraph"/>
              <w:rPr>
                <w:rFonts w:ascii="Times New Roman"/>
                <w:sz w:val="18"/>
              </w:rPr>
            </w:pPr>
          </w:p>
        </w:tc>
        <w:tc>
          <w:tcPr>
            <w:tcW w:w="556" w:type="dxa"/>
          </w:tcPr>
          <w:p>
            <w:pPr>
              <w:pStyle w:val="TableParagraph"/>
              <w:rPr>
                <w:rFonts w:ascii="Times New Roman"/>
                <w:sz w:val="18"/>
              </w:rPr>
            </w:pPr>
          </w:p>
        </w:tc>
        <w:tc>
          <w:tcPr>
            <w:tcW w:w="556" w:type="dxa"/>
          </w:tcPr>
          <w:p>
            <w:pPr>
              <w:pStyle w:val="TableParagraph"/>
              <w:rPr>
                <w:rFonts w:ascii="Times New Roman"/>
                <w:sz w:val="18"/>
              </w:rPr>
            </w:pPr>
          </w:p>
        </w:tc>
        <w:tc>
          <w:tcPr>
            <w:tcW w:w="557" w:type="dxa"/>
          </w:tcPr>
          <w:p>
            <w:pPr>
              <w:pStyle w:val="TableParagraph"/>
              <w:rPr>
                <w:rFonts w:ascii="Times New Roman"/>
                <w:sz w:val="18"/>
              </w:rPr>
            </w:pPr>
          </w:p>
        </w:tc>
        <w:tc>
          <w:tcPr>
            <w:tcW w:w="557" w:type="dxa"/>
          </w:tcPr>
          <w:p>
            <w:pPr>
              <w:pStyle w:val="TableParagraph"/>
              <w:rPr>
                <w:rFonts w:ascii="Times New Roman"/>
                <w:sz w:val="18"/>
              </w:rPr>
            </w:pPr>
          </w:p>
        </w:tc>
        <w:tc>
          <w:tcPr>
            <w:tcW w:w="557" w:type="dxa"/>
          </w:tcPr>
          <w:p>
            <w:pPr>
              <w:pStyle w:val="TableParagraph"/>
              <w:rPr>
                <w:rFonts w:ascii="Times New Roman"/>
                <w:sz w:val="18"/>
              </w:rPr>
            </w:pPr>
          </w:p>
        </w:tc>
        <w:tc>
          <w:tcPr>
            <w:tcW w:w="524" w:type="dxa"/>
          </w:tcPr>
          <w:p>
            <w:pPr>
              <w:pStyle w:val="TableParagraph"/>
              <w:rPr>
                <w:rFonts w:ascii="Times New Roman"/>
                <w:sz w:val="18"/>
              </w:rPr>
            </w:pPr>
          </w:p>
        </w:tc>
        <w:tc>
          <w:tcPr>
            <w:tcW w:w="488" w:type="dxa"/>
            <w:tcBorders>
              <w:right w:val="single" w:sz="4" w:space="0" w:color="000000"/>
            </w:tcBorders>
          </w:tcPr>
          <w:p>
            <w:pPr>
              <w:pStyle w:val="TableParagraph"/>
              <w:spacing w:before="82"/>
              <w:ind w:left="68"/>
              <w:rPr>
                <w:b/>
                <w:sz w:val="16"/>
              </w:rPr>
            </w:pPr>
            <w:r>
              <w:rPr>
                <w:b/>
                <w:w w:val="105"/>
                <w:sz w:val="16"/>
              </w:rPr>
              <w:t>-2</w:t>
            </w:r>
          </w:p>
        </w:tc>
      </w:tr>
      <w:tr>
        <w:trPr>
          <w:trHeight w:val="369" w:hRule="atLeast"/>
        </w:trPr>
        <w:tc>
          <w:tcPr>
            <w:tcW w:w="795" w:type="dxa"/>
            <w:tcBorders>
              <w:left w:val="single" w:sz="4" w:space="0" w:color="000000"/>
            </w:tcBorders>
          </w:tcPr>
          <w:p>
            <w:pPr>
              <w:pStyle w:val="TableParagraph"/>
              <w:rPr>
                <w:rFonts w:ascii="Times New Roman"/>
                <w:sz w:val="18"/>
              </w:rPr>
            </w:pPr>
          </w:p>
        </w:tc>
        <w:tc>
          <w:tcPr>
            <w:tcW w:w="2782" w:type="dxa"/>
          </w:tcPr>
          <w:p>
            <w:pPr>
              <w:pStyle w:val="TableParagraph"/>
              <w:spacing w:before="119"/>
              <w:ind w:left="360"/>
              <w:rPr>
                <w:b/>
                <w:sz w:val="16"/>
              </w:rPr>
            </w:pPr>
            <w:r>
              <w:rPr>
                <w:b/>
                <w:w w:val="105"/>
                <w:sz w:val="16"/>
              </w:rPr>
              <w:t>Global output gap (IMF)</w:t>
            </w:r>
          </w:p>
        </w:tc>
        <w:tc>
          <w:tcPr>
            <w:tcW w:w="556" w:type="dxa"/>
          </w:tcPr>
          <w:p>
            <w:pPr>
              <w:pStyle w:val="TableParagraph"/>
              <w:rPr>
                <w:rFonts w:ascii="Times New Roman"/>
                <w:sz w:val="18"/>
              </w:rPr>
            </w:pPr>
          </w:p>
        </w:tc>
        <w:tc>
          <w:tcPr>
            <w:tcW w:w="556" w:type="dxa"/>
          </w:tcPr>
          <w:p>
            <w:pPr>
              <w:pStyle w:val="TableParagraph"/>
              <w:rPr>
                <w:rFonts w:ascii="Times New Roman"/>
                <w:sz w:val="18"/>
              </w:rPr>
            </w:pPr>
          </w:p>
        </w:tc>
        <w:tc>
          <w:tcPr>
            <w:tcW w:w="557" w:type="dxa"/>
          </w:tcPr>
          <w:p>
            <w:pPr>
              <w:pStyle w:val="TableParagraph"/>
              <w:rPr>
                <w:rFonts w:ascii="Times New Roman"/>
                <w:sz w:val="18"/>
              </w:rPr>
            </w:pPr>
          </w:p>
        </w:tc>
        <w:tc>
          <w:tcPr>
            <w:tcW w:w="557" w:type="dxa"/>
          </w:tcPr>
          <w:p>
            <w:pPr>
              <w:pStyle w:val="TableParagraph"/>
              <w:rPr>
                <w:rFonts w:ascii="Times New Roman"/>
                <w:sz w:val="18"/>
              </w:rPr>
            </w:pPr>
          </w:p>
        </w:tc>
        <w:tc>
          <w:tcPr>
            <w:tcW w:w="557" w:type="dxa"/>
          </w:tcPr>
          <w:p>
            <w:pPr>
              <w:pStyle w:val="TableParagraph"/>
              <w:rPr>
                <w:rFonts w:ascii="Times New Roman"/>
                <w:sz w:val="18"/>
              </w:rPr>
            </w:pPr>
          </w:p>
        </w:tc>
        <w:tc>
          <w:tcPr>
            <w:tcW w:w="524" w:type="dxa"/>
          </w:tcPr>
          <w:p>
            <w:pPr>
              <w:pStyle w:val="TableParagraph"/>
              <w:rPr>
                <w:rFonts w:ascii="Times New Roman"/>
                <w:sz w:val="18"/>
              </w:rPr>
            </w:pPr>
          </w:p>
        </w:tc>
        <w:tc>
          <w:tcPr>
            <w:tcW w:w="488" w:type="dxa"/>
            <w:tcBorders>
              <w:right w:val="single" w:sz="4" w:space="0" w:color="000000"/>
            </w:tcBorders>
          </w:tcPr>
          <w:p>
            <w:pPr>
              <w:pStyle w:val="TableParagraph"/>
              <w:spacing w:before="82"/>
              <w:ind w:left="68"/>
              <w:rPr>
                <w:b/>
                <w:sz w:val="16"/>
              </w:rPr>
            </w:pPr>
            <w:r>
              <w:rPr>
                <w:b/>
                <w:w w:val="105"/>
                <w:sz w:val="16"/>
              </w:rPr>
              <w:t>-3</w:t>
            </w:r>
          </w:p>
        </w:tc>
      </w:tr>
      <w:tr>
        <w:trPr>
          <w:trHeight w:val="295" w:hRule="atLeast"/>
        </w:trPr>
        <w:tc>
          <w:tcPr>
            <w:tcW w:w="795" w:type="dxa"/>
            <w:tcBorders>
              <w:left w:val="single" w:sz="4" w:space="0" w:color="000000"/>
            </w:tcBorders>
          </w:tcPr>
          <w:p>
            <w:pPr>
              <w:pStyle w:val="TableParagraph"/>
              <w:rPr>
                <w:rFonts w:ascii="Times New Roman"/>
                <w:sz w:val="18"/>
              </w:rPr>
            </w:pPr>
          </w:p>
        </w:tc>
        <w:tc>
          <w:tcPr>
            <w:tcW w:w="2782" w:type="dxa"/>
          </w:tcPr>
          <w:p>
            <w:pPr>
              <w:pStyle w:val="TableParagraph"/>
              <w:rPr>
                <w:rFonts w:ascii="Times New Roman"/>
                <w:sz w:val="18"/>
              </w:rPr>
            </w:pPr>
          </w:p>
        </w:tc>
        <w:tc>
          <w:tcPr>
            <w:tcW w:w="556" w:type="dxa"/>
          </w:tcPr>
          <w:p>
            <w:pPr>
              <w:pStyle w:val="TableParagraph"/>
              <w:rPr>
                <w:rFonts w:ascii="Times New Roman"/>
                <w:sz w:val="18"/>
              </w:rPr>
            </w:pPr>
          </w:p>
        </w:tc>
        <w:tc>
          <w:tcPr>
            <w:tcW w:w="556" w:type="dxa"/>
          </w:tcPr>
          <w:p>
            <w:pPr>
              <w:pStyle w:val="TableParagraph"/>
              <w:rPr>
                <w:rFonts w:ascii="Times New Roman"/>
                <w:sz w:val="18"/>
              </w:rPr>
            </w:pPr>
          </w:p>
        </w:tc>
        <w:tc>
          <w:tcPr>
            <w:tcW w:w="557" w:type="dxa"/>
          </w:tcPr>
          <w:p>
            <w:pPr>
              <w:pStyle w:val="TableParagraph"/>
              <w:rPr>
                <w:rFonts w:ascii="Times New Roman"/>
                <w:sz w:val="18"/>
              </w:rPr>
            </w:pPr>
          </w:p>
        </w:tc>
        <w:tc>
          <w:tcPr>
            <w:tcW w:w="557" w:type="dxa"/>
          </w:tcPr>
          <w:p>
            <w:pPr>
              <w:pStyle w:val="TableParagraph"/>
              <w:rPr>
                <w:rFonts w:ascii="Times New Roman"/>
                <w:sz w:val="18"/>
              </w:rPr>
            </w:pPr>
          </w:p>
        </w:tc>
        <w:tc>
          <w:tcPr>
            <w:tcW w:w="557" w:type="dxa"/>
          </w:tcPr>
          <w:p>
            <w:pPr>
              <w:pStyle w:val="TableParagraph"/>
              <w:rPr>
                <w:rFonts w:ascii="Times New Roman"/>
                <w:sz w:val="18"/>
              </w:rPr>
            </w:pPr>
          </w:p>
        </w:tc>
        <w:tc>
          <w:tcPr>
            <w:tcW w:w="524" w:type="dxa"/>
          </w:tcPr>
          <w:p>
            <w:pPr>
              <w:pStyle w:val="TableParagraph"/>
              <w:rPr>
                <w:rFonts w:ascii="Times New Roman"/>
                <w:sz w:val="18"/>
              </w:rPr>
            </w:pPr>
          </w:p>
        </w:tc>
        <w:tc>
          <w:tcPr>
            <w:tcW w:w="488" w:type="dxa"/>
            <w:tcBorders>
              <w:right w:val="single" w:sz="4" w:space="0" w:color="000000"/>
            </w:tcBorders>
          </w:tcPr>
          <w:p>
            <w:pPr>
              <w:pStyle w:val="TableParagraph"/>
              <w:spacing w:before="63"/>
              <w:ind w:left="68"/>
              <w:rPr>
                <w:b/>
                <w:sz w:val="16"/>
              </w:rPr>
            </w:pPr>
            <w:r>
              <w:rPr>
                <w:b/>
                <w:w w:val="105"/>
                <w:sz w:val="16"/>
              </w:rPr>
              <w:t>-4</w:t>
            </w:r>
          </w:p>
        </w:tc>
      </w:tr>
      <w:tr>
        <w:trPr>
          <w:trHeight w:val="229" w:hRule="atLeast"/>
        </w:trPr>
        <w:tc>
          <w:tcPr>
            <w:tcW w:w="795" w:type="dxa"/>
            <w:tcBorders>
              <w:left w:val="single" w:sz="4" w:space="0" w:color="000000"/>
            </w:tcBorders>
          </w:tcPr>
          <w:p>
            <w:pPr>
              <w:pStyle w:val="TableParagraph"/>
              <w:rPr>
                <w:rFonts w:ascii="Times New Roman"/>
                <w:sz w:val="16"/>
              </w:rPr>
            </w:pPr>
          </w:p>
        </w:tc>
        <w:tc>
          <w:tcPr>
            <w:tcW w:w="2782" w:type="dxa"/>
          </w:tcPr>
          <w:p>
            <w:pPr>
              <w:pStyle w:val="TableParagraph"/>
              <w:spacing w:line="163" w:lineRule="exact" w:before="46"/>
              <w:ind w:left="360"/>
              <w:rPr>
                <w:b/>
                <w:sz w:val="16"/>
              </w:rPr>
            </w:pPr>
            <w:r>
              <w:rPr>
                <w:b/>
                <w:w w:val="105"/>
                <w:sz w:val="16"/>
              </w:rPr>
              <w:t>OECD countries output gap</w:t>
            </w:r>
          </w:p>
        </w:tc>
        <w:tc>
          <w:tcPr>
            <w:tcW w:w="556" w:type="dxa"/>
          </w:tcPr>
          <w:p>
            <w:pPr>
              <w:pStyle w:val="TableParagraph"/>
              <w:rPr>
                <w:rFonts w:ascii="Times New Roman"/>
                <w:sz w:val="16"/>
              </w:rPr>
            </w:pPr>
          </w:p>
        </w:tc>
        <w:tc>
          <w:tcPr>
            <w:tcW w:w="556" w:type="dxa"/>
          </w:tcPr>
          <w:p>
            <w:pPr>
              <w:pStyle w:val="TableParagraph"/>
              <w:rPr>
                <w:rFonts w:ascii="Times New Roman"/>
                <w:sz w:val="16"/>
              </w:rPr>
            </w:pPr>
          </w:p>
        </w:tc>
        <w:tc>
          <w:tcPr>
            <w:tcW w:w="557" w:type="dxa"/>
          </w:tcPr>
          <w:p>
            <w:pPr>
              <w:pStyle w:val="TableParagraph"/>
              <w:rPr>
                <w:rFonts w:ascii="Times New Roman"/>
                <w:sz w:val="16"/>
              </w:rPr>
            </w:pPr>
          </w:p>
        </w:tc>
        <w:tc>
          <w:tcPr>
            <w:tcW w:w="557" w:type="dxa"/>
          </w:tcPr>
          <w:p>
            <w:pPr>
              <w:pStyle w:val="TableParagraph"/>
              <w:rPr>
                <w:rFonts w:ascii="Times New Roman"/>
                <w:sz w:val="16"/>
              </w:rPr>
            </w:pPr>
          </w:p>
        </w:tc>
        <w:tc>
          <w:tcPr>
            <w:tcW w:w="557" w:type="dxa"/>
          </w:tcPr>
          <w:p>
            <w:pPr>
              <w:pStyle w:val="TableParagraph"/>
              <w:rPr>
                <w:rFonts w:ascii="Times New Roman"/>
                <w:sz w:val="16"/>
              </w:rPr>
            </w:pPr>
          </w:p>
        </w:tc>
        <w:tc>
          <w:tcPr>
            <w:tcW w:w="524" w:type="dxa"/>
          </w:tcPr>
          <w:p>
            <w:pPr>
              <w:pStyle w:val="TableParagraph"/>
              <w:rPr>
                <w:rFonts w:ascii="Times New Roman"/>
                <w:sz w:val="16"/>
              </w:rPr>
            </w:pPr>
          </w:p>
        </w:tc>
        <w:tc>
          <w:tcPr>
            <w:tcW w:w="488" w:type="dxa"/>
            <w:tcBorders>
              <w:right w:val="single" w:sz="4" w:space="0" w:color="000000"/>
            </w:tcBorders>
          </w:tcPr>
          <w:p>
            <w:pPr>
              <w:pStyle w:val="TableParagraph"/>
              <w:spacing w:line="91" w:lineRule="exact" w:before="118"/>
              <w:ind w:left="68"/>
              <w:rPr>
                <w:b/>
                <w:sz w:val="16"/>
              </w:rPr>
            </w:pPr>
            <w:r>
              <w:rPr>
                <w:b/>
                <w:w w:val="105"/>
                <w:sz w:val="16"/>
              </w:rPr>
              <w:t>-5</w:t>
            </w:r>
          </w:p>
        </w:tc>
      </w:tr>
      <w:tr>
        <w:trPr>
          <w:trHeight w:val="211" w:hRule="atLeast"/>
        </w:trPr>
        <w:tc>
          <w:tcPr>
            <w:tcW w:w="795" w:type="dxa"/>
            <w:tcBorders>
              <w:left w:val="single" w:sz="4" w:space="0" w:color="000000"/>
            </w:tcBorders>
          </w:tcPr>
          <w:p>
            <w:pPr>
              <w:pStyle w:val="TableParagraph"/>
              <w:rPr>
                <w:rFonts w:ascii="Times New Roman"/>
                <w:sz w:val="14"/>
              </w:rPr>
            </w:pPr>
          </w:p>
        </w:tc>
        <w:tc>
          <w:tcPr>
            <w:tcW w:w="2782" w:type="dxa"/>
          </w:tcPr>
          <w:p>
            <w:pPr>
              <w:pStyle w:val="TableParagraph"/>
              <w:spacing w:line="181" w:lineRule="exact"/>
              <w:ind w:left="360"/>
              <w:rPr>
                <w:b/>
                <w:sz w:val="16"/>
              </w:rPr>
            </w:pPr>
            <w:r>
              <w:rPr>
                <w:b/>
                <w:w w:val="105"/>
                <w:sz w:val="16"/>
              </w:rPr>
              <w:t>(OECD)</w:t>
            </w:r>
          </w:p>
        </w:tc>
        <w:tc>
          <w:tcPr>
            <w:tcW w:w="556" w:type="dxa"/>
          </w:tcPr>
          <w:p>
            <w:pPr>
              <w:pStyle w:val="TableParagraph"/>
              <w:rPr>
                <w:rFonts w:ascii="Times New Roman"/>
                <w:sz w:val="14"/>
              </w:rPr>
            </w:pPr>
          </w:p>
        </w:tc>
        <w:tc>
          <w:tcPr>
            <w:tcW w:w="556" w:type="dxa"/>
          </w:tcPr>
          <w:p>
            <w:pPr>
              <w:pStyle w:val="TableParagraph"/>
              <w:rPr>
                <w:rFonts w:ascii="Times New Roman"/>
                <w:sz w:val="14"/>
              </w:rPr>
            </w:pPr>
          </w:p>
        </w:tc>
        <w:tc>
          <w:tcPr>
            <w:tcW w:w="557" w:type="dxa"/>
          </w:tcPr>
          <w:p>
            <w:pPr>
              <w:pStyle w:val="TableParagraph"/>
              <w:rPr>
                <w:rFonts w:ascii="Times New Roman"/>
                <w:sz w:val="14"/>
              </w:rPr>
            </w:pPr>
          </w:p>
        </w:tc>
        <w:tc>
          <w:tcPr>
            <w:tcW w:w="557" w:type="dxa"/>
          </w:tcPr>
          <w:p>
            <w:pPr>
              <w:pStyle w:val="TableParagraph"/>
              <w:rPr>
                <w:rFonts w:ascii="Times New Roman"/>
                <w:sz w:val="14"/>
              </w:rPr>
            </w:pPr>
          </w:p>
        </w:tc>
        <w:tc>
          <w:tcPr>
            <w:tcW w:w="557" w:type="dxa"/>
          </w:tcPr>
          <w:p>
            <w:pPr>
              <w:pStyle w:val="TableParagraph"/>
              <w:rPr>
                <w:rFonts w:ascii="Times New Roman"/>
                <w:sz w:val="14"/>
              </w:rPr>
            </w:pPr>
          </w:p>
        </w:tc>
        <w:tc>
          <w:tcPr>
            <w:tcW w:w="524" w:type="dxa"/>
          </w:tcPr>
          <w:p>
            <w:pPr>
              <w:pStyle w:val="TableParagraph"/>
              <w:rPr>
                <w:rFonts w:ascii="Times New Roman"/>
                <w:sz w:val="14"/>
              </w:rPr>
            </w:pPr>
          </w:p>
        </w:tc>
        <w:tc>
          <w:tcPr>
            <w:tcW w:w="488" w:type="dxa"/>
            <w:tcBorders>
              <w:right w:val="single" w:sz="4" w:space="0" w:color="000000"/>
            </w:tcBorders>
          </w:tcPr>
          <w:p>
            <w:pPr>
              <w:pStyle w:val="TableParagraph"/>
              <w:rPr>
                <w:rFonts w:ascii="Times New Roman"/>
                <w:sz w:val="14"/>
              </w:rPr>
            </w:pPr>
          </w:p>
        </w:tc>
      </w:tr>
      <w:tr>
        <w:trPr>
          <w:trHeight w:val="258" w:hRule="atLeast"/>
        </w:trPr>
        <w:tc>
          <w:tcPr>
            <w:tcW w:w="795" w:type="dxa"/>
            <w:tcBorders>
              <w:left w:val="single" w:sz="4" w:space="0" w:color="000000"/>
            </w:tcBorders>
          </w:tcPr>
          <w:p>
            <w:pPr>
              <w:pStyle w:val="TableParagraph"/>
              <w:rPr>
                <w:rFonts w:ascii="Times New Roman"/>
                <w:sz w:val="18"/>
              </w:rPr>
            </w:pPr>
          </w:p>
        </w:tc>
        <w:tc>
          <w:tcPr>
            <w:tcW w:w="2782" w:type="dxa"/>
          </w:tcPr>
          <w:p>
            <w:pPr>
              <w:pStyle w:val="TableParagraph"/>
              <w:rPr>
                <w:rFonts w:ascii="Times New Roman"/>
                <w:sz w:val="18"/>
              </w:rPr>
            </w:pPr>
          </w:p>
        </w:tc>
        <w:tc>
          <w:tcPr>
            <w:tcW w:w="556" w:type="dxa"/>
          </w:tcPr>
          <w:p>
            <w:pPr>
              <w:pStyle w:val="TableParagraph"/>
              <w:rPr>
                <w:rFonts w:ascii="Times New Roman"/>
                <w:sz w:val="18"/>
              </w:rPr>
            </w:pPr>
          </w:p>
        </w:tc>
        <w:tc>
          <w:tcPr>
            <w:tcW w:w="556" w:type="dxa"/>
          </w:tcPr>
          <w:p>
            <w:pPr>
              <w:pStyle w:val="TableParagraph"/>
              <w:rPr>
                <w:rFonts w:ascii="Times New Roman"/>
                <w:sz w:val="18"/>
              </w:rPr>
            </w:pPr>
          </w:p>
        </w:tc>
        <w:tc>
          <w:tcPr>
            <w:tcW w:w="557" w:type="dxa"/>
          </w:tcPr>
          <w:p>
            <w:pPr>
              <w:pStyle w:val="TableParagraph"/>
              <w:rPr>
                <w:rFonts w:ascii="Times New Roman"/>
                <w:sz w:val="18"/>
              </w:rPr>
            </w:pPr>
          </w:p>
        </w:tc>
        <w:tc>
          <w:tcPr>
            <w:tcW w:w="557" w:type="dxa"/>
          </w:tcPr>
          <w:p>
            <w:pPr>
              <w:pStyle w:val="TableParagraph"/>
              <w:rPr>
                <w:rFonts w:ascii="Times New Roman"/>
                <w:sz w:val="18"/>
              </w:rPr>
            </w:pPr>
          </w:p>
        </w:tc>
        <w:tc>
          <w:tcPr>
            <w:tcW w:w="557" w:type="dxa"/>
          </w:tcPr>
          <w:p>
            <w:pPr>
              <w:pStyle w:val="TableParagraph"/>
              <w:rPr>
                <w:rFonts w:ascii="Times New Roman"/>
                <w:sz w:val="18"/>
              </w:rPr>
            </w:pPr>
          </w:p>
        </w:tc>
        <w:tc>
          <w:tcPr>
            <w:tcW w:w="524" w:type="dxa"/>
          </w:tcPr>
          <w:p>
            <w:pPr>
              <w:pStyle w:val="TableParagraph"/>
              <w:rPr>
                <w:rFonts w:ascii="Times New Roman"/>
                <w:sz w:val="18"/>
              </w:rPr>
            </w:pPr>
          </w:p>
        </w:tc>
        <w:tc>
          <w:tcPr>
            <w:tcW w:w="488" w:type="dxa"/>
            <w:tcBorders>
              <w:right w:val="single" w:sz="4" w:space="0" w:color="000000"/>
            </w:tcBorders>
          </w:tcPr>
          <w:p>
            <w:pPr>
              <w:pStyle w:val="TableParagraph"/>
              <w:spacing w:before="28"/>
              <w:ind w:left="68"/>
              <w:rPr>
                <w:b/>
                <w:sz w:val="16"/>
              </w:rPr>
            </w:pPr>
            <w:r>
              <w:rPr>
                <w:b/>
                <w:w w:val="105"/>
                <w:sz w:val="16"/>
              </w:rPr>
              <w:t>-6</w:t>
            </w:r>
          </w:p>
        </w:tc>
      </w:tr>
      <w:tr>
        <w:trPr>
          <w:trHeight w:val="610" w:hRule="atLeast"/>
        </w:trPr>
        <w:tc>
          <w:tcPr>
            <w:tcW w:w="795" w:type="dxa"/>
            <w:tcBorders>
              <w:left w:val="single" w:sz="4" w:space="0" w:color="000000"/>
              <w:bottom w:val="single" w:sz="4" w:space="0" w:color="000000"/>
            </w:tcBorders>
          </w:tcPr>
          <w:p>
            <w:pPr>
              <w:pStyle w:val="TableParagraph"/>
              <w:spacing w:before="44"/>
              <w:ind w:left="335"/>
              <w:rPr>
                <w:b/>
                <w:sz w:val="16"/>
              </w:rPr>
            </w:pPr>
            <w:r>
              <w:rPr>
                <w:b/>
                <w:w w:val="105"/>
                <w:sz w:val="16"/>
              </w:rPr>
              <w:t>1990</w:t>
            </w:r>
          </w:p>
        </w:tc>
        <w:tc>
          <w:tcPr>
            <w:tcW w:w="2782" w:type="dxa"/>
            <w:tcBorders>
              <w:bottom w:val="single" w:sz="4" w:space="0" w:color="000000"/>
            </w:tcBorders>
          </w:tcPr>
          <w:p>
            <w:pPr>
              <w:pStyle w:val="TableParagraph"/>
              <w:spacing w:before="44"/>
              <w:ind w:left="102"/>
              <w:rPr>
                <w:b/>
                <w:sz w:val="16"/>
              </w:rPr>
            </w:pPr>
            <w:r>
              <w:rPr>
                <w:b/>
                <w:w w:val="105"/>
                <w:sz w:val="16"/>
              </w:rPr>
              <w:t>1992 1994 1996 1998 2000</w:t>
            </w:r>
          </w:p>
        </w:tc>
        <w:tc>
          <w:tcPr>
            <w:tcW w:w="556" w:type="dxa"/>
            <w:tcBorders>
              <w:bottom w:val="single" w:sz="4" w:space="0" w:color="000000"/>
            </w:tcBorders>
          </w:tcPr>
          <w:p>
            <w:pPr>
              <w:pStyle w:val="TableParagraph"/>
              <w:spacing w:before="44"/>
              <w:ind w:left="102"/>
              <w:rPr>
                <w:b/>
                <w:sz w:val="16"/>
              </w:rPr>
            </w:pPr>
            <w:r>
              <w:rPr>
                <w:b/>
                <w:w w:val="105"/>
                <w:sz w:val="16"/>
              </w:rPr>
              <w:t>2002</w:t>
            </w:r>
          </w:p>
        </w:tc>
        <w:tc>
          <w:tcPr>
            <w:tcW w:w="556" w:type="dxa"/>
            <w:tcBorders>
              <w:bottom w:val="single" w:sz="4" w:space="0" w:color="000000"/>
            </w:tcBorders>
          </w:tcPr>
          <w:p>
            <w:pPr>
              <w:pStyle w:val="TableParagraph"/>
              <w:spacing w:before="44"/>
              <w:ind w:left="102"/>
              <w:rPr>
                <w:b/>
                <w:sz w:val="16"/>
              </w:rPr>
            </w:pPr>
            <w:r>
              <w:rPr>
                <w:b/>
                <w:w w:val="105"/>
                <w:sz w:val="16"/>
              </w:rPr>
              <w:t>2004</w:t>
            </w:r>
          </w:p>
        </w:tc>
        <w:tc>
          <w:tcPr>
            <w:tcW w:w="557" w:type="dxa"/>
            <w:tcBorders>
              <w:bottom w:val="single" w:sz="4" w:space="0" w:color="000000"/>
            </w:tcBorders>
          </w:tcPr>
          <w:p>
            <w:pPr>
              <w:pStyle w:val="TableParagraph"/>
              <w:spacing w:before="44"/>
              <w:ind w:left="102"/>
              <w:rPr>
                <w:b/>
                <w:sz w:val="16"/>
              </w:rPr>
            </w:pPr>
            <w:r>
              <w:rPr>
                <w:b/>
                <w:w w:val="105"/>
                <w:sz w:val="16"/>
              </w:rPr>
              <w:t>2006</w:t>
            </w:r>
          </w:p>
        </w:tc>
        <w:tc>
          <w:tcPr>
            <w:tcW w:w="557" w:type="dxa"/>
            <w:tcBorders>
              <w:bottom w:val="single" w:sz="4" w:space="0" w:color="000000"/>
            </w:tcBorders>
          </w:tcPr>
          <w:p>
            <w:pPr>
              <w:pStyle w:val="TableParagraph"/>
              <w:spacing w:before="44"/>
              <w:ind w:left="102"/>
              <w:rPr>
                <w:b/>
                <w:sz w:val="16"/>
              </w:rPr>
            </w:pPr>
            <w:r>
              <w:rPr>
                <w:b/>
                <w:w w:val="105"/>
                <w:sz w:val="16"/>
              </w:rPr>
              <w:t>2008</w:t>
            </w:r>
          </w:p>
        </w:tc>
        <w:tc>
          <w:tcPr>
            <w:tcW w:w="557" w:type="dxa"/>
            <w:tcBorders>
              <w:bottom w:val="single" w:sz="4" w:space="0" w:color="000000"/>
            </w:tcBorders>
          </w:tcPr>
          <w:p>
            <w:pPr>
              <w:pStyle w:val="TableParagraph"/>
              <w:spacing w:before="44"/>
              <w:ind w:left="102"/>
              <w:rPr>
                <w:b/>
                <w:sz w:val="16"/>
              </w:rPr>
            </w:pPr>
            <w:r>
              <w:rPr>
                <w:b/>
                <w:w w:val="105"/>
                <w:sz w:val="16"/>
              </w:rPr>
              <w:t>2010</w:t>
            </w:r>
          </w:p>
        </w:tc>
        <w:tc>
          <w:tcPr>
            <w:tcW w:w="524" w:type="dxa"/>
            <w:tcBorders>
              <w:bottom w:val="single" w:sz="4" w:space="0" w:color="000000"/>
            </w:tcBorders>
          </w:tcPr>
          <w:p>
            <w:pPr>
              <w:pStyle w:val="TableParagraph"/>
              <w:spacing w:before="44"/>
              <w:ind w:left="101"/>
              <w:rPr>
                <w:b/>
                <w:sz w:val="16"/>
              </w:rPr>
            </w:pPr>
            <w:r>
              <w:rPr>
                <w:b/>
                <w:w w:val="105"/>
                <w:sz w:val="16"/>
              </w:rPr>
              <w:t>2012</w:t>
            </w:r>
          </w:p>
        </w:tc>
        <w:tc>
          <w:tcPr>
            <w:tcW w:w="488" w:type="dxa"/>
            <w:tcBorders>
              <w:bottom w:val="single" w:sz="4" w:space="0" w:color="000000"/>
              <w:right w:val="single" w:sz="4" w:space="0" w:color="000000"/>
            </w:tcBorders>
          </w:tcPr>
          <w:p>
            <w:pPr>
              <w:pStyle w:val="TableParagraph"/>
              <w:rPr>
                <w:rFonts w:ascii="Times New Roman"/>
                <w:sz w:val="18"/>
              </w:rPr>
            </w:pPr>
          </w:p>
        </w:tc>
      </w:tr>
      <w:tr>
        <w:trPr>
          <w:trHeight w:val="311" w:hRule="atLeast"/>
        </w:trPr>
        <w:tc>
          <w:tcPr>
            <w:tcW w:w="7372" w:type="dxa"/>
            <w:gridSpan w:val="9"/>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Pr>
                <w:sz w:val="18"/>
              </w:rPr>
            </w:pPr>
            <w:r>
              <w:rPr>
                <w:sz w:val="18"/>
              </w:rPr>
              <w:t>Source: IMF, OECD</w:t>
            </w:r>
          </w:p>
        </w:tc>
      </w:tr>
    </w:tbl>
    <w:p>
      <w:pPr>
        <w:pStyle w:val="BodyText"/>
        <w:spacing w:before="6"/>
        <w:rPr>
          <w:sz w:val="21"/>
        </w:rPr>
      </w:pPr>
    </w:p>
    <w:p>
      <w:pPr>
        <w:pStyle w:val="BodyText"/>
        <w:spacing w:line="360" w:lineRule="auto" w:before="94"/>
        <w:ind w:left="233" w:right="134"/>
      </w:pPr>
      <w:r>
        <w:rPr/>
        <w:t>So, inflation, demand and capacity pressures in the UK economy can all be significantly influenced by developments in the global economy.  And that has clearly been our experience – particularly in recent years. But monetary policy can still help to stabilise demand and inflation in the face of these powerful global forces. Chart 8 summarises the three main channels of influence through which the MPC can seek to stabilise the UK economy as it is buffeted by global</w:t>
      </w:r>
      <w:r>
        <w:rPr>
          <w:spacing w:val="-13"/>
        </w:rPr>
        <w:t> </w:t>
      </w:r>
      <w:r>
        <w:rPr/>
        <w:t>shocks.</w:t>
      </w:r>
      <w:r>
        <w:rPr>
          <w:vertAlign w:val="superscript"/>
        </w:rPr>
        <w:t>7</w:t>
      </w: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1"/>
        </w:rPr>
      </w:pPr>
      <w:r>
        <w:rPr/>
        <w:pict>
          <v:shape style="position:absolute;margin-left:56.700001pt;margin-top:9.069204pt;width:144pt;height:.1pt;mso-position-horizontal-relative:page;mso-position-vertical-relative:paragraph;z-index:-251645952;mso-wrap-distance-left:0;mso-wrap-distance-right:0" coordorigin="1134,181" coordsize="2880,0" path="m1134,181l4014,181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7 </w:t>
      </w:r>
      <w:r>
        <w:rPr>
          <w:sz w:val="16"/>
        </w:rPr>
        <w:t>See Sentance (2007) for an earlier discussion of this framework.</w:t>
      </w:r>
    </w:p>
    <w:p>
      <w:pPr>
        <w:spacing w:after="0"/>
        <w:jc w:val="left"/>
        <w:rPr>
          <w:sz w:val="16"/>
        </w:rPr>
        <w:sectPr>
          <w:footerReference w:type="default" r:id="rId13"/>
          <w:pgSz w:w="11900" w:h="16840"/>
          <w:pgMar w:footer="1340" w:header="0" w:top="1360" w:bottom="1540" w:left="900" w:right="1020"/>
          <w:pgNumType w:start="10"/>
        </w:sectPr>
      </w:pPr>
    </w:p>
    <w:p>
      <w:pPr>
        <w:pStyle w:val="BodyText"/>
        <w:rPr>
          <w:sz w:val="16"/>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3"/>
        <w:gridCol w:w="2273"/>
        <w:gridCol w:w="2698"/>
        <w:gridCol w:w="1977"/>
      </w:tblGrid>
      <w:tr>
        <w:trPr>
          <w:trHeight w:val="345" w:hRule="atLeast"/>
        </w:trPr>
        <w:tc>
          <w:tcPr>
            <w:tcW w:w="9621" w:type="dxa"/>
            <w:gridSpan w:val="4"/>
          </w:tcPr>
          <w:p>
            <w:pPr>
              <w:pStyle w:val="TableParagraph"/>
              <w:spacing w:line="229" w:lineRule="exact"/>
              <w:ind w:left="107"/>
              <w:rPr>
                <w:b/>
                <w:sz w:val="20"/>
              </w:rPr>
            </w:pPr>
            <w:r>
              <w:rPr>
                <w:b/>
                <w:sz w:val="20"/>
              </w:rPr>
              <w:t>Chart 8 Monetary policy, the global economy and inflation</w:t>
            </w:r>
          </w:p>
        </w:tc>
      </w:tr>
      <w:tr>
        <w:trPr>
          <w:trHeight w:val="3294" w:hRule="atLeast"/>
        </w:trPr>
        <w:tc>
          <w:tcPr>
            <w:tcW w:w="2673" w:type="dxa"/>
            <w:tcBorders>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
              <w:rPr>
                <w:sz w:val="19"/>
              </w:rPr>
            </w:pPr>
          </w:p>
          <w:p>
            <w:pPr>
              <w:pStyle w:val="TableParagraph"/>
              <w:ind w:left="816"/>
              <w:rPr>
                <w:sz w:val="17"/>
              </w:rPr>
            </w:pPr>
            <w:r>
              <w:rPr>
                <w:sz w:val="17"/>
              </w:rPr>
              <w:t>Global economy</w:t>
            </w:r>
          </w:p>
        </w:tc>
        <w:tc>
          <w:tcPr>
            <w:tcW w:w="2273" w:type="dxa"/>
            <w:tcBorders>
              <w:left w:val="nil"/>
              <w:right w:val="nil"/>
            </w:tcBorders>
          </w:tcPr>
          <w:p>
            <w:pPr>
              <w:pStyle w:val="TableParagraph"/>
              <w:rPr>
                <w:sz w:val="18"/>
              </w:rPr>
            </w:pPr>
          </w:p>
          <w:p>
            <w:pPr>
              <w:pStyle w:val="TableParagraph"/>
              <w:spacing w:before="11"/>
              <w:rPr>
                <w:sz w:val="17"/>
              </w:rPr>
            </w:pPr>
          </w:p>
          <w:p>
            <w:pPr>
              <w:pStyle w:val="TableParagraph"/>
              <w:ind w:left="616" w:right="472"/>
              <w:jc w:val="center"/>
              <w:rPr>
                <w:sz w:val="17"/>
              </w:rPr>
            </w:pPr>
            <w:r>
              <w:rPr>
                <w:sz w:val="17"/>
              </w:rPr>
              <w:t>Cost of imports</w:t>
            </w:r>
          </w:p>
          <w:p>
            <w:pPr>
              <w:pStyle w:val="TableParagraph"/>
              <w:rPr>
                <w:sz w:val="18"/>
              </w:rPr>
            </w:pPr>
          </w:p>
          <w:p>
            <w:pPr>
              <w:pStyle w:val="TableParagraph"/>
              <w:rPr>
                <w:sz w:val="18"/>
              </w:rPr>
            </w:pPr>
          </w:p>
          <w:p>
            <w:pPr>
              <w:pStyle w:val="TableParagraph"/>
              <w:rPr>
                <w:sz w:val="18"/>
              </w:rPr>
            </w:pPr>
          </w:p>
          <w:p>
            <w:pPr>
              <w:pStyle w:val="TableParagraph"/>
              <w:spacing w:before="2"/>
              <w:rPr>
                <w:sz w:val="20"/>
              </w:rPr>
            </w:pPr>
          </w:p>
          <w:p>
            <w:pPr>
              <w:pStyle w:val="TableParagraph"/>
              <w:spacing w:before="1"/>
              <w:ind w:left="616" w:right="472"/>
              <w:jc w:val="center"/>
              <w:rPr>
                <w:sz w:val="17"/>
              </w:rPr>
            </w:pPr>
            <w:r>
              <w:rPr>
                <w:sz w:val="17"/>
              </w:rPr>
              <w:t>Demand</w:t>
            </w:r>
          </w:p>
          <w:p>
            <w:pPr>
              <w:pStyle w:val="TableParagraph"/>
              <w:rPr>
                <w:sz w:val="18"/>
              </w:rPr>
            </w:pPr>
          </w:p>
          <w:p>
            <w:pPr>
              <w:pStyle w:val="TableParagraph"/>
              <w:rPr>
                <w:sz w:val="18"/>
              </w:rPr>
            </w:pPr>
          </w:p>
          <w:p>
            <w:pPr>
              <w:pStyle w:val="TableParagraph"/>
              <w:rPr>
                <w:sz w:val="18"/>
              </w:rPr>
            </w:pPr>
          </w:p>
          <w:p>
            <w:pPr>
              <w:pStyle w:val="TableParagraph"/>
              <w:spacing w:before="2"/>
              <w:rPr>
                <w:sz w:val="20"/>
              </w:rPr>
            </w:pPr>
          </w:p>
          <w:p>
            <w:pPr>
              <w:pStyle w:val="TableParagraph"/>
              <w:ind w:left="613" w:right="472"/>
              <w:jc w:val="center"/>
              <w:rPr>
                <w:sz w:val="17"/>
              </w:rPr>
            </w:pPr>
            <w:r>
              <w:rPr>
                <w:sz w:val="17"/>
              </w:rPr>
              <w:t>Pricing climate</w:t>
            </w:r>
          </w:p>
        </w:tc>
        <w:tc>
          <w:tcPr>
            <w:tcW w:w="2698" w:type="dxa"/>
            <w:tcBorders>
              <w:left w:val="nil"/>
              <w:right w:val="nil"/>
            </w:tcBorders>
          </w:tcPr>
          <w:p>
            <w:pPr>
              <w:pStyle w:val="TableParagraph"/>
              <w:spacing w:before="9"/>
              <w:rPr>
                <w:sz w:val="19"/>
              </w:rPr>
            </w:pPr>
          </w:p>
          <w:p>
            <w:pPr>
              <w:pStyle w:val="TableParagraph"/>
              <w:spacing w:line="674" w:lineRule="auto"/>
              <w:ind w:left="793" w:hanging="291"/>
              <w:rPr>
                <w:sz w:val="17"/>
              </w:rPr>
            </w:pPr>
            <w:r>
              <w:rPr>
                <w:color w:val="0000FF"/>
                <w:sz w:val="17"/>
              </w:rPr>
              <w:t>Impact of monetary policy Exchange rate</w:t>
            </w:r>
          </w:p>
          <w:p>
            <w:pPr>
              <w:pStyle w:val="TableParagraph"/>
              <w:spacing w:before="81"/>
              <w:ind w:left="633" w:right="654"/>
              <w:jc w:val="center"/>
              <w:rPr>
                <w:sz w:val="17"/>
              </w:rPr>
            </w:pPr>
            <w:r>
              <w:rPr>
                <w:color w:val="0000FF"/>
                <w:sz w:val="17"/>
              </w:rPr>
              <w:t>Domestic demand</w:t>
            </w:r>
          </w:p>
          <w:p>
            <w:pPr>
              <w:pStyle w:val="TableParagraph"/>
              <w:rPr>
                <w:sz w:val="18"/>
              </w:rPr>
            </w:pPr>
          </w:p>
          <w:p>
            <w:pPr>
              <w:pStyle w:val="TableParagraph"/>
              <w:spacing w:before="9"/>
              <w:rPr>
                <w:sz w:val="19"/>
              </w:rPr>
            </w:pPr>
          </w:p>
          <w:p>
            <w:pPr>
              <w:pStyle w:val="TableParagraph"/>
              <w:spacing w:line="256" w:lineRule="auto"/>
              <w:ind w:left="633" w:right="653"/>
              <w:jc w:val="center"/>
              <w:rPr>
                <w:sz w:val="17"/>
              </w:rPr>
            </w:pPr>
            <w:r>
              <w:rPr>
                <w:color w:val="0000FF"/>
                <w:sz w:val="17"/>
              </w:rPr>
              <w:t>Expectations and credibility</w:t>
            </w:r>
          </w:p>
        </w:tc>
        <w:tc>
          <w:tcPr>
            <w:tcW w:w="1977" w:type="dxa"/>
            <w:tcBorders>
              <w:lef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18"/>
              </w:rPr>
            </w:pPr>
          </w:p>
          <w:p>
            <w:pPr>
              <w:pStyle w:val="TableParagraph"/>
              <w:spacing w:before="1"/>
              <w:ind w:left="278"/>
              <w:rPr>
                <w:sz w:val="17"/>
              </w:rPr>
            </w:pPr>
            <w:r>
              <w:rPr>
                <w:sz w:val="17"/>
              </w:rPr>
              <w:t>UK inflation</w:t>
            </w:r>
          </w:p>
        </w:tc>
      </w:tr>
    </w:tbl>
    <w:p>
      <w:pPr>
        <w:pStyle w:val="BodyText"/>
        <w:spacing w:before="7"/>
        <w:rPr>
          <w:sz w:val="21"/>
        </w:rPr>
      </w:pPr>
    </w:p>
    <w:p>
      <w:pPr>
        <w:pStyle w:val="BodyText"/>
        <w:spacing w:line="360" w:lineRule="auto" w:before="94"/>
        <w:ind w:left="233" w:right="143"/>
      </w:pPr>
      <w:r>
        <w:rPr/>
        <w:pict>
          <v:group style="position:absolute;margin-left:87.461998pt;margin-top:-167.197296pt;width:422.65pt;height:135.4pt;mso-position-horizontal-relative:page;mso-position-vertical-relative:paragraph;z-index:-254938112" coordorigin="1749,-3344" coordsize="8453,2708">
            <v:shape style="position:absolute;left:1755;top:-3338;width:4053;height:1649" coordorigin="1756,-3338" coordsize="4053,1649" path="m5808,-3338l4204,-3338,4204,-2734,5808,-2734,5808,-3338xm5808,-2292l4204,-2292,4204,-1689,5808,-1689,5808,-2292xm3361,-2292l1756,-2292,1756,-1689,3361,-1689,3361,-2292xe" filled="false" stroked="true" strokeweight=".636pt" strokecolor="#000000">
              <v:path arrowok="t"/>
              <v:stroke dashstyle="solid"/>
            </v:shape>
            <v:shape style="position:absolute;left:3366;top:-3080;width:810;height:1145" coordorigin="3366,-3080" coordsize="810,1145" path="m4176,-3080l4075,-3028,4110,-3003,3371,-1994,3371,-1994,3367,-1990,3367,-1988,3366,-1986,3366,-1982,3367,-1980,3370,-1978,3371,-1977,3372,-1977,3374,-1976,3379,-1977,4075,-1977,4075,-1935,4159,-1977,4176,-1985,4159,-1994,4075,-2036,4075,-1994,3391,-1994,4123,-2993,4158,-2968,4167,-3021,4176,-3080e" filled="true" fillcolor="#000000" stroked="false">
              <v:path arrowok="t"/>
              <v:fill type="solid"/>
            </v:shape>
            <v:rect style="position:absolute;left:4203;top:-1246;width:1605;height:604" filled="false" stroked="true" strokeweight=".636pt" strokecolor="#000000">
              <v:stroke dashstyle="solid"/>
            </v:rect>
            <v:shape style="position:absolute;left:3366;top:-3066;width:3165;height:2123" coordorigin="3366,-3065" coordsize="3165,2123" path="m4176,-964l4165,-1020,4154,-1076,4120,-1049,3382,-1990,3379,-1994,3373,-1995,3370,-1992,3366,-1989,3366,-1984,3368,-1980,4107,-1038,4074,-1012,4176,-964m6530,-1604l6421,-1569,6451,-1539,5855,-958,5851,-954,5851,-950,5858,-942,5863,-942,5867,-946,6463,-1527,6493,-1497,6513,-1553,6530,-1604m6530,-2009l6514,-2018,6428,-2061,6428,-2018,5856,-2018,5852,-2014,5852,-2004,5856,-2001,6428,-2001,6428,-1959,6513,-2001,6530,-2009m6530,-2404l6513,-2453,6493,-2511,6463,-2480,5867,-3062,5863,-3065,5858,-3065,5851,-3058,5851,-3052,5855,-3050,6451,-2468,6421,-2438,6530,-2404e" filled="true" fillcolor="#000000" stroked="false">
              <v:path arrowok="t"/>
              <v:fill type="solid"/>
            </v:shape>
            <v:rect style="position:absolute;left:6583;top:-2992;width:1646;height:2152" filled="false" stroked="true" strokeweight=".636pt" strokecolor="#0000ff">
              <v:stroke dashstyle="solid"/>
            </v:rect>
            <v:rect style="position:absolute;left:8750;top:-2305;width:1445;height:604" filled="false" stroked="true" strokeweight=".636pt" strokecolor="#000000">
              <v:stroke dashstyle="solid"/>
            </v:rect>
            <v:shape style="position:absolute;left:8275;top:-2400;width:462;height:856" coordorigin="8275,-2399" coordsize="462,856" path="m8737,-1874l8624,-1854,8649,-1821,8291,-1559,8287,-1557,8286,-1552,8288,-1547,8291,-1544,8297,-1544,8300,-1546,8659,-1807,8684,-1773,8716,-1833,8737,-1874m8737,-2009l8721,-2018,8635,-2061,8635,-2018,8279,-2018,8275,-2014,8275,-2004,8279,-2001,8635,-2001,8635,-1959,8720,-2001,8737,-2009m8737,-2144l8716,-2175,8672,-2237,8652,-2201,8299,-2397,8296,-2399,8291,-2398,8288,-2393,8286,-2390,8287,-2385,8291,-2382,8644,-2186,8623,-2148,8737,-2144e" filled="true" fillcolor="#000000" stroked="false">
              <v:path arrowok="t"/>
              <v:fill type="solid"/>
            </v:shape>
            <w10:wrap type="none"/>
          </v:group>
        </w:pict>
      </w:r>
      <w:r>
        <w:rPr/>
        <w:t>The first of these is the impact of interest rates on the exchange rate. The exchange rate is not directly controlled by monetary policy. But monetary policy has an important influence on foreign exchange transactions – through the effect of interest rate differentials between currencies and the impact of the signals sent by policy-makers on market sentiment and financial flows. Actual or expected monetary tightening should put upward pressure on the exchange rate and have a dampening impact on import price increases, while monetary loosening should have the opposite effect.</w:t>
      </w:r>
      <w:r>
        <w:rPr>
          <w:vertAlign w:val="superscript"/>
        </w:rPr>
        <w:t>8</w:t>
      </w:r>
      <w:r>
        <w:rPr>
          <w:vertAlign w:val="baseline"/>
        </w:rPr>
        <w:t> Over the medium-term, significant shifts in the exchange rate can also affect the demand climate through their effect on export competitiveness</w:t>
      </w:r>
    </w:p>
    <w:p>
      <w:pPr>
        <w:pStyle w:val="BodyText"/>
        <w:spacing w:line="230" w:lineRule="exact"/>
        <w:ind w:left="233"/>
      </w:pPr>
      <w:r>
        <w:rPr/>
        <w:t>– though this can be offset to some degree by the effect of changing import prices on consumer demand.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3"/>
        </w:rPr>
      </w:pPr>
      <w:r>
        <w:rPr/>
        <w:pict>
          <v:shape style="position:absolute;margin-left:56.700001pt;margin-top:10.058084pt;width:144pt;height:.1pt;mso-position-horizontal-relative:page;mso-position-vertical-relative:paragraph;z-index:-251643904;mso-wrap-distance-left:0;mso-wrap-distance-right:0" coordorigin="1134,201" coordsize="2880,0" path="m1134,201l4014,201e" filled="false" stroked="true" strokeweight=".48001pt" strokecolor="#000000">
            <v:path arrowok="t"/>
            <v:stroke dashstyle="solid"/>
            <w10:wrap type="topAndBottom"/>
          </v:shape>
        </w:pict>
      </w:r>
    </w:p>
    <w:p>
      <w:pPr>
        <w:spacing w:line="242" w:lineRule="auto" w:before="20"/>
        <w:ind w:left="233" w:right="191" w:firstLine="0"/>
        <w:jc w:val="left"/>
        <w:rPr>
          <w:sz w:val="16"/>
        </w:rPr>
      </w:pPr>
      <w:r>
        <w:rPr>
          <w:position w:val="10"/>
          <w:sz w:val="13"/>
        </w:rPr>
        <w:t>8 </w:t>
      </w:r>
      <w:r>
        <w:rPr>
          <w:sz w:val="16"/>
        </w:rPr>
        <w:t>The influence of monetary policy on the exchange rate mainly relies on the uncovered interest rate parity hypothesis. Early empirical tests, relying on short rates and the assumption of rational expectations, rejected this hypothesis in the data. However, once longer maturity yields are used (Chinn and Meredith, 2004) there is much more support for this hypothesis. Similarly, Chinn (2006) finds support for this hypothesis, when the expected change in the exchange rate is measured with survey data, rather than relying on the assumption of rational expectations.</w:t>
      </w:r>
    </w:p>
    <w:p>
      <w:pPr>
        <w:spacing w:after="0" w:line="242" w:lineRule="auto"/>
        <w:jc w:val="left"/>
        <w:rPr>
          <w:sz w:val="16"/>
        </w:rPr>
        <w:sectPr>
          <w:footerReference w:type="default" r:id="rId14"/>
          <w:pgSz w:w="11900" w:h="16840"/>
          <w:pgMar w:footer="1340" w:header="0" w:top="1600" w:bottom="1540" w:left="900" w:right="1020"/>
          <w:pgNumType w:start="11"/>
        </w:sectPr>
      </w:pPr>
    </w:p>
    <w:p>
      <w:pPr>
        <w:pStyle w:val="BodyText"/>
        <w:rPr>
          <w:sz w:val="16"/>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1095"/>
        <w:gridCol w:w="1032"/>
        <w:gridCol w:w="1064"/>
        <w:gridCol w:w="1064"/>
        <w:gridCol w:w="1211"/>
        <w:gridCol w:w="961"/>
      </w:tblGrid>
      <w:tr>
        <w:trPr>
          <w:trHeight w:val="690" w:hRule="atLeast"/>
        </w:trPr>
        <w:tc>
          <w:tcPr>
            <w:tcW w:w="7377" w:type="dxa"/>
            <w:gridSpan w:val="7"/>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7"/>
              <w:rPr>
                <w:b/>
                <w:sz w:val="20"/>
              </w:rPr>
            </w:pPr>
            <w:r>
              <w:rPr>
                <w:b/>
                <w:sz w:val="20"/>
              </w:rPr>
              <w:t>Chart 9: Effective exchange rates for Sterling, Dollar and Euro</w:t>
            </w:r>
          </w:p>
          <w:p>
            <w:pPr>
              <w:pStyle w:val="TableParagraph"/>
              <w:spacing w:before="113"/>
              <w:ind w:left="107"/>
              <w:rPr>
                <w:sz w:val="20"/>
              </w:rPr>
            </w:pPr>
            <w:r>
              <w:rPr>
                <w:sz w:val="20"/>
              </w:rPr>
              <w:t>January 2007 = 100; monthly averages</w:t>
            </w:r>
          </w:p>
        </w:tc>
      </w:tr>
      <w:tr>
        <w:trPr>
          <w:trHeight w:val="492" w:hRule="atLeast"/>
        </w:trPr>
        <w:tc>
          <w:tcPr>
            <w:tcW w:w="950" w:type="dxa"/>
            <w:tcBorders>
              <w:top w:val="single" w:sz="4" w:space="0" w:color="000000"/>
              <w:left w:val="single" w:sz="4" w:space="0" w:color="000000"/>
            </w:tcBorders>
          </w:tcPr>
          <w:p>
            <w:pPr>
              <w:pStyle w:val="TableParagraph"/>
              <w:rPr>
                <w:rFonts w:ascii="Times New Roman"/>
                <w:sz w:val="18"/>
              </w:rPr>
            </w:pPr>
          </w:p>
        </w:tc>
        <w:tc>
          <w:tcPr>
            <w:tcW w:w="1095" w:type="dxa"/>
            <w:tcBorders>
              <w:top w:val="single" w:sz="4" w:space="0" w:color="000000"/>
            </w:tcBorders>
          </w:tcPr>
          <w:p>
            <w:pPr>
              <w:pStyle w:val="TableParagraph"/>
              <w:rPr>
                <w:rFonts w:ascii="Times New Roman"/>
                <w:sz w:val="18"/>
              </w:rPr>
            </w:pPr>
          </w:p>
        </w:tc>
        <w:tc>
          <w:tcPr>
            <w:tcW w:w="1032" w:type="dxa"/>
            <w:tcBorders>
              <w:top w:val="single" w:sz="4" w:space="0" w:color="000000"/>
            </w:tcBorders>
          </w:tcPr>
          <w:p>
            <w:pPr>
              <w:pStyle w:val="TableParagraph"/>
              <w:rPr>
                <w:rFonts w:ascii="Times New Roman"/>
                <w:sz w:val="18"/>
              </w:rPr>
            </w:pPr>
          </w:p>
        </w:tc>
        <w:tc>
          <w:tcPr>
            <w:tcW w:w="1064" w:type="dxa"/>
            <w:tcBorders>
              <w:top w:val="single" w:sz="4" w:space="0" w:color="000000"/>
            </w:tcBorders>
          </w:tcPr>
          <w:p>
            <w:pPr>
              <w:pStyle w:val="TableParagraph"/>
              <w:rPr>
                <w:rFonts w:ascii="Times New Roman"/>
                <w:sz w:val="18"/>
              </w:rPr>
            </w:pPr>
          </w:p>
        </w:tc>
        <w:tc>
          <w:tcPr>
            <w:tcW w:w="1064" w:type="dxa"/>
            <w:tcBorders>
              <w:top w:val="single" w:sz="4" w:space="0" w:color="000000"/>
            </w:tcBorders>
          </w:tcPr>
          <w:p>
            <w:pPr>
              <w:pStyle w:val="TableParagraph"/>
              <w:rPr>
                <w:rFonts w:ascii="Times New Roman"/>
                <w:sz w:val="18"/>
              </w:rPr>
            </w:pPr>
          </w:p>
        </w:tc>
        <w:tc>
          <w:tcPr>
            <w:tcW w:w="1211" w:type="dxa"/>
            <w:tcBorders>
              <w:top w:val="single" w:sz="4" w:space="0" w:color="000000"/>
            </w:tcBorders>
          </w:tcPr>
          <w:p>
            <w:pPr>
              <w:pStyle w:val="TableParagraph"/>
              <w:rPr>
                <w:rFonts w:ascii="Times New Roman"/>
                <w:sz w:val="18"/>
              </w:rPr>
            </w:pPr>
          </w:p>
        </w:tc>
        <w:tc>
          <w:tcPr>
            <w:tcW w:w="961" w:type="dxa"/>
            <w:tcBorders>
              <w:top w:val="single" w:sz="4" w:space="0" w:color="000000"/>
              <w:right w:val="single" w:sz="4" w:space="0" w:color="000000"/>
            </w:tcBorders>
          </w:tcPr>
          <w:p>
            <w:pPr>
              <w:pStyle w:val="TableParagraph"/>
              <w:spacing w:before="123"/>
              <w:ind w:right="183"/>
              <w:jc w:val="right"/>
              <w:rPr>
                <w:b/>
                <w:sz w:val="16"/>
              </w:rPr>
            </w:pPr>
            <w:r>
              <w:rPr>
                <w:b/>
                <w:sz w:val="16"/>
              </w:rPr>
              <w:t>120</w:t>
            </w:r>
          </w:p>
        </w:tc>
      </w:tr>
      <w:tr>
        <w:trPr>
          <w:trHeight w:val="552" w:hRule="atLeast"/>
        </w:trPr>
        <w:tc>
          <w:tcPr>
            <w:tcW w:w="950" w:type="dxa"/>
            <w:tcBorders>
              <w:left w:val="single" w:sz="4" w:space="0" w:color="000000"/>
            </w:tcBorders>
          </w:tcPr>
          <w:p>
            <w:pPr>
              <w:pStyle w:val="TableParagraph"/>
              <w:rPr>
                <w:rFonts w:ascii="Times New Roman"/>
                <w:sz w:val="18"/>
              </w:rPr>
            </w:pPr>
          </w:p>
        </w:tc>
        <w:tc>
          <w:tcPr>
            <w:tcW w:w="1095" w:type="dxa"/>
          </w:tcPr>
          <w:p>
            <w:pPr>
              <w:pStyle w:val="TableParagraph"/>
              <w:rPr>
                <w:rFonts w:ascii="Times New Roman"/>
                <w:sz w:val="18"/>
              </w:rPr>
            </w:pPr>
          </w:p>
        </w:tc>
        <w:tc>
          <w:tcPr>
            <w:tcW w:w="1032" w:type="dxa"/>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211" w:type="dxa"/>
          </w:tcPr>
          <w:p>
            <w:pPr>
              <w:pStyle w:val="TableParagraph"/>
              <w:rPr>
                <w:rFonts w:ascii="Times New Roman"/>
                <w:sz w:val="18"/>
              </w:rPr>
            </w:pPr>
          </w:p>
        </w:tc>
        <w:tc>
          <w:tcPr>
            <w:tcW w:w="961" w:type="dxa"/>
            <w:tcBorders>
              <w:right w:val="single" w:sz="4" w:space="0" w:color="000000"/>
            </w:tcBorders>
          </w:tcPr>
          <w:p>
            <w:pPr>
              <w:pStyle w:val="TableParagraph"/>
              <w:spacing w:before="10"/>
              <w:rPr>
                <w:sz w:val="15"/>
              </w:rPr>
            </w:pPr>
          </w:p>
          <w:p>
            <w:pPr>
              <w:pStyle w:val="TableParagraph"/>
              <w:ind w:right="183"/>
              <w:jc w:val="right"/>
              <w:rPr>
                <w:b/>
                <w:sz w:val="16"/>
              </w:rPr>
            </w:pPr>
            <w:r>
              <w:rPr>
                <w:b/>
                <w:sz w:val="16"/>
              </w:rPr>
              <w:t>110</w:t>
            </w:r>
          </w:p>
        </w:tc>
      </w:tr>
      <w:tr>
        <w:trPr>
          <w:trHeight w:val="552" w:hRule="atLeast"/>
        </w:trPr>
        <w:tc>
          <w:tcPr>
            <w:tcW w:w="950" w:type="dxa"/>
            <w:tcBorders>
              <w:left w:val="single" w:sz="4" w:space="0" w:color="000000"/>
            </w:tcBorders>
          </w:tcPr>
          <w:p>
            <w:pPr>
              <w:pStyle w:val="TableParagraph"/>
              <w:rPr>
                <w:rFonts w:ascii="Times New Roman"/>
                <w:sz w:val="18"/>
              </w:rPr>
            </w:pPr>
          </w:p>
        </w:tc>
        <w:tc>
          <w:tcPr>
            <w:tcW w:w="1095" w:type="dxa"/>
          </w:tcPr>
          <w:p>
            <w:pPr>
              <w:pStyle w:val="TableParagraph"/>
              <w:rPr>
                <w:rFonts w:ascii="Times New Roman"/>
                <w:sz w:val="18"/>
              </w:rPr>
            </w:pPr>
          </w:p>
        </w:tc>
        <w:tc>
          <w:tcPr>
            <w:tcW w:w="1032" w:type="dxa"/>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211" w:type="dxa"/>
          </w:tcPr>
          <w:p>
            <w:pPr>
              <w:pStyle w:val="TableParagraph"/>
              <w:rPr>
                <w:rFonts w:ascii="Times New Roman"/>
                <w:sz w:val="18"/>
              </w:rPr>
            </w:pPr>
          </w:p>
        </w:tc>
        <w:tc>
          <w:tcPr>
            <w:tcW w:w="961" w:type="dxa"/>
            <w:tcBorders>
              <w:right w:val="single" w:sz="4" w:space="0" w:color="000000"/>
            </w:tcBorders>
          </w:tcPr>
          <w:p>
            <w:pPr>
              <w:pStyle w:val="TableParagraph"/>
              <w:spacing w:before="11"/>
              <w:rPr>
                <w:sz w:val="15"/>
              </w:rPr>
            </w:pPr>
          </w:p>
          <w:p>
            <w:pPr>
              <w:pStyle w:val="TableParagraph"/>
              <w:ind w:right="183"/>
              <w:jc w:val="right"/>
              <w:rPr>
                <w:b/>
                <w:sz w:val="16"/>
              </w:rPr>
            </w:pPr>
            <w:r>
              <w:rPr>
                <w:b/>
                <w:sz w:val="16"/>
              </w:rPr>
              <w:t>100</w:t>
            </w:r>
          </w:p>
        </w:tc>
      </w:tr>
      <w:tr>
        <w:trPr>
          <w:trHeight w:val="475" w:hRule="atLeast"/>
        </w:trPr>
        <w:tc>
          <w:tcPr>
            <w:tcW w:w="950" w:type="dxa"/>
            <w:tcBorders>
              <w:left w:val="single" w:sz="4" w:space="0" w:color="000000"/>
            </w:tcBorders>
          </w:tcPr>
          <w:p>
            <w:pPr>
              <w:pStyle w:val="TableParagraph"/>
              <w:rPr>
                <w:rFonts w:ascii="Times New Roman"/>
                <w:sz w:val="18"/>
              </w:rPr>
            </w:pPr>
          </w:p>
        </w:tc>
        <w:tc>
          <w:tcPr>
            <w:tcW w:w="1095" w:type="dxa"/>
          </w:tcPr>
          <w:p>
            <w:pPr>
              <w:pStyle w:val="TableParagraph"/>
              <w:rPr>
                <w:rFonts w:ascii="Times New Roman"/>
                <w:sz w:val="18"/>
              </w:rPr>
            </w:pPr>
          </w:p>
        </w:tc>
        <w:tc>
          <w:tcPr>
            <w:tcW w:w="1032" w:type="dxa"/>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211" w:type="dxa"/>
          </w:tcPr>
          <w:p>
            <w:pPr>
              <w:pStyle w:val="TableParagraph"/>
              <w:rPr>
                <w:rFonts w:ascii="Times New Roman"/>
                <w:sz w:val="18"/>
              </w:rPr>
            </w:pPr>
          </w:p>
        </w:tc>
        <w:tc>
          <w:tcPr>
            <w:tcW w:w="961" w:type="dxa"/>
            <w:tcBorders>
              <w:right w:val="single" w:sz="4" w:space="0" w:color="000000"/>
            </w:tcBorders>
          </w:tcPr>
          <w:p>
            <w:pPr>
              <w:pStyle w:val="TableParagraph"/>
              <w:spacing w:before="10"/>
              <w:rPr>
                <w:sz w:val="15"/>
              </w:rPr>
            </w:pPr>
          </w:p>
          <w:p>
            <w:pPr>
              <w:pStyle w:val="TableParagraph"/>
              <w:ind w:right="275"/>
              <w:jc w:val="right"/>
              <w:rPr>
                <w:b/>
                <w:sz w:val="16"/>
              </w:rPr>
            </w:pPr>
            <w:r>
              <w:rPr>
                <w:b/>
                <w:sz w:val="16"/>
              </w:rPr>
              <w:t>90</w:t>
            </w:r>
          </w:p>
        </w:tc>
      </w:tr>
      <w:tr>
        <w:trPr>
          <w:trHeight w:val="643" w:hRule="atLeast"/>
        </w:trPr>
        <w:tc>
          <w:tcPr>
            <w:tcW w:w="950" w:type="dxa"/>
            <w:tcBorders>
              <w:left w:val="single" w:sz="4" w:space="0" w:color="000000"/>
            </w:tcBorders>
          </w:tcPr>
          <w:p>
            <w:pPr>
              <w:pStyle w:val="TableParagraph"/>
              <w:rPr>
                <w:rFonts w:ascii="Times New Roman"/>
                <w:sz w:val="18"/>
              </w:rPr>
            </w:pPr>
          </w:p>
        </w:tc>
        <w:tc>
          <w:tcPr>
            <w:tcW w:w="1095" w:type="dxa"/>
          </w:tcPr>
          <w:p>
            <w:pPr>
              <w:pStyle w:val="TableParagraph"/>
              <w:spacing w:line="296" w:lineRule="exact" w:before="19"/>
              <w:ind w:left="409" w:right="301"/>
              <w:rPr>
                <w:b/>
                <w:sz w:val="16"/>
              </w:rPr>
            </w:pPr>
            <w:r>
              <w:rPr>
                <w:b/>
                <w:sz w:val="16"/>
              </w:rPr>
              <w:t>Euro </w:t>
            </w:r>
            <w:r>
              <w:rPr>
                <w:b/>
                <w:w w:val="105"/>
                <w:sz w:val="16"/>
              </w:rPr>
              <w:t>UK</w:t>
            </w:r>
          </w:p>
        </w:tc>
        <w:tc>
          <w:tcPr>
            <w:tcW w:w="1032" w:type="dxa"/>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211" w:type="dxa"/>
          </w:tcPr>
          <w:p>
            <w:pPr>
              <w:pStyle w:val="TableParagraph"/>
              <w:rPr>
                <w:rFonts w:ascii="Times New Roman"/>
                <w:sz w:val="18"/>
              </w:rPr>
            </w:pPr>
          </w:p>
        </w:tc>
        <w:tc>
          <w:tcPr>
            <w:tcW w:w="961" w:type="dxa"/>
            <w:tcBorders>
              <w:right w:val="single" w:sz="4" w:space="0" w:color="000000"/>
            </w:tcBorders>
          </w:tcPr>
          <w:p>
            <w:pPr>
              <w:pStyle w:val="TableParagraph"/>
              <w:spacing w:before="6"/>
              <w:rPr>
                <w:sz w:val="22"/>
              </w:rPr>
            </w:pPr>
          </w:p>
          <w:p>
            <w:pPr>
              <w:pStyle w:val="TableParagraph"/>
              <w:spacing w:before="1"/>
              <w:ind w:right="275"/>
              <w:jc w:val="right"/>
              <w:rPr>
                <w:b/>
                <w:sz w:val="16"/>
              </w:rPr>
            </w:pPr>
            <w:r>
              <w:rPr>
                <w:b/>
                <w:sz w:val="16"/>
              </w:rPr>
              <w:t>80</w:t>
            </w:r>
          </w:p>
        </w:tc>
      </w:tr>
      <w:tr>
        <w:trPr>
          <w:trHeight w:val="537" w:hRule="atLeast"/>
        </w:trPr>
        <w:tc>
          <w:tcPr>
            <w:tcW w:w="950" w:type="dxa"/>
            <w:tcBorders>
              <w:left w:val="single" w:sz="4" w:space="0" w:color="000000"/>
            </w:tcBorders>
          </w:tcPr>
          <w:p>
            <w:pPr>
              <w:pStyle w:val="TableParagraph"/>
              <w:rPr>
                <w:rFonts w:ascii="Times New Roman"/>
                <w:sz w:val="18"/>
              </w:rPr>
            </w:pPr>
          </w:p>
        </w:tc>
        <w:tc>
          <w:tcPr>
            <w:tcW w:w="1095" w:type="dxa"/>
          </w:tcPr>
          <w:p>
            <w:pPr>
              <w:pStyle w:val="TableParagraph"/>
              <w:spacing w:before="55"/>
              <w:ind w:left="309" w:right="351"/>
              <w:jc w:val="center"/>
              <w:rPr>
                <w:b/>
                <w:sz w:val="16"/>
              </w:rPr>
            </w:pPr>
            <w:r>
              <w:rPr>
                <w:b/>
                <w:w w:val="105"/>
                <w:sz w:val="16"/>
              </w:rPr>
              <w:t>US</w:t>
            </w:r>
          </w:p>
        </w:tc>
        <w:tc>
          <w:tcPr>
            <w:tcW w:w="1032" w:type="dxa"/>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211" w:type="dxa"/>
          </w:tcPr>
          <w:p>
            <w:pPr>
              <w:pStyle w:val="TableParagraph"/>
              <w:rPr>
                <w:rFonts w:ascii="Times New Roman"/>
                <w:sz w:val="18"/>
              </w:rPr>
            </w:pPr>
          </w:p>
        </w:tc>
        <w:tc>
          <w:tcPr>
            <w:tcW w:w="961" w:type="dxa"/>
            <w:tcBorders>
              <w:right w:val="single" w:sz="4" w:space="0" w:color="000000"/>
            </w:tcBorders>
          </w:tcPr>
          <w:p>
            <w:pPr>
              <w:pStyle w:val="TableParagraph"/>
              <w:spacing w:before="7"/>
              <w:rPr>
                <w:sz w:val="14"/>
              </w:rPr>
            </w:pPr>
          </w:p>
          <w:p>
            <w:pPr>
              <w:pStyle w:val="TableParagraph"/>
              <w:ind w:right="275"/>
              <w:jc w:val="right"/>
              <w:rPr>
                <w:b/>
                <w:sz w:val="16"/>
              </w:rPr>
            </w:pPr>
            <w:r>
              <w:rPr>
                <w:b/>
                <w:sz w:val="16"/>
              </w:rPr>
              <w:t>70</w:t>
            </w:r>
          </w:p>
        </w:tc>
      </w:tr>
      <w:tr>
        <w:trPr>
          <w:trHeight w:val="379" w:hRule="atLeast"/>
        </w:trPr>
        <w:tc>
          <w:tcPr>
            <w:tcW w:w="950" w:type="dxa"/>
            <w:tcBorders>
              <w:left w:val="single" w:sz="4" w:space="0" w:color="000000"/>
            </w:tcBorders>
          </w:tcPr>
          <w:p>
            <w:pPr>
              <w:pStyle w:val="TableParagraph"/>
              <w:rPr>
                <w:rFonts w:ascii="Times New Roman"/>
                <w:sz w:val="18"/>
              </w:rPr>
            </w:pPr>
          </w:p>
        </w:tc>
        <w:tc>
          <w:tcPr>
            <w:tcW w:w="1095" w:type="dxa"/>
          </w:tcPr>
          <w:p>
            <w:pPr>
              <w:pStyle w:val="TableParagraph"/>
              <w:rPr>
                <w:rFonts w:ascii="Times New Roman"/>
                <w:sz w:val="18"/>
              </w:rPr>
            </w:pPr>
          </w:p>
        </w:tc>
        <w:tc>
          <w:tcPr>
            <w:tcW w:w="1032" w:type="dxa"/>
          </w:tcPr>
          <w:p>
            <w:pPr>
              <w:pStyle w:val="TableParagraph"/>
              <w:rPr>
                <w:rFonts w:ascii="Times New Roman"/>
                <w:sz w:val="18"/>
              </w:rPr>
            </w:pPr>
          </w:p>
        </w:tc>
        <w:tc>
          <w:tcPr>
            <w:tcW w:w="1064" w:type="dxa"/>
          </w:tcPr>
          <w:p>
            <w:pPr>
              <w:pStyle w:val="TableParagraph"/>
              <w:rPr>
                <w:rFonts w:ascii="Times New Roman"/>
                <w:sz w:val="18"/>
              </w:rPr>
            </w:pPr>
          </w:p>
        </w:tc>
        <w:tc>
          <w:tcPr>
            <w:tcW w:w="1064" w:type="dxa"/>
          </w:tcPr>
          <w:p>
            <w:pPr>
              <w:pStyle w:val="TableParagraph"/>
              <w:rPr>
                <w:rFonts w:ascii="Times New Roman"/>
                <w:sz w:val="18"/>
              </w:rPr>
            </w:pPr>
          </w:p>
        </w:tc>
        <w:tc>
          <w:tcPr>
            <w:tcW w:w="1211" w:type="dxa"/>
          </w:tcPr>
          <w:p>
            <w:pPr>
              <w:pStyle w:val="TableParagraph"/>
              <w:rPr>
                <w:rFonts w:ascii="Times New Roman"/>
                <w:sz w:val="18"/>
              </w:rPr>
            </w:pPr>
          </w:p>
        </w:tc>
        <w:tc>
          <w:tcPr>
            <w:tcW w:w="961" w:type="dxa"/>
            <w:tcBorders>
              <w:right w:val="single" w:sz="4" w:space="0" w:color="000000"/>
            </w:tcBorders>
          </w:tcPr>
          <w:p>
            <w:pPr>
              <w:pStyle w:val="TableParagraph"/>
              <w:spacing w:before="11"/>
              <w:rPr>
                <w:sz w:val="15"/>
              </w:rPr>
            </w:pPr>
          </w:p>
          <w:p>
            <w:pPr>
              <w:pStyle w:val="TableParagraph"/>
              <w:spacing w:line="175" w:lineRule="exact"/>
              <w:ind w:right="275"/>
              <w:jc w:val="right"/>
              <w:rPr>
                <w:b/>
                <w:sz w:val="16"/>
              </w:rPr>
            </w:pPr>
            <w:r>
              <w:rPr>
                <w:b/>
                <w:sz w:val="16"/>
              </w:rPr>
              <w:t>60</w:t>
            </w:r>
          </w:p>
        </w:tc>
      </w:tr>
      <w:tr>
        <w:trPr>
          <w:trHeight w:val="485" w:hRule="atLeast"/>
        </w:trPr>
        <w:tc>
          <w:tcPr>
            <w:tcW w:w="950" w:type="dxa"/>
            <w:tcBorders>
              <w:left w:val="single" w:sz="4" w:space="0" w:color="000000"/>
              <w:bottom w:val="single" w:sz="4" w:space="0" w:color="000000"/>
            </w:tcBorders>
          </w:tcPr>
          <w:p>
            <w:pPr>
              <w:pStyle w:val="TableParagraph"/>
              <w:spacing w:before="9"/>
              <w:ind w:left="237"/>
              <w:rPr>
                <w:b/>
                <w:sz w:val="16"/>
              </w:rPr>
            </w:pPr>
            <w:r>
              <w:rPr>
                <w:b/>
                <w:w w:val="105"/>
                <w:sz w:val="16"/>
              </w:rPr>
              <w:t>2005</w:t>
            </w:r>
          </w:p>
        </w:tc>
        <w:tc>
          <w:tcPr>
            <w:tcW w:w="1095" w:type="dxa"/>
            <w:tcBorders>
              <w:bottom w:val="single" w:sz="4" w:space="0" w:color="000000"/>
            </w:tcBorders>
          </w:tcPr>
          <w:p>
            <w:pPr>
              <w:pStyle w:val="TableParagraph"/>
              <w:spacing w:before="9"/>
              <w:ind w:left="329" w:right="351"/>
              <w:jc w:val="center"/>
              <w:rPr>
                <w:b/>
                <w:sz w:val="16"/>
              </w:rPr>
            </w:pPr>
            <w:r>
              <w:rPr>
                <w:b/>
                <w:w w:val="105"/>
                <w:sz w:val="16"/>
              </w:rPr>
              <w:t>2006</w:t>
            </w:r>
          </w:p>
        </w:tc>
        <w:tc>
          <w:tcPr>
            <w:tcW w:w="1032" w:type="dxa"/>
            <w:tcBorders>
              <w:bottom w:val="single" w:sz="4" w:space="0" w:color="000000"/>
            </w:tcBorders>
          </w:tcPr>
          <w:p>
            <w:pPr>
              <w:pStyle w:val="TableParagraph"/>
              <w:spacing w:before="9"/>
              <w:ind w:left="323"/>
              <w:rPr>
                <w:b/>
                <w:sz w:val="16"/>
              </w:rPr>
            </w:pPr>
            <w:r>
              <w:rPr>
                <w:b/>
                <w:w w:val="105"/>
                <w:sz w:val="16"/>
              </w:rPr>
              <w:t>2007</w:t>
            </w:r>
          </w:p>
        </w:tc>
        <w:tc>
          <w:tcPr>
            <w:tcW w:w="1064" w:type="dxa"/>
            <w:tcBorders>
              <w:bottom w:val="single" w:sz="4" w:space="0" w:color="000000"/>
            </w:tcBorders>
          </w:tcPr>
          <w:p>
            <w:pPr>
              <w:pStyle w:val="TableParagraph"/>
              <w:spacing w:before="9"/>
              <w:ind w:left="354"/>
              <w:rPr>
                <w:b/>
                <w:sz w:val="16"/>
              </w:rPr>
            </w:pPr>
            <w:r>
              <w:rPr>
                <w:b/>
                <w:w w:val="105"/>
                <w:sz w:val="16"/>
              </w:rPr>
              <w:t>2008</w:t>
            </w:r>
          </w:p>
        </w:tc>
        <w:tc>
          <w:tcPr>
            <w:tcW w:w="1064" w:type="dxa"/>
            <w:tcBorders>
              <w:bottom w:val="single" w:sz="4" w:space="0" w:color="000000"/>
            </w:tcBorders>
          </w:tcPr>
          <w:p>
            <w:pPr>
              <w:pStyle w:val="TableParagraph"/>
              <w:spacing w:before="9"/>
              <w:ind w:left="353"/>
              <w:rPr>
                <w:b/>
                <w:sz w:val="16"/>
              </w:rPr>
            </w:pPr>
            <w:r>
              <w:rPr>
                <w:b/>
                <w:w w:val="105"/>
                <w:sz w:val="16"/>
              </w:rPr>
              <w:t>2009</w:t>
            </w:r>
          </w:p>
        </w:tc>
        <w:tc>
          <w:tcPr>
            <w:tcW w:w="1211" w:type="dxa"/>
            <w:tcBorders>
              <w:bottom w:val="single" w:sz="4" w:space="0" w:color="000000"/>
            </w:tcBorders>
          </w:tcPr>
          <w:p>
            <w:pPr>
              <w:pStyle w:val="TableParagraph"/>
              <w:spacing w:before="9"/>
              <w:ind w:left="352"/>
              <w:rPr>
                <w:b/>
                <w:sz w:val="16"/>
              </w:rPr>
            </w:pPr>
            <w:r>
              <w:rPr>
                <w:b/>
                <w:w w:val="105"/>
                <w:sz w:val="16"/>
              </w:rPr>
              <w:t>2010</w:t>
            </w:r>
          </w:p>
        </w:tc>
        <w:tc>
          <w:tcPr>
            <w:tcW w:w="961" w:type="dxa"/>
            <w:tcBorders>
              <w:bottom w:val="single" w:sz="4" w:space="0" w:color="000000"/>
              <w:right w:val="single" w:sz="4" w:space="0" w:color="000000"/>
            </w:tcBorders>
          </w:tcPr>
          <w:p>
            <w:pPr>
              <w:pStyle w:val="TableParagraph"/>
              <w:rPr>
                <w:rFonts w:ascii="Times New Roman"/>
                <w:sz w:val="18"/>
              </w:rPr>
            </w:pPr>
          </w:p>
        </w:tc>
      </w:tr>
      <w:tr>
        <w:trPr>
          <w:trHeight w:val="311" w:hRule="atLeast"/>
        </w:trPr>
        <w:tc>
          <w:tcPr>
            <w:tcW w:w="7377" w:type="dxa"/>
            <w:gridSpan w:val="7"/>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Pr>
                <w:sz w:val="18"/>
              </w:rPr>
            </w:pPr>
            <w:r>
              <w:rPr>
                <w:sz w:val="18"/>
              </w:rPr>
              <w:t>Source: Bank for International Settlements</w:t>
            </w:r>
          </w:p>
        </w:tc>
      </w:tr>
    </w:tbl>
    <w:p>
      <w:pPr>
        <w:pStyle w:val="BodyText"/>
        <w:spacing w:before="6"/>
        <w:rPr>
          <w:sz w:val="21"/>
        </w:rPr>
      </w:pPr>
    </w:p>
    <w:p>
      <w:pPr>
        <w:pStyle w:val="BodyText"/>
        <w:spacing w:line="360" w:lineRule="auto" w:before="94"/>
        <w:ind w:left="233" w:right="117"/>
      </w:pPr>
      <w:r>
        <w:rPr/>
        <w:pict>
          <v:group style="position:absolute;margin-left:75.239998pt;margin-top:-225.980194pt;width:322.1pt;height:169.5pt;mso-position-horizontal-relative:page;mso-position-vertical-relative:paragraph;z-index:-254936064" coordorigin="1505,-4520" coordsize="6442,3390">
            <v:line style="position:absolute" from="7887,-4490" to="7887,-1130" stroked="true" strokeweight=".78pt" strokecolor="#000000">
              <v:stroke dashstyle="solid"/>
            </v:line>
            <v:shape style="position:absolute;left:7886;top:-4497;width:60;height:3330" coordorigin="7886,-4497" coordsize="60,3330" path="m7946,-1182l7886,-1182,7886,-1167,7946,-1167,7946,-1182m7946,-1737l7886,-1737,7886,-1722,7946,-1722,7946,-1737m7946,-2292l7886,-2292,7886,-2277,7946,-2277,7946,-2292m7946,-2847l7886,-2847,7886,-2832,7946,-2832,7946,-2847m7946,-3401l7886,-3401,7886,-3387,7946,-3387,7946,-3401m7946,-3941l7886,-3941,7886,-3927,7946,-3927,7946,-3941m7946,-4497l7886,-4497,7886,-4481,7946,-4481,7946,-4497e" filled="true" fillcolor="#000000" stroked="false">
              <v:path arrowok="t"/>
              <v:fill type="solid"/>
            </v:shape>
            <v:line style="position:absolute" from="1512,-1175" to="7886,-1175" stroked="true" strokeweight=".78003pt" strokecolor="#000000">
              <v:stroke dashstyle="solid"/>
            </v:line>
            <v:shape style="position:absolute;left:1504;top:-1174;width:5325;height:45" coordorigin="1505,-1174" coordsize="5325,45" path="m1520,-1174l1505,-1174,1505,-1130,1520,-1130,1520,-1174m2585,-1174l2570,-1174,2570,-1130,2585,-1130,2585,-1174m3650,-1174l3635,-1174,3635,-1130,3650,-1130,3650,-1174m4715,-1174l4699,-1174,4699,-1130,4715,-1130,4715,-1174m5765,-1174l5749,-1174,5749,-1130,5765,-1130,5765,-1174m6829,-1174l6815,-1174,6815,-1130,6829,-1130,6829,-1174e" filled="true" fillcolor="#000000" stroked="false">
              <v:path arrowok="t"/>
              <v:fill type="solid"/>
            </v:shape>
            <v:shape style="position:absolute;left:1533;top:-4168;width:6333;height:1038" type="#_x0000_t75" stroked="false">
              <v:imagedata r:id="rId16" o:title=""/>
            </v:shape>
            <v:shape style="position:absolute;left:1532;top:-3401;width:6334;height:1544" coordorigin="1532,-3401" coordsize="6334,1544" path="m5525,-2557l5705,-1957,5707,-1953,5710,-1951,5800,-1861,5802,-1857,5815,-1857,5819,-1859,5821,-1863,5835,-1881,5797,-1881,5807,-1894,5736,-1965,5734,-1965,5730,-1971,5732,-1971,5559,-2547,5539,-2547,5525,-2557xm5926,-1983l5911,-1983,5900,-1968,5978,-1877,5981,-1873,5984,-1871,5993,-1871,5998,-1873,6019,-1895,6001,-1895,5980,-1897,5990,-1908,5926,-1983xm5807,-1894l5797,-1881,5820,-1881,5807,-1894xm5904,-2007l5894,-2007,5891,-2003,5887,-2001,5807,-1894,5820,-1881,5835,-1881,5900,-1968,5888,-1981,5911,-1983,5926,-1983,5911,-2001,5908,-2005,5904,-2007xm6954,-2023l7042,-1893,7045,-1889,7049,-1887,7060,-1887,7064,-1889,7067,-1893,7080,-1911,7043,-1911,7055,-1928,6993,-2021,6960,-2021,6954,-2023xm5990,-1908l5980,-1897,6001,-1895,5990,-1908xm6177,-2061l6144,-2061,5990,-1908,6001,-1895,6019,-1895,6167,-2043,6168,-2045,6177,-2061xm7055,-1928l7043,-1911,7067,-1911,7055,-1928xm7211,-2036l7127,-2021,7123,-2021,7120,-2019,7117,-2015,7055,-1928,7067,-1911,7080,-1911,7137,-1991,7132,-1991,7141,-1997,7165,-1997,7222,-2007,7226,-2007,7231,-2013,7245,-2031,7207,-2031,7211,-2036xm6417,-2172l6503,-2057,6593,-1951,6599,-1945,6608,-1945,6614,-1949,6640,-1971,6616,-1971,6595,-1973,6606,-1982,6527,-2075,6455,-2171,6422,-2171,6417,-2172xm5730,-1971l5734,-1965,5733,-1968,5730,-1971xm5733,-1968l5734,-1965,5736,-1965,5733,-1968xm5911,-1983l5888,-1981,5900,-1968,5911,-1983xm5732,-1971l5730,-1971,5733,-1968,5732,-1971xm6606,-1982l6595,-1973,6616,-1971,6606,-1982xm6697,-2051l6689,-2051,6685,-2049,6606,-1982,6616,-1971,6640,-1971,6699,-2020,6692,-2021,6704,-2025,6825,-2025,6845,-2035,6778,-2035,6783,-2037,6697,-2051xm7520,-2191l7478,-2191,7498,-2189,7487,-2182,7568,-2101,7658,-1997,7663,-1991,7673,-1989,7679,-1995,7703,-2015,7681,-2015,7660,-2019,7670,-2028,7590,-2121,7520,-2191xm7141,-1997l7132,-1991,7138,-1992,7141,-1997xm7138,-1992l7132,-1991,7137,-1991,7138,-1992xm7165,-1997l7141,-1997,7138,-1992,7165,-1997xm6825,-2025l6704,-2025,6699,-2020,6782,-2007,6788,-2007,6825,-2025xm7670,-2028l7660,-2019,7681,-2015,7670,-2028xm7762,-2097l7753,-2097,7750,-2093,7670,-2028,7681,-2015,7703,-2015,7765,-2065,7757,-2067,7769,-2069,7866,-2069,7866,-2073,7860,-2079,7852,-2081,7762,-2097xm6704,-2025l6692,-2021,6699,-2020,6704,-2025xm6952,-2027l6954,-2023,6960,-2021,6952,-2027xm6989,-2027l6952,-2027,6960,-2021,6993,-2021,6989,-2027xm6963,-2053l6881,-2053,6874,-2049,6954,-2023,6952,-2027,6989,-2027,6977,-2045,6976,-2047,6972,-2049,6970,-2051,6963,-2053xm7217,-2037l7211,-2036,7207,-2031,7217,-2037xm7249,-2037l7217,-2037,7207,-2031,7245,-2031,7249,-2037xm6783,-2037l6778,-2035,6787,-2037,6783,-2037xm6876,-2081l6871,-2081,6868,-2079,6783,-2037,6787,-2037,6778,-2035,6845,-2035,6874,-2049,6870,-2051,6881,-2053,6963,-2053,6876,-2081xm7397,-2157l7304,-2157,7301,-2153,7297,-2151,7211,-2036,7217,-2037,7249,-2037,7317,-2127,7309,-2127,7321,-2133,7414,-2133,7444,-2153,7391,-2153,7397,-2157xm6881,-2053l6870,-2051,6874,-2049,6881,-2053xm7866,-2069l7769,-2069,7765,-2065,7847,-2051,7855,-2051,7862,-2055,7865,-2063,7866,-2069xm6247,-2231l6241,-2231,6234,-2229,6232,-2223,6142,-2059,6144,-2061,6177,-2061,6253,-2199,6242,-2201,6258,-2209,6382,-2209,6337,-2217,6247,-2231xm7769,-2069l7757,-2067,7765,-2065,7769,-2069xm7321,-2133l7309,-2127,7317,-2127,7321,-2133xm7414,-2133l7321,-2133,7317,-2127,7403,-2127,7408,-2129,7414,-2133xm7495,-2217l7487,-2217,7391,-2153,7399,-2157,7450,-2157,7487,-2182,7478,-2191,7520,-2191,7500,-2211,7495,-2217xm7450,-2157l7399,-2157,7391,-2153,7444,-2153,7450,-2157xm6413,-2177l6417,-2172,6422,-2171,6413,-2177xm6450,-2177l6413,-2177,6422,-2171,6455,-2171,6450,-2177xm6382,-2209l6258,-2209,6253,-2199,6332,-2187,6417,-2172,6413,-2177,6450,-2177,6437,-2195,6434,-2199,6431,-2201,6427,-2201,6382,-2209xm7478,-2191l7487,-2182,7498,-2189,7478,-2191xm6258,-2209l6242,-2201,6253,-2199,6258,-2209xm5390,-2641l5350,-2641,5440,-2551,5442,-2547,5528,-2547,5525,-2557,5556,-2557,5554,-2565,5552,-2571,5460,-2571,5449,-2577,5454,-2577,5390,-2641xm5556,-2557l5525,-2557,5539,-2547,5559,-2547,5556,-2557xm5454,-2577l5449,-2577,5460,-2571,5454,-2577xm5546,-2577l5454,-2577,5460,-2571,5552,-2571,5546,-2577xm5330,-2683l5263,-2683,5273,-2681,5269,-2680,5353,-2637,5350,-2641,5390,-2641,5366,-2665,5330,-2683xm4825,-2849l4913,-2747,5006,-2653,5011,-2651,5107,-2651,5251,-2677,5026,-2677,5015,-2681,5022,-2681,4936,-2765,4866,-2847,4830,-2847,4825,-2849xm5022,-2681l5015,-2681,5026,-2677,5022,-2681xm5274,-2711l5267,-2711,5192,-2697,5102,-2681,5022,-2681,5026,-2677,5251,-2677,5269,-2680,5263,-2683,5330,-2683,5274,-2711xm5263,-2683l5269,-2680,5273,-2681,5263,-2683xm4823,-2851l4825,-2849,4830,-2847,4823,-2851xm4863,-2851l4823,-2851,4830,-2847,4866,-2847,4863,-2851xm4644,-3076l4732,-2885,4733,-2881,4736,-2879,4825,-2849,4823,-2851,4863,-2851,4846,-2871,4842,-2875,4840,-2875,4774,-2897,4758,-2897,4750,-2905,4754,-2905,4676,-3075,4645,-3075,4644,-3076xm4750,-2905l4758,-2897,4755,-2903,4750,-2905xm4755,-2903l4758,-2897,4774,-2897,4755,-2903xm4754,-2905l4750,-2905,4755,-2903,4754,-2905xm2794,-3087l2707,-3087,2703,-3086,2886,-3025,2893,-3027,2898,-3033,2909,-3049,2873,-3049,2879,-3058,2794,-3087xm2879,-3058l2873,-3049,2890,-3055,2879,-3058xm2974,-3193l2966,-3191,2963,-3185,2879,-3058,2890,-3055,2873,-3049,2909,-3049,2981,-3157,2970,-3161,2987,-3167,3052,-3167,2974,-3193xm2022,-3213l1987,-3213,2009,-3209,1995,-3200,2081,-3057,2089,-3053,2096,-3057,2139,-3079,2102,-3079,2083,-3085,2095,-3091,2022,-3213xm1725,-3161l1634,-3161,1632,-3159,1542,-3099,1535,-3095,1532,-3085,1542,-3071,1552,-3069,1643,-3131,1640,-3131,1649,-3135,1739,-3135,1775,-3159,1722,-3159,1725,-3161xm2317,-3165l2279,-3165,2269,-3158,2338,-3119,2342,-3117,2519,-3117,2611,-3071,2617,-3071,2703,-3086,2700,-3087,2794,-3087,2758,-3099,2622,-3099,2612,-3101,2617,-3102,2537,-3143,2353,-3143,2345,-3147,2347,-3147,2317,-3165xm4642,-3081l4644,-3076,4645,-3075,4642,-3081xm4674,-3081l4642,-3081,4645,-3075,4676,-3075,4674,-3081xm4469,-3207l4556,-3149,4644,-3076,4642,-3081,4674,-3081,4668,-3093,4668,-3095,4666,-3095,4664,-3099,4573,-3173,4522,-3207,4470,-3207,4469,-3207xm2095,-3091l2083,-3085,2102,-3079,2095,-3091xm2273,-3191l2267,-3191,2262,-3189,2173,-3129,2095,-3091,2102,-3079,2139,-3079,2186,-3103,2269,-3158,2262,-3163,2279,-3165,2317,-3165,2278,-3189,2273,-3191xm2707,-3087l2700,-3087,2703,-3086,2707,-3087xm2617,-3102l2612,-3101,2622,-3099,2617,-3102xm2707,-3117l2702,-3117,2617,-3102,2622,-3099,2758,-3099,2710,-3115,2707,-3117xm1649,-3135l1640,-3131,1643,-3131,1649,-3135xm1739,-3135l1649,-3135,1643,-3131,1736,-3131,1739,-3135xm3052,-3167l2987,-3167,2981,-3157,3060,-3131,3160,-3131,3163,-3133,3167,-3137,3182,-3155,3144,-3155,3149,-3161,3070,-3161,3052,-3167xm2347,-3147l2345,-3147,2353,-3143,2347,-3147xm2530,-3147l2347,-3147,2353,-3143,2537,-3143,2530,-3147xm1875,-3195l1829,-3195,1820,-3189,1903,-3147,1908,-3145,1914,-3147,1919,-3149,1955,-3173,1902,-3173,1910,-3178,1875,-3195xm3503,-3267l3240,-3267,3236,-3263,3234,-3261,3144,-3155,3155,-3161,3188,-3161,3253,-3237,3245,-3237,3257,-3241,3349,-3241,3413,-3251,3503,-3267xm3188,-3161l3155,-3161,3144,-3155,3182,-3155,3188,-3161xm2987,-3167l2970,-3161,2981,-3157,2987,-3167xm2279,-3165l2262,-3163,2269,-3158,2279,-3165xm1822,-3221l1816,-3221,1812,-3219,1722,-3159,1730,-3161,1778,-3161,1820,-3189,1813,-3193,1829,-3195,1875,-3195,1826,-3219,1822,-3221xm1778,-3161l1730,-3161,1722,-3159,1775,-3159,1778,-3161xm1910,-3178l1902,-3173,1916,-3175,1910,-3178xm2003,-3237l1996,-3237,1910,-3178,1916,-3175,1902,-3173,1955,-3173,1995,-3200,1987,-3213,2022,-3213,2012,-3229,2011,-3233,2008,-3235,2003,-3237xm1829,-3195l1813,-3193,1820,-3189,1829,-3195xm1987,-3213l1995,-3200,2009,-3209,1987,-3213xm4466,-3209l4469,-3207,4470,-3207,4466,-3209xm4519,-3209l4466,-3209,4470,-3207,4522,-3207,4519,-3209xm4333,-3315l4285,-3315,4288,-3313,4288,-3313,4375,-3239,4376,-3239,4379,-3237,4380,-3237,4469,-3207,4466,-3209,4519,-3209,4483,-3233,4482,-3233,4481,-3235,4480,-3235,4396,-3263,4394,-3263,4390,-3265,4392,-3265,4333,-3315xm3257,-3241l3245,-3237,3253,-3237,3257,-3241xm3349,-3241l3257,-3241,3253,-3237,3323,-3237,3349,-3241xm4390,-3265l4394,-3263,4394,-3263,4390,-3265xm4394,-3263l4394,-3263,4396,-3263,4394,-3263xm4392,-3265l4390,-3265,4394,-3263,4392,-3265xm3808,-3345l3761,-3345,3766,-3341,3766,-3341,3851,-3269,3854,-3267,3859,-3265,3864,-3267,3942,-3293,3870,-3293,3856,-3295,3864,-3298,3808,-3345xm3497,-3297l3408,-3281,3318,-3267,3506,-3267,3561,-3295,3493,-3295,3497,-3297xm4076,-3297l3954,-3297,3951,-3296,4037,-3281,4044,-3281,4076,-3297xm3864,-3298l3856,-3295,3870,-3293,3864,-3298xm3953,-3327l3948,-3327,3946,-3325,3864,-3298,3870,-3293,3942,-3293,3951,-3296,3947,-3297,4076,-3297,4100,-3309,4033,-3309,4039,-3312,3953,-3327xm3498,-3297l3497,-3297,3493,-3295,3498,-3297xm3565,-3297l3498,-3297,3493,-3295,3561,-3295,3565,-3297xm3954,-3297l3947,-3297,3951,-3296,3954,-3297xm3680,-3401l3676,-3401,3583,-3339,3497,-3297,3498,-3297,3565,-3297,3597,-3313,3680,-3369,3676,-3371,3688,-3375,3762,-3375,3680,-3401xm4039,-3312l4033,-3309,4043,-3311,4039,-3312xm4224,-3387l4219,-3387,4126,-3355,4123,-3355,4039,-3312,4043,-3311,4033,-3309,4100,-3309,4136,-3327,4134,-3327,4218,-3355,4212,-3359,4268,-3359,4228,-3383,4224,-3387xm4287,-3313l4288,-3313,4288,-3313,4287,-3313xm4268,-3359l4212,-3359,4224,-3357,4218,-3355,4287,-3313,4285,-3315,4333,-3315,4304,-3339,4302,-3339,4268,-3359xm3765,-3341l3766,-3341,3766,-3341,3765,-3341xm3761,-3345l3765,-3341,3766,-3341,3761,-3345xm3762,-3375l3688,-3375,3680,-3369,3765,-3341,3761,-3345,3808,-3345,3780,-3369,3776,-3369,3774,-3371,3762,-3375xm4212,-3359l4218,-3355,4224,-3357,4212,-3359xm3688,-3375l3676,-3371,3680,-3369,3688,-3375xe" filled="true" fillcolor="#993300" stroked="false">
              <v:path arrowok="t"/>
              <v:fill type="solid"/>
            </v:shape>
            <v:shape style="position:absolute;left:1532;top:-3688;width:6334;height:1052" type="#_x0000_t75" stroked="false">
              <v:imagedata r:id="rId17" o:title=""/>
            </v:shape>
            <v:line style="position:absolute" from="2045,-2427" to="2450,-2427" stroked="true" strokeweight="1.5pt" strokecolor="#333399">
              <v:stroke dashstyle="solid"/>
            </v:line>
            <v:line style="position:absolute" from="2045,-2142" to="2450,-2142" stroked="true" strokeweight="1.5pt" strokecolor="#993300">
              <v:stroke dashstyle="solid"/>
            </v:line>
            <v:line style="position:absolute" from="2045,-1842" to="2450,-1842" stroked="true" strokeweight="1.5pt" strokecolor="#99cc00">
              <v:stroke dashstyle="solid"/>
            </v:line>
            <v:line style="position:absolute" from="3643,-4520" to="3643,-1160" stroked="true" strokeweight=".78pt" strokecolor="#4a7ebb">
              <v:stroke dashstyle="solid"/>
            </v:line>
            <w10:wrap type="none"/>
          </v:group>
        </w:pict>
      </w:r>
      <w:r>
        <w:rPr/>
        <w:t>Chart 9 shows that in the period since early 2007, the UK effective exchange rate has depreciated between 20 – 30% against our main trading partners – the euro area and the US dollar. This compares most starkly with the euro effective exchange rate, which is currently broadly in line with its early 2007 value, while the US dollar has depreciated on average by around 10% since 2007. All three currencies have also been affected by the considerable amount of on average volatility we have seen on foreign exchange markets over this period. The implication of this decline in the value of the pound is that the UK has potentially been exposed to</w:t>
      </w:r>
      <w:r>
        <w:rPr>
          <w:spacing w:val="-4"/>
        </w:rPr>
        <w:t> </w:t>
      </w:r>
      <w:r>
        <w:rPr/>
        <w:t>much</w:t>
      </w:r>
      <w:r>
        <w:rPr>
          <w:spacing w:val="-3"/>
        </w:rPr>
        <w:t> </w:t>
      </w:r>
      <w:r>
        <w:rPr/>
        <w:t>more</w:t>
      </w:r>
      <w:r>
        <w:rPr>
          <w:spacing w:val="-4"/>
        </w:rPr>
        <w:t> </w:t>
      </w:r>
      <w:r>
        <w:rPr/>
        <w:t>upward</w:t>
      </w:r>
      <w:r>
        <w:rPr>
          <w:spacing w:val="-3"/>
        </w:rPr>
        <w:t> </w:t>
      </w:r>
      <w:r>
        <w:rPr/>
        <w:t>pressure</w:t>
      </w:r>
      <w:r>
        <w:rPr>
          <w:spacing w:val="-3"/>
        </w:rPr>
        <w:t> </w:t>
      </w:r>
      <w:r>
        <w:rPr/>
        <w:t>on</w:t>
      </w:r>
      <w:r>
        <w:rPr>
          <w:spacing w:val="-4"/>
        </w:rPr>
        <w:t> </w:t>
      </w:r>
      <w:r>
        <w:rPr/>
        <w:t>inflation</w:t>
      </w:r>
      <w:r>
        <w:rPr>
          <w:spacing w:val="-3"/>
        </w:rPr>
        <w:t> </w:t>
      </w:r>
      <w:r>
        <w:rPr/>
        <w:t>from</w:t>
      </w:r>
      <w:r>
        <w:rPr>
          <w:spacing w:val="-3"/>
        </w:rPr>
        <w:t> </w:t>
      </w:r>
      <w:r>
        <w:rPr/>
        <w:t>import</w:t>
      </w:r>
      <w:r>
        <w:rPr>
          <w:spacing w:val="-3"/>
        </w:rPr>
        <w:t> </w:t>
      </w:r>
      <w:r>
        <w:rPr/>
        <w:t>price</w:t>
      </w:r>
      <w:r>
        <w:rPr>
          <w:spacing w:val="-3"/>
        </w:rPr>
        <w:t> </w:t>
      </w:r>
      <w:r>
        <w:rPr/>
        <w:t>movements</w:t>
      </w:r>
      <w:r>
        <w:rPr>
          <w:spacing w:val="-3"/>
        </w:rPr>
        <w:t> </w:t>
      </w:r>
      <w:r>
        <w:rPr/>
        <w:t>than</w:t>
      </w:r>
      <w:r>
        <w:rPr>
          <w:spacing w:val="-4"/>
        </w:rPr>
        <w:t> </w:t>
      </w:r>
      <w:r>
        <w:rPr/>
        <w:t>the</w:t>
      </w:r>
      <w:r>
        <w:rPr>
          <w:spacing w:val="-3"/>
        </w:rPr>
        <w:t> </w:t>
      </w:r>
      <w:r>
        <w:rPr/>
        <w:t>US</w:t>
      </w:r>
      <w:r>
        <w:rPr>
          <w:spacing w:val="-3"/>
        </w:rPr>
        <w:t> </w:t>
      </w:r>
      <w:r>
        <w:rPr/>
        <w:t>and</w:t>
      </w:r>
      <w:r>
        <w:rPr>
          <w:spacing w:val="-3"/>
        </w:rPr>
        <w:t> </w:t>
      </w:r>
      <w:r>
        <w:rPr/>
        <w:t>the</w:t>
      </w:r>
      <w:r>
        <w:rPr>
          <w:spacing w:val="-4"/>
        </w:rPr>
        <w:t> </w:t>
      </w:r>
      <w:r>
        <w:rPr/>
        <w:t>euro</w:t>
      </w:r>
      <w:r>
        <w:rPr>
          <w:spacing w:val="-4"/>
        </w:rPr>
        <w:t> </w:t>
      </w:r>
      <w:r>
        <w:rPr/>
        <w:t>area.</w:t>
      </w:r>
    </w:p>
    <w:p>
      <w:pPr>
        <w:pStyle w:val="BodyText"/>
        <w:spacing w:line="360" w:lineRule="auto" w:before="1"/>
        <w:ind w:left="234" w:right="237"/>
      </w:pPr>
      <w:r>
        <w:rPr/>
        <w:t>Some of this shift in the exchange rate may reflect a change in the view of economic fundamentals, but the very significant relaxation of monetary policy has also played some part.</w:t>
      </w:r>
      <w:r>
        <w:rPr>
          <w:vertAlign w:val="superscript"/>
        </w:rPr>
        <w:t>9</w:t>
      </w:r>
      <w:r>
        <w:rPr>
          <w:vertAlign w:val="baseline"/>
        </w:rPr>
        <w:t> And the effect of sterling’s decline on inflation will be compounded by the fact that imports are a much more significant influence on the UK economy and consumer basket than for the US and the euro area.</w:t>
      </w:r>
      <w:r>
        <w:rPr>
          <w:vertAlign w:val="superscript"/>
        </w:rPr>
        <w:t>10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9"/>
        </w:rPr>
      </w:pPr>
      <w:r>
        <w:rPr/>
        <w:pict>
          <v:shape style="position:absolute;margin-left:56.700001pt;margin-top:13.608974pt;width:144pt;height:.1pt;mso-position-horizontal-relative:page;mso-position-vertical-relative:paragraph;z-index:-251641856;mso-wrap-distance-left:0;mso-wrap-distance-right:0" coordorigin="1134,272" coordsize="2880,0" path="m1134,272l4014,272e" filled="false" stroked="true" strokeweight=".48pt" strokecolor="#000000">
            <v:path arrowok="t"/>
            <v:stroke dashstyle="solid"/>
            <w10:wrap type="topAndBottom"/>
          </v:shape>
        </w:pict>
      </w:r>
    </w:p>
    <w:p>
      <w:pPr>
        <w:spacing w:before="32"/>
        <w:ind w:left="233" w:right="121" w:firstLine="0"/>
        <w:jc w:val="left"/>
        <w:rPr>
          <w:sz w:val="16"/>
        </w:rPr>
      </w:pPr>
      <w:r>
        <w:rPr>
          <w:position w:val="8"/>
          <w:sz w:val="10"/>
        </w:rPr>
        <w:t>9 </w:t>
      </w:r>
      <w:r>
        <w:rPr>
          <w:sz w:val="16"/>
        </w:rPr>
        <w:t>This is most clearly apparent in terms of the relative monetary influences on the pound and the euro since 2007. The reduction in interest rates in the UK has been more significant than in the euro area and the US. Between 2007 and 2009, the Bank of England cut nominal interest rates from 5.75% to 0.5%; this compares to similar figures of 3% to 0.25% for the ECB, and 5.25% to 0.25% for the Federal Reserve. In addition, the Bank of England has also been more aggressive than the ECB with Quantitative Easing. Since March 2009, the MPC has voted to purchase a total of £200 billion of assets, which amounted to approximately 14% of UK 2009 GDP. The ECB has so far purchased a total of €60 billion covered bonds, amounting to less than 1% of euro area GDP. The peak amount of bank debt, mortgage-backed securities and Treasury notes held by the Federal Reserve was $2 trillion in June 2010 (approx. 14% of US GDP).</w:t>
      </w:r>
    </w:p>
    <w:p>
      <w:pPr>
        <w:pStyle w:val="BodyText"/>
        <w:spacing w:before="9"/>
        <w:rPr>
          <w:sz w:val="17"/>
        </w:rPr>
      </w:pPr>
    </w:p>
    <w:p>
      <w:pPr>
        <w:pStyle w:val="ListParagraph"/>
        <w:numPr>
          <w:ilvl w:val="0"/>
          <w:numId w:val="1"/>
        </w:numPr>
        <w:tabs>
          <w:tab w:pos="414" w:val="left" w:leader="none"/>
        </w:tabs>
        <w:spacing w:line="240" w:lineRule="auto" w:before="0" w:after="0"/>
        <w:ind w:left="414" w:right="0" w:hanging="180"/>
        <w:jc w:val="left"/>
        <w:rPr>
          <w:rFonts w:ascii="Times New Roman"/>
          <w:sz w:val="13"/>
        </w:rPr>
      </w:pPr>
      <w:r>
        <w:rPr>
          <w:sz w:val="16"/>
        </w:rPr>
        <w:t>UK imports are about 32% of UK GDP, compared with about 16% for the US and the euro area (excluding intra-euro area</w:t>
      </w:r>
      <w:r>
        <w:rPr>
          <w:spacing w:val="-16"/>
          <w:sz w:val="16"/>
        </w:rPr>
        <w:t> </w:t>
      </w:r>
      <w:r>
        <w:rPr>
          <w:sz w:val="16"/>
        </w:rPr>
        <w:t>trade).</w:t>
      </w:r>
    </w:p>
    <w:p>
      <w:pPr>
        <w:spacing w:after="0" w:line="240" w:lineRule="auto"/>
        <w:jc w:val="left"/>
        <w:rPr>
          <w:rFonts w:ascii="Times New Roman"/>
          <w:sz w:val="13"/>
        </w:rPr>
        <w:sectPr>
          <w:footerReference w:type="default" r:id="rId15"/>
          <w:pgSz w:w="11900" w:h="16840"/>
          <w:pgMar w:footer="1340" w:header="0" w:top="1600" w:bottom="1540" w:left="900" w:right="1020"/>
          <w:pgNumType w:start="12"/>
        </w:sect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3"/>
        <w:gridCol w:w="1303"/>
        <w:gridCol w:w="946"/>
        <w:gridCol w:w="1100"/>
        <w:gridCol w:w="1101"/>
        <w:gridCol w:w="1197"/>
        <w:gridCol w:w="811"/>
      </w:tblGrid>
      <w:tr>
        <w:trPr>
          <w:trHeight w:val="689" w:hRule="atLeast"/>
        </w:trPr>
        <w:tc>
          <w:tcPr>
            <w:tcW w:w="7371" w:type="dxa"/>
            <w:gridSpan w:val="7"/>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10: Domestic demand growth, 2005-2010</w:t>
            </w:r>
          </w:p>
          <w:p>
            <w:pPr>
              <w:pStyle w:val="TableParagraph"/>
              <w:spacing w:before="114"/>
              <w:ind w:left="107"/>
              <w:rPr>
                <w:sz w:val="20"/>
              </w:rPr>
            </w:pPr>
            <w:r>
              <w:rPr>
                <w:sz w:val="20"/>
              </w:rPr>
              <w:t>Percentage change on previous year</w:t>
            </w:r>
          </w:p>
        </w:tc>
      </w:tr>
      <w:tr>
        <w:trPr>
          <w:trHeight w:val="453" w:hRule="atLeast"/>
        </w:trPr>
        <w:tc>
          <w:tcPr>
            <w:tcW w:w="913" w:type="dxa"/>
            <w:tcBorders>
              <w:top w:val="single" w:sz="4" w:space="0" w:color="000000"/>
              <w:left w:val="single" w:sz="4" w:space="0" w:color="000000"/>
            </w:tcBorders>
          </w:tcPr>
          <w:p>
            <w:pPr>
              <w:pStyle w:val="TableParagraph"/>
              <w:rPr>
                <w:rFonts w:ascii="Times New Roman"/>
                <w:sz w:val="18"/>
              </w:rPr>
            </w:pPr>
          </w:p>
        </w:tc>
        <w:tc>
          <w:tcPr>
            <w:tcW w:w="1303" w:type="dxa"/>
            <w:tcBorders>
              <w:top w:val="single" w:sz="4" w:space="0" w:color="000000"/>
            </w:tcBorders>
          </w:tcPr>
          <w:p>
            <w:pPr>
              <w:pStyle w:val="TableParagraph"/>
              <w:rPr>
                <w:rFonts w:ascii="Times New Roman"/>
                <w:sz w:val="18"/>
              </w:rPr>
            </w:pPr>
          </w:p>
        </w:tc>
        <w:tc>
          <w:tcPr>
            <w:tcW w:w="946" w:type="dxa"/>
            <w:tcBorders>
              <w:top w:val="single" w:sz="4" w:space="0" w:color="000000"/>
            </w:tcBorders>
          </w:tcPr>
          <w:p>
            <w:pPr>
              <w:pStyle w:val="TableParagraph"/>
              <w:rPr>
                <w:rFonts w:ascii="Times New Roman"/>
                <w:sz w:val="18"/>
              </w:rPr>
            </w:pPr>
          </w:p>
        </w:tc>
        <w:tc>
          <w:tcPr>
            <w:tcW w:w="1100" w:type="dxa"/>
            <w:tcBorders>
              <w:top w:val="single" w:sz="4" w:space="0" w:color="000000"/>
            </w:tcBorders>
          </w:tcPr>
          <w:p>
            <w:pPr>
              <w:pStyle w:val="TableParagraph"/>
              <w:rPr>
                <w:rFonts w:ascii="Times New Roman"/>
                <w:sz w:val="18"/>
              </w:rPr>
            </w:pPr>
          </w:p>
        </w:tc>
        <w:tc>
          <w:tcPr>
            <w:tcW w:w="1101" w:type="dxa"/>
            <w:tcBorders>
              <w:top w:val="single" w:sz="4" w:space="0" w:color="000000"/>
            </w:tcBorders>
          </w:tcPr>
          <w:p>
            <w:pPr>
              <w:pStyle w:val="TableParagraph"/>
              <w:rPr>
                <w:rFonts w:ascii="Times New Roman"/>
                <w:sz w:val="18"/>
              </w:rPr>
            </w:pPr>
          </w:p>
        </w:tc>
        <w:tc>
          <w:tcPr>
            <w:tcW w:w="1197" w:type="dxa"/>
            <w:tcBorders>
              <w:top w:val="single" w:sz="4" w:space="0" w:color="000000"/>
            </w:tcBorders>
          </w:tcPr>
          <w:p>
            <w:pPr>
              <w:pStyle w:val="TableParagraph"/>
              <w:rPr>
                <w:rFonts w:ascii="Times New Roman"/>
                <w:sz w:val="18"/>
              </w:rPr>
            </w:pPr>
          </w:p>
        </w:tc>
        <w:tc>
          <w:tcPr>
            <w:tcW w:w="811" w:type="dxa"/>
            <w:tcBorders>
              <w:top w:val="single" w:sz="4" w:space="0" w:color="000000"/>
              <w:right w:val="single" w:sz="4" w:space="0" w:color="000000"/>
            </w:tcBorders>
          </w:tcPr>
          <w:p>
            <w:pPr>
              <w:pStyle w:val="TableParagraph"/>
              <w:spacing w:before="123"/>
              <w:ind w:right="239"/>
              <w:jc w:val="right"/>
              <w:rPr>
                <w:b/>
                <w:sz w:val="16"/>
              </w:rPr>
            </w:pPr>
            <w:r>
              <w:rPr>
                <w:b/>
                <w:w w:val="103"/>
                <w:sz w:val="16"/>
              </w:rPr>
              <w:t>6</w:t>
            </w:r>
          </w:p>
        </w:tc>
      </w:tr>
      <w:tr>
        <w:trPr>
          <w:trHeight w:val="473" w:hRule="atLeast"/>
        </w:trPr>
        <w:tc>
          <w:tcPr>
            <w:tcW w:w="913" w:type="dxa"/>
            <w:tcBorders>
              <w:left w:val="single" w:sz="4" w:space="0" w:color="000000"/>
            </w:tcBorders>
          </w:tcPr>
          <w:p>
            <w:pPr>
              <w:pStyle w:val="TableParagraph"/>
              <w:rPr>
                <w:rFonts w:ascii="Times New Roman"/>
                <w:sz w:val="18"/>
              </w:rPr>
            </w:pPr>
          </w:p>
        </w:tc>
        <w:tc>
          <w:tcPr>
            <w:tcW w:w="1303" w:type="dxa"/>
          </w:tcPr>
          <w:p>
            <w:pPr>
              <w:pStyle w:val="TableParagraph"/>
              <w:rPr>
                <w:rFonts w:ascii="Times New Roman"/>
                <w:sz w:val="18"/>
              </w:rPr>
            </w:pPr>
          </w:p>
        </w:tc>
        <w:tc>
          <w:tcPr>
            <w:tcW w:w="946" w:type="dxa"/>
          </w:tcPr>
          <w:p>
            <w:pPr>
              <w:pStyle w:val="TableParagraph"/>
              <w:rPr>
                <w:rFonts w:ascii="Times New Roman"/>
                <w:sz w:val="18"/>
              </w:rPr>
            </w:pPr>
          </w:p>
        </w:tc>
        <w:tc>
          <w:tcPr>
            <w:tcW w:w="1100" w:type="dxa"/>
          </w:tcPr>
          <w:p>
            <w:pPr>
              <w:pStyle w:val="TableParagraph"/>
              <w:rPr>
                <w:rFonts w:ascii="Times New Roman"/>
                <w:sz w:val="18"/>
              </w:rPr>
            </w:pPr>
          </w:p>
        </w:tc>
        <w:tc>
          <w:tcPr>
            <w:tcW w:w="1101" w:type="dxa"/>
          </w:tcPr>
          <w:p>
            <w:pPr>
              <w:pStyle w:val="TableParagraph"/>
              <w:rPr>
                <w:rFonts w:ascii="Times New Roman"/>
                <w:sz w:val="18"/>
              </w:rPr>
            </w:pPr>
          </w:p>
        </w:tc>
        <w:tc>
          <w:tcPr>
            <w:tcW w:w="1197" w:type="dxa"/>
          </w:tcPr>
          <w:p>
            <w:pPr>
              <w:pStyle w:val="TableParagraph"/>
              <w:rPr>
                <w:rFonts w:ascii="Times New Roman"/>
                <w:sz w:val="18"/>
              </w:rPr>
            </w:pPr>
          </w:p>
        </w:tc>
        <w:tc>
          <w:tcPr>
            <w:tcW w:w="811" w:type="dxa"/>
            <w:tcBorders>
              <w:right w:val="single" w:sz="4" w:space="0" w:color="000000"/>
            </w:tcBorders>
          </w:tcPr>
          <w:p>
            <w:pPr>
              <w:pStyle w:val="TableParagraph"/>
              <w:spacing w:before="144"/>
              <w:ind w:right="239"/>
              <w:jc w:val="right"/>
              <w:rPr>
                <w:b/>
                <w:sz w:val="16"/>
              </w:rPr>
            </w:pPr>
            <w:r>
              <w:rPr>
                <w:b/>
                <w:w w:val="103"/>
                <w:sz w:val="16"/>
              </w:rPr>
              <w:t>4</w:t>
            </w:r>
          </w:p>
        </w:tc>
      </w:tr>
      <w:tr>
        <w:trPr>
          <w:trHeight w:val="473" w:hRule="atLeast"/>
        </w:trPr>
        <w:tc>
          <w:tcPr>
            <w:tcW w:w="913" w:type="dxa"/>
            <w:tcBorders>
              <w:left w:val="single" w:sz="4" w:space="0" w:color="000000"/>
            </w:tcBorders>
          </w:tcPr>
          <w:p>
            <w:pPr>
              <w:pStyle w:val="TableParagraph"/>
              <w:rPr>
                <w:rFonts w:ascii="Times New Roman"/>
                <w:sz w:val="18"/>
              </w:rPr>
            </w:pPr>
          </w:p>
        </w:tc>
        <w:tc>
          <w:tcPr>
            <w:tcW w:w="1303" w:type="dxa"/>
          </w:tcPr>
          <w:p>
            <w:pPr>
              <w:pStyle w:val="TableParagraph"/>
              <w:rPr>
                <w:rFonts w:ascii="Times New Roman"/>
                <w:sz w:val="18"/>
              </w:rPr>
            </w:pPr>
          </w:p>
        </w:tc>
        <w:tc>
          <w:tcPr>
            <w:tcW w:w="946" w:type="dxa"/>
          </w:tcPr>
          <w:p>
            <w:pPr>
              <w:pStyle w:val="TableParagraph"/>
              <w:rPr>
                <w:rFonts w:ascii="Times New Roman"/>
                <w:sz w:val="18"/>
              </w:rPr>
            </w:pPr>
          </w:p>
        </w:tc>
        <w:tc>
          <w:tcPr>
            <w:tcW w:w="1100" w:type="dxa"/>
          </w:tcPr>
          <w:p>
            <w:pPr>
              <w:pStyle w:val="TableParagraph"/>
              <w:rPr>
                <w:rFonts w:ascii="Times New Roman"/>
                <w:sz w:val="18"/>
              </w:rPr>
            </w:pPr>
          </w:p>
        </w:tc>
        <w:tc>
          <w:tcPr>
            <w:tcW w:w="1101" w:type="dxa"/>
          </w:tcPr>
          <w:p>
            <w:pPr>
              <w:pStyle w:val="TableParagraph"/>
              <w:rPr>
                <w:rFonts w:ascii="Times New Roman"/>
                <w:sz w:val="18"/>
              </w:rPr>
            </w:pPr>
          </w:p>
        </w:tc>
        <w:tc>
          <w:tcPr>
            <w:tcW w:w="1197" w:type="dxa"/>
          </w:tcPr>
          <w:p>
            <w:pPr>
              <w:pStyle w:val="TableParagraph"/>
              <w:rPr>
                <w:rFonts w:ascii="Times New Roman"/>
                <w:sz w:val="18"/>
              </w:rPr>
            </w:pPr>
          </w:p>
        </w:tc>
        <w:tc>
          <w:tcPr>
            <w:tcW w:w="811" w:type="dxa"/>
            <w:tcBorders>
              <w:right w:val="single" w:sz="4" w:space="0" w:color="000000"/>
            </w:tcBorders>
          </w:tcPr>
          <w:p>
            <w:pPr>
              <w:pStyle w:val="TableParagraph"/>
              <w:spacing w:before="143"/>
              <w:ind w:right="239"/>
              <w:jc w:val="right"/>
              <w:rPr>
                <w:b/>
                <w:sz w:val="16"/>
              </w:rPr>
            </w:pPr>
            <w:r>
              <w:rPr>
                <w:b/>
                <w:w w:val="103"/>
                <w:sz w:val="16"/>
              </w:rPr>
              <w:t>2</w:t>
            </w:r>
          </w:p>
        </w:tc>
      </w:tr>
      <w:tr>
        <w:trPr>
          <w:trHeight w:val="473" w:hRule="atLeast"/>
        </w:trPr>
        <w:tc>
          <w:tcPr>
            <w:tcW w:w="913" w:type="dxa"/>
            <w:tcBorders>
              <w:left w:val="single" w:sz="4" w:space="0" w:color="000000"/>
            </w:tcBorders>
          </w:tcPr>
          <w:p>
            <w:pPr>
              <w:pStyle w:val="TableParagraph"/>
              <w:rPr>
                <w:rFonts w:ascii="Times New Roman"/>
                <w:sz w:val="18"/>
              </w:rPr>
            </w:pPr>
          </w:p>
        </w:tc>
        <w:tc>
          <w:tcPr>
            <w:tcW w:w="1303" w:type="dxa"/>
          </w:tcPr>
          <w:p>
            <w:pPr>
              <w:pStyle w:val="TableParagraph"/>
              <w:rPr>
                <w:rFonts w:ascii="Times New Roman"/>
                <w:sz w:val="18"/>
              </w:rPr>
            </w:pPr>
          </w:p>
        </w:tc>
        <w:tc>
          <w:tcPr>
            <w:tcW w:w="946" w:type="dxa"/>
          </w:tcPr>
          <w:p>
            <w:pPr>
              <w:pStyle w:val="TableParagraph"/>
              <w:rPr>
                <w:rFonts w:ascii="Times New Roman"/>
                <w:sz w:val="18"/>
              </w:rPr>
            </w:pPr>
          </w:p>
        </w:tc>
        <w:tc>
          <w:tcPr>
            <w:tcW w:w="1100" w:type="dxa"/>
          </w:tcPr>
          <w:p>
            <w:pPr>
              <w:pStyle w:val="TableParagraph"/>
              <w:rPr>
                <w:rFonts w:ascii="Times New Roman"/>
                <w:sz w:val="18"/>
              </w:rPr>
            </w:pPr>
          </w:p>
        </w:tc>
        <w:tc>
          <w:tcPr>
            <w:tcW w:w="1101" w:type="dxa"/>
          </w:tcPr>
          <w:p>
            <w:pPr>
              <w:pStyle w:val="TableParagraph"/>
              <w:rPr>
                <w:rFonts w:ascii="Times New Roman"/>
                <w:sz w:val="18"/>
              </w:rPr>
            </w:pPr>
          </w:p>
        </w:tc>
        <w:tc>
          <w:tcPr>
            <w:tcW w:w="1197" w:type="dxa"/>
          </w:tcPr>
          <w:p>
            <w:pPr>
              <w:pStyle w:val="TableParagraph"/>
              <w:rPr>
                <w:rFonts w:ascii="Times New Roman"/>
                <w:sz w:val="18"/>
              </w:rPr>
            </w:pPr>
          </w:p>
        </w:tc>
        <w:tc>
          <w:tcPr>
            <w:tcW w:w="811" w:type="dxa"/>
            <w:tcBorders>
              <w:right w:val="single" w:sz="4" w:space="0" w:color="000000"/>
            </w:tcBorders>
          </w:tcPr>
          <w:p>
            <w:pPr>
              <w:pStyle w:val="TableParagraph"/>
              <w:spacing w:before="144"/>
              <w:ind w:right="239"/>
              <w:jc w:val="right"/>
              <w:rPr>
                <w:b/>
                <w:sz w:val="16"/>
              </w:rPr>
            </w:pPr>
            <w:r>
              <w:rPr>
                <w:b/>
                <w:w w:val="103"/>
                <w:sz w:val="16"/>
              </w:rPr>
              <w:t>0</w:t>
            </w:r>
          </w:p>
        </w:tc>
      </w:tr>
      <w:tr>
        <w:trPr>
          <w:trHeight w:val="301" w:hRule="atLeast"/>
        </w:trPr>
        <w:tc>
          <w:tcPr>
            <w:tcW w:w="913" w:type="dxa"/>
            <w:tcBorders>
              <w:left w:val="single" w:sz="4" w:space="0" w:color="000000"/>
            </w:tcBorders>
          </w:tcPr>
          <w:p>
            <w:pPr>
              <w:pStyle w:val="TableParagraph"/>
              <w:rPr>
                <w:rFonts w:ascii="Times New Roman"/>
                <w:sz w:val="18"/>
              </w:rPr>
            </w:pPr>
          </w:p>
        </w:tc>
        <w:tc>
          <w:tcPr>
            <w:tcW w:w="1303" w:type="dxa"/>
          </w:tcPr>
          <w:p>
            <w:pPr>
              <w:pStyle w:val="TableParagraph"/>
              <w:rPr>
                <w:rFonts w:ascii="Times New Roman"/>
                <w:sz w:val="18"/>
              </w:rPr>
            </w:pPr>
          </w:p>
        </w:tc>
        <w:tc>
          <w:tcPr>
            <w:tcW w:w="946" w:type="dxa"/>
          </w:tcPr>
          <w:p>
            <w:pPr>
              <w:pStyle w:val="TableParagraph"/>
              <w:rPr>
                <w:rFonts w:ascii="Times New Roman"/>
                <w:sz w:val="18"/>
              </w:rPr>
            </w:pPr>
          </w:p>
        </w:tc>
        <w:tc>
          <w:tcPr>
            <w:tcW w:w="1100" w:type="dxa"/>
          </w:tcPr>
          <w:p>
            <w:pPr>
              <w:pStyle w:val="TableParagraph"/>
              <w:rPr>
                <w:rFonts w:ascii="Times New Roman"/>
                <w:sz w:val="18"/>
              </w:rPr>
            </w:pPr>
          </w:p>
        </w:tc>
        <w:tc>
          <w:tcPr>
            <w:tcW w:w="1101" w:type="dxa"/>
          </w:tcPr>
          <w:p>
            <w:pPr>
              <w:pStyle w:val="TableParagraph"/>
              <w:rPr>
                <w:rFonts w:ascii="Times New Roman"/>
                <w:sz w:val="18"/>
              </w:rPr>
            </w:pPr>
          </w:p>
        </w:tc>
        <w:tc>
          <w:tcPr>
            <w:tcW w:w="1197" w:type="dxa"/>
          </w:tcPr>
          <w:p>
            <w:pPr>
              <w:pStyle w:val="TableParagraph"/>
              <w:rPr>
                <w:rFonts w:ascii="Times New Roman"/>
                <w:sz w:val="18"/>
              </w:rPr>
            </w:pPr>
          </w:p>
        </w:tc>
        <w:tc>
          <w:tcPr>
            <w:tcW w:w="811" w:type="dxa"/>
            <w:tcBorders>
              <w:right w:val="single" w:sz="4" w:space="0" w:color="000000"/>
            </w:tcBorders>
          </w:tcPr>
          <w:p>
            <w:pPr>
              <w:pStyle w:val="TableParagraph"/>
              <w:spacing w:line="138" w:lineRule="exact" w:before="143"/>
              <w:ind w:right="176"/>
              <w:jc w:val="right"/>
              <w:rPr>
                <w:b/>
                <w:sz w:val="16"/>
              </w:rPr>
            </w:pPr>
            <w:r>
              <w:rPr>
                <w:b/>
                <w:sz w:val="16"/>
              </w:rPr>
              <w:t>-2</w:t>
            </w:r>
          </w:p>
        </w:tc>
      </w:tr>
      <w:tr>
        <w:trPr>
          <w:trHeight w:val="212" w:hRule="atLeast"/>
        </w:trPr>
        <w:tc>
          <w:tcPr>
            <w:tcW w:w="913" w:type="dxa"/>
            <w:tcBorders>
              <w:left w:val="single" w:sz="4" w:space="0" w:color="000000"/>
            </w:tcBorders>
          </w:tcPr>
          <w:p>
            <w:pPr>
              <w:pStyle w:val="TableParagraph"/>
              <w:rPr>
                <w:rFonts w:ascii="Times New Roman"/>
                <w:sz w:val="14"/>
              </w:rPr>
            </w:pPr>
          </w:p>
        </w:tc>
        <w:tc>
          <w:tcPr>
            <w:tcW w:w="1303" w:type="dxa"/>
          </w:tcPr>
          <w:p>
            <w:pPr>
              <w:pStyle w:val="TableParagraph"/>
              <w:spacing w:line="156" w:lineRule="exact"/>
              <w:ind w:left="326"/>
              <w:rPr>
                <w:b/>
                <w:sz w:val="16"/>
              </w:rPr>
            </w:pPr>
            <w:r>
              <w:rPr>
                <w:b/>
                <w:w w:val="105"/>
                <w:sz w:val="16"/>
              </w:rPr>
              <w:t>UK</w:t>
            </w:r>
          </w:p>
        </w:tc>
        <w:tc>
          <w:tcPr>
            <w:tcW w:w="946" w:type="dxa"/>
          </w:tcPr>
          <w:p>
            <w:pPr>
              <w:pStyle w:val="TableParagraph"/>
              <w:rPr>
                <w:rFonts w:ascii="Times New Roman"/>
                <w:sz w:val="14"/>
              </w:rPr>
            </w:pPr>
          </w:p>
        </w:tc>
        <w:tc>
          <w:tcPr>
            <w:tcW w:w="1100" w:type="dxa"/>
          </w:tcPr>
          <w:p>
            <w:pPr>
              <w:pStyle w:val="TableParagraph"/>
              <w:rPr>
                <w:rFonts w:ascii="Times New Roman"/>
                <w:sz w:val="14"/>
              </w:rPr>
            </w:pPr>
          </w:p>
        </w:tc>
        <w:tc>
          <w:tcPr>
            <w:tcW w:w="1101" w:type="dxa"/>
          </w:tcPr>
          <w:p>
            <w:pPr>
              <w:pStyle w:val="TableParagraph"/>
              <w:rPr>
                <w:rFonts w:ascii="Times New Roman"/>
                <w:sz w:val="14"/>
              </w:rPr>
            </w:pPr>
          </w:p>
        </w:tc>
        <w:tc>
          <w:tcPr>
            <w:tcW w:w="1197" w:type="dxa"/>
          </w:tcPr>
          <w:p>
            <w:pPr>
              <w:pStyle w:val="TableParagraph"/>
              <w:rPr>
                <w:rFonts w:ascii="Times New Roman"/>
                <w:sz w:val="14"/>
              </w:rPr>
            </w:pPr>
          </w:p>
        </w:tc>
        <w:tc>
          <w:tcPr>
            <w:tcW w:w="811" w:type="dxa"/>
            <w:tcBorders>
              <w:right w:val="single" w:sz="4" w:space="0" w:color="000000"/>
            </w:tcBorders>
          </w:tcPr>
          <w:p>
            <w:pPr>
              <w:pStyle w:val="TableParagraph"/>
              <w:rPr>
                <w:rFonts w:ascii="Times New Roman"/>
                <w:sz w:val="14"/>
              </w:rPr>
            </w:pPr>
          </w:p>
        </w:tc>
      </w:tr>
      <w:tr>
        <w:trPr>
          <w:trHeight w:val="321" w:hRule="atLeast"/>
        </w:trPr>
        <w:tc>
          <w:tcPr>
            <w:tcW w:w="913" w:type="dxa"/>
            <w:tcBorders>
              <w:left w:val="single" w:sz="4" w:space="0" w:color="000000"/>
            </w:tcBorders>
          </w:tcPr>
          <w:p>
            <w:pPr>
              <w:pStyle w:val="TableParagraph"/>
              <w:rPr>
                <w:rFonts w:ascii="Times New Roman"/>
                <w:sz w:val="18"/>
              </w:rPr>
            </w:pPr>
          </w:p>
        </w:tc>
        <w:tc>
          <w:tcPr>
            <w:tcW w:w="1303" w:type="dxa"/>
          </w:tcPr>
          <w:p>
            <w:pPr>
              <w:pStyle w:val="TableParagraph"/>
              <w:spacing w:before="55"/>
              <w:ind w:left="326"/>
              <w:rPr>
                <w:b/>
                <w:sz w:val="16"/>
              </w:rPr>
            </w:pPr>
            <w:r>
              <w:rPr>
                <w:b/>
                <w:w w:val="105"/>
                <w:sz w:val="16"/>
              </w:rPr>
              <w:t>US</w:t>
            </w:r>
          </w:p>
        </w:tc>
        <w:tc>
          <w:tcPr>
            <w:tcW w:w="946" w:type="dxa"/>
          </w:tcPr>
          <w:p>
            <w:pPr>
              <w:pStyle w:val="TableParagraph"/>
              <w:rPr>
                <w:rFonts w:ascii="Times New Roman"/>
                <w:sz w:val="18"/>
              </w:rPr>
            </w:pPr>
          </w:p>
        </w:tc>
        <w:tc>
          <w:tcPr>
            <w:tcW w:w="1100" w:type="dxa"/>
          </w:tcPr>
          <w:p>
            <w:pPr>
              <w:pStyle w:val="TableParagraph"/>
              <w:rPr>
                <w:rFonts w:ascii="Times New Roman"/>
                <w:sz w:val="18"/>
              </w:rPr>
            </w:pPr>
          </w:p>
        </w:tc>
        <w:tc>
          <w:tcPr>
            <w:tcW w:w="1101" w:type="dxa"/>
          </w:tcPr>
          <w:p>
            <w:pPr>
              <w:pStyle w:val="TableParagraph"/>
              <w:rPr>
                <w:rFonts w:ascii="Times New Roman"/>
                <w:sz w:val="18"/>
              </w:rPr>
            </w:pPr>
          </w:p>
        </w:tc>
        <w:tc>
          <w:tcPr>
            <w:tcW w:w="1197" w:type="dxa"/>
          </w:tcPr>
          <w:p>
            <w:pPr>
              <w:pStyle w:val="TableParagraph"/>
              <w:rPr>
                <w:rFonts w:ascii="Times New Roman"/>
                <w:sz w:val="18"/>
              </w:rPr>
            </w:pPr>
          </w:p>
        </w:tc>
        <w:tc>
          <w:tcPr>
            <w:tcW w:w="811" w:type="dxa"/>
            <w:tcBorders>
              <w:right w:val="single" w:sz="4" w:space="0" w:color="000000"/>
            </w:tcBorders>
          </w:tcPr>
          <w:p>
            <w:pPr>
              <w:pStyle w:val="TableParagraph"/>
              <w:spacing w:before="103"/>
              <w:ind w:right="176"/>
              <w:jc w:val="right"/>
              <w:rPr>
                <w:b/>
                <w:sz w:val="16"/>
              </w:rPr>
            </w:pPr>
            <w:r>
              <w:rPr>
                <w:b/>
                <w:sz w:val="16"/>
              </w:rPr>
              <w:t>-4</w:t>
            </w:r>
          </w:p>
        </w:tc>
      </w:tr>
      <w:tr>
        <w:trPr>
          <w:trHeight w:val="236" w:hRule="atLeast"/>
        </w:trPr>
        <w:tc>
          <w:tcPr>
            <w:tcW w:w="913" w:type="dxa"/>
            <w:tcBorders>
              <w:left w:val="single" w:sz="4" w:space="0" w:color="000000"/>
            </w:tcBorders>
          </w:tcPr>
          <w:p>
            <w:pPr>
              <w:pStyle w:val="TableParagraph"/>
              <w:rPr>
                <w:rFonts w:ascii="Times New Roman"/>
                <w:sz w:val="16"/>
              </w:rPr>
            </w:pPr>
          </w:p>
        </w:tc>
        <w:tc>
          <w:tcPr>
            <w:tcW w:w="1303" w:type="dxa"/>
          </w:tcPr>
          <w:p>
            <w:pPr>
              <w:pStyle w:val="TableParagraph"/>
              <w:spacing w:before="32"/>
              <w:ind w:left="326"/>
              <w:rPr>
                <w:b/>
                <w:sz w:val="16"/>
              </w:rPr>
            </w:pPr>
            <w:r>
              <w:rPr>
                <w:b/>
                <w:w w:val="105"/>
                <w:sz w:val="16"/>
              </w:rPr>
              <w:t>Euro-area</w:t>
            </w:r>
          </w:p>
        </w:tc>
        <w:tc>
          <w:tcPr>
            <w:tcW w:w="946" w:type="dxa"/>
          </w:tcPr>
          <w:p>
            <w:pPr>
              <w:pStyle w:val="TableParagraph"/>
              <w:rPr>
                <w:rFonts w:ascii="Times New Roman"/>
                <w:sz w:val="16"/>
              </w:rPr>
            </w:pPr>
          </w:p>
        </w:tc>
        <w:tc>
          <w:tcPr>
            <w:tcW w:w="1100" w:type="dxa"/>
          </w:tcPr>
          <w:p>
            <w:pPr>
              <w:pStyle w:val="TableParagraph"/>
              <w:rPr>
                <w:rFonts w:ascii="Times New Roman"/>
                <w:sz w:val="16"/>
              </w:rPr>
            </w:pPr>
          </w:p>
        </w:tc>
        <w:tc>
          <w:tcPr>
            <w:tcW w:w="1101" w:type="dxa"/>
          </w:tcPr>
          <w:p>
            <w:pPr>
              <w:pStyle w:val="TableParagraph"/>
              <w:rPr>
                <w:rFonts w:ascii="Times New Roman"/>
                <w:sz w:val="16"/>
              </w:rPr>
            </w:pPr>
          </w:p>
        </w:tc>
        <w:tc>
          <w:tcPr>
            <w:tcW w:w="1197" w:type="dxa"/>
          </w:tcPr>
          <w:p>
            <w:pPr>
              <w:pStyle w:val="TableParagraph"/>
              <w:rPr>
                <w:rFonts w:ascii="Times New Roman"/>
                <w:sz w:val="16"/>
              </w:rPr>
            </w:pPr>
          </w:p>
        </w:tc>
        <w:tc>
          <w:tcPr>
            <w:tcW w:w="811" w:type="dxa"/>
            <w:tcBorders>
              <w:right w:val="single" w:sz="4" w:space="0" w:color="000000"/>
            </w:tcBorders>
          </w:tcPr>
          <w:p>
            <w:pPr>
              <w:pStyle w:val="TableParagraph"/>
              <w:rPr>
                <w:rFonts w:ascii="Times New Roman"/>
                <w:sz w:val="16"/>
              </w:rPr>
            </w:pPr>
          </w:p>
        </w:tc>
      </w:tr>
      <w:tr>
        <w:trPr>
          <w:trHeight w:val="348" w:hRule="atLeast"/>
        </w:trPr>
        <w:tc>
          <w:tcPr>
            <w:tcW w:w="913" w:type="dxa"/>
            <w:tcBorders>
              <w:left w:val="single" w:sz="4" w:space="0" w:color="000000"/>
            </w:tcBorders>
          </w:tcPr>
          <w:p>
            <w:pPr>
              <w:pStyle w:val="TableParagraph"/>
              <w:rPr>
                <w:rFonts w:ascii="Times New Roman"/>
                <w:sz w:val="18"/>
              </w:rPr>
            </w:pPr>
          </w:p>
        </w:tc>
        <w:tc>
          <w:tcPr>
            <w:tcW w:w="1303" w:type="dxa"/>
          </w:tcPr>
          <w:p>
            <w:pPr>
              <w:pStyle w:val="TableParagraph"/>
              <w:rPr>
                <w:rFonts w:ascii="Times New Roman"/>
                <w:sz w:val="18"/>
              </w:rPr>
            </w:pPr>
          </w:p>
        </w:tc>
        <w:tc>
          <w:tcPr>
            <w:tcW w:w="946" w:type="dxa"/>
          </w:tcPr>
          <w:p>
            <w:pPr>
              <w:pStyle w:val="TableParagraph"/>
              <w:rPr>
                <w:rFonts w:ascii="Times New Roman"/>
                <w:sz w:val="18"/>
              </w:rPr>
            </w:pPr>
          </w:p>
        </w:tc>
        <w:tc>
          <w:tcPr>
            <w:tcW w:w="1100" w:type="dxa"/>
          </w:tcPr>
          <w:p>
            <w:pPr>
              <w:pStyle w:val="TableParagraph"/>
              <w:rPr>
                <w:rFonts w:ascii="Times New Roman"/>
                <w:sz w:val="18"/>
              </w:rPr>
            </w:pPr>
          </w:p>
        </w:tc>
        <w:tc>
          <w:tcPr>
            <w:tcW w:w="1101" w:type="dxa"/>
          </w:tcPr>
          <w:p>
            <w:pPr>
              <w:pStyle w:val="TableParagraph"/>
              <w:rPr>
                <w:rFonts w:ascii="Times New Roman"/>
                <w:sz w:val="18"/>
              </w:rPr>
            </w:pPr>
          </w:p>
        </w:tc>
        <w:tc>
          <w:tcPr>
            <w:tcW w:w="1197" w:type="dxa"/>
          </w:tcPr>
          <w:p>
            <w:pPr>
              <w:pStyle w:val="TableParagraph"/>
              <w:rPr>
                <w:rFonts w:ascii="Times New Roman"/>
                <w:sz w:val="18"/>
              </w:rPr>
            </w:pPr>
          </w:p>
        </w:tc>
        <w:tc>
          <w:tcPr>
            <w:tcW w:w="811" w:type="dxa"/>
            <w:tcBorders>
              <w:right w:val="single" w:sz="4" w:space="0" w:color="000000"/>
            </w:tcBorders>
          </w:tcPr>
          <w:p>
            <w:pPr>
              <w:pStyle w:val="TableParagraph"/>
              <w:spacing w:before="18"/>
              <w:ind w:right="176"/>
              <w:jc w:val="right"/>
              <w:rPr>
                <w:b/>
                <w:sz w:val="16"/>
              </w:rPr>
            </w:pPr>
            <w:r>
              <w:rPr>
                <w:b/>
                <w:sz w:val="16"/>
              </w:rPr>
              <w:t>-6</w:t>
            </w:r>
          </w:p>
        </w:tc>
      </w:tr>
      <w:tr>
        <w:trPr>
          <w:trHeight w:val="339" w:hRule="atLeast"/>
        </w:trPr>
        <w:tc>
          <w:tcPr>
            <w:tcW w:w="913" w:type="dxa"/>
            <w:tcBorders>
              <w:left w:val="single" w:sz="4" w:space="0" w:color="000000"/>
            </w:tcBorders>
          </w:tcPr>
          <w:p>
            <w:pPr>
              <w:pStyle w:val="TableParagraph"/>
              <w:rPr>
                <w:rFonts w:ascii="Times New Roman"/>
                <w:sz w:val="18"/>
              </w:rPr>
            </w:pPr>
          </w:p>
        </w:tc>
        <w:tc>
          <w:tcPr>
            <w:tcW w:w="1303" w:type="dxa"/>
          </w:tcPr>
          <w:p>
            <w:pPr>
              <w:pStyle w:val="TableParagraph"/>
              <w:rPr>
                <w:rFonts w:ascii="Times New Roman"/>
                <w:sz w:val="18"/>
              </w:rPr>
            </w:pPr>
          </w:p>
        </w:tc>
        <w:tc>
          <w:tcPr>
            <w:tcW w:w="946" w:type="dxa"/>
          </w:tcPr>
          <w:p>
            <w:pPr>
              <w:pStyle w:val="TableParagraph"/>
              <w:rPr>
                <w:rFonts w:ascii="Times New Roman"/>
                <w:sz w:val="18"/>
              </w:rPr>
            </w:pPr>
          </w:p>
        </w:tc>
        <w:tc>
          <w:tcPr>
            <w:tcW w:w="1100" w:type="dxa"/>
          </w:tcPr>
          <w:p>
            <w:pPr>
              <w:pStyle w:val="TableParagraph"/>
              <w:rPr>
                <w:rFonts w:ascii="Times New Roman"/>
                <w:sz w:val="18"/>
              </w:rPr>
            </w:pPr>
          </w:p>
        </w:tc>
        <w:tc>
          <w:tcPr>
            <w:tcW w:w="1101" w:type="dxa"/>
          </w:tcPr>
          <w:p>
            <w:pPr>
              <w:pStyle w:val="TableParagraph"/>
              <w:rPr>
                <w:rFonts w:ascii="Times New Roman"/>
                <w:sz w:val="18"/>
              </w:rPr>
            </w:pPr>
          </w:p>
        </w:tc>
        <w:tc>
          <w:tcPr>
            <w:tcW w:w="1197" w:type="dxa"/>
          </w:tcPr>
          <w:p>
            <w:pPr>
              <w:pStyle w:val="TableParagraph"/>
              <w:rPr>
                <w:rFonts w:ascii="Times New Roman"/>
                <w:sz w:val="18"/>
              </w:rPr>
            </w:pPr>
          </w:p>
        </w:tc>
        <w:tc>
          <w:tcPr>
            <w:tcW w:w="811" w:type="dxa"/>
            <w:tcBorders>
              <w:right w:val="single" w:sz="4" w:space="0" w:color="000000"/>
            </w:tcBorders>
          </w:tcPr>
          <w:p>
            <w:pPr>
              <w:pStyle w:val="TableParagraph"/>
              <w:spacing w:line="175" w:lineRule="exact" w:before="144"/>
              <w:ind w:right="176"/>
              <w:jc w:val="right"/>
              <w:rPr>
                <w:b/>
                <w:sz w:val="16"/>
              </w:rPr>
            </w:pPr>
            <w:r>
              <w:rPr>
                <w:b/>
                <w:sz w:val="16"/>
              </w:rPr>
              <w:t>-8</w:t>
            </w:r>
          </w:p>
        </w:tc>
      </w:tr>
      <w:tr>
        <w:trPr>
          <w:trHeight w:val="487" w:hRule="atLeast"/>
        </w:trPr>
        <w:tc>
          <w:tcPr>
            <w:tcW w:w="913" w:type="dxa"/>
            <w:tcBorders>
              <w:left w:val="single" w:sz="4" w:space="0" w:color="000000"/>
              <w:bottom w:val="single" w:sz="4" w:space="0" w:color="000000"/>
            </w:tcBorders>
          </w:tcPr>
          <w:p>
            <w:pPr>
              <w:pStyle w:val="TableParagraph"/>
              <w:spacing w:before="9"/>
              <w:ind w:left="230"/>
              <w:rPr>
                <w:b/>
                <w:sz w:val="16"/>
              </w:rPr>
            </w:pPr>
            <w:r>
              <w:rPr>
                <w:b/>
                <w:w w:val="105"/>
                <w:sz w:val="16"/>
              </w:rPr>
              <w:t>2005</w:t>
            </w:r>
          </w:p>
        </w:tc>
        <w:tc>
          <w:tcPr>
            <w:tcW w:w="1303" w:type="dxa"/>
            <w:tcBorders>
              <w:bottom w:val="single" w:sz="4" w:space="0" w:color="000000"/>
            </w:tcBorders>
          </w:tcPr>
          <w:p>
            <w:pPr>
              <w:pStyle w:val="TableParagraph"/>
              <w:spacing w:before="9"/>
              <w:ind w:left="422"/>
              <w:rPr>
                <w:b/>
                <w:sz w:val="16"/>
              </w:rPr>
            </w:pPr>
            <w:r>
              <w:rPr>
                <w:b/>
                <w:w w:val="105"/>
                <w:sz w:val="16"/>
              </w:rPr>
              <w:t>2006</w:t>
            </w:r>
          </w:p>
        </w:tc>
        <w:tc>
          <w:tcPr>
            <w:tcW w:w="946" w:type="dxa"/>
            <w:tcBorders>
              <w:bottom w:val="single" w:sz="4" w:space="0" w:color="000000"/>
            </w:tcBorders>
          </w:tcPr>
          <w:p>
            <w:pPr>
              <w:pStyle w:val="TableParagraph"/>
              <w:spacing w:before="9"/>
              <w:ind w:left="220"/>
              <w:rPr>
                <w:b/>
                <w:sz w:val="16"/>
              </w:rPr>
            </w:pPr>
            <w:r>
              <w:rPr>
                <w:b/>
                <w:w w:val="105"/>
                <w:sz w:val="16"/>
              </w:rPr>
              <w:t>2007</w:t>
            </w:r>
          </w:p>
        </w:tc>
        <w:tc>
          <w:tcPr>
            <w:tcW w:w="1100" w:type="dxa"/>
            <w:tcBorders>
              <w:bottom w:val="single" w:sz="4" w:space="0" w:color="000000"/>
            </w:tcBorders>
          </w:tcPr>
          <w:p>
            <w:pPr>
              <w:pStyle w:val="TableParagraph"/>
              <w:spacing w:before="9"/>
              <w:ind w:left="375"/>
              <w:rPr>
                <w:b/>
                <w:sz w:val="16"/>
              </w:rPr>
            </w:pPr>
            <w:r>
              <w:rPr>
                <w:b/>
                <w:w w:val="105"/>
                <w:sz w:val="16"/>
              </w:rPr>
              <w:t>2008</w:t>
            </w:r>
          </w:p>
        </w:tc>
        <w:tc>
          <w:tcPr>
            <w:tcW w:w="1101" w:type="dxa"/>
            <w:tcBorders>
              <w:bottom w:val="single" w:sz="4" w:space="0" w:color="000000"/>
            </w:tcBorders>
          </w:tcPr>
          <w:p>
            <w:pPr>
              <w:pStyle w:val="TableParagraph"/>
              <w:spacing w:before="9"/>
              <w:ind w:left="375"/>
              <w:rPr>
                <w:b/>
                <w:sz w:val="16"/>
              </w:rPr>
            </w:pPr>
            <w:r>
              <w:rPr>
                <w:b/>
                <w:w w:val="105"/>
                <w:sz w:val="16"/>
              </w:rPr>
              <w:t>2009</w:t>
            </w:r>
          </w:p>
        </w:tc>
        <w:tc>
          <w:tcPr>
            <w:tcW w:w="1197" w:type="dxa"/>
            <w:tcBorders>
              <w:bottom w:val="single" w:sz="4" w:space="0" w:color="000000"/>
            </w:tcBorders>
          </w:tcPr>
          <w:p>
            <w:pPr>
              <w:pStyle w:val="TableParagraph"/>
              <w:spacing w:before="9"/>
              <w:ind w:left="375"/>
              <w:rPr>
                <w:b/>
                <w:sz w:val="16"/>
              </w:rPr>
            </w:pPr>
            <w:r>
              <w:rPr>
                <w:b/>
                <w:w w:val="105"/>
                <w:sz w:val="16"/>
              </w:rPr>
              <w:t>2010</w:t>
            </w:r>
          </w:p>
        </w:tc>
        <w:tc>
          <w:tcPr>
            <w:tcW w:w="811" w:type="dxa"/>
            <w:tcBorders>
              <w:bottom w:val="single" w:sz="4" w:space="0" w:color="000000"/>
              <w:right w:val="single" w:sz="4" w:space="0" w:color="000000"/>
            </w:tcBorders>
          </w:tcPr>
          <w:p>
            <w:pPr>
              <w:pStyle w:val="TableParagraph"/>
              <w:rPr>
                <w:rFonts w:ascii="Times New Roman"/>
                <w:sz w:val="18"/>
              </w:rPr>
            </w:pPr>
          </w:p>
        </w:tc>
      </w:tr>
      <w:tr>
        <w:trPr>
          <w:trHeight w:val="310" w:hRule="atLeast"/>
        </w:trPr>
        <w:tc>
          <w:tcPr>
            <w:tcW w:w="7371"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Pr>
                <w:sz w:val="18"/>
              </w:rPr>
            </w:pPr>
            <w:r>
              <w:rPr>
                <w:sz w:val="18"/>
              </w:rPr>
              <w:t>Source: OECD</w:t>
            </w:r>
          </w:p>
        </w:tc>
      </w:tr>
    </w:tbl>
    <w:p>
      <w:pPr>
        <w:pStyle w:val="BodyText"/>
        <w:spacing w:before="7"/>
        <w:rPr>
          <w:sz w:val="21"/>
        </w:rPr>
      </w:pPr>
    </w:p>
    <w:p>
      <w:pPr>
        <w:pStyle w:val="BodyText"/>
        <w:spacing w:line="360" w:lineRule="auto" w:before="94"/>
        <w:ind w:left="234" w:right="142"/>
      </w:pPr>
      <w:r>
        <w:rPr/>
        <w:pict>
          <v:group style="position:absolute;margin-left:74.519997pt;margin-top:-224.840286pt;width:328.1pt;height:166.5pt;mso-position-horizontal-relative:page;mso-position-vertical-relative:paragraph;z-index:-254935040" coordorigin="1490,-4497" coordsize="6562,3330">
            <v:line style="position:absolute" from="8007,-4490" to="8007,-1174" stroked="true" strokeweight=".78pt" strokecolor="#000000">
              <v:stroke dashstyle="solid"/>
            </v:line>
            <v:shape style="position:absolute;left:8006;top:-4497;width:46;height:3330" coordorigin="8006,-4497" coordsize="46,3330" path="m8052,-1182l8006,-1182,8006,-1167,8052,-1167,8052,-1182m8052,-1662l8006,-1662,8006,-1647,8052,-1647,8052,-1662m8052,-2142l8006,-2142,8006,-2127,8052,-2127,8052,-2142m8052,-2607l8006,-2607,8006,-2592,8052,-2592,8052,-2607m8052,-3087l8006,-3087,8006,-3071,8052,-3071,8052,-3087m8052,-3551l8006,-3551,8006,-3537,8052,-3537,8052,-3551m8052,-4031l8006,-4031,8006,-4017,8052,-4017,8052,-4031m8052,-4497l8006,-4497,8006,-4481,8052,-4481,8052,-4497e" filled="true" fillcolor="#000000" stroked="false">
              <v:path arrowok="t"/>
              <v:fill type="solid"/>
            </v:shape>
            <v:line style="position:absolute" from="1498,-3079" to="8006,-3079" stroked="true" strokeweight=".78003pt" strokecolor="#000000">
              <v:stroke dashstyle="solid"/>
            </v:line>
            <v:shape style="position:absolute;left:1490;top:-3080;width:5519;height:60" coordorigin="1490,-3080" coordsize="5519,60" path="m1505,-3080l1490,-3080,1490,-3020,1505,-3020,1505,-3080m2600,-3080l2585,-3080,2585,-3020,2600,-3020,2600,-3080m3710,-3080l3695,-3080,3695,-3020,3710,-3020,3710,-3080m4805,-3080l4789,-3080,4789,-3020,4805,-3020,4805,-3080m5899,-3080l5885,-3080,5885,-3020,5899,-3020,5899,-3080m7009,-3080l6995,-3080,6995,-3020,7009,-3020,7009,-3080e" filled="true" fillcolor="#000000" stroked="false">
              <v:path arrowok="t"/>
              <v:fill type="solid"/>
            </v:shape>
            <v:shape style="position:absolute;left:1608;top:-4003;width:6364;height:2552" coordorigin="1608,-4002" coordsize="6364,2552" path="m5198,-3346l5466,-2765,5750,-2016,5752,-2015,5752,-2014,6022,-1550,6024,-1546,6026,-1544,6300,-1452,6305,-1451,6310,-1452,6314,-1455,6345,-1479,6295,-1479,6302,-1484,6061,-1564,6048,-1564,6040,-1571,6044,-1571,5779,-2027,5779,-2027,5778,-2030,5778,-2030,5494,-2778,5232,-3344,5203,-3344,5198,-3346xm6302,-1484l6295,-1479,6310,-1481,6302,-1484xm6577,-1700l6302,-1484,6310,-1481,6295,-1479,6345,-1479,6599,-1680,6601,-1682,6604,-1686,6608,-1697,6576,-1697,6577,-1700xm6040,-1571l6048,-1564,6045,-1569,6040,-1571xm6045,-1569l6048,-1564,6061,-1564,6045,-1569xm6044,-1571l6040,-1571,6045,-1569,6044,-1571xm6581,-1703l6577,-1700,6576,-1697,6581,-1703xm6610,-1703l6581,-1703,6576,-1697,6608,-1697,6610,-1703xm7685,-4002l7679,-4001,7675,-3998,7405,-3773,7403,-3772,7402,-3771,7402,-3768,7116,-3214,7116,-3213,7115,-3212,6846,-2417,6577,-1700,6581,-1703,6610,-1703,6874,-2406,7143,-3200,7142,-3200,7144,-3202,7144,-3202,7426,-3750,7424,-3750,7428,-3755,7430,-3755,7688,-3970,7680,-3972,7694,-3975,7769,-3975,7690,-4001,7685,-4002xm5778,-2030l5779,-2027,5779,-2028,5778,-2030xm5779,-2028l5779,-2027,5779,-2027,5779,-2028xm5778,-2030l5778,-2030,5779,-2028,5778,-2030xm7144,-3202l7142,-3200,7144,-3202,7144,-3202xm7144,-3202l7142,-3200,7143,-3200,7144,-3202xm7144,-3202l7144,-3202,7144,-3202,7144,-3202xm5196,-3351l5198,-3346,5203,-3344,5196,-3351xm5229,-3351l5196,-3351,5203,-3344,5232,-3344,5229,-3351xm4647,-3748l4930,-3480,4931,-3480,4933,-3478,5198,-3346,5196,-3351,5229,-3351,5224,-3363,5222,-3366,5220,-3369,5216,-3370,4951,-3503,4950,-3503,4946,-3506,4947,-3506,4692,-3747,4652,-3747,4647,-3748xm2177,-3537l2443,-3389,2447,-3387,2452,-3386,2455,-3388,2518,-3414,2458,-3414,2444,-3416,2451,-3418,2237,-3537,2178,-3537,2177,-3537xm2451,-3418l2444,-3416,2458,-3414,2451,-3418xm3000,-3537l2731,-3537,2729,-3536,2451,-3418,2458,-3414,2518,-3414,2738,-3507,2735,-3507,2741,-3508,3011,-3508,3013,-3509,3050,-3534,2996,-3534,3000,-3537xm4946,-3506l4950,-3503,4949,-3504,4946,-3506xm4949,-3504l4950,-3503,4951,-3503,4949,-3504xm4947,-3506l4946,-3506,4949,-3504,4947,-3506xm2741,-3508l2735,-3507,2738,-3507,2741,-3508xm3011,-3508l2741,-3508,2738,-3507,3008,-3507,3011,-3508xm3833,-3897l3828,-3897,3558,-3867,3557,-3867,3554,-3866,3553,-3866,3282,-3729,2996,-3534,3005,-3537,3053,-3537,3299,-3705,3564,-3837,3562,-3837,3566,-3838,3572,-3838,3828,-3866,3824,-3868,3901,-3868,3835,-3896,3833,-3897xm3053,-3537l3005,-3537,2996,-3534,3050,-3534,3053,-3537xm2173,-3539l2177,-3537,2178,-3537,2173,-3539xm2233,-3539l2173,-3539,2178,-3537,2237,-3537,2233,-3539xm1624,-3749l1615,-3746,1608,-3731,1612,-3722,1619,-3718,1903,-3584,1904,-3582,1908,-3582,2177,-3537,2173,-3539,2233,-3539,2188,-3564,2185,-3566,2184,-3567,2183,-3567,1920,-3610,1916,-3610,1913,-3611,1914,-3611,1632,-3746,1624,-3749xm1913,-3611l1916,-3610,1914,-3611,1913,-3611xm1914,-3611l1916,-3610,1920,-3610,1914,-3611xm1914,-3611l1913,-3611,1914,-3611,1914,-3611xm3901,-3868l3824,-3868,3832,-3867,3828,-3866,4109,-3748,4111,-3747,4117,-3747,4288,-3776,4121,-3776,4112,-3777,4116,-3777,3901,-3868xm4644,-3750l4647,-3748,4652,-3747,4644,-3750xm4688,-3750l4644,-3750,4652,-3747,4692,-3747,4688,-3750xm4562,-3792l4387,-3792,4385,-3792,4647,-3748,4644,-3750,4688,-3750,4666,-3772,4663,-3774,4660,-3776,4657,-3777,4562,-3792xm7428,-3755l7424,-3750,7426,-3752,7428,-3755xm7426,-3752l7424,-3750,7426,-3750,7426,-3752xm7430,-3755l7428,-3755,7426,-3752,7430,-3755xm4116,-3777l4112,-3777,4121,-3776,4116,-3777xm4387,-3821l4382,-3821,4116,-3777,4121,-3776,4288,-3776,4385,-3792,4382,-3792,4562,-3792,4387,-3821xm4387,-3792l4382,-3792,4385,-3792,4387,-3792xm3566,-3838l3562,-3837,3565,-3837,3566,-3838xm3565,-3837l3562,-3837,3564,-3837,3565,-3837xm3572,-3838l3566,-3838,3565,-3837,3572,-3838xm3824,-3868l3828,-3866,3832,-3867,3824,-3868xm7769,-3975l7694,-3975,7688,-3970,7957,-3880,7966,-3884,7969,-3892,7972,-3899,7967,-3909,7769,-3975xm7694,-3975l7680,-3972,7688,-3970,7694,-3975xe" filled="true" fillcolor="#333399" stroked="false">
              <v:path arrowok="t"/>
              <v:fill type="solid"/>
            </v:shape>
            <v:shape style="position:absolute;left:1608;top:-4032;width:6363;height:2176" coordorigin="1608,-4031" coordsize="6363,2176" path="m5467,-2734l5752,-2284,6023,-1953,6025,-1950,6030,-1948,6300,-1858,6306,-1856,6312,-1858,6316,-1863,6332,-1882,6293,-1882,6299,-1889,6050,-1972,6047,-1972,6040,-1976,6044,-1976,5777,-2300,5504,-2732,5470,-2732,5467,-2734xm6299,-1889l6293,-1882,6310,-1886,6299,-1889xm6577,-2224l6299,-1889,6310,-1886,6293,-1882,6332,-1882,6601,-2207,6602,-2208,6602,-2210,6604,-2211,6609,-2223,6576,-2223,6577,-2224xm6040,-1976l6047,-1972,6045,-1974,6040,-1976xm6045,-1974l6047,-1972,6050,-1972,6045,-1974xm6044,-1976l6040,-1976,6045,-1974,6044,-1976xm6578,-2226l6577,-2224,6576,-2223,6578,-2226xm6610,-2226l6578,-2226,6576,-2223,6609,-2223,6610,-2226xm7687,-4031l7682,-4031,7412,-3987,7408,-3986,7404,-3983,7402,-3980,7117,-3545,7116,-3544,7116,-3543,6846,-2867,6577,-2224,6578,-2226,6610,-2226,6874,-2856,7143,-3528,7142,-3528,7144,-3531,7144,-3531,7422,-3957,7417,-3957,7427,-3964,7460,-3964,7685,-4002,7682,-4002,7862,-4002,7687,-4031xm5240,-3002l5200,-3002,5470,-2732,5504,-2732,5492,-2750,5491,-2751,5491,-2752,5490,-2752,5240,-3002xm4712,-3344l4648,-3344,4650,-3342,4650,-3342,4933,-3194,5201,-2999,5200,-3002,5240,-3002,5220,-3022,5220,-3023,5219,-3023,5219,-3024,4946,-3220,4712,-3344xm3553,-3523l3821,-3300,3824,-3297,3830,-3296,3835,-3298,3904,-3323,3840,-3323,3824,-3326,3833,-3329,3602,-3522,3554,-3522,3553,-3523xm3833,-3329l3824,-3326,3840,-3323,3833,-3329xm4385,-3462l4384,-3461,4114,-3431,4110,-3431,3833,-3329,3840,-3323,3904,-3323,4120,-3402,4116,-3402,4381,-3432,4380,-3432,4476,-3432,4390,-3461,4387,-3461,4385,-3462xm4650,-3343l4650,-3342,4650,-3342,4650,-3343xm4648,-3344l4650,-3343,4650,-3342,4648,-3344xm4476,-3432l4386,-3432,4381,-3432,4650,-3343,4648,-3344,4712,-3344,4662,-3370,4661,-3370,4661,-3371,4660,-3371,4476,-3432xm4386,-3432l4380,-3432,4381,-3432,4386,-3432xm3551,-3525l3553,-3523,3554,-3522,3551,-3525xm3599,-3525l3551,-3525,3554,-3522,3602,-3522,3599,-3525xm2998,-3778l3283,-3628,3553,-3523,3551,-3525,3599,-3525,3570,-3549,3569,-3549,3566,-3550,3565,-3551,3296,-3654,3064,-3777,3005,-3777,2998,-3778xm7144,-3531l7142,-3528,7143,-3529,7144,-3531xm7143,-3529l7142,-3528,7143,-3528,7143,-3529xm7144,-3531l7144,-3531,7143,-3529,7144,-3531xm1625,-3989l1616,-3987,1612,-3980,1608,-3972,1610,-3963,1618,-3959,1902,-3794,1904,-3792,1907,-3792,1909,-3791,2179,-3777,2176,-3777,2446,-3702,2448,-3701,2452,-3701,2454,-3702,2564,-3731,2446,-3731,2450,-3732,2184,-3806,2183,-3807,2180,-3807,1933,-3820,1918,-3820,1910,-3821,1916,-3821,1632,-3984,1625,-3989xm2450,-3732l2446,-3731,2454,-3731,2450,-3732xm3007,-3807l2732,-3807,2731,-3806,2450,-3732,2454,-3731,2564,-3731,2738,-3777,3000,-3777,2998,-3778,3062,-3778,3012,-3804,3007,-3807xm3062,-3778l2998,-3778,3005,-3777,3064,-3777,3062,-3778xm1910,-3821l1918,-3820,1916,-3821,1910,-3821xm1916,-3821l1918,-3820,1933,-3820,1916,-3821xm1916,-3821l1910,-3821,1916,-3821,1916,-3821xm7862,-4002l7687,-4002,7685,-4002,7960,-3956,7968,-3962,7969,-3969,7970,-3977,7966,-3986,7957,-3987,7862,-4002xm7427,-3964l7417,-3957,7423,-3958,7427,-3964xm7423,-3958l7417,-3957,7422,-3957,7423,-3958xm7460,-3964l7427,-3964,7423,-3958,7460,-3964xm7687,-4002l7682,-4002,7685,-4002,7687,-4002xe" filled="true" fillcolor="#993300" stroked="false">
              <v:path arrowok="t"/>
              <v:fill type="solid"/>
            </v:shape>
            <v:shape style="position:absolute;left:1608;top:-3853;width:6364;height:1696" coordorigin="1608,-3852" coordsize="6364,1696" path="m5752,-2750l6022,-2240,6023,-2236,6026,-2234,6031,-2232,6301,-2158,6304,-2157,6306,-2157,6310,-2158,6401,-2187,6300,-2187,6304,-2188,6065,-2254,6048,-2254,6038,-2261,6044,-2261,5787,-2747,5754,-2747,5752,-2750xm6304,-2188l6300,-2187,6308,-2187,6304,-2188xm6583,-2276l6304,-2188,6308,-2187,6401,-2187,6594,-2248,6595,-2248,6596,-2249,6598,-2249,6635,-2274,6581,-2274,6583,-2276xm6038,-2261l6048,-2254,6045,-2259,6038,-2261xm6045,-2259l6048,-2254,6065,-2254,6045,-2259xm6044,-2261l6038,-2261,6045,-2259,6044,-2261xm6586,-2277l6583,-2276,6581,-2274,6586,-2277xm6639,-2277l6586,-2277,6581,-2274,6635,-2274,6639,-2277xm6848,-2453l6583,-2276,6586,-2277,6639,-2277,6868,-2429,6870,-2430,6872,-2433,6880,-2448,6846,-2448,6848,-2453xm6851,-2454l6848,-2453,6846,-2448,6851,-2454xm6883,-2454l6851,-2454,6846,-2448,6880,-2448,6883,-2454xm7411,-3402l7405,-3400,7403,-3395,7117,-2991,7117,-2990,7116,-2990,7116,-2988,6848,-2453,6851,-2454,6883,-2454,7142,-2975,7144,-2975,7422,-3371,7412,-3372,7427,-3378,7621,-3378,7416,-3401,7411,-3402xm5470,-3060l5754,-2747,5787,-2747,5778,-2764,5777,-2765,5777,-2766,5776,-2766,5512,-3059,5471,-3059,5470,-3060xm7144,-2975l7142,-2975,7142,-2973,7144,-2975xm5468,-3062l5470,-3060,5471,-3059,5468,-3062xm5510,-3062l5468,-3062,5471,-3059,5512,-3059,5510,-3062xm4649,-3583l4933,-3434,5202,-3255,5470,-3060,5468,-3062,5510,-3062,5491,-3082,5490,-3083,5489,-3083,5489,-3084,5218,-3279,4946,-3460,4714,-3582,4651,-3582,4649,-3583xm7621,-3378l7427,-3378,7422,-3371,7682,-3342,7685,-3341,7687,-3342,7690,-3342,7763,-3371,7679,-3371,7680,-3372,7621,-3378xm7680,-3372l7679,-3371,7686,-3371,7680,-3372xm7957,-3479l7949,-3476,7680,-3372,7686,-3371,7763,-3371,7960,-3448,7968,-3450,7972,-3460,7968,-3467,7966,-3474,7957,-3479xm7427,-3378l7412,-3372,7422,-3371,7427,-3378xm1912,-3627l1907,-3627,1903,-3624,1618,-3474,1610,-3471,1608,-3462,1615,-3448,1625,-3444,1632,-3448,1911,-3595,1904,-3598,1978,-3598,1916,-3626,1912,-3627xm1978,-3598l1916,-3598,1911,-3595,2174,-3478,2178,-3477,2182,-3477,2185,-3478,2257,-3506,2174,-3506,2181,-3508,1978,-3598xm2181,-3508l2174,-3506,2186,-3506,2181,-3508xm2444,-3611l2181,-3508,2186,-3506,2257,-3506,2455,-3582,2456,-3584,2458,-3584,2459,-3585,2491,-3609,2441,-3609,2444,-3611xm4648,-3584l4649,-3583,4651,-3582,4648,-3584xm4712,-3584l4648,-3584,4651,-3582,4714,-3582,4712,-3584xm3901,-3792l3833,-3792,3827,-3791,4109,-3672,4111,-3672,4114,-3671,4384,-3641,4649,-3583,4648,-3584,4712,-3584,4662,-3610,4661,-3610,4660,-3611,4658,-3611,4386,-3671,4127,-3700,4121,-3700,4116,-3701,4118,-3701,3901,-3792xm1916,-3598l1904,-3598,1911,-3595,1916,-3598xm2444,-3611l2444,-3611,2441,-3609,2444,-3611xm2495,-3611l2444,-3611,2441,-3609,2491,-3609,2495,-3611xm2734,-3822l2729,-3821,2726,-3819,2444,-3611,2444,-3611,2495,-3611,2740,-3791,2732,-3792,2744,-3795,2898,-3795,2737,-3821,2734,-3822xm4116,-3701l4121,-3700,4119,-3701,4116,-3701xm4119,-3701l4121,-3700,4127,-3700,4119,-3701xm4118,-3701l4116,-3701,4119,-3701,4118,-3701xm3382,-3822l3294,-3822,3289,-3821,3556,-3732,3558,-3731,3560,-3731,3563,-3732,3692,-3761,3557,-3761,3562,-3762,3382,-3822xm2898,-3795l2744,-3795,2740,-3791,3002,-3747,3008,-3747,3117,-3776,3001,-3776,3006,-3777,2898,-3795xm3562,-3762l3557,-3761,3565,-3761,3562,-3762xm3829,-3822l3827,-3821,3562,-3762,3565,-3761,3692,-3761,3827,-3791,3824,-3792,3901,-3792,3835,-3820,3833,-3821,3829,-3822xm3006,-3777l3001,-3776,3007,-3777,3006,-3777xm3292,-3852l3289,-3852,3286,-3851,3006,-3777,3007,-3777,3001,-3776,3117,-3776,3289,-3821,3286,-3822,3382,-3822,3292,-3852xm3833,-3792l3824,-3792,3827,-3791,3833,-3792xm2744,-3795l2732,-3792,2740,-3791,2744,-3795xm3294,-3822l3286,-3822,3289,-3821,3294,-3822xe" filled="true" fillcolor="#99cc00" stroked="false">
              <v:path arrowok="t"/>
              <v:fill type="solid"/>
            </v:shape>
            <v:line style="position:absolute" from="1925,-2472" to="2330,-2472" stroked="true" strokeweight="1.5pt" strokecolor="#333399">
              <v:stroke dashstyle="solid"/>
            </v:line>
            <v:line style="position:absolute" from="1925,-2172" to="2330,-2172" stroked="true" strokeweight="1.5pt" strokecolor="#993300">
              <v:stroke dashstyle="solid"/>
            </v:line>
            <v:line style="position:absolute" from="1925,-1872" to="2330,-1872" stroked="true" strokeweight="1.5pt" strokecolor="#99cc00">
              <v:stroke dashstyle="solid"/>
            </v:line>
            <w10:wrap type="none"/>
          </v:group>
        </w:pict>
      </w:r>
      <w:r>
        <w:rPr/>
        <w:t>The second way in which monetary policy can counter global economic forces is through its impact on domestic demand – spending by consumers and investment by the private sector, both of which are affected by interest rate changes. As the financial crisis intensified in late 2008 and 2009, domestic demand fell sharply in many economies, including the UK. However, the sharp relaxation of monetary policy in response to the crisis, along with a rebound in confidence and a turnaround in the stock cycle, has supported strong growth in domestic demand over the last year. Indeed, as Chart 10 shows, UK domestic demand has bounced back healthily – almost as strongly as in the US and much more strongly than in the euro area. In real terms, UK domestic demand is 3.7% up on a year ago and in money terms, it has risen by nearly 7%.</w:t>
      </w:r>
    </w:p>
    <w:p>
      <w:pPr>
        <w:pStyle w:val="BodyText"/>
        <w:rPr>
          <w:sz w:val="30"/>
        </w:rPr>
      </w:pPr>
    </w:p>
    <w:p>
      <w:pPr>
        <w:pStyle w:val="BodyText"/>
        <w:spacing w:line="360" w:lineRule="auto"/>
        <w:ind w:left="234" w:right="191"/>
      </w:pPr>
      <w:r>
        <w:rPr/>
        <w:t>In the short-term, this recovery in UK domestic demand is most welcome in helping to lift the UK economy out of recession. But coupled with a resurgence of global inflationary pressures and the additional inflationary impact from the depreciation of the exchange rate, it has also provided a climate in which businesses have been able to pass through price increases without too much fear of losing business. The danger that this poses is that this begins to affect business perceptions of the pricing climate and price expectations more generally.</w:t>
      </w:r>
    </w:p>
    <w:p>
      <w:pPr>
        <w:pStyle w:val="BodyText"/>
        <w:spacing w:before="11"/>
        <w:rPr>
          <w:sz w:val="29"/>
        </w:rPr>
      </w:pPr>
    </w:p>
    <w:p>
      <w:pPr>
        <w:pStyle w:val="BodyText"/>
        <w:spacing w:line="360" w:lineRule="auto"/>
        <w:ind w:left="234" w:right="121"/>
      </w:pPr>
      <w:r>
        <w:rPr/>
        <w:t>The credibility of monetary policy and its impact on price expectations is the third stabilising force which monetary policy can exert to maintain stability in the face of global shocks. If inflation expectations remain anchored at or close to the inflation target, disturbances to the inflation path should prove temporary, and it will be easier for monetary policy to ride out a temporary shift in inflation. But when inflation expectations are not well-anchored, it is much easier for an external shock to set off an inflationary wage-price spiral, as we experienced in the 1970s and early 1980s. The task of the MPC in dealing with global inflationary shocks should be made easier by the experience of low and stable inflation which has helped to anchor UK inflation</w:t>
      </w:r>
    </w:p>
    <w:p>
      <w:pPr>
        <w:spacing w:after="0" w:line="360" w:lineRule="auto"/>
        <w:sectPr>
          <w:footerReference w:type="default" r:id="rId18"/>
          <w:pgSz w:w="11900" w:h="16840"/>
          <w:pgMar w:footer="1340" w:header="0" w:top="1440" w:bottom="1540" w:left="900" w:right="1020"/>
          <w:pgNumType w:start="13"/>
        </w:sectPr>
      </w:pPr>
    </w:p>
    <w:p>
      <w:pPr>
        <w:pStyle w:val="BodyText"/>
        <w:spacing w:line="360" w:lineRule="auto" w:before="77"/>
        <w:ind w:left="233" w:right="322"/>
      </w:pPr>
      <w:r>
        <w:rPr/>
        <w:t>expectations under the inflation target regime which has operated since the early 1990s. However, if the experience of high inflation calls into question the credibility of the inflation target framework, there is a risk that expectations will drift upwards and a more aggressive policy response will then be needed to ratchet them downwards.</w:t>
      </w:r>
    </w:p>
    <w:p>
      <w:pPr>
        <w:pStyle w:val="BodyText"/>
        <w:spacing w:before="11"/>
        <w:rPr>
          <w:sz w:val="29"/>
        </w:rPr>
      </w:pPr>
    </w:p>
    <w:p>
      <w:pPr>
        <w:pStyle w:val="BodyText"/>
        <w:spacing w:line="360" w:lineRule="auto"/>
        <w:ind w:left="233" w:right="351"/>
      </w:pPr>
      <w:r>
        <w:rPr/>
        <w:t>In the immediate aftermath of the recession, in 2009, the main worry in terms of inflation expectations was that they could shift downwards in response to deflationary pressures at home and abroad. Quite rightly, policy-makers around the world relaxed policy and took extraordinary measures – including the injection of</w:t>
      </w:r>
    </w:p>
    <w:p>
      <w:pPr>
        <w:pStyle w:val="BodyText"/>
        <w:spacing w:line="360" w:lineRule="auto" w:before="1"/>
        <w:ind w:left="233" w:right="154"/>
      </w:pPr>
      <w:r>
        <w:rPr/>
        <w:t>£200bn of Quantitative Easing into the UK economy. But the price expectations climate has changed very significantly since then. An example of this is the price expectations responses to the CBI’s latest Industrial Trends Survey, published last week. As Chart 11 shows, there was a sharp jump up in domestic price expectations – the biggest quarterly rise in the expectations balance from one survey to the next since 1968, in the aftermath of the 1967 devaluation. This, along with an upward move in other measure of inflation expectations, is an indication of the upward risks to inflation expectations in the current climate.</w:t>
      </w:r>
    </w:p>
    <w:p>
      <w:pPr>
        <w:pStyle w:val="BodyText"/>
      </w:pPr>
    </w:p>
    <w:p>
      <w:pPr>
        <w:pStyle w:val="BodyText"/>
        <w:spacing w:before="2"/>
        <w:rPr>
          <w:sz w:val="10"/>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905"/>
        <w:gridCol w:w="905"/>
        <w:gridCol w:w="905"/>
        <w:gridCol w:w="905"/>
        <w:gridCol w:w="905"/>
        <w:gridCol w:w="905"/>
        <w:gridCol w:w="1091"/>
      </w:tblGrid>
      <w:tr>
        <w:trPr>
          <w:trHeight w:val="1035" w:hRule="atLeast"/>
        </w:trPr>
        <w:tc>
          <w:tcPr>
            <w:tcW w:w="73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11: CBI price expectations, since 1990</w:t>
            </w:r>
          </w:p>
          <w:p>
            <w:pPr>
              <w:pStyle w:val="TableParagraph"/>
              <w:spacing w:line="340" w:lineRule="atLeast" w:before="4"/>
              <w:ind w:left="107" w:right="144"/>
              <w:rPr>
                <w:sz w:val="20"/>
              </w:rPr>
            </w:pPr>
            <w:r>
              <w:rPr>
                <w:sz w:val="20"/>
              </w:rPr>
              <w:t>Percentage of manufacturers expecting higher prices less those expecting lower prices</w:t>
            </w:r>
          </w:p>
        </w:tc>
      </w:tr>
      <w:tr>
        <w:trPr>
          <w:trHeight w:val="350" w:hRule="atLeast"/>
        </w:trPr>
        <w:tc>
          <w:tcPr>
            <w:tcW w:w="853" w:type="dxa"/>
            <w:tcBorders>
              <w:top w:val="single" w:sz="4" w:space="0" w:color="000000"/>
              <w:left w:val="single" w:sz="4" w:space="0" w:color="000000"/>
            </w:tcBorders>
          </w:tcPr>
          <w:p>
            <w:pPr>
              <w:pStyle w:val="TableParagraph"/>
              <w:rPr>
                <w:rFonts w:ascii="Times New Roman"/>
                <w:sz w:val="18"/>
              </w:rPr>
            </w:pPr>
          </w:p>
        </w:tc>
        <w:tc>
          <w:tcPr>
            <w:tcW w:w="905" w:type="dxa"/>
            <w:tcBorders>
              <w:top w:val="single" w:sz="4" w:space="0" w:color="000000"/>
            </w:tcBorders>
          </w:tcPr>
          <w:p>
            <w:pPr>
              <w:pStyle w:val="TableParagraph"/>
              <w:rPr>
                <w:rFonts w:ascii="Times New Roman"/>
                <w:sz w:val="18"/>
              </w:rPr>
            </w:pPr>
          </w:p>
        </w:tc>
        <w:tc>
          <w:tcPr>
            <w:tcW w:w="905" w:type="dxa"/>
            <w:tcBorders>
              <w:top w:val="single" w:sz="4" w:space="0" w:color="000000"/>
            </w:tcBorders>
          </w:tcPr>
          <w:p>
            <w:pPr>
              <w:pStyle w:val="TableParagraph"/>
              <w:rPr>
                <w:rFonts w:ascii="Times New Roman"/>
                <w:sz w:val="18"/>
              </w:rPr>
            </w:pPr>
          </w:p>
        </w:tc>
        <w:tc>
          <w:tcPr>
            <w:tcW w:w="905" w:type="dxa"/>
            <w:tcBorders>
              <w:top w:val="single" w:sz="4" w:space="0" w:color="000000"/>
            </w:tcBorders>
          </w:tcPr>
          <w:p>
            <w:pPr>
              <w:pStyle w:val="TableParagraph"/>
              <w:rPr>
                <w:rFonts w:ascii="Times New Roman"/>
                <w:sz w:val="18"/>
              </w:rPr>
            </w:pPr>
          </w:p>
        </w:tc>
        <w:tc>
          <w:tcPr>
            <w:tcW w:w="905" w:type="dxa"/>
            <w:tcBorders>
              <w:top w:val="single" w:sz="4" w:space="0" w:color="000000"/>
            </w:tcBorders>
          </w:tcPr>
          <w:p>
            <w:pPr>
              <w:pStyle w:val="TableParagraph"/>
              <w:rPr>
                <w:rFonts w:ascii="Times New Roman"/>
                <w:sz w:val="18"/>
              </w:rPr>
            </w:pPr>
          </w:p>
        </w:tc>
        <w:tc>
          <w:tcPr>
            <w:tcW w:w="905" w:type="dxa"/>
            <w:tcBorders>
              <w:top w:val="single" w:sz="4" w:space="0" w:color="000000"/>
            </w:tcBorders>
          </w:tcPr>
          <w:p>
            <w:pPr>
              <w:pStyle w:val="TableParagraph"/>
              <w:rPr>
                <w:rFonts w:ascii="Times New Roman"/>
                <w:sz w:val="18"/>
              </w:rPr>
            </w:pPr>
          </w:p>
        </w:tc>
        <w:tc>
          <w:tcPr>
            <w:tcW w:w="905" w:type="dxa"/>
            <w:tcBorders>
              <w:top w:val="single" w:sz="4" w:space="0" w:color="000000"/>
            </w:tcBorders>
          </w:tcPr>
          <w:p>
            <w:pPr>
              <w:pStyle w:val="TableParagraph"/>
              <w:rPr>
                <w:rFonts w:ascii="Times New Roman"/>
                <w:sz w:val="18"/>
              </w:rPr>
            </w:pPr>
          </w:p>
        </w:tc>
        <w:tc>
          <w:tcPr>
            <w:tcW w:w="1091" w:type="dxa"/>
            <w:tcBorders>
              <w:top w:val="single" w:sz="4" w:space="0" w:color="000000"/>
              <w:right w:val="single" w:sz="4" w:space="0" w:color="000000"/>
            </w:tcBorders>
          </w:tcPr>
          <w:p>
            <w:pPr>
              <w:pStyle w:val="TableParagraph"/>
              <w:spacing w:before="21"/>
              <w:ind w:right="270"/>
              <w:jc w:val="right"/>
              <w:rPr>
                <w:b/>
                <w:sz w:val="16"/>
              </w:rPr>
            </w:pPr>
            <w:r>
              <w:rPr>
                <w:b/>
                <w:sz w:val="16"/>
              </w:rPr>
              <w:t>40</w:t>
            </w:r>
          </w:p>
        </w:tc>
      </w:tr>
      <w:tr>
        <w:trPr>
          <w:trHeight w:val="473" w:hRule="atLeast"/>
        </w:trPr>
        <w:tc>
          <w:tcPr>
            <w:tcW w:w="853" w:type="dxa"/>
            <w:tcBorders>
              <w:left w:val="single" w:sz="4" w:space="0" w:color="000000"/>
            </w:tcBorders>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1091" w:type="dxa"/>
            <w:tcBorders>
              <w:right w:val="single" w:sz="4" w:space="0" w:color="000000"/>
            </w:tcBorders>
          </w:tcPr>
          <w:p>
            <w:pPr>
              <w:pStyle w:val="TableParagraph"/>
              <w:spacing w:before="143"/>
              <w:ind w:right="270"/>
              <w:jc w:val="right"/>
              <w:rPr>
                <w:b/>
                <w:sz w:val="16"/>
              </w:rPr>
            </w:pPr>
            <w:r>
              <w:rPr>
                <w:b/>
                <w:sz w:val="16"/>
              </w:rPr>
              <w:t>30</w:t>
            </w:r>
          </w:p>
        </w:tc>
      </w:tr>
      <w:tr>
        <w:trPr>
          <w:trHeight w:val="473" w:hRule="atLeast"/>
        </w:trPr>
        <w:tc>
          <w:tcPr>
            <w:tcW w:w="853" w:type="dxa"/>
            <w:tcBorders>
              <w:left w:val="single" w:sz="4" w:space="0" w:color="000000"/>
            </w:tcBorders>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1091" w:type="dxa"/>
            <w:tcBorders>
              <w:right w:val="single" w:sz="4" w:space="0" w:color="000000"/>
            </w:tcBorders>
          </w:tcPr>
          <w:p>
            <w:pPr>
              <w:pStyle w:val="TableParagraph"/>
              <w:spacing w:before="144"/>
              <w:ind w:right="270"/>
              <w:jc w:val="right"/>
              <w:rPr>
                <w:b/>
                <w:sz w:val="16"/>
              </w:rPr>
            </w:pPr>
            <w:r>
              <w:rPr>
                <w:b/>
                <w:sz w:val="16"/>
              </w:rPr>
              <w:t>20</w:t>
            </w:r>
          </w:p>
        </w:tc>
      </w:tr>
      <w:tr>
        <w:trPr>
          <w:trHeight w:val="473" w:hRule="atLeast"/>
        </w:trPr>
        <w:tc>
          <w:tcPr>
            <w:tcW w:w="853" w:type="dxa"/>
            <w:tcBorders>
              <w:left w:val="single" w:sz="4" w:space="0" w:color="000000"/>
            </w:tcBorders>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1091" w:type="dxa"/>
            <w:tcBorders>
              <w:right w:val="single" w:sz="4" w:space="0" w:color="000000"/>
            </w:tcBorders>
          </w:tcPr>
          <w:p>
            <w:pPr>
              <w:pStyle w:val="TableParagraph"/>
              <w:spacing w:before="143"/>
              <w:ind w:right="270"/>
              <w:jc w:val="right"/>
              <w:rPr>
                <w:b/>
                <w:sz w:val="16"/>
              </w:rPr>
            </w:pPr>
            <w:r>
              <w:rPr>
                <w:b/>
                <w:sz w:val="16"/>
              </w:rPr>
              <w:t>10</w:t>
            </w:r>
          </w:p>
        </w:tc>
      </w:tr>
      <w:tr>
        <w:trPr>
          <w:trHeight w:val="473" w:hRule="atLeast"/>
        </w:trPr>
        <w:tc>
          <w:tcPr>
            <w:tcW w:w="853" w:type="dxa"/>
            <w:tcBorders>
              <w:left w:val="single" w:sz="4" w:space="0" w:color="000000"/>
            </w:tcBorders>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1091" w:type="dxa"/>
            <w:tcBorders>
              <w:right w:val="single" w:sz="4" w:space="0" w:color="000000"/>
            </w:tcBorders>
          </w:tcPr>
          <w:p>
            <w:pPr>
              <w:pStyle w:val="TableParagraph"/>
              <w:spacing w:before="144"/>
              <w:ind w:left="268"/>
              <w:jc w:val="center"/>
              <w:rPr>
                <w:b/>
                <w:sz w:val="16"/>
              </w:rPr>
            </w:pPr>
            <w:r>
              <w:rPr>
                <w:b/>
                <w:w w:val="103"/>
                <w:sz w:val="16"/>
              </w:rPr>
              <w:t>0</w:t>
            </w:r>
          </w:p>
        </w:tc>
      </w:tr>
      <w:tr>
        <w:trPr>
          <w:trHeight w:val="473" w:hRule="atLeast"/>
        </w:trPr>
        <w:tc>
          <w:tcPr>
            <w:tcW w:w="853" w:type="dxa"/>
            <w:tcBorders>
              <w:left w:val="single" w:sz="4" w:space="0" w:color="000000"/>
            </w:tcBorders>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1091" w:type="dxa"/>
            <w:tcBorders>
              <w:right w:val="single" w:sz="4" w:space="0" w:color="000000"/>
            </w:tcBorders>
          </w:tcPr>
          <w:p>
            <w:pPr>
              <w:pStyle w:val="TableParagraph"/>
              <w:spacing w:before="143"/>
              <w:ind w:right="209"/>
              <w:jc w:val="right"/>
              <w:rPr>
                <w:b/>
                <w:sz w:val="16"/>
              </w:rPr>
            </w:pPr>
            <w:r>
              <w:rPr>
                <w:b/>
                <w:sz w:val="16"/>
              </w:rPr>
              <w:t>-10</w:t>
            </w:r>
          </w:p>
        </w:tc>
      </w:tr>
      <w:tr>
        <w:trPr>
          <w:trHeight w:val="473" w:hRule="atLeast"/>
        </w:trPr>
        <w:tc>
          <w:tcPr>
            <w:tcW w:w="853" w:type="dxa"/>
            <w:tcBorders>
              <w:left w:val="single" w:sz="4" w:space="0" w:color="000000"/>
            </w:tcBorders>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1091" w:type="dxa"/>
            <w:tcBorders>
              <w:right w:val="single" w:sz="4" w:space="0" w:color="000000"/>
            </w:tcBorders>
          </w:tcPr>
          <w:p>
            <w:pPr>
              <w:pStyle w:val="TableParagraph"/>
              <w:spacing w:before="144"/>
              <w:ind w:right="209"/>
              <w:jc w:val="right"/>
              <w:rPr>
                <w:b/>
                <w:sz w:val="16"/>
              </w:rPr>
            </w:pPr>
            <w:r>
              <w:rPr>
                <w:b/>
                <w:sz w:val="16"/>
              </w:rPr>
              <w:t>-20</w:t>
            </w:r>
          </w:p>
        </w:tc>
      </w:tr>
      <w:tr>
        <w:trPr>
          <w:trHeight w:val="339" w:hRule="atLeast"/>
        </w:trPr>
        <w:tc>
          <w:tcPr>
            <w:tcW w:w="853" w:type="dxa"/>
            <w:tcBorders>
              <w:left w:val="single" w:sz="4" w:space="0" w:color="000000"/>
            </w:tcBorders>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905" w:type="dxa"/>
          </w:tcPr>
          <w:p>
            <w:pPr>
              <w:pStyle w:val="TableParagraph"/>
              <w:rPr>
                <w:rFonts w:ascii="Times New Roman"/>
                <w:sz w:val="18"/>
              </w:rPr>
            </w:pPr>
          </w:p>
        </w:tc>
        <w:tc>
          <w:tcPr>
            <w:tcW w:w="1091" w:type="dxa"/>
            <w:tcBorders>
              <w:right w:val="single" w:sz="4" w:space="0" w:color="000000"/>
            </w:tcBorders>
          </w:tcPr>
          <w:p>
            <w:pPr>
              <w:pStyle w:val="TableParagraph"/>
              <w:spacing w:line="175" w:lineRule="exact" w:before="143"/>
              <w:ind w:right="209"/>
              <w:jc w:val="right"/>
              <w:rPr>
                <w:b/>
                <w:sz w:val="16"/>
              </w:rPr>
            </w:pPr>
            <w:r>
              <w:rPr>
                <w:b/>
                <w:sz w:val="16"/>
              </w:rPr>
              <w:t>-30</w:t>
            </w:r>
          </w:p>
        </w:tc>
      </w:tr>
      <w:tr>
        <w:trPr>
          <w:trHeight w:val="590" w:hRule="atLeast"/>
        </w:trPr>
        <w:tc>
          <w:tcPr>
            <w:tcW w:w="853" w:type="dxa"/>
            <w:tcBorders>
              <w:left w:val="single" w:sz="4" w:space="0" w:color="000000"/>
              <w:bottom w:val="single" w:sz="4" w:space="0" w:color="000000"/>
            </w:tcBorders>
          </w:tcPr>
          <w:p>
            <w:pPr>
              <w:pStyle w:val="TableParagraph"/>
              <w:spacing w:before="9"/>
              <w:ind w:left="219"/>
              <w:rPr>
                <w:b/>
                <w:sz w:val="16"/>
              </w:rPr>
            </w:pPr>
            <w:r>
              <w:rPr>
                <w:b/>
                <w:w w:val="105"/>
                <w:sz w:val="16"/>
              </w:rPr>
              <w:t>1990</w:t>
            </w:r>
          </w:p>
        </w:tc>
        <w:tc>
          <w:tcPr>
            <w:tcW w:w="905" w:type="dxa"/>
            <w:tcBorders>
              <w:bottom w:val="single" w:sz="4" w:space="0" w:color="000000"/>
            </w:tcBorders>
          </w:tcPr>
          <w:p>
            <w:pPr>
              <w:pStyle w:val="TableParagraph"/>
              <w:spacing w:before="9"/>
              <w:ind w:left="276"/>
              <w:rPr>
                <w:b/>
                <w:sz w:val="16"/>
              </w:rPr>
            </w:pPr>
            <w:r>
              <w:rPr>
                <w:b/>
                <w:w w:val="105"/>
                <w:sz w:val="16"/>
              </w:rPr>
              <w:t>1993</w:t>
            </w:r>
          </w:p>
        </w:tc>
        <w:tc>
          <w:tcPr>
            <w:tcW w:w="905" w:type="dxa"/>
            <w:tcBorders>
              <w:bottom w:val="single" w:sz="4" w:space="0" w:color="000000"/>
            </w:tcBorders>
          </w:tcPr>
          <w:p>
            <w:pPr>
              <w:pStyle w:val="TableParagraph"/>
              <w:spacing w:before="9"/>
              <w:ind w:left="275"/>
              <w:rPr>
                <w:b/>
                <w:sz w:val="16"/>
              </w:rPr>
            </w:pPr>
            <w:r>
              <w:rPr>
                <w:b/>
                <w:w w:val="105"/>
                <w:sz w:val="16"/>
              </w:rPr>
              <w:t>1996</w:t>
            </w:r>
          </w:p>
        </w:tc>
        <w:tc>
          <w:tcPr>
            <w:tcW w:w="905" w:type="dxa"/>
            <w:tcBorders>
              <w:bottom w:val="single" w:sz="4" w:space="0" w:color="000000"/>
            </w:tcBorders>
          </w:tcPr>
          <w:p>
            <w:pPr>
              <w:pStyle w:val="TableParagraph"/>
              <w:spacing w:before="9"/>
              <w:ind w:left="275"/>
              <w:rPr>
                <w:b/>
                <w:sz w:val="16"/>
              </w:rPr>
            </w:pPr>
            <w:r>
              <w:rPr>
                <w:b/>
                <w:w w:val="105"/>
                <w:sz w:val="16"/>
              </w:rPr>
              <w:t>1999</w:t>
            </w:r>
          </w:p>
        </w:tc>
        <w:tc>
          <w:tcPr>
            <w:tcW w:w="905" w:type="dxa"/>
            <w:tcBorders>
              <w:bottom w:val="single" w:sz="4" w:space="0" w:color="000000"/>
            </w:tcBorders>
          </w:tcPr>
          <w:p>
            <w:pPr>
              <w:pStyle w:val="TableParagraph"/>
              <w:spacing w:before="9"/>
              <w:ind w:left="275"/>
              <w:rPr>
                <w:b/>
                <w:sz w:val="16"/>
              </w:rPr>
            </w:pPr>
            <w:r>
              <w:rPr>
                <w:b/>
                <w:w w:val="105"/>
                <w:sz w:val="16"/>
              </w:rPr>
              <w:t>2002</w:t>
            </w:r>
          </w:p>
        </w:tc>
        <w:tc>
          <w:tcPr>
            <w:tcW w:w="905" w:type="dxa"/>
            <w:tcBorders>
              <w:bottom w:val="single" w:sz="4" w:space="0" w:color="000000"/>
            </w:tcBorders>
          </w:tcPr>
          <w:p>
            <w:pPr>
              <w:pStyle w:val="TableParagraph"/>
              <w:spacing w:before="9"/>
              <w:ind w:left="274"/>
              <w:rPr>
                <w:b/>
                <w:sz w:val="16"/>
              </w:rPr>
            </w:pPr>
            <w:r>
              <w:rPr>
                <w:b/>
                <w:w w:val="105"/>
                <w:sz w:val="16"/>
              </w:rPr>
              <w:t>2005</w:t>
            </w:r>
          </w:p>
        </w:tc>
        <w:tc>
          <w:tcPr>
            <w:tcW w:w="905" w:type="dxa"/>
            <w:tcBorders>
              <w:bottom w:val="single" w:sz="4" w:space="0" w:color="000000"/>
            </w:tcBorders>
          </w:tcPr>
          <w:p>
            <w:pPr>
              <w:pStyle w:val="TableParagraph"/>
              <w:spacing w:before="9"/>
              <w:ind w:left="274"/>
              <w:rPr>
                <w:b/>
                <w:sz w:val="16"/>
              </w:rPr>
            </w:pPr>
            <w:r>
              <w:rPr>
                <w:b/>
                <w:w w:val="105"/>
                <w:sz w:val="16"/>
              </w:rPr>
              <w:t>2008</w:t>
            </w:r>
          </w:p>
        </w:tc>
        <w:tc>
          <w:tcPr>
            <w:tcW w:w="1091" w:type="dxa"/>
            <w:tcBorders>
              <w:bottom w:val="single" w:sz="4" w:space="0" w:color="000000"/>
              <w:right w:val="single" w:sz="4" w:space="0" w:color="000000"/>
            </w:tcBorders>
          </w:tcPr>
          <w:p>
            <w:pPr>
              <w:pStyle w:val="TableParagraph"/>
              <w:spacing w:before="9"/>
              <w:ind w:left="274"/>
              <w:rPr>
                <w:b/>
                <w:sz w:val="16"/>
              </w:rPr>
            </w:pPr>
            <w:r>
              <w:rPr>
                <w:b/>
                <w:w w:val="105"/>
                <w:sz w:val="16"/>
              </w:rPr>
              <w:t>2011</w:t>
            </w:r>
          </w:p>
        </w:tc>
      </w:tr>
      <w:tr>
        <w:trPr>
          <w:trHeight w:val="310" w:hRule="atLeast"/>
        </w:trPr>
        <w:tc>
          <w:tcPr>
            <w:tcW w:w="73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Pr>
                <w:sz w:val="18"/>
              </w:rPr>
            </w:pPr>
            <w:r>
              <w:rPr>
                <w:sz w:val="18"/>
              </w:rPr>
              <w:t>Source: CBI Industrial Trends Survey</w:t>
            </w:r>
          </w:p>
        </w:tc>
      </w:tr>
    </w:tbl>
    <w:p>
      <w:pPr>
        <w:pStyle w:val="BodyText"/>
        <w:spacing w:before="7"/>
        <w:rPr>
          <w:sz w:val="21"/>
        </w:rPr>
      </w:pPr>
    </w:p>
    <w:p>
      <w:pPr>
        <w:pStyle w:val="Heading1"/>
        <w:spacing w:before="94"/>
      </w:pPr>
      <w:r>
        <w:rPr/>
        <w:pict>
          <v:group style="position:absolute;margin-left:75.239998pt;margin-top:-230.1203pt;width:322.1pt;height:166.45pt;mso-position-horizontal-relative:page;mso-position-vertical-relative:paragraph;z-index:-254934016" coordorigin="1505,-4602" coordsize="6442,3329">
            <v:line style="position:absolute" from="7901,-4595" to="7901,-1281" stroked="true" strokeweight=".78pt" strokecolor="#000000">
              <v:stroke dashstyle="solid"/>
            </v:line>
            <v:shape style="position:absolute;left:7902;top:-4603;width:45;height:3329" coordorigin="7902,-4602" coordsize="45,3329" path="m7946,-1288l7902,-1288,7902,-1274,7946,-1274,7946,-1288m7946,-1768l7902,-1768,7902,-1754,7946,-1754,7946,-1768m7946,-2234l7902,-2234,7902,-2218,7946,-2218,7946,-2234m7946,-2714l7902,-2714,7902,-2698,7946,-2698,7946,-2714m7946,-3178l7902,-3178,7902,-3162,7946,-3162,7946,-3178m7946,-3658l7902,-3658,7902,-3642,7946,-3642,7946,-3658m7946,-4138l7902,-4138,7902,-4122,7946,-4122,7946,-4138m7946,-4602l7902,-4602,7902,-4588,7946,-4588,7946,-4602e" filled="true" fillcolor="#000000" stroked="false">
              <v:path arrowok="t"/>
              <v:fill type="solid"/>
            </v:shape>
            <v:line style="position:absolute" from="1512,-2706" to="7902,-2706" stroked="true" strokeweight=".78pt" strokecolor="#000000">
              <v:stroke dashstyle="solid"/>
            </v:line>
            <v:shape style="position:absolute;left:1504;top:-2706;width:6345;height:60" coordorigin="1505,-2705" coordsize="6345,60" path="m1520,-2705l1505,-2705,1505,-2645,1520,-2645,1520,-2705m2420,-2705l2405,-2705,2405,-2645,2420,-2645,2420,-2705m3335,-2705l3319,-2705,3319,-2645,3335,-2645,3335,-2705m4235,-2705l4219,-2705,4219,-2645,4235,-2645,4235,-2705m5135,-2705l5119,-2705,5119,-2645,5135,-2645,5135,-2705m6049,-2705l6035,-2705,6035,-2645,6049,-2645,6049,-2705m6949,-2705l6934,-2705,6934,-2645,6949,-2645,6949,-2705m7849,-2705l7834,-2705,7834,-2645,7849,-2645,7849,-2705e" filled="true" fillcolor="#000000" stroked="false">
              <v:path arrowok="t"/>
              <v:fill type="solid"/>
            </v:shape>
            <v:shape style="position:absolute;left:1520;top:-4463;width:6359;height:2860" coordorigin="1520,-4462" coordsize="6359,2860" path="m5135,-1606l5135,-1602,5137,-1604,5135,-1606xm5239,-2222l5209,-2222,5140,-1645,5161,-1622,5137,-1604,5138,-1602,5165,-1602,5237,-2202,5225,-2202,5239,-2222xm5140,-1645l5135,-1606,5137,-1604,5161,-1622,5140,-1645xm5014,-1942l4985,-1942,5060,-1702,5060,-1682,5063,-1682,5135,-1606,5140,-1645,5086,-1702,5089,-1702,5014,-1942xm4098,-1982l4072,-1982,4146,-1842,4222,-1682,4247,-1682,4249,-1702,4220,-1702,4231,-1738,4172,-1862,4098,-1982xm4231,-1738l4220,-1702,4248,-1702,4231,-1738xm4314,-1962l4302,-1962,4297,-1942,4295,-1942,4231,-1738,4248,-1702,4249,-1702,4310,-1897,4296,-1922,4321,-1941,4320,-1942,4314,-1962xm7345,-1782l7326,-1742,7331,-1722,7350,-1722,7352,-1742,7353,-1744,7345,-1782xm7114,-4302l7092,-4175,7159,-3162,7234,-2142,7234,-2122,7235,-2122,7325,-1742,7326,-1742,7345,-1782,7264,-2142,7189,-3162,7114,-4302xm7353,-1744l7352,-1742,7354,-1742,7353,-1744xm7654,-3462l7625,-3462,7549,-3082,7474,-2462,7399,-1902,7400,-1902,7345,-1782,7353,-1744,7428,-1882,7429,-1882,7504,-2462,7579,-3082,7636,-3357,7624,-3442,7656,-3442,7654,-3462xm4370,-1786l4369,-1782,4371,-1784,4370,-1786xm4520,-2502l4445,-2222,4379,-1837,4398,-1802,4371,-1784,4372,-1782,4399,-1782,4475,-2222,4533,-2441,4520,-2502xm4379,-1837l4370,-1786,4371,-1784,4398,-1802,4379,-1837xm4322,-1938l4310,-1897,4370,-1786,4379,-1837,4322,-1938xm4321,-1941l4296,-1922,4310,-1897,4322,-1938,4321,-1941xm4865,-2882l4849,-2725,4909,-2062,4912,-2062,4986,-1922,4985,-1942,5012,-1942,4938,-2082,4939,-2082,4865,-2882xm4324,-1942l4321,-1941,4322,-1938,4324,-1942xm4835,-2882l4759,-2142,4762,-2142,4701,-2014,4711,-2002,4687,-1983,4688,-1982,4691,-1962,4711,-1962,4712,-1982,4788,-2122,4789,-2122,4849,-2725,4835,-2882xm3905,-2782l3874,-2782,3871,-2772,3926,-2742,3920,-2742,3995,-2302,4070,-1982,4099,-1982,4025,-2322,3949,-2742,3949,-2762,3942,-2762,3905,-2782xm4687,-1984l4686,-1982,4687,-1983,4687,-1984xm4701,-2014l4687,-1984,4687,-1983,4711,-2002,4701,-2014xm4549,-2502l4533,-2441,4610,-2062,4613,-2062,4687,-1984,4701,-2014,4636,-2082,4639,-2082,4549,-2502xm5539,-2402l5523,-2341,5585,-2062,5614,-2062,5619,-2082,5585,-2082,5600,-2140,5539,-2402xm5600,-2140l5585,-2082,5614,-2082,5600,-2140xm5914,-2982l5886,-2982,5810,-2802,5816,-2802,5742,-2762,5735,-2762,5735,-2742,5660,-2362,5600,-2140,5614,-2082,5619,-2082,5689,-2362,5764,-2742,5758,-2742,5832,-2782,5838,-2782,5898,-2925,5885,-2962,5920,-2962,5914,-2982xm5396,-2302l5386,-2302,5368,-2284,5436,-2122,5464,-2122,5469,-2142,5435,-2142,5447,-2183,5396,-2302xm5447,-2183l5435,-2142,5464,-2142,5447,-2183xm5510,-2400l5447,-2183,5464,-2142,5469,-2142,5523,-2341,5510,-2400xm6203,-2292l6185,-2183,6185,-2162,6212,-2162,6214,-2182,6203,-2292xm6064,-3582l6051,-3439,6109,-2922,6185,-2182,6203,-2292,6139,-2922,6064,-3582xm6353,-3282l6347,-3282,6343,-3262,6335,-3262,6259,-2642,6203,-2292,6214,-2182,6289,-2642,6360,-3233,6342,-3242,6361,-3260,6356,-3262,6353,-3282xm5239,-2222l5225,-2202,5237,-2202,5239,-2222xm5388,-2322l5363,-2322,5288,-2242,5216,-2242,5210,-2222,5239,-2222,5237,-2202,5308,-2202,5311,-2222,5368,-2284,5360,-2302,5396,-2302,5388,-2322xm5386,-2302l5360,-2302,5368,-2284,5386,-2302xm5538,-2422l5512,-2422,5510,-2402,5510,-2400,5523,-2341,5539,-2402,5538,-2422xm5510,-2402l5509,-2402,5510,-2400,5510,-2402xm4548,-2522l4522,-2522,4520,-2502,4533,-2441,4549,-2502,4548,-2522xm2149,-3262l2134,-3185,2195,-2842,2270,-2602,2272,-2582,2278,-2582,2352,-2542,2368,-2542,2405,-2562,2352,-2562,2360,-2567,2293,-2602,2299,-2602,2225,-2842,2149,-3262xm3723,-2701l3725,-2682,3696,-2682,3772,-2542,3799,-2542,3805,-2562,3770,-2562,3780,-2595,3723,-2701xm2360,-2567l2352,-2562,2368,-2562,2360,-2567xm2495,-3162l2420,-2602,2428,-2602,2360,-2567,2368,-2562,2405,-2562,2442,-2582,2449,-2582,2449,-2602,2512,-3067,2495,-3162xm3780,-2595l3770,-2562,3798,-2562,3780,-2595xm3868,-2802l3845,-2802,3780,-2595,3798,-2562,3805,-2562,3871,-2772,3852,-2782,3905,-2782,3868,-2802xm2649,-2679l2645,-2645,2647,-2642,2651,-2622,2670,-2622,2674,-2642,2672,-2642,2649,-2679xm2824,-2642l2796,-2642,2802,-2622,2818,-2622,2824,-2642xm3487,-2730l3470,-2642,3476,-2622,3492,-2622,3498,-2642,3499,-2642,3487,-2730xm2645,-2645l2645,-2642,2647,-2642,2645,-2645xm2720,-3262l2649,-2679,2672,-2642,2675,-2642,2735,-3142,2720,-3262xm2749,-3262l2735,-3142,2795,-2642,2810,-2765,2749,-3262xm2810,-2765l2795,-2642,2825,-2642,2810,-2765xm3020,-4262l2945,-3642,2870,-3262,2810,-2765,2825,-2642,2899,-3262,2975,-3642,3034,-4133,3020,-4262xm3349,-3542l3334,-3473,3395,-3162,3470,-2642,3487,-2730,3425,-3162,3349,-3542xm3649,-3462l3620,-3462,3545,-3042,3487,-2730,3499,-2642,3575,-3022,3630,-3334,3619,-3442,3651,-3442,3649,-3462xm2597,-2762l2599,-2742,2573,-2742,2645,-2645,2649,-2679,2597,-2762xm3651,-3442l3649,-3442,3630,-3334,3695,-2682,3725,-2682,3722,-2702,3723,-2702,3651,-3442xm3722,-2702l3725,-2682,3723,-2701,3722,-2702xm3723,-2702l3722,-2702,3723,-2701,3723,-2702xm4858,-2902l4842,-2902,4835,-2882,4849,-2725,4865,-2882,4864,-2882,4858,-2902xm2525,-3162l2512,-3067,2570,-2742,2599,-2742,2525,-3162xm5960,-2751l5959,-2742,5962,-2744,5960,-2751xm6035,-3582l5967,-2825,5988,-2762,5962,-2744,5963,-2742,5989,-2742,6051,-3439,6035,-3582xm5967,-2825l5960,-2751,5962,-2744,5988,-2762,5967,-2825xm5920,-2962l5914,-2962,5898,-2926,5898,-2925,5960,-2751,5967,-2825,5920,-2962xm3874,-2782l3852,-2782,3871,-2772,3874,-2782xm2074,-2882l1973,-2882,1979,-2862,2068,-2862,2074,-2882xm1837,-3862l1831,-3862,1808,-3837,1880,-3162,1970,-2882,1999,-2882,1985,-2902,1993,-2902,1915,-3162,1910,-3162,1837,-3862xm1993,-2902l1985,-2902,1999,-2882,1993,-2902xm2049,-2902l1993,-2902,1999,-2882,2045,-2882,2049,-2902xm2120,-3262l2045,-2882,2060,-2902,2079,-2902,2134,-3185,2120,-3262xm2079,-2902l2060,-2902,2045,-2882,2075,-2882,2079,-2902xm7656,-3442l7654,-3442,7636,-3357,7699,-2922,7722,-2922,7726,-2925,7706,-2942,7725,-2952,7656,-3442xm7729,-2926l7726,-2925,7729,-2922,7729,-2926xm7725,-2952l7706,-2942,7726,-2925,7729,-2926,7725,-2952xm5914,-2962l5885,-2962,5898,-2925,5914,-2962xm7873,-4182l7856,-4182,7849,-4162,7774,-2982,7781,-2982,7725,-2952,7729,-2926,7796,-2962,7804,-2962,7804,-2982,7879,-4162,7873,-4182xm6363,-3259l6360,-3233,6416,-3202,6410,-3202,6485,-2962,6514,-2962,6519,-2982,6485,-2982,6498,-3032,6438,-3222,6432,-3222,6363,-3259xm6498,-3032l6485,-2982,6514,-2982,6498,-3032xm6662,-3602l6636,-3602,6635,-3582,6559,-3262,6498,-3032,6514,-2982,6519,-2982,6589,-3262,6655,-3547,6636,-3582,6673,-3582,6662,-3602xm2524,-3182l2496,-3182,2495,-3162,2512,-3067,2525,-3162,2524,-3182xm2749,-3262l2720,-3262,2735,-3142,2749,-3262xm1909,-3182l1910,-3162,1915,-3162,1909,-3182xm2149,-3262l2120,-3262,2134,-3185,2149,-3262xm3170,-3542l3245,-3202,3275,-3202,3279,-3222,3245,-3222,3260,-3286,3204,-3522,3185,-3522,3170,-3542xm6673,-3582l6664,-3582,6655,-3547,6712,-3442,6710,-3442,6785,-3202,6812,-3202,6822,-3222,6786,-3222,6803,-3255,6738,-3462,6737,-3462,6673,-3582xm3260,-3286l3245,-3222,3275,-3222,3260,-3286xm3320,-3542l3260,-3286,3275,-3222,3279,-3222,3334,-3473,3320,-3542xm6803,-3255l6786,-3222,6814,-3222,6803,-3255xm6888,-3362l6860,-3362,6803,-3255,6814,-3222,6822,-3222,6888,-3362xm6361,-3260l6342,-3242,6360,-3233,6363,-3259,6361,-3260xm6364,-3262l6361,-3260,6363,-3259,6364,-3262xm2128,-3282l2122,-3262,2135,-3262,2128,-3282xm3649,-3442l3619,-3442,3630,-3334,3649,-3442xm7654,-3442l7624,-3442,7636,-3357,7654,-3442xm7084,-4298l7009,-3882,7010,-3882,6935,-3702,6859,-3362,6889,-3362,6964,-3682,6962,-3682,7038,-3862,7039,-3862,7092,-4175,7084,-4298xm6064,-3602l6035,-3602,6035,-3582,6051,-3439,6064,-3582,6064,-3602xm3348,-3562l3322,-3562,3320,-3542,3334,-3473,3349,-3542,3348,-3562xm3170,-3542l3096,-3542,3102,-3522,3175,-3522,3170,-3542xm3198,-3562l3123,-3562,3125,-3542,3170,-3542,3185,-3522,3204,-3522,3199,-3542,3198,-3562xm3049,-4262l3034,-4133,3095,-3542,3125,-3542,3109,-3562,3123,-3562,3049,-4262xm3123,-3562l3109,-3562,3125,-3542,3123,-3562xm6664,-3582l6636,-3582,6655,-3547,6664,-3582xm1535,-4442l1523,-4375,1580,-4202,1655,-3682,1681,-3682,1696,-3702,1658,-3702,1681,-3727,1610,-4202,1609,-4202,1535,-4442xm1681,-3727l1658,-3702,1685,-3702,1681,-3727xm1835,-3882l1808,-3882,1734,-3782,1681,-3727,1685,-3702,1696,-3702,1757,-3782,1808,-3837,1805,-3862,1837,-3862,1835,-3882xm1831,-3862l1805,-3862,1808,-3837,1831,-3862xm3042,-4282l3028,-4282,3020,-4262,3034,-4133,3049,-4262,3042,-4282xm7114,-4322l7086,-4322,7085,-4302,7084,-4298,7092,-4175,7114,-4302,7114,-4322xm7085,-4302l7084,-4302,7084,-4298,7085,-4302xm1520,-4382l1520,-4362,1523,-4375,1520,-4382xm1532,-4462l1520,-4462,1520,-4382,1523,-4375,1535,-4442,1532,-4462xe" filled="true" fillcolor="#333399" stroked="false">
              <v:path arrowok="t"/>
              <v:fill type="solid"/>
            </v:shape>
            <w10:wrap type="none"/>
          </v:group>
        </w:pict>
      </w:r>
      <w:r>
        <w:rPr/>
        <w:t>Policy lessons and implications</w:t>
      </w:r>
    </w:p>
    <w:p>
      <w:pPr>
        <w:pStyle w:val="BodyText"/>
        <w:rPr>
          <w:b/>
          <w:sz w:val="22"/>
        </w:rPr>
      </w:pPr>
    </w:p>
    <w:p>
      <w:pPr>
        <w:pStyle w:val="BodyText"/>
        <w:spacing w:before="10"/>
        <w:rPr>
          <w:b/>
          <w:sz w:val="17"/>
        </w:rPr>
      </w:pPr>
    </w:p>
    <w:p>
      <w:pPr>
        <w:pStyle w:val="BodyText"/>
        <w:spacing w:line="360" w:lineRule="auto"/>
        <w:ind w:left="233" w:right="132"/>
      </w:pPr>
      <w:r>
        <w:rPr/>
        <w:t>The picture I have described is one in which global factors have a significant bearing on UK inflation and growth.  But I have also argued that domestic economic policy can exert a powerful countervailing influence if required. Monetary policy cannot eliminate short-term volatility in terms of growth or inflation. But it can ensure</w:t>
      </w:r>
      <w:r>
        <w:rPr>
          <w:spacing w:val="-3"/>
        </w:rPr>
        <w:t> </w:t>
      </w:r>
      <w:r>
        <w:rPr/>
        <w:t>medium-term</w:t>
      </w:r>
      <w:r>
        <w:rPr>
          <w:spacing w:val="-3"/>
        </w:rPr>
        <w:t> </w:t>
      </w:r>
      <w:r>
        <w:rPr/>
        <w:t>price</w:t>
      </w:r>
      <w:r>
        <w:rPr>
          <w:spacing w:val="-4"/>
        </w:rPr>
        <w:t> </w:t>
      </w:r>
      <w:r>
        <w:rPr/>
        <w:t>stability,</w:t>
      </w:r>
      <w:r>
        <w:rPr>
          <w:spacing w:val="-3"/>
        </w:rPr>
        <w:t> </w:t>
      </w:r>
      <w:r>
        <w:rPr/>
        <w:t>through</w:t>
      </w:r>
      <w:r>
        <w:rPr>
          <w:spacing w:val="-3"/>
        </w:rPr>
        <w:t> </w:t>
      </w:r>
      <w:r>
        <w:rPr/>
        <w:t>its</w:t>
      </w:r>
      <w:r>
        <w:rPr>
          <w:spacing w:val="-2"/>
        </w:rPr>
        <w:t> </w:t>
      </w:r>
      <w:r>
        <w:rPr/>
        <w:t>influence</w:t>
      </w:r>
      <w:r>
        <w:rPr>
          <w:spacing w:val="-2"/>
        </w:rPr>
        <w:t> </w:t>
      </w:r>
      <w:r>
        <w:rPr/>
        <w:t>on</w:t>
      </w:r>
      <w:r>
        <w:rPr>
          <w:spacing w:val="-3"/>
        </w:rPr>
        <w:t> </w:t>
      </w:r>
      <w:r>
        <w:rPr/>
        <w:t>the</w:t>
      </w:r>
      <w:r>
        <w:rPr>
          <w:spacing w:val="-3"/>
        </w:rPr>
        <w:t> </w:t>
      </w:r>
      <w:r>
        <w:rPr/>
        <w:t>exchange</w:t>
      </w:r>
      <w:r>
        <w:rPr>
          <w:spacing w:val="-3"/>
        </w:rPr>
        <w:t> </w:t>
      </w:r>
      <w:r>
        <w:rPr/>
        <w:t>rate,</w:t>
      </w:r>
      <w:r>
        <w:rPr>
          <w:spacing w:val="-3"/>
        </w:rPr>
        <w:t> </w:t>
      </w:r>
      <w:r>
        <w:rPr/>
        <w:t>the</w:t>
      </w:r>
      <w:r>
        <w:rPr>
          <w:spacing w:val="-3"/>
        </w:rPr>
        <w:t> </w:t>
      </w:r>
      <w:r>
        <w:rPr/>
        <w:t>level</w:t>
      </w:r>
      <w:r>
        <w:rPr>
          <w:spacing w:val="-2"/>
        </w:rPr>
        <w:t> </w:t>
      </w:r>
      <w:r>
        <w:rPr/>
        <w:t>of</w:t>
      </w:r>
      <w:r>
        <w:rPr>
          <w:spacing w:val="-3"/>
        </w:rPr>
        <w:t> </w:t>
      </w:r>
      <w:r>
        <w:rPr/>
        <w:t>demand</w:t>
      </w:r>
      <w:r>
        <w:rPr>
          <w:spacing w:val="-3"/>
        </w:rPr>
        <w:t> </w:t>
      </w:r>
      <w:r>
        <w:rPr/>
        <w:t>and</w:t>
      </w:r>
      <w:r>
        <w:rPr>
          <w:spacing w:val="-3"/>
        </w:rPr>
        <w:t> </w:t>
      </w:r>
      <w:r>
        <w:rPr/>
        <w:t>price</w:t>
      </w:r>
    </w:p>
    <w:p>
      <w:pPr>
        <w:spacing w:after="0" w:line="360" w:lineRule="auto"/>
        <w:sectPr>
          <w:pgSz w:w="11900" w:h="16840"/>
          <w:pgMar w:header="0" w:footer="1340" w:top="1360" w:bottom="1540" w:left="900" w:right="1020"/>
        </w:sectPr>
      </w:pPr>
    </w:p>
    <w:p>
      <w:pPr>
        <w:pStyle w:val="BodyText"/>
        <w:spacing w:line="360" w:lineRule="auto" w:before="77"/>
        <w:ind w:left="234" w:right="191"/>
      </w:pPr>
      <w:r>
        <w:rPr/>
        <w:t>expectations. That, in turn, provides a sound platform for sustained economic growth, though in the context of major global shocks we cannot guarantee that growth will always be steady and smooth.</w:t>
      </w:r>
    </w:p>
    <w:p>
      <w:pPr>
        <w:pStyle w:val="BodyText"/>
        <w:spacing w:before="11"/>
        <w:rPr>
          <w:sz w:val="29"/>
        </w:rPr>
      </w:pPr>
    </w:p>
    <w:p>
      <w:pPr>
        <w:pStyle w:val="BodyText"/>
        <w:spacing w:line="360" w:lineRule="auto"/>
        <w:ind w:left="233" w:right="109"/>
      </w:pPr>
      <w:r>
        <w:rPr/>
        <w:t>In the analysis I have set out I have made relatively little mention of the domestic “output gap”, because I find this a rather narrow way of thinking about how the demand climate affects inflation in an open economy like the UK. The margin of spare capacity in the domestic economy, which output gap measures seek to capture, can have a bearing on inflation processes. But it is only one element of the way in which the demand climate affects inflation. The growth of domestic demand, global demand and the global capacity gap are also significant for an open economy like the UK. And looking beyond demand, the global inflation climate, the exchange rate and inflation expectations are also significant influences on our inflation rate, not just in the short-term but in the medium-term too.</w:t>
      </w:r>
    </w:p>
    <w:p>
      <w:pPr>
        <w:pStyle w:val="BodyText"/>
        <w:spacing w:before="1"/>
        <w:rPr>
          <w:sz w:val="30"/>
        </w:rPr>
      </w:pPr>
    </w:p>
    <w:p>
      <w:pPr>
        <w:pStyle w:val="BodyText"/>
        <w:spacing w:line="360" w:lineRule="auto"/>
        <w:ind w:left="233" w:right="107"/>
      </w:pPr>
      <w:r>
        <w:rPr/>
        <w:t>The downward impact on inflation of spare capacity in the domestic economy is likely to be most noticeable in the recession or immediately after it. However, we have not seen much evidence so far that the margin of spare capacity is bearing down significantly on UK inflation. Our target measure of inflation – the consumer prices index – has continued to run above the 2% level despite forecasts that it would be driven below target by the recession. And it looks set to rise further this year. There are many explanations for above-target inflation, including the impact of the exchange rate and one-off price shocks.  But other evidence points to the conclusion that the margin of spare capacity as we emerge from recession is less than simple models would suggest. This is perhaps not surprising, as estimates of the level of GDP and its trend rate of growth – which are key inputs into measures of the “output gap” – are notoriously prone to revision, particularly</w:t>
      </w:r>
      <w:r>
        <w:rPr>
          <w:spacing w:val="-26"/>
        </w:rPr>
        <w:t> </w:t>
      </w:r>
      <w:r>
        <w:rPr/>
        <w:t>around the time of recessions.</w:t>
      </w:r>
      <w:r>
        <w:rPr>
          <w:vertAlign w:val="superscript"/>
        </w:rPr>
        <w:t>11</w:t>
      </w:r>
      <w:r>
        <w:rPr>
          <w:vertAlign w:val="baseline"/>
        </w:rPr>
        <w:t> And many business surveys – such as the CBI Industrial Trends Survey – suggest that the margin of spare capacity within firms is already back in line with historical norms. The rate of unemployment has not risen as sharply as after the recessions of the 1980s and the 1990s, when it had reached over 10% at this stage of the cycle. This better employment performance is welcome, but it means there is less slack in the labour market than coming out of previous recessions, with a heightened risk that wage increases will pick up with the</w:t>
      </w:r>
      <w:r>
        <w:rPr>
          <w:spacing w:val="-9"/>
          <w:vertAlign w:val="baseline"/>
        </w:rPr>
        <w:t> </w:t>
      </w:r>
      <w:r>
        <w:rPr>
          <w:vertAlign w:val="baseline"/>
        </w:rPr>
        <w:t>recovery.</w:t>
      </w:r>
    </w:p>
    <w:p>
      <w:pPr>
        <w:pStyle w:val="BodyText"/>
        <w:spacing w:before="10"/>
        <w:rPr>
          <w:sz w:val="29"/>
        </w:rPr>
      </w:pPr>
    </w:p>
    <w:p>
      <w:pPr>
        <w:pStyle w:val="BodyText"/>
        <w:spacing w:line="360" w:lineRule="auto" w:before="1"/>
        <w:ind w:left="233" w:right="178"/>
      </w:pPr>
      <w:r>
        <w:rPr/>
        <w:t>The UK Monetary Policy Committee quite rightly has an emphasis on the medium-term, and trying to look through short-term disturbances to inflation. I think this is entirely correct, but it would be a mistake to label all the global factors affecting inflation as one-off short-term disturbances and to see the medium-term influences purely in terms of domestic factors, such as the rate of growth of domestic money supply or wage growth. The UK economy is sufficiently open to international influences that our inflation outlook can never be purely a product of domestic factors. Properly taking into account the influence of the international economy is the key to the art of successful management of UK monetary policy.</w:t>
      </w:r>
    </w:p>
    <w:p>
      <w:pPr>
        <w:pStyle w:val="BodyText"/>
      </w:pPr>
    </w:p>
    <w:p>
      <w:pPr>
        <w:pStyle w:val="BodyText"/>
      </w:pPr>
    </w:p>
    <w:p>
      <w:pPr>
        <w:pStyle w:val="BodyText"/>
        <w:spacing w:before="7"/>
        <w:rPr>
          <w:sz w:val="28"/>
        </w:rPr>
      </w:pPr>
      <w:r>
        <w:rPr/>
        <w:pict>
          <v:shape style="position:absolute;margin-left:56.700001pt;margin-top:18.693119pt;width:144pt;height:.1pt;mso-position-horizontal-relative:page;mso-position-vertical-relative:paragraph;z-index:-251637760;mso-wrap-distance-left:0;mso-wrap-distance-right:0" coordorigin="1134,374" coordsize="2880,0" path="m1134,374l4014,374e" filled="false" stroked="true" strokeweight=".48001pt" strokecolor="#000000">
            <v:path arrowok="t"/>
            <v:stroke dashstyle="solid"/>
            <w10:wrap type="topAndBottom"/>
          </v:shape>
        </w:pict>
      </w:r>
    </w:p>
    <w:p>
      <w:pPr>
        <w:pStyle w:val="ListParagraph"/>
        <w:numPr>
          <w:ilvl w:val="0"/>
          <w:numId w:val="1"/>
        </w:numPr>
        <w:tabs>
          <w:tab w:pos="457" w:val="left" w:leader="none"/>
        </w:tabs>
        <w:spacing w:line="240" w:lineRule="auto" w:before="56" w:after="0"/>
        <w:ind w:left="233" w:right="311" w:firstLine="0"/>
        <w:jc w:val="left"/>
        <w:rPr>
          <w:sz w:val="16"/>
        </w:rPr>
      </w:pPr>
      <w:r>
        <w:rPr>
          <w:sz w:val="16"/>
        </w:rPr>
        <w:t>The picture of the early 1990s recession and early recovery has altered significantly with data revisions. The real-time data show</w:t>
      </w:r>
      <w:r>
        <w:rPr>
          <w:spacing w:val="-23"/>
          <w:sz w:val="16"/>
        </w:rPr>
        <w:t> </w:t>
      </w:r>
      <w:r>
        <w:rPr>
          <w:sz w:val="16"/>
        </w:rPr>
        <w:t>a level of output around two-and-a-half years after the peak much closer to the comparable level in the early 1980s and in the 2008/9 recession, with a bigger fall in GDP during the recession and a slower</w:t>
      </w:r>
      <w:r>
        <w:rPr>
          <w:spacing w:val="-2"/>
          <w:sz w:val="16"/>
        </w:rPr>
        <w:t> </w:t>
      </w:r>
      <w:r>
        <w:rPr>
          <w:sz w:val="16"/>
        </w:rPr>
        <w:t>recovery.</w:t>
      </w:r>
    </w:p>
    <w:p>
      <w:pPr>
        <w:spacing w:after="0" w:line="240" w:lineRule="auto"/>
        <w:jc w:val="left"/>
        <w:rPr>
          <w:sz w:val="16"/>
        </w:rPr>
        <w:sectPr>
          <w:pgSz w:w="11900" w:h="16840"/>
          <w:pgMar w:header="0" w:footer="1340" w:top="1360" w:bottom="1540" w:left="900" w:right="1020"/>
        </w:sectPr>
      </w:pPr>
    </w:p>
    <w:p>
      <w:pPr>
        <w:pStyle w:val="BodyText"/>
        <w:spacing w:line="360" w:lineRule="auto" w:before="77"/>
        <w:ind w:left="233" w:right="121"/>
      </w:pPr>
      <w:r>
        <w:rPr/>
        <w:t>In my analysis, I have also highlighted the importance of the exchange rate in the transmission of global shocks to the UK economy, and as a potential countervailing influence to global inflationary pressures. We have experienced attempts in the past to stabilise UK monetary conditions through an exchange rate link to another currency – the US dollar in the 1950s and 1960s and the Deutsche Mark, from the mid-1980s until 1992.  This most recent period of targeting the exchange rate was not a success for the UK, and we have had much better economic performance under our own inflation target regime. But nor can we ignore the effect of a large depreciation of the exchange rate on inflation, if it feeds through into a wider perception in the business community that price increases can now be passed through more easily – not just for a while but in the future too. In this sense, the recent jump in CBI price expectations and other elevated measures of business price expectations are worrying signals. They are an indication of a change in the pricing climate which</w:t>
      </w:r>
      <w:r>
        <w:rPr>
          <w:spacing w:val="-3"/>
        </w:rPr>
        <w:t> </w:t>
      </w:r>
      <w:r>
        <w:rPr/>
        <w:t>may</w:t>
      </w:r>
      <w:r>
        <w:rPr>
          <w:spacing w:val="-2"/>
        </w:rPr>
        <w:t> </w:t>
      </w:r>
      <w:r>
        <w:rPr/>
        <w:t>make</w:t>
      </w:r>
      <w:r>
        <w:rPr>
          <w:spacing w:val="-3"/>
        </w:rPr>
        <w:t> </w:t>
      </w:r>
      <w:r>
        <w:rPr/>
        <w:t>it</w:t>
      </w:r>
      <w:r>
        <w:rPr>
          <w:spacing w:val="-2"/>
        </w:rPr>
        <w:t> </w:t>
      </w:r>
      <w:r>
        <w:rPr/>
        <w:t>more</w:t>
      </w:r>
      <w:r>
        <w:rPr>
          <w:spacing w:val="-3"/>
        </w:rPr>
        <w:t> </w:t>
      </w:r>
      <w:r>
        <w:rPr/>
        <w:t>difficult</w:t>
      </w:r>
      <w:r>
        <w:rPr>
          <w:spacing w:val="-2"/>
        </w:rPr>
        <w:t> </w:t>
      </w:r>
      <w:r>
        <w:rPr/>
        <w:t>to</w:t>
      </w:r>
      <w:r>
        <w:rPr>
          <w:spacing w:val="-3"/>
        </w:rPr>
        <w:t> </w:t>
      </w:r>
      <w:r>
        <w:rPr/>
        <w:t>achieve</w:t>
      </w:r>
      <w:r>
        <w:rPr>
          <w:spacing w:val="-2"/>
        </w:rPr>
        <w:t> </w:t>
      </w:r>
      <w:r>
        <w:rPr/>
        <w:t>low</w:t>
      </w:r>
      <w:r>
        <w:rPr>
          <w:spacing w:val="-3"/>
        </w:rPr>
        <w:t> </w:t>
      </w:r>
      <w:r>
        <w:rPr/>
        <w:t>inflation</w:t>
      </w:r>
      <w:r>
        <w:rPr>
          <w:spacing w:val="-2"/>
        </w:rPr>
        <w:t> </w:t>
      </w:r>
      <w:r>
        <w:rPr/>
        <w:t>when</w:t>
      </w:r>
      <w:r>
        <w:rPr>
          <w:spacing w:val="-3"/>
        </w:rPr>
        <w:t> </w:t>
      </w:r>
      <w:r>
        <w:rPr/>
        <w:t>some</w:t>
      </w:r>
      <w:r>
        <w:rPr>
          <w:spacing w:val="-3"/>
        </w:rPr>
        <w:t> </w:t>
      </w:r>
      <w:r>
        <w:rPr/>
        <w:t>of</w:t>
      </w:r>
      <w:r>
        <w:rPr>
          <w:spacing w:val="-3"/>
        </w:rPr>
        <w:t> </w:t>
      </w:r>
      <w:r>
        <w:rPr/>
        <w:t>the</w:t>
      </w:r>
      <w:r>
        <w:rPr>
          <w:spacing w:val="-2"/>
        </w:rPr>
        <w:t> </w:t>
      </w:r>
      <w:r>
        <w:rPr/>
        <w:t>current</w:t>
      </w:r>
      <w:r>
        <w:rPr>
          <w:spacing w:val="-2"/>
        </w:rPr>
        <w:t> </w:t>
      </w:r>
      <w:r>
        <w:rPr/>
        <w:t>price</w:t>
      </w:r>
      <w:r>
        <w:rPr>
          <w:spacing w:val="-4"/>
        </w:rPr>
        <w:t> </w:t>
      </w:r>
      <w:r>
        <w:rPr/>
        <w:t>shocks</w:t>
      </w:r>
      <w:r>
        <w:rPr>
          <w:spacing w:val="-2"/>
        </w:rPr>
        <w:t> </w:t>
      </w:r>
      <w:r>
        <w:rPr/>
        <w:t>have</w:t>
      </w:r>
      <w:r>
        <w:rPr>
          <w:spacing w:val="-3"/>
        </w:rPr>
        <w:t> </w:t>
      </w:r>
      <w:r>
        <w:rPr/>
        <w:t>passed.</w:t>
      </w:r>
    </w:p>
    <w:p>
      <w:pPr>
        <w:pStyle w:val="BodyText"/>
        <w:rPr>
          <w:sz w:val="30"/>
        </w:rPr>
      </w:pPr>
    </w:p>
    <w:p>
      <w:pPr>
        <w:pStyle w:val="BodyText"/>
        <w:spacing w:line="360" w:lineRule="auto"/>
        <w:ind w:left="234" w:right="121"/>
      </w:pPr>
      <w:r>
        <w:rPr/>
        <w:t>In my view, the MPC needs to steer a middle course when it comes to global pressures on inflation. We should be prepared to look through genuine one-off shocks. But when it is clear that global inflationary pressures, coupled with a substantial decline in the exchange rate and reasonably healthy growth of domestic demand are all contributing to a sustained period of above-target inflation, then the time has come to act. As I have argued in recent months, if we do not start to raise UK interest rates gradually soon, we risk having to do so more aggressively in the future – which could create a big shock to business and consumer confidence further down the track. The lack of a substantive policy response to persistent above-target inflation also enhances the risk of a loss of credibility in the inflation target itself and a loss of belief in the commitment of the MPC to achieving it.</w:t>
      </w:r>
    </w:p>
    <w:p>
      <w:pPr>
        <w:pStyle w:val="BodyText"/>
        <w:spacing w:before="11"/>
        <w:rPr>
          <w:sz w:val="29"/>
        </w:rPr>
      </w:pPr>
    </w:p>
    <w:p>
      <w:pPr>
        <w:pStyle w:val="BodyText"/>
        <w:spacing w:line="360" w:lineRule="auto"/>
        <w:ind w:left="234" w:right="243"/>
      </w:pPr>
      <w:r>
        <w:rPr/>
        <w:t>In the late 1990s and the early 2000s, monetary policymakers in the UK could rely on a benign global inflation climate in which a growing world economy was accompanied by falling manufactured goods prices as China and other low-cost producers made their mark in the global economy. That is no longer the world we inhabit. As I argued in a number of speeches before the global financial crisis, this global disinflationary phase came to an end in the mid-2000s. Since then, it has proved much harder to stabilise UK inflation in the face of upward pressures on inflation from the global economy, which have been reinforced by the decline in the value of the pound since 2007.</w:t>
      </w:r>
    </w:p>
    <w:p>
      <w:pPr>
        <w:pStyle w:val="BodyText"/>
        <w:rPr>
          <w:sz w:val="30"/>
        </w:rPr>
      </w:pPr>
    </w:p>
    <w:p>
      <w:pPr>
        <w:pStyle w:val="BodyText"/>
        <w:spacing w:line="360" w:lineRule="auto"/>
        <w:ind w:left="234" w:firstLine="55"/>
      </w:pPr>
      <w:r>
        <w:rPr/>
        <w:t>I believe we can steer a low inflation course through current global economic turbulence, just as monetary policy sought to counter the negative shock from the global financial crisis. But to do so, we need to be prepared to adjust the settings of policy to reflect the change in the balance of risks in the world economy, which have shifted significantly over the past eighteen months – from recession to recovery and from global deflation to global inflation.</w:t>
      </w:r>
    </w:p>
    <w:p>
      <w:pPr>
        <w:spacing w:after="0" w:line="360" w:lineRule="auto"/>
        <w:sectPr>
          <w:pgSz w:w="11900" w:h="16840"/>
          <w:pgMar w:header="0" w:footer="1340" w:top="1360" w:bottom="1540" w:left="900" w:right="1020"/>
        </w:sectPr>
      </w:pPr>
    </w:p>
    <w:p>
      <w:pPr>
        <w:pStyle w:val="BodyText"/>
        <w:spacing w:before="1"/>
        <w:rPr>
          <w:sz w:val="18"/>
        </w:rPr>
      </w:pPr>
    </w:p>
    <w:p>
      <w:pPr>
        <w:pStyle w:val="Heading1"/>
        <w:spacing w:before="95"/>
      </w:pPr>
      <w:r>
        <w:rPr/>
        <w:t>References</w:t>
      </w:r>
    </w:p>
    <w:p>
      <w:pPr>
        <w:pStyle w:val="BodyText"/>
        <w:spacing w:before="9"/>
        <w:rPr>
          <w:b/>
          <w:sz w:val="19"/>
        </w:rPr>
      </w:pPr>
    </w:p>
    <w:p>
      <w:pPr>
        <w:spacing w:before="0"/>
        <w:ind w:left="234" w:right="544" w:firstLine="0"/>
        <w:jc w:val="left"/>
        <w:rPr>
          <w:sz w:val="20"/>
        </w:rPr>
      </w:pPr>
      <w:r>
        <w:rPr>
          <w:b/>
          <w:sz w:val="20"/>
        </w:rPr>
        <w:t>Borio, C. and Filardo, A. (2007) “</w:t>
      </w:r>
      <w:r>
        <w:rPr>
          <w:sz w:val="20"/>
        </w:rPr>
        <w:t>Globalisation and inflation: New cross-country evidence on the global determinants of domestic inflation”, </w:t>
      </w:r>
      <w:r>
        <w:rPr>
          <w:i/>
          <w:sz w:val="20"/>
        </w:rPr>
        <w:t>BIS Working Paper </w:t>
      </w:r>
      <w:r>
        <w:rPr>
          <w:sz w:val="20"/>
        </w:rPr>
        <w:t>No.227.</w:t>
      </w:r>
    </w:p>
    <w:p>
      <w:pPr>
        <w:pStyle w:val="BodyText"/>
      </w:pPr>
    </w:p>
    <w:p>
      <w:pPr>
        <w:spacing w:before="0"/>
        <w:ind w:left="233" w:right="333" w:firstLine="0"/>
        <w:jc w:val="left"/>
        <w:rPr>
          <w:sz w:val="20"/>
        </w:rPr>
      </w:pPr>
      <w:r>
        <w:rPr>
          <w:b/>
          <w:sz w:val="20"/>
        </w:rPr>
        <w:t>Chinn, M. (2006) </w:t>
      </w:r>
      <w:r>
        <w:rPr>
          <w:sz w:val="20"/>
        </w:rPr>
        <w:t>“The (partial) rehabilitation of interest rate parity in the floating rate era: Longer horizons, alternative expectations, and emerging market”, </w:t>
      </w:r>
      <w:r>
        <w:rPr>
          <w:i/>
          <w:sz w:val="20"/>
        </w:rPr>
        <w:t>Journal of International Money and Finance</w:t>
      </w:r>
      <w:r>
        <w:rPr>
          <w:sz w:val="20"/>
        </w:rPr>
        <w:t>, vol. 25(1), pages 7-21, February</w:t>
      </w:r>
    </w:p>
    <w:p>
      <w:pPr>
        <w:pStyle w:val="BodyText"/>
        <w:spacing w:before="1"/>
      </w:pPr>
    </w:p>
    <w:p>
      <w:pPr>
        <w:spacing w:before="0"/>
        <w:ind w:left="234" w:right="322" w:firstLine="0"/>
        <w:jc w:val="left"/>
        <w:rPr>
          <w:sz w:val="20"/>
        </w:rPr>
      </w:pPr>
      <w:r>
        <w:rPr>
          <w:b/>
          <w:sz w:val="20"/>
        </w:rPr>
        <w:t>Chinn, M. and Meredith, G. (2004) </w:t>
      </w:r>
      <w:r>
        <w:rPr>
          <w:sz w:val="20"/>
        </w:rPr>
        <w:t>“Monetary Policy and long horizon uncovered interest rate parity”, </w:t>
      </w:r>
      <w:r>
        <w:rPr>
          <w:i/>
          <w:sz w:val="20"/>
        </w:rPr>
        <w:t>IMF </w:t>
      </w:r>
      <w:r>
        <w:rPr>
          <w:i/>
          <w:sz w:val="20"/>
        </w:rPr>
        <w:t>Staff Papers</w:t>
      </w:r>
      <w:r>
        <w:rPr>
          <w:sz w:val="20"/>
        </w:rPr>
        <w:t>, Vol. 51(3), pages 404-30.</w:t>
      </w:r>
    </w:p>
    <w:p>
      <w:pPr>
        <w:pStyle w:val="BodyText"/>
      </w:pPr>
    </w:p>
    <w:p>
      <w:pPr>
        <w:spacing w:before="0"/>
        <w:ind w:left="234" w:right="0" w:firstLine="0"/>
        <w:jc w:val="left"/>
        <w:rPr>
          <w:sz w:val="20"/>
        </w:rPr>
      </w:pPr>
      <w:r>
        <w:rPr>
          <w:b/>
          <w:sz w:val="20"/>
        </w:rPr>
        <w:t>Hume, M. and Sentance, A. (2009) </w:t>
      </w:r>
      <w:r>
        <w:rPr>
          <w:sz w:val="20"/>
        </w:rPr>
        <w:t>“The global credit boom: Challenges for macroeconomics and policy”,</w:t>
      </w:r>
    </w:p>
    <w:p>
      <w:pPr>
        <w:spacing w:before="0"/>
        <w:ind w:left="234" w:right="0" w:firstLine="0"/>
        <w:jc w:val="left"/>
        <w:rPr>
          <w:sz w:val="20"/>
        </w:rPr>
      </w:pPr>
      <w:r>
        <w:rPr>
          <w:i/>
          <w:sz w:val="20"/>
        </w:rPr>
        <w:t>Journal of International Money and Finance</w:t>
      </w:r>
      <w:r>
        <w:rPr>
          <w:sz w:val="20"/>
        </w:rPr>
        <w:t>, vol. 28(8), pages 1426-1461, December</w:t>
      </w:r>
    </w:p>
    <w:p>
      <w:pPr>
        <w:pStyle w:val="BodyText"/>
      </w:pPr>
    </w:p>
    <w:p>
      <w:pPr>
        <w:pStyle w:val="BodyText"/>
        <w:ind w:left="234"/>
      </w:pPr>
      <w:r>
        <w:rPr>
          <w:b/>
        </w:rPr>
        <w:t>Sentance, A. (2007) </w:t>
      </w:r>
      <w:r>
        <w:rPr/>
        <w:t>“The global economy and UK inflation” Speech at the Leeds Financial Services initiative in Leeds on 24 September 2007</w:t>
      </w:r>
    </w:p>
    <w:p>
      <w:pPr>
        <w:pStyle w:val="BodyText"/>
      </w:pPr>
    </w:p>
    <w:p>
      <w:pPr>
        <w:pStyle w:val="BodyText"/>
        <w:ind w:left="234"/>
      </w:pPr>
      <w:r>
        <w:rPr>
          <w:b/>
        </w:rPr>
        <w:t>Sentance, A. (2009a) </w:t>
      </w:r>
      <w:r>
        <w:rPr/>
        <w:t>“Monetary policy in turbulent times” Speech at the Agricultural Engineers Association Annual Conference, Institution of Civil Engineers in London on 21 April 2009</w:t>
      </w:r>
    </w:p>
    <w:p>
      <w:pPr>
        <w:pStyle w:val="BodyText"/>
      </w:pPr>
    </w:p>
    <w:p>
      <w:pPr>
        <w:pStyle w:val="BodyText"/>
        <w:ind w:left="234" w:right="121"/>
      </w:pPr>
      <w:r>
        <w:rPr>
          <w:b/>
        </w:rPr>
        <w:t>Sentance, A. (2009b) </w:t>
      </w:r>
      <w:r>
        <w:rPr/>
        <w:t>“Energy and environmental challenges in the new global economy”Speech at the British Institute of Energy Economics Sustainable Energy Seminar, London on 21 September 2009</w:t>
      </w:r>
    </w:p>
    <w:sectPr>
      <w:pgSz w:w="11900" w:h="16840"/>
      <w:pgMar w:header="0" w:footer="1340" w:top="160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953472"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4.35pt;height:13.2pt;mso-position-horizontal-relative:page;mso-position-vertical-relative:page;z-index:-254952448"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918656"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491763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1.099777pt;margin-top:771.849365pt;width:374.35pt;height:13.2pt;mso-position-horizontal-relative:page;mso-position-vertical-relative:page;z-index:-254916608"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1.179871pt;margin-top:773.048828pt;width:13.2pt;height:13.2pt;mso-position-horizontal-relative:page;mso-position-vertical-relative:page;z-index:-254915584" type="#_x0000_t202" filled="false" stroked="false">
          <v:textbox inset="0,0,0,0">
            <w:txbxContent>
              <w:p>
                <w:pPr>
                  <w:pStyle w:val="BodyText"/>
                  <w:spacing w:before="14"/>
                  <w:ind w:left="20"/>
                </w:pPr>
                <w:r>
                  <w:rPr/>
                  <w:t>13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95142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49504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365pt;width:374.35pt;height:13.2pt;mso-position-horizontal-relative:page;mso-position-vertical-relative:page;z-index:-254949376"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4948352"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94732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49463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61.099777pt;margin-top:771.849365pt;width:374.35pt;height:13.2pt;mso-position-horizontal-relative:page;mso-position-vertical-relative:page;z-index:-254945280"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4944256" type="#_x0000_t202" filled="false" stroked="false">
          <v:textbox inset="0,0,0,0">
            <w:txbxContent>
              <w:p>
                <w:pPr>
                  <w:pStyle w:val="BodyText"/>
                  <w:spacing w:before="14"/>
                  <w:ind w:left="20"/>
                </w:pPr>
                <w:r>
                  <w:rPr>
                    <w:w w:val="100"/>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94323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49422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61.099777pt;margin-top:771.849365pt;width:374.35pt;height:13.2pt;mso-position-horizontal-relative:page;mso-position-vertical-relative:page;z-index:-254941184"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4940160" type="#_x0000_t202" filled="false" stroked="false">
          <v:textbox inset="0,0,0,0">
            <w:txbxContent>
              <w:p>
                <w:pPr>
                  <w:pStyle w:val="BodyText"/>
                  <w:spacing w:before="14"/>
                  <w:ind w:left="20"/>
                </w:pPr>
                <w:r>
                  <w:rPr>
                    <w:w w:val="100"/>
                  </w:rPr>
                  <w:t>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93913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49381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8</w:t>
                </w:r>
                <w:r>
                  <w:rPr/>
                  <w:fldChar w:fldCharType="end"/>
                </w:r>
              </w:p>
            </w:txbxContent>
          </v:textbox>
          <w10:wrap type="none"/>
        </v:shape>
      </w:pict>
    </w:r>
    <w:r>
      <w:rPr/>
      <w:pict>
        <v:shape style="position:absolute;margin-left:61.099777pt;margin-top:771.849365pt;width:374.35pt;height:13.2pt;mso-position-horizontal-relative:page;mso-position-vertical-relative:page;z-index:-254937088"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4936064" type="#_x0000_t202" filled="false" stroked="false">
          <v:textbox inset="0,0,0,0">
            <w:txbxContent>
              <w:p>
                <w:pPr>
                  <w:pStyle w:val="BodyText"/>
                  <w:spacing w:before="14"/>
                  <w:ind w:left="20"/>
                </w:pPr>
                <w:r>
                  <w:rPr>
                    <w:w w:val="100"/>
                  </w:rPr>
                  <w:t>8</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93504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49340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9</w:t>
                </w:r>
                <w:r>
                  <w:rPr/>
                  <w:fldChar w:fldCharType="end"/>
                </w:r>
              </w:p>
            </w:txbxContent>
          </v:textbox>
          <w10:wrap type="none"/>
        </v:shape>
      </w:pict>
    </w:r>
    <w:r>
      <w:rPr/>
      <w:pict>
        <v:shape style="position:absolute;margin-left:61.099777pt;margin-top:771.849365pt;width:374.35pt;height:13.2pt;mso-position-horizontal-relative:page;mso-position-vertical-relative:page;z-index:-254932992"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4931968" type="#_x0000_t202" filled="false" stroked="false">
          <v:textbox inset="0,0,0,0">
            <w:txbxContent>
              <w:p>
                <w:pPr>
                  <w:pStyle w:val="BodyText"/>
                  <w:spacing w:before="14"/>
                  <w:ind w:left="20"/>
                </w:pPr>
                <w:r>
                  <w:rPr>
                    <w:w w:val="100"/>
                  </w:rPr>
                  <w:t>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930944"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492992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365pt;width:374.35pt;height:13.2pt;mso-position-horizontal-relative:page;mso-position-vertical-relative:page;z-index:-254928896"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1.179871pt;margin-top:773.048828pt;width:13.2pt;height:13.2pt;mso-position-horizontal-relative:page;mso-position-vertical-relative:page;z-index:-254927872" type="#_x0000_t202" filled="false" stroked="false">
          <v:textbox inset="0,0,0,0">
            <w:txbxContent>
              <w:p>
                <w:pPr>
                  <w:pStyle w:val="BodyText"/>
                  <w:spacing w:before="14"/>
                  <w:ind w:left="20"/>
                </w:pPr>
                <w:r>
                  <w:rPr/>
                  <w:t>10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926848"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492582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71.849365pt;width:374.35pt;height:13.2pt;mso-position-horizontal-relative:page;mso-position-vertical-relative:page;z-index:-254924800"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1.179871pt;margin-top:773.048828pt;width:13.2pt;height:13.2pt;mso-position-horizontal-relative:page;mso-position-vertical-relative:page;z-index:-254923776" type="#_x0000_t202" filled="false" stroked="false">
          <v:textbox inset="0,0,0,0">
            <w:txbxContent>
              <w:p>
                <w:pPr>
                  <w:pStyle w:val="BodyText"/>
                  <w:spacing w:before="14"/>
                  <w:ind w:left="20"/>
                </w:pPr>
                <w:r>
                  <w:rPr/>
                  <w:t>11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922752"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492172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1.099777pt;margin-top:771.849365pt;width:374.35pt;height:13.2pt;mso-position-horizontal-relative:page;mso-position-vertical-relative:page;z-index:-254920704"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1.179871pt;margin-top:773.048828pt;width:13.2pt;height:13.2pt;mso-position-horizontal-relative:page;mso-position-vertical-relative:page;z-index:-254919680" type="#_x0000_t202" filled="false" stroked="false">
          <v:textbox inset="0,0,0,0">
            <w:txbxContent>
              <w:p>
                <w:pPr>
                  <w:pStyle w:val="BodyText"/>
                  <w:spacing w:before="14"/>
                  <w:ind w:left="20"/>
                </w:pPr>
                <w:r>
                  <w:rPr/>
                  <w:t>12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0"/>
      <w:numFmt w:val="decimal"/>
      <w:lvlText w:val="%1"/>
      <w:lvlJc w:val="left"/>
      <w:pPr>
        <w:ind w:left="414" w:hanging="180"/>
        <w:jc w:val="left"/>
      </w:pPr>
      <w:rPr>
        <w:rFonts w:hint="default"/>
        <w:w w:val="99"/>
        <w:position w:val="9"/>
      </w:rPr>
    </w:lvl>
    <w:lvl w:ilvl="1">
      <w:start w:val="0"/>
      <w:numFmt w:val="bullet"/>
      <w:lvlText w:val="•"/>
      <w:lvlJc w:val="left"/>
      <w:pPr>
        <w:ind w:left="420" w:hanging="180"/>
      </w:pPr>
      <w:rPr>
        <w:rFonts w:hint="default"/>
      </w:rPr>
    </w:lvl>
    <w:lvl w:ilvl="2">
      <w:start w:val="0"/>
      <w:numFmt w:val="bullet"/>
      <w:lvlText w:val="•"/>
      <w:lvlJc w:val="left"/>
      <w:pPr>
        <w:ind w:left="1482" w:hanging="180"/>
      </w:pPr>
      <w:rPr>
        <w:rFonts w:hint="default"/>
      </w:rPr>
    </w:lvl>
    <w:lvl w:ilvl="3">
      <w:start w:val="0"/>
      <w:numFmt w:val="bullet"/>
      <w:lvlText w:val="•"/>
      <w:lvlJc w:val="left"/>
      <w:pPr>
        <w:ind w:left="2544" w:hanging="180"/>
      </w:pPr>
      <w:rPr>
        <w:rFonts w:hint="default"/>
      </w:rPr>
    </w:lvl>
    <w:lvl w:ilvl="4">
      <w:start w:val="0"/>
      <w:numFmt w:val="bullet"/>
      <w:lvlText w:val="•"/>
      <w:lvlJc w:val="left"/>
      <w:pPr>
        <w:ind w:left="3606" w:hanging="180"/>
      </w:pPr>
      <w:rPr>
        <w:rFonts w:hint="default"/>
      </w:rPr>
    </w:lvl>
    <w:lvl w:ilvl="5">
      <w:start w:val="0"/>
      <w:numFmt w:val="bullet"/>
      <w:lvlText w:val="•"/>
      <w:lvlJc w:val="left"/>
      <w:pPr>
        <w:ind w:left="4668" w:hanging="180"/>
      </w:pPr>
      <w:rPr>
        <w:rFonts w:hint="default"/>
      </w:rPr>
    </w:lvl>
    <w:lvl w:ilvl="6">
      <w:start w:val="0"/>
      <w:numFmt w:val="bullet"/>
      <w:lvlText w:val="•"/>
      <w:lvlJc w:val="left"/>
      <w:pPr>
        <w:ind w:left="5731" w:hanging="180"/>
      </w:pPr>
      <w:rPr>
        <w:rFonts w:hint="default"/>
      </w:rPr>
    </w:lvl>
    <w:lvl w:ilvl="7">
      <w:start w:val="0"/>
      <w:numFmt w:val="bullet"/>
      <w:lvlText w:val="•"/>
      <w:lvlJc w:val="left"/>
      <w:pPr>
        <w:ind w:left="6793" w:hanging="180"/>
      </w:pPr>
      <w:rPr>
        <w:rFonts w:hint="default"/>
      </w:rPr>
    </w:lvl>
    <w:lvl w:ilvl="8">
      <w:start w:val="0"/>
      <w:numFmt w:val="bullet"/>
      <w:lvlText w:val="•"/>
      <w:lvlJc w:val="left"/>
      <w:pPr>
        <w:ind w:left="7855" w:hanging="1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ind w:left="233" w:hanging="18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2.png"/><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footer" Target="footer10.xml"/><Relationship Id="rId1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Sentance, External Member of the Monetary Policy Committee</dc:creator>
  <dc:subject>Speech given at the European Policy Forum in association with the City of London Corporation, The Guildhall London </dc:subject>
  <dc:title>Setting UK Monetary Policy in a Global Context</dc:title>
  <dcterms:created xsi:type="dcterms:W3CDTF">2020-06-02T18:23:54Z</dcterms:created>
  <dcterms:modified xsi:type="dcterms:W3CDTF">2020-06-02T18:23:54Z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2011-01-25T00:00:00Z</vt:filetime>
  </property>
  <property fmtid="{D5CDD505-2E9C-101B-9397-08002B2CF9AE}" pid="3" name="Creator">
    <vt:lpwstr>PScript5.dll Version 5.2.2</vt:lpwstr>
  </property>
  <property fmtid="{D5CDD505-2E9C-101B-9397-08002B2CF9AE}" pid="4" name="LastSaved">
    <vt:filetime>2020-06-02T00:00:00Z</vt:filetime>
  </property>
</Properties>
</file>