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17"/>
        </w:rPr>
      </w:pPr>
    </w:p>
    <w:p>
      <w:pPr>
        <w:spacing w:before="89"/>
        <w:ind w:left="313" w:right="0" w:firstLine="0"/>
        <w:jc w:val="left"/>
        <w:rPr>
          <w:b/>
          <w:sz w:val="32"/>
        </w:rPr>
      </w:pPr>
      <w:r>
        <w:rPr>
          <w:b/>
          <w:color w:val="6A709F"/>
          <w:sz w:val="32"/>
        </w:rPr>
        <w:t>Slack, pricing pressures and the outlook for policy</w:t>
      </w:r>
    </w:p>
    <w:p>
      <w:pPr>
        <w:spacing w:before="281"/>
        <w:ind w:left="313" w:right="0" w:firstLine="0"/>
        <w:jc w:val="left"/>
        <w:rPr>
          <w:sz w:val="24"/>
        </w:rPr>
      </w:pPr>
      <w:r>
        <w:rPr>
          <w:sz w:val="24"/>
        </w:rPr>
        <w:t>Speech given by</w:t>
      </w:r>
    </w:p>
    <w:p>
      <w:pPr>
        <w:spacing w:before="137"/>
        <w:ind w:left="313" w:right="0" w:firstLine="0"/>
        <w:jc w:val="left"/>
        <w:rPr>
          <w:sz w:val="24"/>
        </w:rPr>
      </w:pPr>
      <w:r>
        <w:rPr>
          <w:sz w:val="24"/>
        </w:rPr>
        <w:t>Ian McCafferty, External Member of the Monetary Policy Committee, Bank of England</w:t>
      </w:r>
    </w:p>
    <w:p>
      <w:pPr>
        <w:pStyle w:val="BodyText"/>
        <w:rPr>
          <w:sz w:val="26"/>
        </w:rPr>
      </w:pPr>
    </w:p>
    <w:p>
      <w:pPr>
        <w:pStyle w:val="BodyText"/>
        <w:rPr>
          <w:sz w:val="22"/>
        </w:rPr>
      </w:pPr>
    </w:p>
    <w:p>
      <w:pPr>
        <w:spacing w:line="360" w:lineRule="auto" w:before="1"/>
        <w:ind w:left="313" w:right="3833" w:firstLine="0"/>
        <w:jc w:val="left"/>
        <w:rPr>
          <w:sz w:val="24"/>
        </w:rPr>
      </w:pPr>
      <w:r>
        <w:rPr>
          <w:sz w:val="24"/>
        </w:rPr>
        <w:t>Based on remarks given in Northern Ireland on 1 April 2014 Published on 29 April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p>
    <w:p>
      <w:pPr>
        <w:pStyle w:val="BodyText"/>
        <w:spacing w:before="93"/>
        <w:ind w:left="313"/>
      </w:pPr>
      <w:r>
        <w:rPr/>
        <w:t>I would like to thank Marilyne Tolle and Evan Wohlmann for their help in preparing this speech. 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820" w:right="600"/>
          <w:pgNumType w:start="1"/>
        </w:sectPr>
      </w:pPr>
    </w:p>
    <w:p>
      <w:pPr>
        <w:pStyle w:val="BodyText"/>
        <w:spacing w:line="360" w:lineRule="auto" w:before="79"/>
        <w:ind w:left="313" w:right="551"/>
      </w:pPr>
      <w:r>
        <w:rPr/>
        <w:t>A year ago I delivered a speech entitled “The UK economy: the road ahead?” where I envisioned a moderate pickup in growth through 2013 and into 2014. I am pleased to say today that, as a policymaker behind the steering wheel, that road has felt more like a highway than a country lane. The UK economy has forged ahead over the past year, exceeding my then relatively upbeat expectations.</w:t>
      </w:r>
    </w:p>
    <w:p>
      <w:pPr>
        <w:pStyle w:val="BodyText"/>
        <w:rPr>
          <w:sz w:val="30"/>
        </w:rPr>
      </w:pPr>
    </w:p>
    <w:p>
      <w:pPr>
        <w:pStyle w:val="BodyText"/>
        <w:spacing w:line="360" w:lineRule="auto" w:before="1"/>
        <w:ind w:left="313" w:right="695"/>
      </w:pPr>
      <w:r>
        <w:rPr/>
        <w:t>The recovery – after a prolonged period of stagnation – has been striking. GDP has grown on average by 0.8% per quarter since the start of last year and almost half a million jobs have been created over that period, pushing the unemployment rate down to 6.9% in February. Inflation has declined and stood at 1.6% in March, the lowest level in more than four years and below our 2% target.</w:t>
      </w:r>
    </w:p>
    <w:p>
      <w:pPr>
        <w:pStyle w:val="BodyText"/>
        <w:spacing w:before="9"/>
        <w:rPr>
          <w:sz w:val="29"/>
        </w:rPr>
      </w:pPr>
    </w:p>
    <w:p>
      <w:pPr>
        <w:pStyle w:val="BodyText"/>
        <w:spacing w:line="360" w:lineRule="auto"/>
        <w:ind w:left="313" w:right="923"/>
      </w:pPr>
      <w:r>
        <w:rPr/>
        <w:t>But these are still early days. Despite continued buoyant growth – indeed GDP grew by 0.8% in the first quarter of this year according to this morning’s release, the current level of activity is still just shy of its pre-crisis peak, more than five years after the onset of the Great Recession. And some questions remain about quite how sustainable the recovery will prove to be. So far it has been driven largely by private</w:t>
      </w:r>
    </w:p>
    <w:p>
      <w:pPr>
        <w:pStyle w:val="BodyText"/>
        <w:spacing w:line="360" w:lineRule="auto" w:before="1"/>
        <w:ind w:left="313" w:right="574"/>
      </w:pPr>
      <w:r>
        <w:rPr/>
        <w:t>consumer spending – as is typical in the early stages of cyclical upturns – but that has reflected a decline in the private saving rate, which can only have so much further to go. The recovery in business investment, still in its infancy, will need to become more entrenched on the back of stronger demand, both domestic and foreign. And it would be nice to see a more sustained revival in net exports.</w:t>
      </w:r>
    </w:p>
    <w:p>
      <w:pPr>
        <w:pStyle w:val="BodyText"/>
        <w:spacing w:before="1"/>
        <w:rPr>
          <w:sz w:val="30"/>
        </w:rPr>
      </w:pPr>
    </w:p>
    <w:p>
      <w:pPr>
        <w:pStyle w:val="BodyText"/>
        <w:spacing w:line="360" w:lineRule="auto"/>
        <w:ind w:left="313" w:right="529"/>
      </w:pPr>
      <w:r>
        <w:rPr/>
        <w:t>It was to help sustain and secure the recovery that the Monetary Policy Committee (MPC) introduced explicit forward guidance about monetary policy last August, committing not to raise Bank Rate until we saw a period of sustained growth, rising incomes and employment – so long as there was no threat to either price or financial stability. The goal was two-fold: to prevent a premature tightening at the short end of the yield curve and to boost confidence by providing reassurance to households and businesses that they should not fear imminent increases in interest rates.</w:t>
      </w:r>
    </w:p>
    <w:p>
      <w:pPr>
        <w:pStyle w:val="BodyText"/>
        <w:rPr>
          <w:sz w:val="30"/>
        </w:rPr>
      </w:pPr>
    </w:p>
    <w:p>
      <w:pPr>
        <w:pStyle w:val="BodyText"/>
        <w:spacing w:line="360" w:lineRule="auto"/>
        <w:ind w:left="313" w:right="874"/>
      </w:pPr>
      <w:r>
        <w:rPr/>
        <w:t>Forward guidance sets out how policy will react to future economic developments, rather than setting any predetermined calendar. In particular, it sets out how we will respond, as the economy recovers, to the gradual erosion in the degree of slack – the balance between supply and demand, which is an important determinant of the degree of inflationary pressure in the economy.</w:t>
      </w:r>
    </w:p>
    <w:p>
      <w:pPr>
        <w:pStyle w:val="BodyText"/>
        <w:spacing w:before="1"/>
        <w:rPr>
          <w:sz w:val="30"/>
        </w:rPr>
      </w:pPr>
    </w:p>
    <w:p>
      <w:pPr>
        <w:pStyle w:val="BodyText"/>
        <w:spacing w:line="360" w:lineRule="auto"/>
        <w:ind w:left="313" w:right="951"/>
      </w:pPr>
      <w:r>
        <w:rPr/>
        <w:t>The state-contingent nature of our guidance is inevitable because, for all the effort put into our economic forecasts, the exact evolution of the economy remains uncertain. So the future path of interest rates will depend critically on how the economy evolves, not a predetermined amount of time elapsing.</w:t>
      </w:r>
    </w:p>
    <w:p>
      <w:pPr>
        <w:pStyle w:val="BodyText"/>
        <w:rPr>
          <w:sz w:val="30"/>
        </w:rPr>
      </w:pPr>
    </w:p>
    <w:p>
      <w:pPr>
        <w:pStyle w:val="BodyText"/>
        <w:spacing w:line="360" w:lineRule="auto"/>
        <w:ind w:left="313" w:right="518"/>
      </w:pPr>
      <w:r>
        <w:rPr/>
        <w:t>But while the economic outlook itself remains uncertain, we can provide guidance on our “reaction function” – how we will respond to the unfolding recovery – to those changes in economic slack and their associated effects on inflation, which is of course the variable we are ultimately responsible for.</w:t>
      </w:r>
    </w:p>
    <w:p>
      <w:pPr>
        <w:spacing w:after="0" w:line="360" w:lineRule="auto"/>
        <w:sectPr>
          <w:footerReference w:type="default" r:id="rId7"/>
          <w:pgSz w:w="11910" w:h="16840"/>
          <w:pgMar w:footer="1338" w:header="0" w:top="1340" w:bottom="1520" w:left="820" w:right="600"/>
          <w:pgNumType w:start="2"/>
        </w:sectPr>
      </w:pPr>
    </w:p>
    <w:p>
      <w:pPr>
        <w:pStyle w:val="BodyText"/>
        <w:spacing w:line="360" w:lineRule="auto" w:before="79"/>
        <w:ind w:left="313" w:right="537"/>
      </w:pPr>
      <w:r>
        <w:rPr/>
        <w:t>So today I would like to share my thoughts on the nexus between slack, pricing pressures and what that means for policy. I will argue that while </w:t>
      </w:r>
      <w:r>
        <w:rPr>
          <w:i/>
        </w:rPr>
        <w:t>quantitative </w:t>
      </w:r>
      <w:r>
        <w:rPr/>
        <w:t>estimates of the amount of slack are a useful guide to the direction of travel of spare capacity in the economy, the high degree of uncertainty associated with these estimates also necessitates close and direct monitoring of the </w:t>
      </w:r>
      <w:r>
        <w:rPr>
          <w:i/>
        </w:rPr>
        <w:t>pricing </w:t>
      </w:r>
      <w:r>
        <w:rPr/>
        <w:t>pressures they give rise to. As we steer the economy back towards full-capacity operation, it is crucial we watch out for incipient upward pressures in price- and wage-setting behaviour. I believe that the specific pricing signals associated with diminishing slack provide critical signposts for policymakers.</w:t>
      </w:r>
    </w:p>
    <w:p>
      <w:pPr>
        <w:pStyle w:val="BodyText"/>
        <w:spacing w:before="9"/>
        <w:rPr>
          <w:sz w:val="29"/>
        </w:rPr>
      </w:pPr>
    </w:p>
    <w:p>
      <w:pPr>
        <w:pStyle w:val="Heading1"/>
      </w:pPr>
      <w:r>
        <w:rPr/>
        <w:t>Measuring economic slack – the pitfalls of spurious accuracy</w:t>
      </w:r>
    </w:p>
    <w:p>
      <w:pPr>
        <w:pStyle w:val="BodyText"/>
        <w:spacing w:before="1"/>
        <w:rPr>
          <w:b/>
          <w:sz w:val="30"/>
        </w:rPr>
      </w:pPr>
    </w:p>
    <w:p>
      <w:pPr>
        <w:pStyle w:val="BodyText"/>
        <w:spacing w:line="360" w:lineRule="auto"/>
        <w:ind w:left="313" w:right="574"/>
      </w:pPr>
      <w:r>
        <w:rPr/>
        <w:t>Economists think of slack as the level of spare, or ‘underutilised’, capacity, arising either within companies or in the labour market.</w:t>
      </w:r>
    </w:p>
    <w:p>
      <w:pPr>
        <w:pStyle w:val="BodyText"/>
        <w:spacing w:before="3"/>
        <w:rPr>
          <w:sz w:val="30"/>
        </w:rPr>
      </w:pPr>
    </w:p>
    <w:p>
      <w:pPr>
        <w:pStyle w:val="BodyText"/>
        <w:spacing w:line="360" w:lineRule="auto"/>
        <w:ind w:left="313" w:right="695"/>
      </w:pPr>
      <w:r>
        <w:rPr/>
        <w:t>Let me deal briefly with spare capacity within firms first. As I argued in a recent speech,</w:t>
      </w:r>
      <w:r>
        <w:rPr>
          <w:vertAlign w:val="superscript"/>
        </w:rPr>
        <w:t>1</w:t>
      </w:r>
      <w:r>
        <w:rPr>
          <w:vertAlign w:val="baseline"/>
        </w:rPr>
        <w:t> business surveys suggest that companies are now operating at close to “normal” levels of capacity utilisation (shown by the position of the swathe relative to the zero line in </w:t>
      </w:r>
      <w:r>
        <w:rPr>
          <w:b/>
          <w:vertAlign w:val="baseline"/>
        </w:rPr>
        <w:t>Chart 1</w:t>
      </w:r>
      <w:r>
        <w:rPr>
          <w:vertAlign w:val="baseline"/>
        </w:rPr>
        <w:t>). Analysis of answering practices to such surveys indicates that there is a subtle difference between “normal” utilisation and absolutely full capacity,</w:t>
      </w:r>
      <w:r>
        <w:rPr>
          <w:vertAlign w:val="superscript"/>
        </w:rPr>
        <w:t>2</w:t>
      </w:r>
      <w:r>
        <w:rPr>
          <w:vertAlign w:val="baseline"/>
        </w:rPr>
        <w:t> suggesting that a modest increase in demand could still be accommodated within existing fixed capacity, without causing material upward pressure on inflation. It is also the case that a pickup in business investment, which according to recent business surveys is likely to gain pace in coming quarters, will help expand the level of available capacity. That said, there will come a point at which the more intensive utilisation of capital and labour is likely to incur higher costs, putting pressure on companies to increase wages and/or output prices. I will return to these pricing pressures in a moment.</w:t>
      </w:r>
    </w:p>
    <w:p>
      <w:pPr>
        <w:pStyle w:val="BodyText"/>
        <w:rPr>
          <w:sz w:val="30"/>
        </w:rPr>
      </w:pPr>
    </w:p>
    <w:p>
      <w:pPr>
        <w:pStyle w:val="BodyText"/>
        <w:spacing w:line="360" w:lineRule="auto"/>
        <w:ind w:left="313" w:right="574"/>
      </w:pPr>
      <w:r>
        <w:rPr/>
        <w:t>Spare capacity in the labour market is a more complex concept because it can take several forms. When we introduced the first phase of forward guidance last summer, pledging not to raise Bank Rate until unemployment fell to at least 7%, our choice of the unemployment rate as a measure of slack was dictated not just by practical concerns (unemployment is widely reported, does not get revised and is well understood by the public), but by the need to work around the large uncertainties that surround estimates of the economy’s productive potential. Using the unemployment rate as our gauge of economic slack has meant that we have not had to take strong views on the ‘productivity puzzle’ – why productivity has remained weak as activity has recovered – making policy robust to supply-side uncertainties.</w:t>
      </w:r>
    </w:p>
    <w:p>
      <w:pPr>
        <w:pStyle w:val="BodyText"/>
        <w:spacing w:before="10"/>
        <w:rPr>
          <w:sz w:val="29"/>
        </w:rPr>
      </w:pPr>
    </w:p>
    <w:p>
      <w:pPr>
        <w:pStyle w:val="BodyText"/>
        <w:spacing w:line="360" w:lineRule="auto"/>
        <w:ind w:left="313" w:right="568"/>
        <w:jc w:val="both"/>
      </w:pPr>
      <w:r>
        <w:rPr/>
        <w:t>These uncertainties remain and it is not clear to me that the sizeable fall in unemployment since last summer has yet taught us any definitive lessons about whether the weakness of productivity is likely to be permanent or not, and therefore how much spare capacity remains in the economy. Yet assessing that amount of slack,</w:t>
      </w:r>
    </w:p>
    <w:p>
      <w:pPr>
        <w:pStyle w:val="BodyText"/>
      </w:pPr>
    </w:p>
    <w:p>
      <w:pPr>
        <w:pStyle w:val="BodyText"/>
        <w:rPr>
          <w:sz w:val="29"/>
        </w:rPr>
      </w:pPr>
      <w:r>
        <w:rPr/>
        <w:pict>
          <v:shape style="position:absolute;margin-left:56.664001pt;margin-top:18.893135pt;width:144.050pt;height:.1pt;mso-position-horizontal-relative:page;mso-position-vertical-relative:paragraph;z-index:-251657216;mso-wrap-distance-left:0;mso-wrap-distance-right:0" coordorigin="1133,378" coordsize="2881,0" path="m1133,378l4014,378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1 </w:t>
      </w:r>
      <w:r>
        <w:rPr>
          <w:sz w:val="16"/>
        </w:rPr>
        <w:t>See McCafferty (2014).</w:t>
      </w:r>
    </w:p>
    <w:p>
      <w:pPr>
        <w:spacing w:line="184" w:lineRule="exact" w:before="15"/>
        <w:ind w:left="313" w:right="0" w:firstLine="0"/>
        <w:jc w:val="left"/>
        <w:rPr>
          <w:sz w:val="16"/>
        </w:rPr>
      </w:pPr>
      <w:r>
        <w:rPr>
          <w:position w:val="8"/>
          <w:sz w:val="10"/>
        </w:rPr>
        <w:t>2 </w:t>
      </w:r>
      <w:r>
        <w:rPr>
          <w:sz w:val="16"/>
        </w:rPr>
        <w:t>Analysis of the CBI Industrial Trend Survey shows that respondents deem normal capacity working to be around 84% of absolutely full capacity.</w:t>
      </w:r>
    </w:p>
    <w:p>
      <w:pPr>
        <w:spacing w:after="0" w:line="184" w:lineRule="exact"/>
        <w:jc w:val="left"/>
        <w:rPr>
          <w:sz w:val="16"/>
        </w:rPr>
        <w:sectPr>
          <w:pgSz w:w="11910" w:h="16840"/>
          <w:pgMar w:header="0" w:footer="1338" w:top="1340" w:bottom="1520" w:left="820" w:right="600"/>
        </w:sectPr>
      </w:pPr>
    </w:p>
    <w:p>
      <w:pPr>
        <w:pStyle w:val="BodyText"/>
        <w:spacing w:line="360" w:lineRule="auto" w:before="79"/>
        <w:ind w:left="313" w:right="1218"/>
      </w:pPr>
      <w:r>
        <w:rPr/>
        <w:t>the pace at which it is being eroded and the attendant effect on inflationary pressures is central to the conduct of monetary policy.</w:t>
      </w:r>
    </w:p>
    <w:p>
      <w:pPr>
        <w:pStyle w:val="BodyText"/>
        <w:spacing w:before="11"/>
        <w:rPr>
          <w:sz w:val="29"/>
        </w:rPr>
      </w:pPr>
    </w:p>
    <w:p>
      <w:pPr>
        <w:pStyle w:val="BodyText"/>
        <w:spacing w:line="360" w:lineRule="auto"/>
        <w:ind w:left="313" w:right="629"/>
      </w:pPr>
      <w:r>
        <w:rPr/>
        <w:t>That is why, in the second phase of forward guidance that came into effect this month as the unemployment rate passed 7%, the MPC expanded the range of indicators of labour market slack that we are formally monitoring. Rather than focussing on the level of unemployment and trying to assess what is happening to productivity, we are studying closely a broader range of indicators, such as the number of people entering the labour force and the number of hours people work on</w:t>
      </w:r>
      <w:r>
        <w:rPr>
          <w:spacing w:val="8"/>
        </w:rPr>
        <w:t> </w:t>
      </w:r>
      <w:r>
        <w:rPr/>
        <w:t>average.</w:t>
      </w:r>
      <w:r>
        <w:rPr>
          <w:vertAlign w:val="superscript"/>
        </w:rPr>
        <w:t>3</w:t>
      </w:r>
    </w:p>
    <w:p>
      <w:pPr>
        <w:pStyle w:val="BodyText"/>
        <w:spacing w:before="1"/>
        <w:rPr>
          <w:sz w:val="30"/>
        </w:rPr>
      </w:pPr>
    </w:p>
    <w:p>
      <w:pPr>
        <w:pStyle w:val="BodyText"/>
        <w:spacing w:line="360" w:lineRule="auto"/>
        <w:ind w:left="313" w:right="651"/>
      </w:pPr>
      <w:r>
        <w:rPr/>
        <w:t>The idea is that in addition to the pool of unemployed workers able to compete for jobs, there are also pools of potential workers that might start looking for a job, as well as underemployed workers – people who are working fewer hours than they desire e.g. part-timers wishing to work full time. They too represent a form of spare capacity, helping control pay pressures as demand</w:t>
      </w:r>
      <w:r>
        <w:rPr>
          <w:spacing w:val="-3"/>
        </w:rPr>
        <w:t> </w:t>
      </w:r>
      <w:r>
        <w:rPr/>
        <w:t>recovers.</w:t>
      </w:r>
    </w:p>
    <w:p>
      <w:pPr>
        <w:pStyle w:val="BodyText"/>
        <w:spacing w:before="11"/>
        <w:rPr>
          <w:sz w:val="29"/>
        </w:rPr>
      </w:pPr>
    </w:p>
    <w:p>
      <w:pPr>
        <w:pStyle w:val="BodyText"/>
        <w:spacing w:line="360" w:lineRule="auto"/>
        <w:ind w:left="313" w:right="674"/>
      </w:pPr>
      <w:r>
        <w:rPr/>
        <w:t>To gauge the degree of inflationary pressure coming from the labour market, these measures are assessed in relation to how far they depart from estimates of their ‘normal’ or ‘equilibrium’ levels, that is, how far unemployment is above its medium-term equilibrium level or how much average hours worked are below ‘desired’ hours.</w:t>
      </w:r>
    </w:p>
    <w:p>
      <w:pPr>
        <w:pStyle w:val="BodyText"/>
        <w:rPr>
          <w:sz w:val="30"/>
        </w:rPr>
      </w:pPr>
    </w:p>
    <w:p>
      <w:pPr>
        <w:pStyle w:val="BodyText"/>
        <w:spacing w:line="360" w:lineRule="auto"/>
        <w:ind w:left="313" w:right="819"/>
      </w:pPr>
      <w:r>
        <w:rPr/>
        <w:t>At present, these indicators suggest that the current level of slack in the economy, as reported in the February </w:t>
      </w:r>
      <w:r>
        <w:rPr>
          <w:i/>
        </w:rPr>
        <w:t>Inflation Report</w:t>
      </w:r>
      <w:r>
        <w:rPr/>
        <w:t>, is in the region of 1-1½% of GDP, suggesting that there remains some room for demand to recover further without exerting upward pressure on inflation.</w:t>
      </w:r>
    </w:p>
    <w:p>
      <w:pPr>
        <w:pStyle w:val="BodyText"/>
        <w:spacing w:before="1"/>
        <w:rPr>
          <w:sz w:val="30"/>
        </w:rPr>
      </w:pPr>
    </w:p>
    <w:p>
      <w:pPr>
        <w:pStyle w:val="BodyText"/>
        <w:spacing w:line="360" w:lineRule="auto"/>
        <w:ind w:left="313" w:right="606"/>
      </w:pPr>
      <w:r>
        <w:rPr/>
        <w:t>However, we need to recognise that there is a great deal of uncertainty around the exact level of each of the quantitative indicators of labour market slack that combine to give our estimate of available slack.</w:t>
      </w:r>
      <w:r>
        <w:rPr>
          <w:vertAlign w:val="superscript"/>
        </w:rPr>
        <w:t>4</w:t>
      </w:r>
      <w:r>
        <w:rPr>
          <w:vertAlign w:val="baseline"/>
        </w:rPr>
        <w:t> The equilibrium estimates against which current readings are compared are not directly observable. They are based on informed assumptions, for example about how likely the long-term unemployed are to find work again, or the extent to which the reported rise in ‘desired’ hours is a good proxy for the number of hours people would like to work after adjusting for cyclical factors such as the squeeze on take-home pay. And in some cases they are currently at odds with more qualitative intelligence – the Bank of England Agents’ reports of recruitment difficulty and skills shortages already point to tightening in some parts of the labour market.</w:t>
      </w:r>
    </w:p>
    <w:p>
      <w:pPr>
        <w:pStyle w:val="BodyText"/>
        <w:spacing w:before="8"/>
        <w:rPr>
          <w:sz w:val="29"/>
        </w:rPr>
      </w:pPr>
    </w:p>
    <w:p>
      <w:pPr>
        <w:pStyle w:val="BodyText"/>
        <w:spacing w:line="362" w:lineRule="auto"/>
        <w:ind w:left="313" w:right="563"/>
      </w:pPr>
      <w:r>
        <w:rPr/>
        <w:t>It is also the case that the February </w:t>
      </w:r>
      <w:r>
        <w:rPr>
          <w:i/>
        </w:rPr>
        <w:t>IR </w:t>
      </w:r>
      <w:r>
        <w:rPr/>
        <w:t>estimate of the level of slack – the 1-1½% of GDP – is a </w:t>
      </w:r>
      <w:r>
        <w:rPr>
          <w:i/>
        </w:rPr>
        <w:t>central </w:t>
      </w:r>
      <w:r>
        <w:rPr/>
        <w:t>estimate, not in any sense a statistical confidence range in the manner of the fancharts we publish on inflation and growth. If we were to take a one standard deviation range of each of the components of labour market slack, and sum the lower and upper estimates of each, we would reach a range estimate for the level</w:t>
      </w:r>
    </w:p>
    <w:p>
      <w:pPr>
        <w:pStyle w:val="BodyText"/>
        <w:spacing w:before="3"/>
        <w:rPr>
          <w:sz w:val="24"/>
        </w:rPr>
      </w:pPr>
      <w:r>
        <w:rPr/>
        <w:pict>
          <v:shape style="position:absolute;margin-left:56.664001pt;margin-top:16.179102pt;width:144.050pt;height:.1pt;mso-position-horizontal-relative:page;mso-position-vertical-relative:paragraph;z-index:-251656192;mso-wrap-distance-left:0;mso-wrap-distance-right:0" coordorigin="1133,324" coordsize="2881,0" path="m1133,324l4014,324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3 </w:t>
      </w:r>
      <w:r>
        <w:rPr>
          <w:sz w:val="16"/>
        </w:rPr>
        <w:t>See Chart 3.11 ‘Selected indicators of labour market slack’ of the February 2014 </w:t>
      </w:r>
      <w:r>
        <w:rPr>
          <w:i/>
          <w:sz w:val="16"/>
        </w:rPr>
        <w:t>Inflation Report</w:t>
      </w:r>
      <w:r>
        <w:rPr>
          <w:sz w:val="16"/>
        </w:rPr>
        <w:t>.</w:t>
      </w:r>
    </w:p>
    <w:p>
      <w:pPr>
        <w:spacing w:line="196" w:lineRule="exact" w:before="0"/>
        <w:ind w:left="313" w:right="0" w:firstLine="0"/>
        <w:jc w:val="left"/>
        <w:rPr>
          <w:sz w:val="16"/>
        </w:rPr>
      </w:pPr>
      <w:r>
        <w:rPr>
          <w:position w:val="8"/>
          <w:sz w:val="10"/>
        </w:rPr>
        <w:t>4 </w:t>
      </w:r>
      <w:r>
        <w:rPr>
          <w:sz w:val="16"/>
        </w:rPr>
        <w:t>See, for example, Weale (2014).</w:t>
      </w:r>
    </w:p>
    <w:p>
      <w:pPr>
        <w:spacing w:after="0" w:line="196" w:lineRule="exact"/>
        <w:jc w:val="left"/>
        <w:rPr>
          <w:sz w:val="16"/>
        </w:rPr>
        <w:sectPr>
          <w:footerReference w:type="default" r:id="rId8"/>
          <w:pgSz w:w="11910" w:h="16840"/>
          <w:pgMar w:footer="1338" w:header="0" w:top="1340" w:bottom="1520" w:left="820" w:right="600"/>
          <w:pgNumType w:start="4"/>
        </w:sectPr>
      </w:pPr>
    </w:p>
    <w:p>
      <w:pPr>
        <w:pStyle w:val="BodyText"/>
        <w:spacing w:line="360" w:lineRule="auto" w:before="76"/>
        <w:ind w:left="313" w:right="1006"/>
      </w:pPr>
      <w:r>
        <w:rPr/>
        <w:t>of slack of between nought and 2.5%. That is quite a wide range, and although quarterly </w:t>
      </w:r>
      <w:r>
        <w:rPr>
          <w:i/>
        </w:rPr>
        <w:t>changes </w:t>
      </w:r>
      <w:r>
        <w:rPr/>
        <w:t>in our central estimate provide a direction of travel, it leaves a good deal of uncertainty about the exact </w:t>
      </w:r>
      <w:r>
        <w:rPr>
          <w:i/>
        </w:rPr>
        <w:t>level</w:t>
      </w:r>
      <w:r>
        <w:rPr/>
        <w:t>. Moreover, even if we were able to estimate the exact level of slack with greater precision, it is still is not entirely clear, given the frictions and inflexibilities in the labour market, at what level of slack we should expect in practice to see early inflationary pressures emerging.</w:t>
      </w:r>
    </w:p>
    <w:p>
      <w:pPr>
        <w:pStyle w:val="BodyText"/>
        <w:spacing w:before="11"/>
        <w:rPr>
          <w:sz w:val="29"/>
        </w:rPr>
      </w:pPr>
    </w:p>
    <w:p>
      <w:pPr>
        <w:pStyle w:val="Heading1"/>
      </w:pPr>
      <w:r>
        <w:rPr/>
        <w:t>Pricing pressures to watch</w:t>
      </w:r>
    </w:p>
    <w:p>
      <w:pPr>
        <w:pStyle w:val="BodyText"/>
        <w:spacing w:before="3"/>
        <w:rPr>
          <w:b/>
          <w:sz w:val="30"/>
        </w:rPr>
      </w:pPr>
    </w:p>
    <w:p>
      <w:pPr>
        <w:pStyle w:val="BodyText"/>
        <w:spacing w:line="360" w:lineRule="auto"/>
        <w:ind w:left="313" w:right="596"/>
      </w:pPr>
      <w:r>
        <w:rPr/>
        <w:t>For this reason, I believe it is equally important to look directly at the indicators that might give us early signs of emerging inflationary pressures in domestic wage- and price-setting. Broadly, these fall into three categories, which I will be monitoring closely, as this is where the erosion of slack is likely to show up first:</w:t>
      </w:r>
    </w:p>
    <w:p>
      <w:pPr>
        <w:pStyle w:val="BodyText"/>
        <w:spacing w:before="2"/>
        <w:rPr>
          <w:sz w:val="30"/>
        </w:rPr>
      </w:pPr>
    </w:p>
    <w:p>
      <w:pPr>
        <w:pStyle w:val="ListParagraph"/>
        <w:numPr>
          <w:ilvl w:val="0"/>
          <w:numId w:val="1"/>
        </w:numPr>
        <w:tabs>
          <w:tab w:pos="1033" w:val="left" w:leader="none"/>
          <w:tab w:pos="1034" w:val="left" w:leader="none"/>
        </w:tabs>
        <w:spacing w:line="240" w:lineRule="auto" w:before="0" w:after="0"/>
        <w:ind w:left="1033" w:right="0" w:hanging="361"/>
        <w:jc w:val="left"/>
        <w:rPr>
          <w:sz w:val="20"/>
        </w:rPr>
      </w:pPr>
      <w:r>
        <w:rPr>
          <w:sz w:val="20"/>
        </w:rPr>
        <w:t>Wage bid and wage settlement</w:t>
      </w:r>
      <w:r>
        <w:rPr>
          <w:spacing w:val="-2"/>
          <w:sz w:val="20"/>
        </w:rPr>
        <w:t> </w:t>
      </w:r>
      <w:r>
        <w:rPr>
          <w:sz w:val="20"/>
        </w:rPr>
        <w:t>activity</w:t>
      </w:r>
    </w:p>
    <w:p>
      <w:pPr>
        <w:pStyle w:val="ListParagraph"/>
        <w:numPr>
          <w:ilvl w:val="0"/>
          <w:numId w:val="1"/>
        </w:numPr>
        <w:tabs>
          <w:tab w:pos="1033" w:val="left" w:leader="none"/>
          <w:tab w:pos="1034" w:val="left" w:leader="none"/>
        </w:tabs>
        <w:spacing w:line="240" w:lineRule="auto" w:before="113" w:after="0"/>
        <w:ind w:left="1033" w:right="0" w:hanging="361"/>
        <w:jc w:val="left"/>
        <w:rPr>
          <w:sz w:val="20"/>
        </w:rPr>
      </w:pPr>
      <w:r>
        <w:rPr>
          <w:sz w:val="20"/>
        </w:rPr>
        <w:t>Firms’ pricing behaviour and movements in profit</w:t>
      </w:r>
      <w:r>
        <w:rPr>
          <w:spacing w:val="-6"/>
          <w:sz w:val="20"/>
        </w:rPr>
        <w:t> </w:t>
      </w:r>
      <w:r>
        <w:rPr>
          <w:sz w:val="20"/>
        </w:rPr>
        <w:t>margins</w:t>
      </w:r>
    </w:p>
    <w:p>
      <w:pPr>
        <w:pStyle w:val="ListParagraph"/>
        <w:numPr>
          <w:ilvl w:val="0"/>
          <w:numId w:val="1"/>
        </w:numPr>
        <w:tabs>
          <w:tab w:pos="1033" w:val="left" w:leader="none"/>
          <w:tab w:pos="1034" w:val="left" w:leader="none"/>
        </w:tabs>
        <w:spacing w:line="240" w:lineRule="auto" w:before="115" w:after="0"/>
        <w:ind w:left="1033" w:right="0" w:hanging="361"/>
        <w:jc w:val="left"/>
        <w:rPr>
          <w:sz w:val="20"/>
        </w:rPr>
      </w:pPr>
      <w:r>
        <w:rPr>
          <w:sz w:val="20"/>
        </w:rPr>
        <w:t>Signs of firming prices early in the supply chain, such as advertising, transport and</w:t>
      </w:r>
      <w:r>
        <w:rPr>
          <w:spacing w:val="-12"/>
          <w:sz w:val="20"/>
        </w:rPr>
        <w:t> </w:t>
      </w:r>
      <w:r>
        <w:rPr>
          <w:sz w:val="20"/>
        </w:rPr>
        <w:t>distribution</w:t>
      </w:r>
    </w:p>
    <w:p>
      <w:pPr>
        <w:pStyle w:val="BodyText"/>
        <w:rPr>
          <w:sz w:val="24"/>
        </w:rPr>
      </w:pPr>
    </w:p>
    <w:p>
      <w:pPr>
        <w:spacing w:before="179"/>
        <w:ind w:left="313" w:right="0" w:firstLine="0"/>
        <w:jc w:val="left"/>
        <w:rPr>
          <w:i/>
          <w:sz w:val="20"/>
        </w:rPr>
      </w:pPr>
      <w:r>
        <w:rPr>
          <w:i/>
          <w:sz w:val="20"/>
        </w:rPr>
        <w:t>Wage negotiations and settlements</w:t>
      </w:r>
    </w:p>
    <w:p>
      <w:pPr>
        <w:pStyle w:val="BodyText"/>
        <w:rPr>
          <w:i/>
          <w:sz w:val="22"/>
        </w:rPr>
      </w:pPr>
    </w:p>
    <w:p>
      <w:pPr>
        <w:pStyle w:val="BodyText"/>
        <w:spacing w:before="1"/>
        <w:rPr>
          <w:i/>
          <w:sz w:val="18"/>
        </w:rPr>
      </w:pPr>
    </w:p>
    <w:p>
      <w:pPr>
        <w:pStyle w:val="BodyText"/>
        <w:spacing w:line="360" w:lineRule="auto"/>
        <w:ind w:left="313" w:right="579"/>
      </w:pPr>
      <w:r>
        <w:rPr/>
        <w:t>Monitoring pay pressures is particularly important at the moment. Roughly 70% of annual pay settlements take place in the period January to May, and the evidence suggests that the settlements reached in January set the tone for the rest of the year (</w:t>
      </w:r>
      <w:r>
        <w:rPr>
          <w:b/>
        </w:rPr>
        <w:t>Chart 2</w:t>
      </w:r>
      <w:r>
        <w:rPr/>
        <w:t>).</w:t>
      </w:r>
      <w:r>
        <w:rPr>
          <w:vertAlign w:val="superscript"/>
        </w:rPr>
        <w:t>5</w:t>
      </w:r>
      <w:r>
        <w:rPr>
          <w:vertAlign w:val="baseline"/>
        </w:rPr>
        <w:t> So the pickup in January settlements reported by a number of data providers certainly suggests that nominal pay is finally on the rise.</w:t>
      </w:r>
    </w:p>
    <w:p>
      <w:pPr>
        <w:pStyle w:val="BodyText"/>
        <w:spacing w:before="1"/>
        <w:rPr>
          <w:sz w:val="30"/>
        </w:rPr>
      </w:pPr>
    </w:p>
    <w:p>
      <w:pPr>
        <w:pStyle w:val="BodyText"/>
        <w:spacing w:line="360" w:lineRule="auto"/>
        <w:ind w:left="313" w:right="651"/>
      </w:pPr>
      <w:r>
        <w:rPr/>
        <w:t>As activity recovers and new business expands, companies do not just increase the remuneration of their existing employees in order to retain them, they also increase the pay of new recruits, to attract the best prospective employees. In fact, such measures of marginal pay, as captured by the Recruitment and Employment Confederation (REC)’s survey, have been a reasonably good leading indicator of average pay growth over the past 15 years (</w:t>
      </w:r>
      <w:r>
        <w:rPr>
          <w:b/>
        </w:rPr>
        <w:t>Chart 3</w:t>
      </w:r>
      <w:r>
        <w:rPr/>
        <w:t>). Taken at face value, the sharp pickup in the proportion of REC survey respondents reporting higher salaries for permanent new recruits suggests that broader nominal pay is on the cusp of a strong recovery.</w:t>
      </w:r>
    </w:p>
    <w:p>
      <w:pPr>
        <w:pStyle w:val="BodyText"/>
        <w:rPr>
          <w:sz w:val="30"/>
        </w:rPr>
      </w:pPr>
    </w:p>
    <w:p>
      <w:pPr>
        <w:pStyle w:val="BodyText"/>
        <w:spacing w:line="360" w:lineRule="auto"/>
        <w:ind w:left="313" w:right="585"/>
      </w:pPr>
      <w:r>
        <w:rPr/>
        <w:pict>
          <v:shape style="position:absolute;margin-left:56.664001pt;margin-top:105.289894pt;width:144.050pt;height:.1pt;mso-position-horizontal-relative:page;mso-position-vertical-relative:paragraph;z-index:-251655168;mso-wrap-distance-left:0;mso-wrap-distance-right:0" coordorigin="1133,2106" coordsize="2881,0" path="m1133,2106l4014,2106e" filled="false" stroked="true" strokeweight=".47998pt" strokecolor="#000000">
            <v:path arrowok="t"/>
            <v:stroke dashstyle="solid"/>
            <w10:wrap type="topAndBottom"/>
          </v:shape>
        </w:pict>
      </w:r>
      <w:r>
        <w:rPr/>
        <w:t>An important question is how such increases in labour costs will affect companies’ pricing decisions. Companies’ labour costs do not just depend on wages, but also on how productive employees are. As such, pay pressures must be considered alongside movements in productivity – the inflationary implications of a pickup in pay growth will be mitigated by a recovery in productivity. Combining this morning’s GDP release with data on nominal private-sector pay and employment when they are released will give us an indication of the degree of pressure on unit labour costs – labour costs per unit of output (</w:t>
      </w:r>
      <w:r>
        <w:rPr>
          <w:b/>
        </w:rPr>
        <w:t>Chart 4</w:t>
      </w:r>
      <w:r>
        <w:rPr/>
        <w:t>) – in Q1.</w:t>
      </w:r>
    </w:p>
    <w:p>
      <w:pPr>
        <w:spacing w:before="30"/>
        <w:ind w:left="313" w:right="672" w:firstLine="0"/>
        <w:jc w:val="left"/>
        <w:rPr>
          <w:sz w:val="16"/>
        </w:rPr>
      </w:pPr>
      <w:r>
        <w:rPr>
          <w:position w:val="8"/>
          <w:sz w:val="10"/>
        </w:rPr>
        <w:t>5 </w:t>
      </w:r>
      <w:r>
        <w:rPr>
          <w:sz w:val="16"/>
        </w:rPr>
        <w:t>An analysis based on IDS average settlement data between February and December in each year since 1993, weighting each month by its importance for settlements, shows that more than 95% of the January settlement level is locked into settlements over the rest of the calendar year.</w:t>
      </w:r>
    </w:p>
    <w:p>
      <w:pPr>
        <w:spacing w:after="0"/>
        <w:jc w:val="left"/>
        <w:rPr>
          <w:sz w:val="16"/>
        </w:rPr>
        <w:sectPr>
          <w:footerReference w:type="default" r:id="rId9"/>
          <w:pgSz w:w="11910" w:h="16840"/>
          <w:pgMar w:footer="1338" w:header="0" w:top="1340" w:bottom="1520" w:left="820" w:right="600"/>
          <w:pgNumType w:start="5"/>
        </w:sectPr>
      </w:pPr>
    </w:p>
    <w:p>
      <w:pPr>
        <w:spacing w:before="76"/>
        <w:ind w:left="313" w:right="0" w:firstLine="0"/>
        <w:jc w:val="left"/>
        <w:rPr>
          <w:i/>
          <w:sz w:val="20"/>
        </w:rPr>
      </w:pPr>
      <w:r>
        <w:rPr>
          <w:i/>
          <w:sz w:val="20"/>
        </w:rPr>
        <w:t>Output prices and profit margins</w:t>
      </w:r>
    </w:p>
    <w:p>
      <w:pPr>
        <w:pStyle w:val="BodyText"/>
        <w:rPr>
          <w:i/>
          <w:sz w:val="22"/>
        </w:rPr>
      </w:pPr>
    </w:p>
    <w:p>
      <w:pPr>
        <w:pStyle w:val="BodyText"/>
        <w:spacing w:before="2"/>
        <w:rPr>
          <w:i/>
          <w:sz w:val="18"/>
        </w:rPr>
      </w:pPr>
    </w:p>
    <w:p>
      <w:pPr>
        <w:pStyle w:val="BodyText"/>
        <w:spacing w:line="360" w:lineRule="auto"/>
        <w:ind w:left="313" w:right="529"/>
      </w:pPr>
      <w:r>
        <w:rPr/>
        <w:t>Companies’ pricing behaviour, in particular how they adjust their output prices to changes in input prices, is also a key metric to watch. When input costs fluctuate, companies have a choice. They can either pass on all of the change or absorb some of it. In the case of weakening costs (e.g. through falling commodity prices), they can thus preserve or rebuild their margins by not reducing output prices fully. Crude measures of margins implied by the difference between input and output prices in manufacturing have picked up in some sectors since the turn of the year, reflecting reduced input prices not fully passed through, as can be seen in </w:t>
      </w:r>
      <w:r>
        <w:rPr>
          <w:b/>
        </w:rPr>
        <w:t>Table 1</w:t>
      </w:r>
      <w:r>
        <w:rPr/>
        <w:t>.</w:t>
      </w:r>
    </w:p>
    <w:p>
      <w:pPr>
        <w:pStyle w:val="BodyText"/>
        <w:spacing w:before="9"/>
        <w:rPr>
          <w:sz w:val="29"/>
        </w:rPr>
      </w:pPr>
    </w:p>
    <w:p>
      <w:pPr>
        <w:spacing w:before="0"/>
        <w:ind w:left="313" w:right="0" w:firstLine="0"/>
        <w:jc w:val="left"/>
        <w:rPr>
          <w:i/>
          <w:sz w:val="20"/>
        </w:rPr>
      </w:pPr>
      <w:r>
        <w:rPr>
          <w:i/>
          <w:sz w:val="20"/>
        </w:rPr>
        <w:t>Early supply chain prices</w:t>
      </w:r>
    </w:p>
    <w:p>
      <w:pPr>
        <w:pStyle w:val="BodyText"/>
        <w:rPr>
          <w:i/>
          <w:sz w:val="22"/>
        </w:rPr>
      </w:pPr>
    </w:p>
    <w:p>
      <w:pPr>
        <w:pStyle w:val="BodyText"/>
        <w:spacing w:before="4"/>
        <w:rPr>
          <w:i/>
          <w:sz w:val="18"/>
        </w:rPr>
      </w:pPr>
    </w:p>
    <w:p>
      <w:pPr>
        <w:pStyle w:val="BodyText"/>
        <w:spacing w:line="360" w:lineRule="auto"/>
        <w:ind w:left="313" w:right="542"/>
      </w:pPr>
      <w:r>
        <w:rPr/>
        <w:t>Finally, as recovery takes hold, companies also spend more on services that help them win new business, such as advertising, pushing up the price of advertising services. In addition, those services that underpin</w:t>
      </w:r>
      <w:r>
        <w:rPr>
          <w:spacing w:val="-35"/>
        </w:rPr>
        <w:t> </w:t>
      </w:r>
      <w:r>
        <w:rPr/>
        <w:t>the wide range of activities across the economy, such as transport and distribution, are early indicators of diminishing slack, and rising price pressures. So specific pricing behaviour in these sectors can also be a good early indicator of a tightening economy.  At present, these indicators, by and large, are still showing little sign of upward price pressure (</w:t>
      </w:r>
      <w:r>
        <w:rPr>
          <w:b/>
        </w:rPr>
        <w:t>Charts 5 and 6), </w:t>
      </w:r>
      <w:r>
        <w:rPr/>
        <w:t>but will need to be monitored closely as the upswing unfolds.</w:t>
      </w:r>
    </w:p>
    <w:p>
      <w:pPr>
        <w:pStyle w:val="BodyText"/>
        <w:rPr>
          <w:sz w:val="30"/>
        </w:rPr>
      </w:pPr>
    </w:p>
    <w:p>
      <w:pPr>
        <w:pStyle w:val="BodyText"/>
        <w:spacing w:line="360" w:lineRule="auto" w:before="1"/>
        <w:ind w:left="313" w:right="662"/>
      </w:pPr>
      <w:r>
        <w:rPr/>
        <w:t>So, at this stage of the recovery, it appears that the early supply chain pricing environment remains benign. But turning points are hard to predict and can be quite abrupt, and, in light of the revival in pay – which after all makes up companies’ main input cost – we must not be complacent. As demand recovers and slack is eroded, price pressures might pick up relatively quickly, a fact we must be alert to.</w:t>
      </w:r>
    </w:p>
    <w:p>
      <w:pPr>
        <w:pStyle w:val="BodyText"/>
        <w:spacing w:before="7"/>
        <w:rPr>
          <w:sz w:val="29"/>
        </w:rPr>
      </w:pPr>
    </w:p>
    <w:p>
      <w:pPr>
        <w:pStyle w:val="Heading1"/>
      </w:pPr>
      <w:r>
        <w:rPr/>
        <w:t>Implications for policy</w:t>
      </w:r>
    </w:p>
    <w:p>
      <w:pPr>
        <w:pStyle w:val="BodyText"/>
        <w:spacing w:before="4"/>
        <w:rPr>
          <w:b/>
          <w:sz w:val="30"/>
        </w:rPr>
      </w:pPr>
    </w:p>
    <w:p>
      <w:pPr>
        <w:pStyle w:val="BodyText"/>
        <w:spacing w:line="360" w:lineRule="auto"/>
        <w:ind w:left="313" w:right="540"/>
      </w:pPr>
      <w:r>
        <w:rPr/>
        <w:t>Keeping a close eye on such early stage price and pay pressures (as well as their relationship to changes in productivity) should give us greater precision as to the timing of necessary increases in interest rates, as it reduces the degree of uncertainty inherent in many of the quantitative estimates of slack. This will allow us to help support the recovery, without risking an acceleration in underlying price pressures and thus an overshoot of the target in the medium term.</w:t>
      </w:r>
    </w:p>
    <w:p>
      <w:pPr>
        <w:pStyle w:val="BodyText"/>
        <w:spacing w:before="10"/>
        <w:rPr>
          <w:sz w:val="29"/>
        </w:rPr>
      </w:pPr>
    </w:p>
    <w:p>
      <w:pPr>
        <w:pStyle w:val="BodyText"/>
        <w:spacing w:line="360" w:lineRule="auto"/>
        <w:ind w:left="313" w:right="552"/>
      </w:pPr>
      <w:r>
        <w:rPr/>
        <w:t>The evolution of these early indicators of pricing pressures, as well as the quantitative estimates of slack and our interpretation of them will therefore guide the timing of the first rise in Bank Rate. I am sure that as the recovery develops, we will see some lively debate within the Committee as to the implications, but so far there has been general agreement that there is room for further slack to be absorbed as the recovery progresses, implying that there is no need for an immediate rise in Bank Rate.</w:t>
      </w:r>
    </w:p>
    <w:p>
      <w:pPr>
        <w:spacing w:after="0" w:line="360" w:lineRule="auto"/>
        <w:sectPr>
          <w:pgSz w:w="11910" w:h="16840"/>
          <w:pgMar w:header="0" w:footer="1338" w:top="1340" w:bottom="1520" w:left="820" w:right="600"/>
        </w:sectPr>
      </w:pPr>
    </w:p>
    <w:p>
      <w:pPr>
        <w:pStyle w:val="BodyText"/>
        <w:spacing w:line="360" w:lineRule="auto" w:before="79"/>
        <w:ind w:left="313" w:right="671"/>
      </w:pPr>
      <w:r>
        <w:rPr/>
        <w:t>But there are additional considerations when deciding the optimal path for Bank Rate to support the recovery, close the effective output gap and deliver our inflation target. We need to consider not only the “lift-off” point – the timing of the first rise in Bank Rate – but also the pace of tightening thereafter, as well as the likely “neutral” rate in 2-3 years’ time (the rate that will at that point be consistent with inflation at target and output at trend). That is why the new guidance that we outlined in February, on how monetary policy</w:t>
      </w:r>
    </w:p>
    <w:p>
      <w:pPr>
        <w:pStyle w:val="BodyText"/>
        <w:spacing w:before="1"/>
        <w:ind w:left="313"/>
      </w:pPr>
      <w:r>
        <w:rPr/>
        <w:t>would be conducted after unemployment reached our 7% threshold, gave indications on these elements too.</w:t>
      </w:r>
    </w:p>
    <w:p>
      <w:pPr>
        <w:pStyle w:val="BodyText"/>
        <w:rPr>
          <w:sz w:val="22"/>
        </w:rPr>
      </w:pPr>
    </w:p>
    <w:p>
      <w:pPr>
        <w:pStyle w:val="BodyText"/>
        <w:spacing w:before="10"/>
        <w:rPr>
          <w:sz w:val="17"/>
        </w:rPr>
      </w:pPr>
    </w:p>
    <w:p>
      <w:pPr>
        <w:pStyle w:val="BodyText"/>
        <w:ind w:left="313"/>
      </w:pPr>
      <w:r>
        <w:rPr/>
        <w:t>In essence, the second phase of our guidance states, subject to inflation remaining under control, that</w:t>
      </w:r>
    </w:p>
    <w:p>
      <w:pPr>
        <w:pStyle w:val="BodyText"/>
        <w:spacing w:before="2"/>
        <w:rPr>
          <w:sz w:val="30"/>
        </w:rPr>
      </w:pPr>
    </w:p>
    <w:p>
      <w:pPr>
        <w:pStyle w:val="ListParagraph"/>
        <w:numPr>
          <w:ilvl w:val="0"/>
          <w:numId w:val="1"/>
        </w:numPr>
        <w:tabs>
          <w:tab w:pos="1033" w:val="left" w:leader="none"/>
          <w:tab w:pos="1034" w:val="left" w:leader="none"/>
        </w:tabs>
        <w:spacing w:line="240" w:lineRule="auto" w:before="0" w:after="0"/>
        <w:ind w:left="1033" w:right="0" w:hanging="361"/>
        <w:jc w:val="left"/>
        <w:rPr>
          <w:sz w:val="20"/>
        </w:rPr>
      </w:pPr>
      <w:r>
        <w:rPr>
          <w:sz w:val="20"/>
        </w:rPr>
        <w:t>the current level of slack is such that we see no reason for an immediate rise in Bank</w:t>
      </w:r>
      <w:r>
        <w:rPr>
          <w:spacing w:val="-6"/>
          <w:sz w:val="20"/>
        </w:rPr>
        <w:t> </w:t>
      </w:r>
      <w:r>
        <w:rPr>
          <w:sz w:val="20"/>
        </w:rPr>
        <w:t>Rate;</w:t>
      </w:r>
    </w:p>
    <w:p>
      <w:pPr>
        <w:pStyle w:val="ListParagraph"/>
        <w:numPr>
          <w:ilvl w:val="0"/>
          <w:numId w:val="1"/>
        </w:numPr>
        <w:tabs>
          <w:tab w:pos="1033" w:val="left" w:leader="none"/>
          <w:tab w:pos="1034" w:val="left" w:leader="none"/>
        </w:tabs>
        <w:spacing w:line="357" w:lineRule="auto" w:before="113" w:after="0"/>
        <w:ind w:left="1033" w:right="642" w:hanging="360"/>
        <w:jc w:val="left"/>
        <w:rPr>
          <w:sz w:val="20"/>
        </w:rPr>
      </w:pPr>
      <w:r>
        <w:rPr>
          <w:sz w:val="20"/>
        </w:rPr>
        <w:t>once Bank Rate does start to rise, changes are likely to be gradual . This reflects an environment where the transmission mechanism of monetary policy is perhaps more uncertain than usual, and</w:t>
      </w:r>
      <w:r>
        <w:rPr>
          <w:spacing w:val="-25"/>
          <w:sz w:val="20"/>
        </w:rPr>
        <w:t> </w:t>
      </w:r>
      <w:r>
        <w:rPr>
          <w:sz w:val="20"/>
        </w:rPr>
        <w:t>in which households and businesses may be more than normally sensitive to the initial changes in interest rates;</w:t>
      </w:r>
      <w:r>
        <w:rPr>
          <w:spacing w:val="-3"/>
          <w:sz w:val="20"/>
        </w:rPr>
        <w:t> </w:t>
      </w:r>
      <w:r>
        <w:rPr>
          <w:sz w:val="20"/>
        </w:rPr>
        <w:t>and</w:t>
      </w:r>
    </w:p>
    <w:p>
      <w:pPr>
        <w:pStyle w:val="ListParagraph"/>
        <w:numPr>
          <w:ilvl w:val="0"/>
          <w:numId w:val="1"/>
        </w:numPr>
        <w:tabs>
          <w:tab w:pos="1033" w:val="left" w:leader="none"/>
          <w:tab w:pos="1034" w:val="left" w:leader="none"/>
        </w:tabs>
        <w:spacing w:line="355" w:lineRule="auto" w:before="1" w:after="0"/>
        <w:ind w:left="1033" w:right="797" w:hanging="360"/>
        <w:jc w:val="left"/>
        <w:rPr>
          <w:sz w:val="20"/>
        </w:rPr>
      </w:pPr>
      <w:r>
        <w:rPr>
          <w:sz w:val="20"/>
        </w:rPr>
        <w:t>the “neutral” rate in 2-3 years’ time is likely to be materially lower than the 5% level that prevailed before the crisis (reflecting the ongoing headwinds from balance sheet adjustment, elevated</w:t>
      </w:r>
      <w:r>
        <w:rPr>
          <w:spacing w:val="-32"/>
          <w:sz w:val="20"/>
        </w:rPr>
        <w:t> </w:t>
      </w:r>
      <w:r>
        <w:rPr>
          <w:sz w:val="20"/>
        </w:rPr>
        <w:t>credit spreads, fiscal restraint and subdued foreign demand that will still be weighing on the</w:t>
      </w:r>
      <w:r>
        <w:rPr>
          <w:spacing w:val="-15"/>
          <w:sz w:val="20"/>
        </w:rPr>
        <w:t> </w:t>
      </w:r>
      <w:r>
        <w:rPr>
          <w:sz w:val="20"/>
        </w:rPr>
        <w:t>economy).</w:t>
      </w:r>
    </w:p>
    <w:p>
      <w:pPr>
        <w:pStyle w:val="BodyText"/>
        <w:rPr>
          <w:sz w:val="22"/>
        </w:rPr>
      </w:pPr>
    </w:p>
    <w:p>
      <w:pPr>
        <w:pStyle w:val="BodyText"/>
        <w:spacing w:line="360" w:lineRule="auto" w:before="182"/>
        <w:ind w:left="313" w:right="651"/>
      </w:pPr>
      <w:r>
        <w:rPr/>
        <w:t>To my mind, these three elements of policy normalisation – the timing of the first rise, the pace of tightening thereafter, and the longer term equilibrium level of Bank Rate – are inextricably linked, and there are potential trade-offs between them. To the extent that the endpoint of our normalisation journey – the level of the ‘neutral’ rate – is materially lower than before the crisis, we clearly have less far to travel, which might make the first rate rise appear less pressing than if we had to return to a neutral rate of 5%. On the other hand, a gradual trajectory for rates can be ensured only if the first rate rise is not held back, such that we start the normalisation process before the economy reaches effective capacity constraints, so that inflation expectations and pressures are kept well in check.</w:t>
      </w:r>
    </w:p>
    <w:p>
      <w:pPr>
        <w:pStyle w:val="BodyText"/>
        <w:spacing w:before="7"/>
        <w:rPr>
          <w:sz w:val="29"/>
        </w:rPr>
      </w:pPr>
    </w:p>
    <w:p>
      <w:pPr>
        <w:pStyle w:val="Heading1"/>
        <w:spacing w:before="1"/>
      </w:pPr>
      <w:r>
        <w:rPr/>
        <w:t>Conclusion</w:t>
      </w:r>
    </w:p>
    <w:p>
      <w:pPr>
        <w:pStyle w:val="BodyText"/>
        <w:spacing w:before="3"/>
        <w:rPr>
          <w:b/>
          <w:sz w:val="30"/>
        </w:rPr>
      </w:pPr>
    </w:p>
    <w:p>
      <w:pPr>
        <w:pStyle w:val="BodyText"/>
        <w:spacing w:line="360" w:lineRule="auto"/>
        <w:ind w:left="313" w:right="663"/>
      </w:pPr>
      <w:r>
        <w:rPr/>
        <w:t>So where does that leave us? The exact path of Bank Rate over the next few years will depend on how the economy develops, a path that still contains a high level of uncertainty and some critical risks. I – and my colleagues – will not compromise our primary objective of hitting the 2% inflation target; if inflationary pressures were to pick up sharply, we would need to react. But, in setting policy over the coming period, we also aim to deliver a recovery that is fully self-sustaining and robust to a normalisation of policy after an extended period of record low rates.</w:t>
      </w:r>
    </w:p>
    <w:p>
      <w:pPr>
        <w:pStyle w:val="BodyText"/>
        <w:rPr>
          <w:sz w:val="30"/>
        </w:rPr>
      </w:pPr>
    </w:p>
    <w:p>
      <w:pPr>
        <w:pStyle w:val="BodyText"/>
        <w:spacing w:line="360" w:lineRule="auto"/>
        <w:ind w:left="313" w:right="540"/>
      </w:pPr>
      <w:r>
        <w:rPr/>
        <w:t>Looking at the economy today, I am encouraged by the progress that has been made over the past year, and believe that the chances of a fully sustained recovery are now the highest they have been for some time. The long period of persistent above-target inflation came to an end at the turn of the year, and the outlook</w:t>
      </w:r>
      <w:r>
        <w:rPr>
          <w:spacing w:val="-24"/>
        </w:rPr>
        <w:t> </w:t>
      </w:r>
      <w:r>
        <w:rPr/>
        <w:t>for</w:t>
      </w:r>
    </w:p>
    <w:p>
      <w:pPr>
        <w:spacing w:after="0" w:line="360" w:lineRule="auto"/>
        <w:sectPr>
          <w:pgSz w:w="11910" w:h="16840"/>
          <w:pgMar w:header="0" w:footer="1338" w:top="1340" w:bottom="1520" w:left="820" w:right="600"/>
        </w:sectPr>
      </w:pPr>
    </w:p>
    <w:p>
      <w:pPr>
        <w:pStyle w:val="BodyText"/>
        <w:spacing w:line="360" w:lineRule="auto" w:before="79"/>
        <w:ind w:left="313" w:right="585"/>
      </w:pPr>
      <w:r>
        <w:rPr/>
        <w:t>inflation looks more benign than for some time. But if I have learned one thing in economics, it is that we can never be complacent, and that we on the MPC still face challenges in ensuring that the improvement in the outlook for both inflation and growth is maintained.</w:t>
      </w:r>
    </w:p>
    <w:p>
      <w:pPr>
        <w:pStyle w:val="BodyText"/>
      </w:pPr>
    </w:p>
    <w:p>
      <w:pPr>
        <w:pStyle w:val="BodyText"/>
        <w:spacing w:before="5"/>
        <w:rPr>
          <w:sz w:val="28"/>
        </w:rPr>
      </w:pPr>
    </w:p>
    <w:p>
      <w:pPr>
        <w:pStyle w:val="BodyText"/>
        <w:spacing w:line="228" w:lineRule="exact" w:before="92"/>
        <w:ind w:left="9411"/>
      </w:pPr>
      <w:r>
        <w:rPr/>
        <w:pict>
          <v:shape style="position:absolute;margin-left:46.664001pt;margin-top:-10.376638pt;width:457pt;height:526.1pt;mso-position-horizontal-relative:page;mso-position-vertical-relative:paragraph;z-index:2516940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3"/>
                    <w:gridCol w:w="4186"/>
                  </w:tblGrid>
                  <w:tr>
                    <w:trPr>
                      <w:trHeight w:val="5115" w:hRule="atLeast"/>
                    </w:trPr>
                    <w:tc>
                      <w:tcPr>
                        <w:tcW w:w="4953" w:type="dxa"/>
                      </w:tcPr>
                      <w:p>
                        <w:pPr>
                          <w:pStyle w:val="TableParagraph"/>
                          <w:spacing w:line="223" w:lineRule="exact" w:before="0"/>
                          <w:ind w:left="200"/>
                          <w:rPr>
                            <w:b/>
                            <w:sz w:val="20"/>
                          </w:rPr>
                        </w:pPr>
                        <w:r>
                          <w:rPr>
                            <w:b/>
                            <w:sz w:val="20"/>
                          </w:rPr>
                          <w:t>Chart 1: Capacity utilisation surveys</w:t>
                        </w:r>
                      </w:p>
                      <w:p>
                        <w:pPr>
                          <w:pStyle w:val="TableParagraph"/>
                          <w:spacing w:before="123"/>
                          <w:ind w:left="1681" w:hanging="983"/>
                          <w:rPr>
                            <w:sz w:val="20"/>
                          </w:rPr>
                        </w:pPr>
                        <w:r>
                          <w:rPr>
                            <w:sz w:val="20"/>
                          </w:rPr>
                          <w:t>Differences from averages over 1999-2007 (number of standard deviations)</w:t>
                        </w:r>
                      </w:p>
                      <w:p>
                        <w:pPr>
                          <w:pStyle w:val="TableParagraph"/>
                          <w:spacing w:line="169" w:lineRule="exact" w:before="0"/>
                          <w:ind w:left="4526"/>
                          <w:rPr>
                            <w:sz w:val="20"/>
                          </w:rPr>
                        </w:pPr>
                        <w:r>
                          <w:rPr>
                            <w:w w:val="99"/>
                            <w:sz w:val="20"/>
                          </w:rPr>
                          <w:t>3</w:t>
                        </w:r>
                      </w:p>
                      <w:p>
                        <w:pPr>
                          <w:pStyle w:val="TableParagraph"/>
                          <w:spacing w:before="133"/>
                          <w:ind w:left="4526"/>
                          <w:rPr>
                            <w:sz w:val="20"/>
                          </w:rPr>
                        </w:pPr>
                        <w:r>
                          <w:rPr>
                            <w:w w:val="99"/>
                            <w:sz w:val="20"/>
                          </w:rPr>
                          <w:t>2</w:t>
                        </w:r>
                      </w:p>
                      <w:p>
                        <w:pPr>
                          <w:pStyle w:val="TableParagraph"/>
                          <w:spacing w:before="135"/>
                          <w:ind w:left="4526"/>
                          <w:rPr>
                            <w:sz w:val="20"/>
                          </w:rPr>
                        </w:pPr>
                        <w:r>
                          <w:rPr>
                            <w:w w:val="99"/>
                            <w:sz w:val="20"/>
                          </w:rPr>
                          <w:t>1</w:t>
                        </w:r>
                      </w:p>
                      <w:p>
                        <w:pPr>
                          <w:pStyle w:val="TableParagraph"/>
                          <w:spacing w:before="134"/>
                          <w:ind w:left="4526"/>
                          <w:rPr>
                            <w:sz w:val="20"/>
                          </w:rPr>
                        </w:pPr>
                        <w:r>
                          <w:rPr>
                            <w:w w:val="99"/>
                            <w:sz w:val="20"/>
                          </w:rPr>
                          <w:t>0</w:t>
                        </w:r>
                      </w:p>
                      <w:p>
                        <w:pPr>
                          <w:pStyle w:val="TableParagraph"/>
                          <w:spacing w:before="133"/>
                          <w:ind w:left="4526"/>
                          <w:rPr>
                            <w:sz w:val="20"/>
                          </w:rPr>
                        </w:pPr>
                        <w:r>
                          <w:rPr>
                            <w:sz w:val="20"/>
                          </w:rPr>
                          <w:t>-1</w:t>
                        </w:r>
                      </w:p>
                      <w:p>
                        <w:pPr>
                          <w:pStyle w:val="TableParagraph"/>
                          <w:spacing w:before="134"/>
                          <w:ind w:left="4526"/>
                          <w:rPr>
                            <w:sz w:val="20"/>
                          </w:rPr>
                        </w:pPr>
                        <w:r>
                          <w:rPr>
                            <w:sz w:val="20"/>
                          </w:rPr>
                          <w:t>-2</w:t>
                        </w:r>
                      </w:p>
                      <w:p>
                        <w:pPr>
                          <w:pStyle w:val="TableParagraph"/>
                          <w:spacing w:before="134"/>
                          <w:ind w:left="4526"/>
                          <w:rPr>
                            <w:sz w:val="20"/>
                          </w:rPr>
                        </w:pPr>
                        <w:r>
                          <w:rPr>
                            <w:sz w:val="20"/>
                          </w:rPr>
                          <w:t>-3</w:t>
                        </w:r>
                      </w:p>
                      <w:p>
                        <w:pPr>
                          <w:pStyle w:val="TableParagraph"/>
                          <w:spacing w:before="134"/>
                          <w:ind w:left="4526"/>
                          <w:rPr>
                            <w:sz w:val="20"/>
                          </w:rPr>
                        </w:pPr>
                        <w:r>
                          <w:rPr>
                            <w:sz w:val="20"/>
                          </w:rPr>
                          <w:t>-4</w:t>
                        </w:r>
                      </w:p>
                      <w:p>
                        <w:pPr>
                          <w:pStyle w:val="TableParagraph"/>
                          <w:spacing w:before="134"/>
                          <w:ind w:left="4526"/>
                          <w:rPr>
                            <w:sz w:val="20"/>
                          </w:rPr>
                        </w:pPr>
                        <w:r>
                          <w:rPr>
                            <w:sz w:val="20"/>
                          </w:rPr>
                          <w:t>-5</w:t>
                        </w:r>
                      </w:p>
                      <w:p>
                        <w:pPr>
                          <w:pStyle w:val="TableParagraph"/>
                          <w:spacing w:before="134"/>
                          <w:ind w:left="4526"/>
                          <w:rPr>
                            <w:sz w:val="20"/>
                          </w:rPr>
                        </w:pPr>
                        <w:r>
                          <w:rPr>
                            <w:sz w:val="20"/>
                          </w:rPr>
                          <w:t>-6</w:t>
                        </w:r>
                      </w:p>
                      <w:p>
                        <w:pPr>
                          <w:pStyle w:val="TableParagraph"/>
                          <w:spacing w:before="8"/>
                          <w:ind w:left="320"/>
                          <w:rPr>
                            <w:sz w:val="20"/>
                          </w:rPr>
                        </w:pPr>
                        <w:r>
                          <w:rPr>
                            <w:sz w:val="20"/>
                          </w:rPr>
                          <w:t>1999 2001 2003 2005 2007 2009 2011 2013</w:t>
                        </w:r>
                      </w:p>
                      <w:p>
                        <w:pPr>
                          <w:pStyle w:val="TableParagraph"/>
                          <w:spacing w:before="119"/>
                          <w:ind w:left="200"/>
                          <w:rPr>
                            <w:sz w:val="16"/>
                          </w:rPr>
                        </w:pPr>
                        <w:r>
                          <w:rPr>
                            <w:sz w:val="16"/>
                          </w:rPr>
                          <w:t>Source: Bank of England, BCC, CBI, CBI/PwC and ONS.</w:t>
                        </w:r>
                      </w:p>
                    </w:tc>
                    <w:tc>
                      <w:tcPr>
                        <w:tcW w:w="4186" w:type="dxa"/>
                      </w:tcPr>
                      <w:p>
                        <w:pPr>
                          <w:pStyle w:val="TableParagraph"/>
                          <w:spacing w:line="223" w:lineRule="exact" w:before="0"/>
                          <w:ind w:left="177"/>
                          <w:rPr>
                            <w:b/>
                            <w:sz w:val="20"/>
                          </w:rPr>
                        </w:pPr>
                        <w:r>
                          <w:rPr>
                            <w:b/>
                            <w:sz w:val="20"/>
                          </w:rPr>
                          <w:t>Chart 2: Pay settlements</w:t>
                        </w:r>
                      </w:p>
                      <w:p>
                        <w:pPr>
                          <w:pStyle w:val="TableParagraph"/>
                          <w:spacing w:before="77"/>
                          <w:ind w:left="635" w:right="-183"/>
                          <w:rPr>
                            <w:sz w:val="20"/>
                          </w:rPr>
                        </w:pPr>
                        <w:r>
                          <w:rPr>
                            <w:sz w:val="20"/>
                          </w:rPr>
                          <w:t>Average monthly settlement over 1994-20 as a percentage of January</w:t>
                        </w:r>
                        <w:r>
                          <w:rPr>
                            <w:spacing w:val="-2"/>
                            <w:sz w:val="20"/>
                          </w:rPr>
                          <w:t> </w:t>
                        </w:r>
                        <w:r>
                          <w:rPr>
                            <w:sz w:val="20"/>
                          </w:rPr>
                          <w:t>settlement</w:t>
                        </w: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3"/>
                          <w:ind w:left="0"/>
                          <w:rPr>
                            <w:sz w:val="31"/>
                          </w:rPr>
                        </w:pPr>
                      </w:p>
                      <w:p>
                        <w:pPr>
                          <w:pStyle w:val="TableParagraph"/>
                          <w:spacing w:line="355" w:lineRule="auto" w:before="0"/>
                          <w:ind w:left="1765" w:right="967"/>
                          <w:rPr>
                            <w:sz w:val="20"/>
                          </w:rPr>
                        </w:pPr>
                        <w:r>
                          <w:rPr>
                            <w:sz w:val="20"/>
                          </w:rPr>
                          <w:t>Whole economy Private sector</w:t>
                        </w: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0"/>
                          <w:ind w:left="0"/>
                          <w:rPr>
                            <w:sz w:val="17"/>
                          </w:rPr>
                        </w:pPr>
                      </w:p>
                      <w:p>
                        <w:pPr>
                          <w:pStyle w:val="TableParagraph"/>
                          <w:spacing w:before="0"/>
                          <w:ind w:left="311"/>
                          <w:rPr>
                            <w:sz w:val="20"/>
                          </w:rPr>
                        </w:pPr>
                        <w:r>
                          <w:rPr>
                            <w:sz w:val="20"/>
                          </w:rPr>
                          <w:drawing>
                            <wp:inline distT="0" distB="0" distL="0" distR="0">
                              <wp:extent cx="1261097" cy="21859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1261097" cy="218598"/>
                                      </a:xfrm>
                                      <a:prstGeom prst="rect">
                                        <a:avLst/>
                                      </a:prstGeom>
                                    </pic:spPr>
                                  </pic:pic>
                                </a:graphicData>
                              </a:graphic>
                            </wp:inline>
                          </w:drawing>
                        </w:r>
                        <w:r>
                          <w:rPr>
                            <w:sz w:val="20"/>
                          </w:rPr>
                        </w:r>
                      </w:p>
                      <w:p>
                        <w:pPr>
                          <w:pStyle w:val="TableParagraph"/>
                          <w:spacing w:before="79"/>
                          <w:ind w:left="177"/>
                          <w:rPr>
                            <w:sz w:val="16"/>
                          </w:rPr>
                        </w:pPr>
                        <w:r>
                          <w:rPr>
                            <w:sz w:val="16"/>
                          </w:rPr>
                          <w:t>Source: IDS and Bank of England calculations.</w:t>
                        </w:r>
                      </w:p>
                    </w:tc>
                  </w:tr>
                  <w:tr>
                    <w:trPr>
                      <w:trHeight w:val="5406" w:hRule="atLeast"/>
                    </w:trPr>
                    <w:tc>
                      <w:tcPr>
                        <w:tcW w:w="4953" w:type="dxa"/>
                      </w:tcPr>
                      <w:p>
                        <w:pPr>
                          <w:pStyle w:val="TableParagraph"/>
                          <w:spacing w:before="5"/>
                          <w:ind w:left="0"/>
                          <w:rPr>
                            <w:sz w:val="27"/>
                          </w:rPr>
                        </w:pPr>
                      </w:p>
                      <w:p>
                        <w:pPr>
                          <w:pStyle w:val="TableParagraph"/>
                          <w:spacing w:before="1"/>
                          <w:ind w:left="200"/>
                          <w:rPr>
                            <w:b/>
                            <w:sz w:val="20"/>
                          </w:rPr>
                        </w:pPr>
                        <w:r>
                          <w:rPr>
                            <w:b/>
                            <w:sz w:val="20"/>
                          </w:rPr>
                          <w:t>Chart 3: Salary of permanent new recruits (REC) and private-sector regular pay (AWE)</w:t>
                        </w:r>
                      </w:p>
                      <w:p>
                        <w:pPr>
                          <w:pStyle w:val="TableParagraph"/>
                          <w:tabs>
                            <w:tab w:pos="2641" w:val="left" w:leader="none"/>
                          </w:tabs>
                          <w:spacing w:line="270" w:lineRule="exact" w:before="91"/>
                          <w:ind w:left="661"/>
                          <w:rPr>
                            <w:sz w:val="20"/>
                          </w:rPr>
                        </w:pPr>
                        <w:r>
                          <w:rPr>
                            <w:position w:val="8"/>
                            <w:sz w:val="20"/>
                          </w:rPr>
                          <w:t>Diffusion</w:t>
                        </w:r>
                        <w:r>
                          <w:rPr>
                            <w:spacing w:val="-3"/>
                            <w:position w:val="8"/>
                            <w:sz w:val="20"/>
                          </w:rPr>
                          <w:t> </w:t>
                        </w:r>
                        <w:r>
                          <w:rPr>
                            <w:position w:val="8"/>
                            <w:sz w:val="20"/>
                          </w:rPr>
                          <w:t>index</w:t>
                          <w:tab/>
                        </w:r>
                        <w:r>
                          <w:rPr>
                            <w:sz w:val="20"/>
                          </w:rPr>
                          <w:t>Percentage change on</w:t>
                        </w:r>
                        <w:r>
                          <w:rPr>
                            <w:spacing w:val="1"/>
                            <w:sz w:val="20"/>
                          </w:rPr>
                          <w:t> </w:t>
                        </w:r>
                        <w:r>
                          <w:rPr>
                            <w:sz w:val="20"/>
                          </w:rPr>
                          <w:t>a</w:t>
                        </w:r>
                      </w:p>
                      <w:p>
                        <w:pPr>
                          <w:pStyle w:val="TableParagraph"/>
                          <w:tabs>
                            <w:tab w:pos="716" w:val="left" w:leader="none"/>
                            <w:tab w:pos="2641" w:val="left" w:leader="none"/>
                            <w:tab w:pos="4899" w:val="right" w:leader="none"/>
                          </w:tabs>
                          <w:spacing w:line="270" w:lineRule="exact" w:before="0"/>
                          <w:ind w:left="231"/>
                          <w:rPr>
                            <w:sz w:val="20"/>
                          </w:rPr>
                        </w:pPr>
                        <w:r>
                          <w:rPr>
                            <w:position w:val="6"/>
                            <w:sz w:val="20"/>
                          </w:rPr>
                          <w:t>70</w:t>
                          <w:tab/>
                        </w:r>
                        <w:r>
                          <w:rPr>
                            <w:position w:val="8"/>
                            <w:sz w:val="20"/>
                          </w:rPr>
                          <w:t>(50 =</w:t>
                        </w:r>
                        <w:r>
                          <w:rPr>
                            <w:spacing w:val="-2"/>
                            <w:position w:val="8"/>
                            <w:sz w:val="20"/>
                          </w:rPr>
                          <w:t> </w:t>
                        </w:r>
                        <w:r>
                          <w:rPr>
                            <w:position w:val="8"/>
                            <w:sz w:val="20"/>
                          </w:rPr>
                          <w:t>no</w:t>
                        </w:r>
                        <w:r>
                          <w:rPr>
                            <w:spacing w:val="-2"/>
                            <w:position w:val="8"/>
                            <w:sz w:val="20"/>
                          </w:rPr>
                          <w:t> </w:t>
                        </w:r>
                        <w:r>
                          <w:rPr>
                            <w:position w:val="8"/>
                            <w:sz w:val="20"/>
                          </w:rPr>
                          <w:t>change)</w:t>
                          <w:tab/>
                        </w:r>
                        <w:r>
                          <w:rPr>
                            <w:sz w:val="20"/>
                          </w:rPr>
                          <w:t>year</w:t>
                        </w:r>
                        <w:r>
                          <w:rPr>
                            <w:spacing w:val="5"/>
                            <w:sz w:val="20"/>
                          </w:rPr>
                          <w:t> </w:t>
                        </w:r>
                        <w:r>
                          <w:rPr>
                            <w:sz w:val="20"/>
                          </w:rPr>
                          <w:t>earlier,</w:t>
                        </w:r>
                        <w:r>
                          <w:rPr>
                            <w:spacing w:val="4"/>
                            <w:sz w:val="20"/>
                          </w:rPr>
                          <w:t> </w:t>
                        </w:r>
                        <w:r>
                          <w:rPr>
                            <w:sz w:val="20"/>
                          </w:rPr>
                          <w:t>3mma</w:t>
                          <w:tab/>
                        </w:r>
                        <w:r>
                          <w:rPr>
                            <w:position w:val="6"/>
                            <w:sz w:val="20"/>
                          </w:rPr>
                          <w:t>6</w:t>
                        </w:r>
                      </w:p>
                      <w:p>
                        <w:pPr>
                          <w:pStyle w:val="TableParagraph"/>
                          <w:tabs>
                            <w:tab w:pos="4789" w:val="left" w:leader="none"/>
                          </w:tabs>
                          <w:spacing w:before="140"/>
                          <w:ind w:left="231"/>
                          <w:rPr>
                            <w:sz w:val="20"/>
                          </w:rPr>
                        </w:pPr>
                        <w:r>
                          <w:rPr>
                            <w:sz w:val="20"/>
                          </w:rPr>
                          <w:t>65</w:t>
                          <w:tab/>
                        </w:r>
                        <w:r>
                          <w:rPr>
                            <w:position w:val="6"/>
                            <w:sz w:val="20"/>
                          </w:rPr>
                          <w:t>5</w:t>
                        </w:r>
                      </w:p>
                      <w:p>
                        <w:pPr>
                          <w:pStyle w:val="TableParagraph"/>
                          <w:tabs>
                            <w:tab w:pos="4789" w:val="left" w:leader="none"/>
                          </w:tabs>
                          <w:spacing w:before="137"/>
                          <w:ind w:left="231"/>
                          <w:rPr>
                            <w:sz w:val="20"/>
                          </w:rPr>
                        </w:pPr>
                        <w:r>
                          <w:rPr>
                            <w:sz w:val="20"/>
                          </w:rPr>
                          <w:t>60</w:t>
                          <w:tab/>
                        </w:r>
                        <w:r>
                          <w:rPr>
                            <w:position w:val="12"/>
                            <w:sz w:val="20"/>
                          </w:rPr>
                          <w:t>4</w:t>
                        </w:r>
                      </w:p>
                      <w:p>
                        <w:pPr>
                          <w:pStyle w:val="TableParagraph"/>
                          <w:spacing w:line="206" w:lineRule="exact" w:before="73"/>
                          <w:ind w:left="4789"/>
                          <w:rPr>
                            <w:sz w:val="20"/>
                          </w:rPr>
                        </w:pPr>
                        <w:r>
                          <w:rPr>
                            <w:w w:val="99"/>
                            <w:sz w:val="20"/>
                          </w:rPr>
                          <w:t>3</w:t>
                        </w:r>
                      </w:p>
                      <w:p>
                        <w:pPr>
                          <w:pStyle w:val="TableParagraph"/>
                          <w:spacing w:line="206" w:lineRule="exact" w:before="0"/>
                          <w:ind w:left="231"/>
                          <w:rPr>
                            <w:sz w:val="20"/>
                          </w:rPr>
                        </w:pPr>
                        <w:r>
                          <w:rPr>
                            <w:sz w:val="20"/>
                          </w:rPr>
                          <w:t>55</w:t>
                        </w:r>
                      </w:p>
                      <w:p>
                        <w:pPr>
                          <w:pStyle w:val="TableParagraph"/>
                          <w:spacing w:before="14"/>
                          <w:ind w:left="4789"/>
                          <w:rPr>
                            <w:sz w:val="20"/>
                          </w:rPr>
                        </w:pPr>
                        <w:r>
                          <w:rPr>
                            <w:w w:val="99"/>
                            <w:sz w:val="20"/>
                          </w:rPr>
                          <w:t>2</w:t>
                        </w:r>
                      </w:p>
                      <w:p>
                        <w:pPr>
                          <w:pStyle w:val="TableParagraph"/>
                          <w:spacing w:line="206" w:lineRule="exact" w:before="13"/>
                          <w:ind w:left="231"/>
                          <w:rPr>
                            <w:sz w:val="20"/>
                          </w:rPr>
                        </w:pPr>
                        <w:r>
                          <w:rPr>
                            <w:sz w:val="20"/>
                          </w:rPr>
                          <w:t>50</w:t>
                        </w:r>
                      </w:p>
                      <w:p>
                        <w:pPr>
                          <w:pStyle w:val="TableParagraph"/>
                          <w:spacing w:line="206" w:lineRule="exact" w:before="0"/>
                          <w:ind w:left="4789"/>
                          <w:rPr>
                            <w:sz w:val="20"/>
                          </w:rPr>
                        </w:pPr>
                        <w:r>
                          <w:rPr>
                            <w:w w:val="99"/>
                            <w:sz w:val="20"/>
                          </w:rPr>
                          <w:t>1</w:t>
                        </w:r>
                      </w:p>
                      <w:p>
                        <w:pPr>
                          <w:pStyle w:val="TableParagraph"/>
                          <w:tabs>
                            <w:tab w:pos="4789" w:val="left" w:leader="none"/>
                          </w:tabs>
                          <w:spacing w:before="74"/>
                          <w:ind w:left="231"/>
                          <w:rPr>
                            <w:sz w:val="20"/>
                          </w:rPr>
                        </w:pPr>
                        <w:r>
                          <w:rPr>
                            <w:sz w:val="20"/>
                          </w:rPr>
                          <w:t>45</w:t>
                          <w:tab/>
                        </w:r>
                        <w:r>
                          <w:rPr>
                            <w:position w:val="-11"/>
                            <w:sz w:val="20"/>
                          </w:rPr>
                          <w:t>0</w:t>
                        </w:r>
                      </w:p>
                      <w:p>
                        <w:pPr>
                          <w:pStyle w:val="TableParagraph"/>
                          <w:tabs>
                            <w:tab w:pos="4789" w:val="left" w:leader="none"/>
                          </w:tabs>
                          <w:spacing w:line="253" w:lineRule="exact" w:before="136"/>
                          <w:ind w:left="231" w:right="-29"/>
                          <w:rPr>
                            <w:sz w:val="20"/>
                          </w:rPr>
                        </w:pPr>
                        <w:r>
                          <w:rPr>
                            <w:sz w:val="20"/>
                          </w:rPr>
                          <w:t>40</w:t>
                          <w:tab/>
                        </w:r>
                        <w:r>
                          <w:rPr>
                            <w:position w:val="-5"/>
                            <w:sz w:val="20"/>
                          </w:rPr>
                          <w:t>-1</w:t>
                        </w:r>
                      </w:p>
                      <w:p>
                        <w:pPr>
                          <w:pStyle w:val="TableParagraph"/>
                          <w:spacing w:line="193" w:lineRule="exact" w:before="0"/>
                          <w:ind w:left="1243"/>
                          <w:rPr>
                            <w:sz w:val="20"/>
                          </w:rPr>
                        </w:pPr>
                        <w:r>
                          <w:rPr>
                            <w:sz w:val="20"/>
                          </w:rPr>
                          <w:t>Private sector regular AWE (rhs)</w:t>
                        </w:r>
                      </w:p>
                      <w:p>
                        <w:pPr>
                          <w:pStyle w:val="TableParagraph"/>
                          <w:tabs>
                            <w:tab w:pos="1243" w:val="left" w:leader="none"/>
                            <w:tab w:pos="4789" w:val="left" w:leader="none"/>
                          </w:tabs>
                          <w:spacing w:before="39"/>
                          <w:ind w:left="415" w:right="-29" w:hanging="184"/>
                          <w:rPr>
                            <w:sz w:val="20"/>
                          </w:rPr>
                        </w:pPr>
                        <w:r>
                          <w:rPr>
                            <w:position w:val="1"/>
                            <w:sz w:val="20"/>
                          </w:rPr>
                          <w:t>35</w:t>
                          <w:tab/>
                        </w:r>
                        <w:r>
                          <w:rPr>
                            <w:sz w:val="20"/>
                          </w:rPr>
                          <w:t>REC (lagged 12</w:t>
                        </w:r>
                        <w:r>
                          <w:rPr>
                            <w:spacing w:val="-7"/>
                            <w:sz w:val="20"/>
                          </w:rPr>
                          <w:t> </w:t>
                        </w:r>
                        <w:r>
                          <w:rPr>
                            <w:sz w:val="20"/>
                          </w:rPr>
                          <w:t>months, lhs)</w:t>
                          <w:tab/>
                        </w:r>
                        <w:r>
                          <w:rPr>
                            <w:position w:val="1"/>
                            <w:sz w:val="20"/>
                          </w:rPr>
                          <w:t>-2</w:t>
                        </w:r>
                        <w:r>
                          <w:rPr>
                            <w:sz w:val="20"/>
                          </w:rPr>
                          <w:t> 2000 2002 2004 2006 2008 2010 2012</w:t>
                        </w:r>
                        <w:r>
                          <w:rPr>
                            <w:spacing w:val="14"/>
                            <w:sz w:val="20"/>
                          </w:rPr>
                          <w:t> </w:t>
                        </w:r>
                        <w:r>
                          <w:rPr>
                            <w:sz w:val="20"/>
                          </w:rPr>
                          <w:t>2014</w:t>
                        </w:r>
                      </w:p>
                      <w:p>
                        <w:pPr>
                          <w:pStyle w:val="TableParagraph"/>
                          <w:spacing w:before="6"/>
                          <w:ind w:left="0"/>
                          <w:rPr>
                            <w:sz w:val="19"/>
                          </w:rPr>
                        </w:pPr>
                      </w:p>
                      <w:p>
                        <w:pPr>
                          <w:pStyle w:val="TableParagraph"/>
                          <w:spacing w:line="167" w:lineRule="exact" w:before="0"/>
                          <w:ind w:left="200"/>
                          <w:rPr>
                            <w:sz w:val="16"/>
                          </w:rPr>
                        </w:pPr>
                        <w:r>
                          <w:rPr>
                            <w:sz w:val="16"/>
                          </w:rPr>
                          <w:t>Source: ONS, KPMG/REC/Markit and Bank calculations.</w:t>
                        </w:r>
                      </w:p>
                    </w:tc>
                    <w:tc>
                      <w:tcPr>
                        <w:tcW w:w="4186" w:type="dxa"/>
                      </w:tcPr>
                      <w:p>
                        <w:pPr>
                          <w:pStyle w:val="TableParagraph"/>
                          <w:spacing w:before="5"/>
                          <w:ind w:left="0"/>
                          <w:rPr>
                            <w:sz w:val="27"/>
                          </w:rPr>
                        </w:pPr>
                      </w:p>
                      <w:p>
                        <w:pPr>
                          <w:pStyle w:val="TableParagraph"/>
                          <w:spacing w:before="1"/>
                          <w:ind w:left="177"/>
                          <w:rPr>
                            <w:b/>
                            <w:sz w:val="20"/>
                          </w:rPr>
                        </w:pPr>
                        <w:r>
                          <w:rPr>
                            <w:b/>
                            <w:sz w:val="20"/>
                          </w:rPr>
                          <w:t>Chart 4: Private-sector unit labour costs</w:t>
                        </w:r>
                      </w:p>
                      <w:p>
                        <w:pPr>
                          <w:pStyle w:val="TableParagraph"/>
                          <w:spacing w:line="420" w:lineRule="atLeast" w:before="116"/>
                          <w:ind w:left="383" w:right="-165" w:firstLine="713"/>
                          <w:rPr>
                            <w:sz w:val="20"/>
                          </w:rPr>
                        </w:pPr>
                        <w:r>
                          <w:rPr>
                            <w:sz w:val="20"/>
                          </w:rPr>
                          <w:t>Percentage changes on a quarter </w:t>
                        </w:r>
                        <w:r>
                          <w:rPr>
                            <w:spacing w:val="-6"/>
                            <w:sz w:val="20"/>
                          </w:rPr>
                          <w:t>ea </w:t>
                        </w:r>
                        <w:r>
                          <w:rPr>
                            <w:color w:val="001F5F"/>
                            <w:sz w:val="20"/>
                          </w:rPr>
                          <w:t>Labour costs</w:t>
                        </w:r>
                        <w:r>
                          <w:rPr>
                            <w:color w:val="001F5F"/>
                            <w:spacing w:val="1"/>
                            <w:sz w:val="20"/>
                          </w:rPr>
                          <w:t> </w:t>
                        </w:r>
                        <w:r>
                          <w:rPr>
                            <w:color w:val="001F5F"/>
                            <w:sz w:val="20"/>
                          </w:rPr>
                          <w:t>per</w:t>
                        </w:r>
                      </w:p>
                      <w:p>
                        <w:pPr>
                          <w:pStyle w:val="TableParagraph"/>
                          <w:spacing w:line="229" w:lineRule="exact" w:before="0"/>
                          <w:ind w:left="383"/>
                          <w:rPr>
                            <w:sz w:val="20"/>
                          </w:rPr>
                        </w:pPr>
                        <w:r>
                          <w:rPr>
                            <w:color w:val="001F5F"/>
                            <w:sz w:val="20"/>
                          </w:rPr>
                          <w:t>worker</w:t>
                        </w:r>
                      </w:p>
                      <w:p>
                        <w:pPr>
                          <w:pStyle w:val="TableParagraph"/>
                          <w:spacing w:before="10"/>
                          <w:ind w:left="0"/>
                          <w:rPr>
                            <w:sz w:val="31"/>
                          </w:rPr>
                        </w:pPr>
                      </w:p>
                      <w:p>
                        <w:pPr>
                          <w:pStyle w:val="TableParagraph"/>
                          <w:spacing w:before="0"/>
                          <w:ind w:left="2434"/>
                          <w:rPr>
                            <w:sz w:val="20"/>
                          </w:rPr>
                        </w:pPr>
                        <w:r>
                          <w:rPr>
                            <w:color w:val="FF00FF"/>
                            <w:sz w:val="20"/>
                          </w:rPr>
                          <w:t>Unit labour costs</w:t>
                        </w: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9"/>
                          <w:ind w:left="0"/>
                          <w:rPr>
                            <w:sz w:val="19"/>
                          </w:rPr>
                        </w:pPr>
                      </w:p>
                      <w:p>
                        <w:pPr>
                          <w:pStyle w:val="TableParagraph"/>
                          <w:tabs>
                            <w:tab w:pos="3814" w:val="right" w:leader="none"/>
                          </w:tabs>
                          <w:spacing w:line="160" w:lineRule="auto" w:before="1"/>
                          <w:ind w:left="767"/>
                          <w:rPr>
                            <w:sz w:val="20"/>
                          </w:rPr>
                        </w:pPr>
                        <w:r>
                          <w:rPr>
                            <w:color w:val="00AFEF"/>
                            <w:sz w:val="20"/>
                          </w:rPr>
                          <w:t>Output</w:t>
                        </w:r>
                        <w:r>
                          <w:rPr>
                            <w:color w:val="00AFEF"/>
                            <w:spacing w:val="-1"/>
                            <w:sz w:val="20"/>
                          </w:rPr>
                          <w:t> </w:t>
                        </w:r>
                        <w:r>
                          <w:rPr>
                            <w:color w:val="00AFEF"/>
                            <w:sz w:val="20"/>
                          </w:rPr>
                          <w:t>per worker</w:t>
                          <w:tab/>
                        </w:r>
                        <w:r>
                          <w:rPr>
                            <w:color w:val="FF00FF"/>
                            <w:position w:val="-7"/>
                            <w:sz w:val="20"/>
                          </w:rPr>
                          <w:t>2001-2007</w:t>
                        </w:r>
                      </w:p>
                      <w:p>
                        <w:pPr>
                          <w:pStyle w:val="TableParagraph"/>
                          <w:tabs>
                            <w:tab w:pos="2863" w:val="left" w:leader="none"/>
                          </w:tabs>
                          <w:spacing w:line="189" w:lineRule="auto" w:before="0"/>
                          <w:ind w:left="767"/>
                          <w:rPr>
                            <w:sz w:val="20"/>
                          </w:rPr>
                        </w:pPr>
                        <w:r>
                          <w:rPr>
                            <w:color w:val="00AFEF"/>
                            <w:sz w:val="20"/>
                          </w:rPr>
                          <w:t>(inverted)</w:t>
                          <w:tab/>
                        </w:r>
                        <w:r>
                          <w:rPr>
                            <w:color w:val="FF00FF"/>
                            <w:position w:val="-7"/>
                            <w:sz w:val="20"/>
                          </w:rPr>
                          <w:t>average</w:t>
                        </w:r>
                      </w:p>
                      <w:p>
                        <w:pPr>
                          <w:pStyle w:val="TableParagraph"/>
                          <w:spacing w:before="207"/>
                          <w:ind w:left="297" w:right="-72"/>
                          <w:rPr>
                            <w:sz w:val="20"/>
                          </w:rPr>
                        </w:pPr>
                        <w:r>
                          <w:rPr>
                            <w:sz w:val="20"/>
                          </w:rPr>
                          <w:t>2007</w:t>
                        </w:r>
                        <w:r>
                          <w:rPr>
                            <w:spacing w:val="28"/>
                            <w:sz w:val="20"/>
                          </w:rPr>
                          <w:t> </w:t>
                        </w:r>
                        <w:r>
                          <w:rPr>
                            <w:sz w:val="20"/>
                          </w:rPr>
                          <w:t>2008</w:t>
                        </w:r>
                        <w:r>
                          <w:rPr>
                            <w:spacing w:val="29"/>
                            <w:sz w:val="20"/>
                          </w:rPr>
                          <w:t> </w:t>
                        </w:r>
                        <w:r>
                          <w:rPr>
                            <w:sz w:val="20"/>
                          </w:rPr>
                          <w:t>2009</w:t>
                        </w:r>
                        <w:r>
                          <w:rPr>
                            <w:spacing w:val="28"/>
                            <w:sz w:val="20"/>
                          </w:rPr>
                          <w:t> </w:t>
                        </w:r>
                        <w:r>
                          <w:rPr>
                            <w:sz w:val="20"/>
                          </w:rPr>
                          <w:t>2010</w:t>
                        </w:r>
                        <w:r>
                          <w:rPr>
                            <w:spacing w:val="29"/>
                            <w:sz w:val="20"/>
                          </w:rPr>
                          <w:t> </w:t>
                        </w:r>
                        <w:r>
                          <w:rPr>
                            <w:sz w:val="20"/>
                          </w:rPr>
                          <w:t>2011</w:t>
                        </w:r>
                        <w:r>
                          <w:rPr>
                            <w:spacing w:val="29"/>
                            <w:sz w:val="20"/>
                          </w:rPr>
                          <w:t> </w:t>
                        </w:r>
                        <w:r>
                          <w:rPr>
                            <w:sz w:val="20"/>
                          </w:rPr>
                          <w:t>2012</w:t>
                        </w:r>
                        <w:r>
                          <w:rPr>
                            <w:spacing w:val="28"/>
                            <w:sz w:val="20"/>
                          </w:rPr>
                          <w:t> </w:t>
                        </w:r>
                        <w:r>
                          <w:rPr>
                            <w:spacing w:val="-3"/>
                            <w:sz w:val="20"/>
                          </w:rPr>
                          <w:t>2013</w:t>
                        </w:r>
                      </w:p>
                      <w:p>
                        <w:pPr>
                          <w:pStyle w:val="TableParagraph"/>
                          <w:spacing w:before="7"/>
                          <w:ind w:left="0"/>
                          <w:rPr>
                            <w:sz w:val="18"/>
                          </w:rPr>
                        </w:pPr>
                      </w:p>
                      <w:p>
                        <w:pPr>
                          <w:pStyle w:val="TableParagraph"/>
                          <w:spacing w:line="164" w:lineRule="exact" w:before="0"/>
                          <w:ind w:left="177"/>
                          <w:rPr>
                            <w:sz w:val="16"/>
                          </w:rPr>
                        </w:pPr>
                        <w:r>
                          <w:rPr>
                            <w:sz w:val="16"/>
                          </w:rPr>
                          <w:t>Source: ONS.</w:t>
                        </w:r>
                      </w:p>
                    </w:tc>
                  </w:tr>
                </w:tbl>
                <w:p>
                  <w:pPr>
                    <w:pStyle w:val="BodyText"/>
                  </w:pPr>
                </w:p>
              </w:txbxContent>
            </v:textbox>
            <w10:wrap type="none"/>
          </v:shape>
        </w:pict>
      </w:r>
      <w:r>
        <w:rPr/>
        <w:t>13</w:t>
      </w:r>
    </w:p>
    <w:p>
      <w:pPr>
        <w:pStyle w:val="BodyText"/>
        <w:spacing w:line="228" w:lineRule="exact"/>
        <w:ind w:left="9700"/>
      </w:pPr>
      <w:r>
        <w:rPr/>
        <w:pict>
          <v:group style="position:absolute;margin-left:73.680pt;margin-top:16.720369pt;width:193.6pt;height:164.65pt;mso-position-horizontal-relative:page;mso-position-vertical-relative:paragraph;z-index:251665408" coordorigin="1474,334" coordsize="3872,3293">
            <v:shape style="position:absolute;left:1475;top:524;width:3810;height:2656" coordorigin="1475,525" coordsize="3810,2656" path="m3780,1171l3634,1171,3698,1320,3761,2046,3825,2077,3888,2518,3951,2950,4015,3180,4078,2933,4142,2841,4231,2841,4269,2527,4332,2401,4354,2337,4078,2337,4015,1960,3951,1924,3889,1431,3825,1431,3780,1171xm4231,2841l4142,2841,4205,3047,4231,2841xm5132,2111l4586,2111,4650,2418,4713,2341,4859,2341,4904,2338,4967,2223,5102,2223,5132,2111xm4859,2341l4713,2341,4777,2377,4840,2342,4859,2341xm4396,1541l4332,1782,4269,1982,4205,2021,4142,2153,4078,2337,4354,2337,4396,2211,4477,2211,4523,2129,4586,2111,5132,2111,5158,2017,5175,1969,4650,1969,4623,1808,4523,1808,4459,1768,4396,1541xm5102,2223l4967,2223,5031,2257,5094,2251,5102,2223xm4477,2211l4396,2211,4459,2242,4477,2211xm2126,1464l1983,1464,2047,1696,2110,1898,2174,2097,2237,1938,2301,1907,2534,1907,2525,1861,2174,1861,2126,1464xm2548,1975l2491,1975,2555,2048,2618,2033,2628,2006,2555,2006,2548,1975xm1539,1154l1475,1400,1475,2017,1539,1656,1625,1656,1666,1288,1761,1288,1766,1237,1602,1237,1539,1154xm2534,1907l2301,1907,2364,2002,2428,2016,2491,1975,2548,1975,2534,1907xm2682,1367l2618,1638,2555,2006,2628,2006,2682,1848,2745,1637,2809,1520,2872,1502,2936,1476,3181,1476,3126,1427,3122,1417,2745,1417,2682,1367xm4713,1702l4650,1969,5175,1969,5221,1834,5235,1823,4777,1823,4713,1702xm1625,1656l1539,1656,1602,1863,1625,1656xm2301,1487l2237,1643,2174,1861,2525,1861,2504,1759,2364,1759,2301,1487xm3181,1476l2936,1476,2999,1487,3063,1733,3126,1848,3190,1595,3292,1595,3317,1549,3340,1484,3190,1484,3181,1476xm4904,1523l4840,1651,4777,1823,5235,1823,5285,1782,5285,1761,5031,1761,4967,1651,4904,1523xm4586,1594l4523,1808,4623,1808,4586,1594xm5285,576l5221,809,5158,1093,5094,1538,5031,1761,5285,1761,5285,576xm2428,1398l2364,1759,2504,1759,2491,1700,2428,1398xm3292,1595l3190,1595,3253,1670,3292,1595xm1761,1288l1666,1288,1729,1574,1761,1288xm3317,910l3253,1290,3190,1484,3340,1484,3380,1368,3444,1363,3507,1035,3380,1035,3317,910xm1998,995l1793,995,1856,1193,1920,1467,1983,1464,2126,1464,2110,1335,2047,1334,1998,995xm3888,1423l3825,1431,3889,1431,3888,1423xm2809,1006l2745,1417,3122,1417,3077,1291,2872,1291,2809,1006xm3758,1034l3507,1034,3571,1304,3634,1171,3780,1171,3761,1062,3758,1034xm2936,883l2872,1291,3077,1291,3063,1253,2999,1207,2936,883xm1666,900l1602,1237,1766,1237,1782,1091,1729,1091,1666,900xm1983,890l1920,911,1856,919,1793,986,1729,1091,1782,1091,1793,995,1998,995,1983,890xm3571,775l3507,859,3444,1015,3380,1035,3507,1035,3507,1034,3758,1034,3744,921,3634,921,3571,775xm3698,525l3634,921,3744,921,3698,525xe" filled="true" fillcolor="#000080" stroked="false">
              <v:path arrowok="t"/>
              <v:fill type="solid"/>
            </v:shape>
            <v:shape style="position:absolute;left:5284;top:344;width:60;height:3274" coordorigin="5285,344" coordsize="60,3274" path="m5285,3618l5285,344m5285,3618l5345,3618m5285,3255l5345,3255m5285,2890l5345,2890m5285,2526l5345,2526m5285,2163l5345,2163m5285,1798l5345,1798m5285,1436l5345,1436m5285,1071l5345,1071m5285,706l5345,706m5285,344l5345,344e" filled="false" stroked="true" strokeweight=".96pt" strokecolor="#000000">
              <v:path arrowok="t"/>
              <v:stroke dashstyle="solid"/>
            </v:shape>
            <v:shape style="position:absolute;left:1476;top:3557;width:3809;height:60" coordorigin="1476,3558" coordsize="3809,60" path="m1476,3618l5285,3618m1476,3558l1476,3618m1982,3558l1982,3618m2491,3558l2491,3618m3000,3558l3000,3618m3506,3558l3506,3618m4015,3558l4015,3618m4524,3558l4524,3618m5030,3558l5030,3618e" filled="false" stroked="true" strokeweight=".24pt" strokecolor="#000000">
              <v:path arrowok="t"/>
              <v:stroke dashstyle="solid"/>
            </v:shape>
            <v:line style="position:absolute" from="1474,1436" to="5287,1436" stroked="true" strokeweight=".24pt" strokecolor="#000000">
              <v:stroke dashstyle="solid"/>
            </v:line>
            <w10:wrap type="none"/>
          </v:group>
        </w:pict>
      </w:r>
      <w:r>
        <w:rPr/>
        <w:pict>
          <v:group style="position:absolute;margin-left:312.600006pt;margin-top:6.040369pt;width:207.75pt;height:168.25pt;mso-position-horizontal-relative:page;mso-position-vertical-relative:paragraph;z-index:-252647424" coordorigin="6252,121" coordsize="4155,3365">
            <v:shape style="position:absolute;left:6252;top:123;width:4155;height:3360" coordorigin="6252,123" coordsize="4155,3360" path="m10346,3483l10346,123m10346,3483l10406,3483m10346,2924l10406,2924m10346,2362l10406,2362m10346,1803l10406,1803m10346,1244l10406,1244m10346,682l10406,682m10346,123l10406,123m6252,3483l10346,3483m10346,3423l10346,3483e" filled="false" stroked="true" strokeweight=".24pt" strokecolor="#000000">
              <v:path arrowok="t"/>
              <v:stroke dashstyle="solid"/>
            </v:shape>
            <v:shape style="position:absolute;left:10115;top:789;width:120;height:120" coordorigin="10116,790" coordsize="120,120" path="m10176,790l10116,850,10176,910,10236,850,10176,790xe" filled="true" fillcolor="#ff0000" stroked="false">
              <v:path arrowok="t"/>
              <v:fill type="solid"/>
            </v:shape>
            <v:shape style="position:absolute;left:10115;top:744;width:120;height:120" coordorigin="10116,744" coordsize="120,120" path="m10176,744l10116,804,10176,864,10236,804,10176,744xe" filled="true" fillcolor="#001f5f" stroked="false">
              <v:path arrowok="t"/>
              <v:fill type="solid"/>
            </v:shape>
            <w10:wrap type="none"/>
          </v:group>
        </w:pict>
      </w:r>
      <w:r>
        <w:rPr/>
        <w:t>110</w:t>
      </w:r>
    </w:p>
    <w:p>
      <w:pPr>
        <w:pStyle w:val="BodyText"/>
        <w:spacing w:before="8"/>
        <w:rPr>
          <w:sz w:val="28"/>
        </w:rPr>
      </w:pPr>
    </w:p>
    <w:p>
      <w:pPr>
        <w:pStyle w:val="BodyText"/>
        <w:spacing w:after="17"/>
        <w:ind w:left="9700"/>
      </w:pPr>
      <w:r>
        <w:rPr/>
        <w:pict>
          <v:group style="position:absolute;margin-left:316.200012pt;margin-top:5.279875pt;width:10pt;height:2.050pt;mso-position-horizontal-relative:page;mso-position-vertical-relative:paragraph;z-index:251679744" coordorigin="6324,106" coordsize="200,41">
            <v:rect style="position:absolute;left:6324;top:105;width:200;height:41" filled="true" fillcolor="#ff0000" stroked="false">
              <v:fill type="solid"/>
            </v:rect>
            <v:rect style="position:absolute;left:6324;top:105;width:200;height:41" filled="true" fillcolor="#001f5f" stroked="false">
              <v:fill type="solid"/>
            </v:rect>
            <w10:wrap type="none"/>
          </v:group>
        </w:pict>
      </w:r>
      <w:r>
        <w:rPr/>
        <w:pict>
          <v:group style="position:absolute;margin-left:335.140015pt;margin-top:3.689876pt;width:6pt;height:7.1pt;mso-position-horizontal-relative:page;mso-position-vertical-relative:paragraph;z-index:251680768" coordorigin="6703,74" coordsize="120,142">
            <v:shape style="position:absolute;left:6702;top:95;width:120;height:120" coordorigin="6703,95" coordsize="120,120" path="m6763,95l6703,155,6763,215,6823,155,6763,95xe" filled="true" fillcolor="#ff0000" stroked="false">
              <v:path arrowok="t"/>
              <v:fill type="solid"/>
            </v:shape>
            <v:shape style="position:absolute;left:6702;top:73;width:120;height:120" coordorigin="6703,74" coordsize="120,120" path="m6763,74l6703,134,6763,194,6823,134,6763,74xe" filled="true" fillcolor="#001f5f" stroked="false">
              <v:path arrowok="t"/>
              <v:fill type="solid"/>
            </v:shape>
            <w10:wrap type="none"/>
          </v:group>
        </w:pict>
      </w:r>
      <w:r>
        <w:rPr/>
        <w:pict>
          <v:group style="position:absolute;margin-left:352.179993pt;margin-top:-.270125pt;width:6pt;height:9pt;mso-position-horizontal-relative:page;mso-position-vertical-relative:paragraph;z-index:251681792" coordorigin="7044,-5" coordsize="120,180">
            <v:shape style="position:absolute;left:7043;top:54;width:120;height:120" coordorigin="7044,55" coordsize="120,120" path="m7104,55l7044,115,7104,175,7164,115,7104,55xe" filled="true" fillcolor="#ff0000" stroked="false">
              <v:path arrowok="t"/>
              <v:fill type="solid"/>
            </v:shape>
            <v:shape style="position:absolute;left:7043;top:-6;width:120;height:120" coordorigin="7044,-5" coordsize="120,120" path="m7104,-5l7044,55,7104,115,7164,55,7104,-5xe" filled="true" fillcolor="#001f5f" stroked="false">
              <v:path arrowok="t"/>
              <v:fill type="solid"/>
            </v:shape>
            <w10:wrap type="none"/>
          </v:group>
        </w:pict>
      </w:r>
      <w:r>
        <w:rPr/>
        <w:pict>
          <v:group style="position:absolute;margin-left:369.220001pt;margin-top:4.529875pt;width:6pt;height:10.95pt;mso-position-horizontal-relative:page;mso-position-vertical-relative:paragraph;z-index:251682816" coordorigin="7384,91" coordsize="120,219">
            <v:shape style="position:absolute;left:7384;top:189;width:120;height:120" coordorigin="7384,189" coordsize="120,120" path="m7444,189l7384,249,7444,309,7504,249,7444,189xe" filled="true" fillcolor="#ff0000" stroked="false">
              <v:path arrowok="t"/>
              <v:fill type="solid"/>
            </v:shape>
            <v:shape style="position:absolute;left:7384;top:90;width:120;height:120" coordorigin="7384,91" coordsize="120,120" path="m7444,91l7384,151,7444,211,7504,151,7444,91xe" filled="true" fillcolor="#001f5f" stroked="false">
              <v:path arrowok="t"/>
              <v:fill type="solid"/>
            </v:shape>
            <w10:wrap type="none"/>
          </v:group>
        </w:pict>
      </w:r>
      <w:r>
        <w:rPr/>
        <w:pict>
          <v:group style="position:absolute;margin-left:386.26001pt;margin-top:3.569875pt;width:6pt;height:10.8pt;mso-position-horizontal-relative:page;mso-position-vertical-relative:paragraph;z-index:251683840" coordorigin="7725,71" coordsize="120,216">
            <v:shape style="position:absolute;left:7725;top:167;width:120;height:120" coordorigin="7725,167" coordsize="120,120" path="m7785,167l7725,227,7785,287,7845,227,7785,167xe" filled="true" fillcolor="#ff0000" stroked="false">
              <v:path arrowok="t"/>
              <v:fill type="solid"/>
            </v:shape>
            <v:shape style="position:absolute;left:7725;top:71;width:120;height:120" coordorigin="7725,71" coordsize="120,120" path="m7785,71l7725,131,7785,191,7845,131,7785,71xe" filled="true" fillcolor="#001f5f" stroked="false">
              <v:path arrowok="t"/>
              <v:fill type="solid"/>
            </v:shape>
            <w10:wrap type="none"/>
          </v:group>
        </w:pict>
      </w:r>
      <w:r>
        <w:rPr/>
        <w:pict>
          <v:group style="position:absolute;margin-left:403.420013pt;margin-top:6.569876pt;width:6pt;height:8.65pt;mso-position-horizontal-relative:page;mso-position-vertical-relative:paragraph;z-index:251684864" coordorigin="8068,131" coordsize="120,173">
            <v:shape style="position:absolute;left:8068;top:184;width:120;height:120" coordorigin="8068,184" coordsize="120,120" path="m8128,184l8068,244,8128,304,8188,244,8128,184xe" filled="true" fillcolor="#ff0000" stroked="false">
              <v:path arrowok="t"/>
              <v:fill type="solid"/>
            </v:shape>
            <v:shape style="position:absolute;left:8068;top:131;width:120;height:120" coordorigin="8068,131" coordsize="120,120" path="m8128,131l8068,191,8128,251,8188,191,8128,131xe" filled="true" fillcolor="#001f5f" stroked="false">
              <v:path arrowok="t"/>
              <v:fill type="solid"/>
            </v:shape>
            <w10:wrap type="none"/>
          </v:group>
        </w:pict>
      </w:r>
      <w:r>
        <w:rPr/>
        <w:pict>
          <v:group style="position:absolute;margin-left:420.459991pt;margin-top:8.129875pt;width:6pt;height:10.2pt;mso-position-horizontal-relative:page;mso-position-vertical-relative:paragraph;z-index:251685888" coordorigin="8409,163" coordsize="120,204">
            <v:shape style="position:absolute;left:8409;top:246;width:120;height:120" coordorigin="8409,247" coordsize="120,120" path="m8469,247l8409,307,8469,367,8529,307,8469,247xe" filled="true" fillcolor="#ff0000" stroked="false">
              <v:path arrowok="t"/>
              <v:fill type="solid"/>
            </v:shape>
            <v:shape style="position:absolute;left:8409;top:162;width:120;height:120" coordorigin="8409,163" coordsize="120,120" path="m8469,163l8409,223,8469,283,8529,223,8469,163xe" filled="true" fillcolor="#001f5f" stroked="false">
              <v:path arrowok="t"/>
              <v:fill type="solid"/>
            </v:shape>
            <w10:wrap type="none"/>
          </v:group>
        </w:pict>
      </w:r>
      <w:r>
        <w:rPr/>
        <w:pict>
          <v:group style="position:absolute;margin-left:437.5pt;margin-top:6.449875pt;width:6pt;height:10.95pt;mso-position-horizontal-relative:page;mso-position-vertical-relative:paragraph;z-index:251686912" coordorigin="8750,129" coordsize="120,219">
            <v:shape style="position:absolute;left:8750;top:227;width:120;height:120" coordorigin="8750,227" coordsize="120,120" path="m8810,227l8750,287,8810,347,8870,287,8810,227xe" filled="true" fillcolor="#ff0000" stroked="false">
              <v:path arrowok="t"/>
              <v:fill type="solid"/>
            </v:shape>
            <v:shape style="position:absolute;left:8750;top:129;width:120;height:120" coordorigin="8750,129" coordsize="120,120" path="m8810,129l8750,189,8810,249,8870,189,8810,129xe" filled="true" fillcolor="#001f5f" stroked="false">
              <v:path arrowok="t"/>
              <v:fill type="solid"/>
            </v:shape>
            <w10:wrap type="none"/>
          </v:group>
        </w:pict>
      </w:r>
      <w:r>
        <w:rPr/>
        <w:pict>
          <v:group style="position:absolute;margin-left:454.540009pt;margin-top:8.609876pt;width:6pt;height:7.95pt;mso-position-horizontal-relative:page;mso-position-vertical-relative:paragraph;z-index:251687936" coordorigin="9091,172" coordsize="120,159">
            <v:shape style="position:absolute;left:9090;top:210;width:120;height:120" coordorigin="9091,211" coordsize="120,120" path="m9151,211l9091,271,9151,331,9211,271,9151,211xe" filled="true" fillcolor="#ff0000" stroked="false">
              <v:path arrowok="t"/>
              <v:fill type="solid"/>
            </v:shape>
            <v:shape style="position:absolute;left:9090;top:172;width:120;height:120" coordorigin="9091,172" coordsize="120,120" path="m9151,172l9091,232,9151,292,9211,232,9151,172xe" filled="true" fillcolor="#001f5f" stroked="false">
              <v:path arrowok="t"/>
              <v:fill type="solid"/>
            </v:shape>
            <w10:wrap type="none"/>
          </v:group>
        </w:pict>
      </w:r>
      <w:r>
        <w:rPr/>
        <w:pict>
          <v:group style="position:absolute;margin-left:488.619995pt;margin-top:10.289875pt;width:6pt;height:9.4pt;mso-position-horizontal-relative:page;mso-position-vertical-relative:paragraph;z-index:251688960" coordorigin="9772,206" coordsize="120,188">
            <v:shape style="position:absolute;left:9772;top:273;width:120;height:120" coordorigin="9772,273" coordsize="120,120" path="m9832,273l9772,333,9832,393,9892,333,9832,273xe" filled="true" fillcolor="#ff0000" stroked="false">
              <v:path arrowok="t"/>
              <v:fill type="solid"/>
            </v:shape>
            <v:shape style="position:absolute;left:9772;top:205;width:120;height:120" coordorigin="9772,206" coordsize="120,120" path="m9832,206l9772,266,9832,326,9892,266,9832,206xe" filled="true" fillcolor="#001f5f" stroked="false">
              <v:path arrowok="t"/>
              <v:fill type="solid"/>
            </v:shape>
            <w10:wrap type="none"/>
          </v:group>
        </w:pict>
      </w:r>
      <w:r>
        <w:rPr/>
        <w:t>100</w:t>
      </w:r>
    </w:p>
    <w:p>
      <w:pPr>
        <w:pStyle w:val="BodyText"/>
        <w:spacing w:line="170" w:lineRule="exact"/>
        <w:ind w:left="8611"/>
        <w:rPr>
          <w:sz w:val="17"/>
        </w:rPr>
      </w:pPr>
      <w:r>
        <w:rPr>
          <w:position w:val="-2"/>
          <w:sz w:val="17"/>
        </w:rPr>
        <w:pict>
          <v:group style="width:6pt;height:8.550pt;mso-position-horizontal-relative:char;mso-position-vertical-relative:line" coordorigin="0,0" coordsize="120,171">
            <v:shape style="position:absolute;left:0;top:0;width:120;height:120" coordorigin="0,0" coordsize="120,120" path="m60,0l0,60,60,120,120,60,60,0xe" filled="true" fillcolor="#ff0000" stroked="false">
              <v:path arrowok="t"/>
              <v:fill type="solid"/>
            </v:shape>
            <v:shape style="position:absolute;left:0;top:50;width:120;height:120" coordorigin="0,50" coordsize="120,120" path="m60,50l0,110,60,170,120,110,60,50xe" filled="true" fillcolor="#001f5f" stroked="false">
              <v:path arrowok="t"/>
              <v:fill type="solid"/>
            </v:shape>
          </v:group>
        </w:pict>
      </w:r>
      <w:r>
        <w:rPr>
          <w:position w:val="-2"/>
          <w:sz w:val="17"/>
        </w:rPr>
      </w:r>
    </w:p>
    <w:p>
      <w:pPr>
        <w:pStyle w:val="BodyText"/>
        <w:spacing w:before="143"/>
        <w:ind w:left="9700"/>
      </w:pPr>
      <w:r>
        <w:rPr/>
        <w:t>90</w:t>
      </w:r>
    </w:p>
    <w:p>
      <w:pPr>
        <w:pStyle w:val="BodyText"/>
        <w:spacing w:before="8"/>
        <w:rPr>
          <w:sz w:val="28"/>
        </w:rPr>
      </w:pPr>
    </w:p>
    <w:p>
      <w:pPr>
        <w:pStyle w:val="BodyText"/>
        <w:spacing w:before="1" w:after="14"/>
        <w:ind w:left="9700"/>
      </w:pPr>
      <w:r>
        <w:rPr/>
        <w:t>80</w:t>
      </w:r>
    </w:p>
    <w:p>
      <w:pPr>
        <w:pStyle w:val="BodyText"/>
        <w:spacing w:line="120" w:lineRule="exact"/>
        <w:ind w:left="6677"/>
        <w:rPr>
          <w:sz w:val="12"/>
        </w:rPr>
      </w:pPr>
      <w:r>
        <w:rPr>
          <w:position w:val="-1"/>
          <w:sz w:val="12"/>
        </w:rPr>
        <w:pict>
          <v:group style="width:6pt;height:6pt;mso-position-horizontal-relative:char;mso-position-vertical-relative:line" coordorigin="0,0" coordsize="120,120">
            <v:shape style="position:absolute;left:0;top:0;width:120;height:120" coordorigin="0,0" coordsize="120,120" path="m60,0l0,60,60,120,120,60,60,0xe" filled="true" fillcolor="#ff0000" stroked="false">
              <v:path arrowok="t"/>
              <v:fill type="solid"/>
            </v:shape>
          </v:group>
        </w:pict>
      </w:r>
      <w:r>
        <w:rPr>
          <w:position w:val="-1"/>
          <w:sz w:val="12"/>
        </w:rPr>
      </w:r>
    </w:p>
    <w:p>
      <w:pPr>
        <w:pStyle w:val="BodyText"/>
        <w:spacing w:before="196"/>
        <w:ind w:left="9700"/>
      </w:pPr>
      <w:r>
        <w:rPr/>
        <w:pict>
          <v:shape style="position:absolute;margin-left:374.880005pt;margin-top:11.059907pt;width:6pt;height:6pt;mso-position-horizontal-relative:page;mso-position-vertical-relative:paragraph;z-index:251689984" coordorigin="7498,221" coordsize="120,120" path="m7558,221l7498,281,7558,341,7618,281,7558,221xe" filled="true" fillcolor="#001f5f" stroked="false">
            <v:path arrowok="t"/>
            <v:fill type="solid"/>
            <w10:wrap type="none"/>
          </v:shape>
        </w:pict>
      </w:r>
      <w:r>
        <w:rPr/>
        <w:t>70</w:t>
      </w:r>
    </w:p>
    <w:p>
      <w:pPr>
        <w:pStyle w:val="BodyText"/>
        <w:spacing w:before="8"/>
        <w:rPr>
          <w:sz w:val="28"/>
        </w:rPr>
      </w:pPr>
    </w:p>
    <w:p>
      <w:pPr>
        <w:pStyle w:val="BodyText"/>
        <w:ind w:left="9700"/>
      </w:pPr>
      <w:r>
        <w:rPr/>
        <w:t>60</w:t>
      </w:r>
    </w:p>
    <w:p>
      <w:pPr>
        <w:pStyle w:val="BodyText"/>
        <w:spacing w:before="8"/>
        <w:rPr>
          <w:sz w:val="28"/>
        </w:rPr>
      </w:pPr>
    </w:p>
    <w:p>
      <w:pPr>
        <w:pStyle w:val="BodyText"/>
        <w:ind w:left="9700"/>
      </w:pPr>
      <w:r>
        <w:rPr/>
        <w:drawing>
          <wp:anchor distT="0" distB="0" distL="0" distR="0" allowOverlap="1" layoutInCell="1" locked="0" behindDoc="0" simplePos="0" relativeHeight="6">
            <wp:simplePos x="0" y="0"/>
            <wp:positionH relativeFrom="page">
              <wp:posOffset>5263388</wp:posOffset>
            </wp:positionH>
            <wp:positionV relativeFrom="paragraph">
              <wp:posOffset>178052</wp:posOffset>
            </wp:positionV>
            <wp:extent cx="1223848" cy="22383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1223848" cy="223837"/>
                    </a:xfrm>
                    <a:prstGeom prst="rect">
                      <a:avLst/>
                    </a:prstGeom>
                  </pic:spPr>
                </pic:pic>
              </a:graphicData>
            </a:graphic>
          </wp:anchor>
        </w:drawing>
      </w:r>
      <w:r>
        <w:rPr/>
        <w:pict>
          <v:line style="position:absolute;mso-position-horizontal-relative:page;mso-position-vertical-relative:paragraph;z-index:251667456" from="312.600006pt,3.239897pt" to="312.600006pt,6.239897pt" stroked="true" strokeweight=".24pt" strokecolor="#000000">
            <v:stroke dashstyle="solid"/>
            <w10:wrap type="none"/>
          </v:line>
        </w:pict>
      </w:r>
      <w:r>
        <w:rPr/>
        <w:pict>
          <v:line style="position:absolute;mso-position-horizontal-relative:page;mso-position-vertical-relative:paragraph;z-index:251668480" from="329.640015pt,3.239897pt" to="329.640015pt,6.239897pt" stroked="true" strokeweight=".24pt" strokecolor="#000000">
            <v:stroke dashstyle="solid"/>
            <w10:wrap type="none"/>
          </v:line>
        </w:pict>
      </w:r>
      <w:r>
        <w:rPr/>
        <w:pict>
          <v:line style="position:absolute;mso-position-horizontal-relative:page;mso-position-vertical-relative:paragraph;z-index:251669504" from="346.679993pt,3.239897pt" to="346.679993pt,6.239897pt" stroked="true" strokeweight=".24pt" strokecolor="#000000">
            <v:stroke dashstyle="solid"/>
            <w10:wrap type="none"/>
          </v:line>
        </w:pict>
      </w:r>
      <w:r>
        <w:rPr/>
        <w:pict>
          <v:line style="position:absolute;mso-position-horizontal-relative:page;mso-position-vertical-relative:paragraph;z-index:251670528" from="363.839996pt,3.239897pt" to="363.839996pt,6.239897pt" stroked="true" strokeweight=".24pt" strokecolor="#000000">
            <v:stroke dashstyle="solid"/>
            <w10:wrap type="none"/>
          </v:line>
        </w:pict>
      </w:r>
      <w:r>
        <w:rPr/>
        <w:pict>
          <v:line style="position:absolute;mso-position-horizontal-relative:page;mso-position-vertical-relative:paragraph;z-index:251671552" from="380.880005pt,3.239897pt" to="380.880005pt,6.239897pt" stroked="true" strokeweight=".24pt" strokecolor="#000000">
            <v:stroke dashstyle="solid"/>
            <w10:wrap type="none"/>
          </v:line>
        </w:pict>
      </w:r>
      <w:r>
        <w:rPr/>
        <w:pict>
          <v:line style="position:absolute;mso-position-horizontal-relative:page;mso-position-vertical-relative:paragraph;z-index:251672576" from="397.920013pt,3.239897pt" to="397.920013pt,6.239897pt" stroked="true" strokeweight=".24pt" strokecolor="#000000">
            <v:stroke dashstyle="solid"/>
            <w10:wrap type="none"/>
          </v:line>
        </w:pict>
      </w:r>
      <w:r>
        <w:rPr/>
        <w:pict>
          <v:line style="position:absolute;mso-position-horizontal-relative:page;mso-position-vertical-relative:paragraph;z-index:251673600" from="414.959991pt,3.239897pt" to="414.959991pt,6.239897pt" stroked="true" strokeweight=".24pt" strokecolor="#000000">
            <v:stroke dashstyle="solid"/>
            <w10:wrap type="none"/>
          </v:line>
        </w:pict>
      </w:r>
      <w:r>
        <w:rPr/>
        <w:pict>
          <v:line style="position:absolute;mso-position-horizontal-relative:page;mso-position-vertical-relative:paragraph;z-index:251674624" from="432pt,3.239897pt" to="432pt,6.239897pt" stroked="true" strokeweight=".24pt" strokecolor="#000000">
            <v:stroke dashstyle="solid"/>
            <w10:wrap type="none"/>
          </v:line>
        </w:pict>
      </w:r>
      <w:r>
        <w:rPr/>
        <w:pict>
          <v:line style="position:absolute;mso-position-horizontal-relative:page;mso-position-vertical-relative:paragraph;z-index:251675648" from="449.040009pt,3.239897pt" to="449.040009pt,6.239897pt" stroked="true" strokeweight=".24pt" strokecolor="#000000">
            <v:stroke dashstyle="solid"/>
            <w10:wrap type="none"/>
          </v:line>
        </w:pict>
      </w:r>
      <w:r>
        <w:rPr/>
        <w:pict>
          <v:line style="position:absolute;mso-position-horizontal-relative:page;mso-position-vertical-relative:paragraph;z-index:251676672" from="466.200012pt,3.239897pt" to="466.200012pt,6.239897pt" stroked="true" strokeweight=".24pt" strokecolor="#000000">
            <v:stroke dashstyle="solid"/>
            <w10:wrap type="none"/>
          </v:line>
        </w:pict>
      </w:r>
      <w:r>
        <w:rPr/>
        <w:pict>
          <v:line style="position:absolute;mso-position-horizontal-relative:page;mso-position-vertical-relative:paragraph;z-index:251677696" from="483.23999pt,3.239897pt" to="483.23999pt,6.239897pt" stroked="true" strokeweight=".24pt" strokecolor="#000000">
            <v:stroke dashstyle="solid"/>
            <w10:wrap type="none"/>
          </v:line>
        </w:pict>
      </w:r>
      <w:r>
        <w:rPr/>
        <w:pict>
          <v:line style="position:absolute;mso-position-horizontal-relative:page;mso-position-vertical-relative:paragraph;z-index:251678720" from="500.279999pt,3.239897pt" to="500.279999pt,6.239897pt" stroked="true" strokeweight=".24pt" strokecolor="#000000">
            <v:stroke dashstyle="solid"/>
            <w10:wrap type="none"/>
          </v:line>
        </w:pict>
      </w:r>
      <w:r>
        <w:rPr/>
        <w:t>50</w:t>
      </w:r>
    </w:p>
    <w:p>
      <w:pPr>
        <w:pStyle w:val="BodyText"/>
      </w:pPr>
    </w:p>
    <w:p>
      <w:pPr>
        <w:pStyle w:val="BodyText"/>
      </w:pPr>
    </w:p>
    <w:p>
      <w:pPr>
        <w:pStyle w:val="BodyText"/>
      </w:pPr>
    </w:p>
    <w:p>
      <w:pPr>
        <w:pStyle w:val="BodyText"/>
      </w:pPr>
    </w:p>
    <w:p>
      <w:pPr>
        <w:pStyle w:val="BodyText"/>
      </w:pPr>
    </w:p>
    <w:p>
      <w:pPr>
        <w:pStyle w:val="BodyText"/>
        <w:spacing w:before="6"/>
        <w:rPr>
          <w:sz w:val="23"/>
        </w:rPr>
      </w:pPr>
    </w:p>
    <w:p>
      <w:pPr>
        <w:pStyle w:val="BodyText"/>
        <w:ind w:right="516"/>
        <w:jc w:val="right"/>
      </w:pPr>
      <w:r>
        <w:rPr/>
        <w:pict>
          <v:group style="position:absolute;margin-left:74.879997pt;margin-top:19.239872pt;width:205.6pt;height:172pt;mso-position-horizontal-relative:page;mso-position-vertical-relative:paragraph;z-index:251691008" coordorigin="1498,385" coordsize="4112,3440">
            <v:shape style="position:absolute;left:1497;top:392;width:60;height:3404" coordorigin="1498,392" coordsize="60,3404" path="m1558,3795l1558,392m1498,3795l1558,3795m1498,3310l1558,3310m1498,2823l1558,2823m1498,2336l1558,2336m1498,1851l1558,1851m1498,1364l1558,1364m1498,879l1558,879m1498,392l1558,392e" filled="false" stroked="true" strokeweight=".72pt" strokecolor="#000000">
              <v:path arrowok="t"/>
              <v:stroke dashstyle="solid"/>
            </v:shape>
            <v:shape style="position:absolute;left:1557;top:392;width:4052;height:3404" coordorigin="1558,392" coordsize="4052,3404" path="m5549,3795l5549,392m5549,3795l5609,3795m5549,3370l5609,3370m5549,2946l5609,2946m5549,2518l5609,2518m5549,2094l5609,2094m5549,1669l5609,1669m5549,1244l5609,1244m5549,819l5609,819m5549,392l5609,392m1558,2946l5549,2946m1558,2883l1558,2946m2124,2883l2124,2946m2690,2883l2690,2946m3257,2883l3257,2946m3823,2883l3823,2946m4392,2883l4392,2946m4958,2883l4958,2946m5525,2883l5525,2946e" filled="false" stroked="true" strokeweight=".24pt" strokecolor="#000000">
              <v:path arrowok="t"/>
              <v:stroke dashstyle="solid"/>
            </v:shape>
            <v:shape style="position:absolute;left:1569;top:776;width:3660;height:2084" coordorigin="1570,776" coordsize="3660,2084" path="m1570,1201l1594,1030,1615,903,1639,903,1663,903,1687,776,1711,819,1735,946,1759,1030,1781,1074,1805,1074,1829,987,1853,860,1877,903,1901,1030,1922,1074,1946,1117,1970,1244,1994,1455,2018,1585,2042,1669,2064,1796,2088,1753,2112,1796,2136,1796,2160,1882,2184,1796,2206,1839,2230,1839,2254,1882,2278,1796,2302,1669,2326,1585,2347,1414,2371,1455,2395,1542,2419,1669,2443,1669,2467,1585,2491,1542,2513,1498,2537,1371,2561,1371,2585,1371,2609,1414,2633,1328,2654,1328,2678,1244,2702,1201,2726,1201,2750,1244,2774,1285,2796,1285,2820,1201,2844,1158,2868,1158,2892,1201,2916,1328,2938,1328,2962,1371,2986,1244,3010,1244,3034,1201,3058,1117,3079,1158,3103,1285,3127,1371,3151,1244,3175,1158,3199,1074,3223,1158,3245,1201,3269,1201,3293,1158,3317,1117,3341,1117,3365,946,3386,860,3410,776,3434,946,3458,1030,3482,1117,3506,1074,3528,1117,3552,1117,3576,1074,3600,1158,3624,1201,3648,1455,3670,1542,3694,1585,3718,1542,3742,1542,3790,1669,3811,1753,3835,1882,3859,2094,3883,2137,3907,2264,3931,2391,3955,2605,3977,2732,4001,2816,4025,2859,4049,2859,4073,2732,4097,2648,4118,2518,4142,2605,4166,2605,4190,2689,4214,2478,4238,2221,4260,2050,4284,2010,4308,2010,4332,2050,4356,2050,4380,2094,4402,2137,4426,2137,4450,2050,4474,1966,4498,2010,4522,2180,4543,2221,4567,2180,4591,2094,4615,2010,4639,2137,4663,2137,4687,2137,4709,2050,4733,2050,4757,2094,4781,2094,4805,2050,4829,2137,4850,2221,4874,2307,4898,2350,4922,2434,4946,2518,4970,2605,4992,2518,5016,2478,5040,2434,5064,2434,5088,2478,5112,2478,5134,2478,5158,2478,5182,2391,5206,2264,5230,2180e" filled="false" stroked="true" strokeweight="1.92pt" strokecolor="#ff00ff">
              <v:path arrowok="t"/>
              <v:stroke dashstyle="solid"/>
            </v:shape>
            <v:shape style="position:absolute;left:1569;top:850;width:3968;height:2732" coordorigin="1570,850" coordsize="3968,2732" path="m1570,966l1594,937,1615,985,1639,889,1663,1122,1687,1131,1711,1064,1735,1093,1759,1074,1781,1122,1805,1220,1829,1201,1853,1568,1877,1599,1901,1774,1922,1909,1946,2036,1970,2055,1994,2163,2018,2425,2042,2648,2064,2530,2088,2250,2112,2211,2136,2240,2160,2055,2184,1947,2206,2065,2230,2230,2254,2240,2278,2358,2302,2298,2326,2182,2347,2163,2371,2269,2395,2317,2419,2396,2443,2454,2467,2511,2491,2396,2513,2358,2537,2221,2561,2084,2585,1861,2609,1870,2633,1851,2654,1803,2678,1695,2702,1628,2726,1609,2750,1395,2774,1258,2796,1306,2820,1326,2844,1335,2868,1462,2892,1482,2916,1453,2938,1539,2962,1568,2986,1491,3010,1335,3034,1558,3058,1676,3079,1734,3103,1734,3127,1803,3151,1724,3175,1539,3199,1647,3223,1568,3245,1714,3269,1676,3293,1638,3317,1462,3341,1482,3365,1434,3386,1326,3410,1230,3434,1239,3458,1122,3482,1141,3506,1170,3528,1045,3552,1131,3576,1016,3600,898,3624,956,3648,850,3670,1220,3694,1258,3718,1179,3742,1364,3766,1539,3790,1647,3811,1676,3835,1803,3859,2240,3883,2026,3907,1938,3931,2259,3955,2307,3977,2336,4001,2756,4025,3075,4049,3126,4073,3202,4097,3582,4118,3339,4142,3270,4166,3241,4190,3135,4214,2871,4238,2823,4260,2610,4284,2406,4308,2151,4332,1978,4356,2046,4380,1938,4402,1988,4426,1832,4450,1957,4474,1957,4498,1743,4522,2046,4543,2122,4567,1899,4591,2113,4615,1899,4639,1938,4663,1978,4687,1822,4709,1743,4733,1928,4757,2221,4781,2007,4805,2259,4829,2055,4850,2326,4874,2250,4898,2317,4922,2288,4946,2463,4970,2317,4992,2377,5016,2192,5040,2307,5064,2202,5088,2288,5112,2240,5134,2202,5158,2151,5182,2113,5206,2094,5230,2055,5254,2074,5275,2132,5299,2163,5323,2026,5347,1947,5371,1705,5395,1686,5419,1599,5441,1395,5465,1306,5489,1316,5513,1201,5537,1150e" filled="false" stroked="true" strokeweight="1.92pt" strokecolor="#0e0080">
              <v:path arrowok="t"/>
              <v:stroke dashstyle="solid"/>
            </v:shape>
            <v:line style="position:absolute" from="1750,3526" to="2134,3526" stroked="true" strokeweight="1.92pt" strokecolor="#ff00ff">
              <v:stroke dashstyle="solid"/>
            </v:line>
            <v:line style="position:absolute" from="1750,3805" to="2134,3805" stroked="true" strokeweight="1.92pt" strokecolor="#0e0080">
              <v:stroke dashstyle="solid"/>
            </v:line>
            <w10:wrap type="none"/>
          </v:group>
        </w:pict>
      </w:r>
      <w:r>
        <w:rPr/>
        <w:pict>
          <v:group style="position:absolute;margin-left:319.559998pt;margin-top:9.519872pt;width:208.7pt;height:181.1pt;mso-position-horizontal-relative:page;mso-position-vertical-relative:paragraph;z-index:-252621824" coordorigin="6391,190" coordsize="4174,3622">
            <v:line style="position:absolute" from="6430,1629" to="6430,2361" stroked="true" strokeweight="2.7pt" strokecolor="#001f5f">
              <v:stroke dashstyle="solid"/>
            </v:line>
            <v:shape style="position:absolute;left:6403;top:1629;width:54;height:732" coordorigin="6403,1629" coordsize="54,732" path="m6403,2361l6457,2361,6457,1629,6403,1629e" filled="false" stroked="true" strokeweight=".140pt" strokecolor="#001f5f">
              <v:path arrowok="t"/>
              <v:stroke dashstyle="solid"/>
            </v:shape>
            <v:rect style="position:absolute;left:6498;top:2361;width:106;height:75" filled="true" fillcolor="#001f5f" stroked="false">
              <v:fill type="solid"/>
            </v:rect>
            <v:rect style="position:absolute;left:6498;top:2361;width:106;height:75" filled="false" stroked="true" strokeweight=".140pt" strokecolor="#001f5f">
              <v:stroke dashstyle="solid"/>
            </v:rect>
            <v:line style="position:absolute" from="6697,1963" to="6697,2361" stroked="true" strokeweight="5.28pt" strokecolor="#001f5f">
              <v:stroke dashstyle="solid"/>
            </v:line>
            <v:rect style="position:absolute;left:6644;top:1962;width:106;height:399" filled="false" stroked="true" strokeweight=".140pt" strokecolor="#001f5f">
              <v:stroke dashstyle="solid"/>
            </v:rect>
            <v:rect style="position:absolute;left:6790;top:2361;width:106;height:63" filled="true" fillcolor="#001f5f" stroked="false">
              <v:fill type="solid"/>
            </v:rect>
            <v:rect style="position:absolute;left:6790;top:2361;width:106;height:63" filled="false" stroked="true" strokeweight=".140pt" strokecolor="#001f5f">
              <v:stroke dashstyle="solid"/>
            </v:rect>
            <v:line style="position:absolute" from="6990,902" to="6990,2361" stroked="true" strokeweight="5.28pt" strokecolor="#001f5f">
              <v:stroke dashstyle="solid"/>
            </v:line>
            <v:rect style="position:absolute;left:6937;top:902;width:106;height:1460" filled="false" stroked="true" strokeweight=".140pt" strokecolor="#001f5f">
              <v:stroke dashstyle="solid"/>
            </v:rect>
            <v:line style="position:absolute" from="7136,2361" to="7136,2980" stroked="true" strokeweight="5.28pt" strokecolor="#001f5f">
              <v:stroke dashstyle="solid"/>
            </v:line>
            <v:rect style="position:absolute;left:7083;top:2361;width:106;height:620" filled="false" stroked="true" strokeweight=".140pt" strokecolor="#001f5f">
              <v:stroke dashstyle="solid"/>
            </v:rect>
            <v:rect style="position:absolute;left:7230;top:2260;width:106;height:101" filled="true" fillcolor="#001f5f" stroked="false">
              <v:fill type="solid"/>
            </v:rect>
            <v:rect style="position:absolute;left:7230;top:2260;width:106;height:101" filled="false" stroked="true" strokeweight=".140pt" strokecolor="#001f5f">
              <v:stroke dashstyle="solid"/>
            </v:rect>
            <v:rect style="position:absolute;left:7376;top:2361;width:106;height:32" filled="true" fillcolor="#001f5f" stroked="false">
              <v:fill type="solid"/>
            </v:rect>
            <v:rect style="position:absolute;left:7376;top:2361;width:106;height:32" filled="false" stroked="true" strokeweight=".140pt" strokecolor="#001f5f">
              <v:stroke dashstyle="solid"/>
            </v:rect>
            <v:line style="position:absolute" from="7576,2361" to="7576,3040" stroked="true" strokeweight="5.28pt" strokecolor="#001f5f">
              <v:stroke dashstyle="solid"/>
            </v:line>
            <v:rect style="position:absolute;left:7522;top:2361;width:106;height:680" filled="false" stroked="true" strokeweight=".140pt" strokecolor="#001f5f">
              <v:stroke dashstyle="solid"/>
            </v:rect>
            <v:line style="position:absolute" from="7722,1348" to="7722,2361" stroked="true" strokeweight="5.28pt" strokecolor="#001f5f">
              <v:stroke dashstyle="solid"/>
            </v:line>
            <v:rect style="position:absolute;left:7669;top:1348;width:106;height:1013" filled="false" stroked="true" strokeweight=".140pt" strokecolor="#001f5f">
              <v:stroke dashstyle="solid"/>
            </v:rect>
            <v:line style="position:absolute" from="7868,2361" to="7868,2623" stroked="true" strokeweight="5.28pt" strokecolor="#001f5f">
              <v:stroke dashstyle="solid"/>
            </v:line>
            <v:rect style="position:absolute;left:7815;top:2361;width:106;height:262" filled="false" stroked="true" strokeweight=".140pt" strokecolor="#001f5f">
              <v:stroke dashstyle="solid"/>
            </v:rect>
            <v:line style="position:absolute" from="8015,1708" to="8015,2361" stroked="true" strokeweight="5.28pt" strokecolor="#001f5f">
              <v:stroke dashstyle="solid"/>
            </v:line>
            <v:rect style="position:absolute;left:7962;top:1708;width:106;height:653" filled="false" stroked="true" strokeweight=".140pt" strokecolor="#001f5f">
              <v:stroke dashstyle="solid"/>
            </v:rect>
            <v:line style="position:absolute" from="8161,1862" to="8161,2361" stroked="true" strokeweight="5.28pt" strokecolor="#001f5f">
              <v:stroke dashstyle="solid"/>
            </v:line>
            <v:rect style="position:absolute;left:8108;top:1862;width:106;height:500" filled="false" stroked="true" strokeweight=".140pt" strokecolor="#001f5f">
              <v:stroke dashstyle="solid"/>
            </v:rect>
            <v:rect style="position:absolute;left:8254;top:2361;width:106;height:101" filled="true" fillcolor="#001f5f" stroked="false">
              <v:fill type="solid"/>
            </v:rect>
            <v:rect style="position:absolute;left:8254;top:2361;width:106;height:101" filled="false" stroked="true" strokeweight=".140pt" strokecolor="#001f5f">
              <v:stroke dashstyle="solid"/>
            </v:rect>
            <v:line style="position:absolute" from="8454,2160" to="8454,2361" stroked="true" strokeweight="5.28pt" strokecolor="#001f5f">
              <v:stroke dashstyle="solid"/>
            </v:line>
            <v:rect style="position:absolute;left:8401;top:2159;width:106;height:202" filled="false" stroked="true" strokeweight=".140pt" strokecolor="#001f5f">
              <v:stroke dashstyle="solid"/>
            </v:rect>
            <v:line style="position:absolute" from="8600,2205" to="8600,2361" stroked="true" strokeweight="5.28pt" strokecolor="#001f5f">
              <v:stroke dashstyle="solid"/>
            </v:line>
            <v:rect style="position:absolute;left:8547;top:2205;width:106;height:156" filled="false" stroked="true" strokeweight=".140pt" strokecolor="#001f5f">
              <v:stroke dashstyle="solid"/>
            </v:rect>
            <v:line style="position:absolute" from="8747,1665" to="8747,2361" stroked="true" strokeweight="5.28pt" strokecolor="#001f5f">
              <v:stroke dashstyle="solid"/>
            </v:line>
            <v:rect style="position:absolute;left:8694;top:1665;width:106;height:696" filled="false" stroked="true" strokeweight=".140pt" strokecolor="#001f5f">
              <v:stroke dashstyle="solid"/>
            </v:rect>
            <v:line style="position:absolute" from="8893,2361" to="8893,2570" stroked="true" strokeweight="5.28pt" strokecolor="#001f5f">
              <v:stroke dashstyle="solid"/>
            </v:line>
            <v:rect style="position:absolute;left:8840;top:2361;width:106;height:209" filled="false" stroked="true" strokeweight=".140pt" strokecolor="#001f5f">
              <v:stroke dashstyle="solid"/>
            </v:rect>
            <v:line style="position:absolute" from="9040,2200" to="9040,2361" stroked="true" strokeweight="5.28pt" strokecolor="#001f5f">
              <v:stroke dashstyle="solid"/>
            </v:line>
            <v:rect style="position:absolute;left:8986;top:2200;width:106;height:161" filled="false" stroked="true" strokeweight=".140pt" strokecolor="#001f5f">
              <v:stroke dashstyle="solid"/>
            </v:rect>
            <v:line style="position:absolute" from="9186,2040" to="9186,2361" stroked="true" strokeweight="5.28pt" strokecolor="#001f5f">
              <v:stroke dashstyle="solid"/>
            </v:line>
            <v:rect style="position:absolute;left:9133;top:2039;width:106;height:322" filled="false" stroked="true" strokeweight=".140pt" strokecolor="#001f5f">
              <v:stroke dashstyle="solid"/>
            </v:rect>
            <v:line style="position:absolute" from="9332,1982" to="9332,2361" stroked="true" strokeweight="5.28pt" strokecolor="#001f5f">
              <v:stroke dashstyle="solid"/>
            </v:line>
            <v:rect style="position:absolute;left:9279;top:1982;width:106;height:380" filled="false" stroked="true" strokeweight=".140pt" strokecolor="#001f5f">
              <v:stroke dashstyle="solid"/>
            </v:rect>
            <v:line style="position:absolute" from="9479,2361" to="9479,2553" stroked="true" strokeweight="5.28pt" strokecolor="#001f5f">
              <v:stroke dashstyle="solid"/>
            </v:line>
            <v:rect style="position:absolute;left:9426;top:2361;width:106;height:192" filled="false" stroked="true" strokeweight=".140pt" strokecolor="#001f5f">
              <v:stroke dashstyle="solid"/>
            </v:rect>
            <v:line style="position:absolute" from="9625,2174" to="9625,2361" stroked="true" strokeweight="5.28pt" strokecolor="#001f5f">
              <v:stroke dashstyle="solid"/>
            </v:line>
            <v:rect style="position:absolute;left:9572;top:2174;width:106;height:188" filled="false" stroked="true" strokeweight=".140pt" strokecolor="#001f5f">
              <v:stroke dashstyle="solid"/>
            </v:rect>
            <v:rect style="position:absolute;left:9718;top:2361;width:106;height:77" filled="true" fillcolor="#001f5f" stroked="false">
              <v:fill type="solid"/>
            </v:rect>
            <v:rect style="position:absolute;left:9718;top:2361;width:106;height:77" filled="false" stroked="true" strokeweight=".140pt" strokecolor="#001f5f">
              <v:stroke dashstyle="solid"/>
            </v:rect>
            <v:rect style="position:absolute;left:9865;top:2361;width:106;height:48" filled="true" fillcolor="#001f5f" stroked="false">
              <v:fill type="solid"/>
            </v:rect>
            <v:rect style="position:absolute;left:9865;top:2361;width:106;height:48" filled="false" stroked="true" strokeweight=".140pt" strokecolor="#001f5f">
              <v:stroke dashstyle="solid"/>
            </v:rect>
            <v:line style="position:absolute" from="10064,1468" to="10064,2361" stroked="true" strokeweight="5.28pt" strokecolor="#001f5f">
              <v:stroke dashstyle="solid"/>
            </v:line>
            <v:rect style="position:absolute;left:10011;top:1468;width:106;height:893" filled="false" stroked="true" strokeweight=".140pt" strokecolor="#001f5f">
              <v:stroke dashstyle="solid"/>
            </v:rect>
            <v:line style="position:absolute" from="10211,2361" to="10211,2676" stroked="true" strokeweight="5.28pt" strokecolor="#001f5f">
              <v:stroke dashstyle="solid"/>
            </v:line>
            <v:rect style="position:absolute;left:10158;top:2361;width:106;height:315" filled="false" stroked="true" strokeweight=".140pt" strokecolor="#001f5f">
              <v:stroke dashstyle="solid"/>
            </v:rect>
            <v:line style="position:absolute" from="10357,2215" to="10357,2361" stroked="true" strokeweight="5.28pt" strokecolor="#001f5f">
              <v:stroke dashstyle="solid"/>
            </v:line>
            <v:rect style="position:absolute;left:10304;top:2214;width:106;height:147" filled="false" stroked="true" strokeweight=".140pt" strokecolor="#001f5f">
              <v:stroke dashstyle="solid"/>
            </v:rect>
            <v:line style="position:absolute" from="7136,2088" to="7136,2361" stroked="true" strokeweight="5.28pt" strokecolor="#00afef">
              <v:stroke dashstyle="solid"/>
            </v:line>
            <v:rect style="position:absolute;left:7083;top:2087;width:106;height:274" filled="false" stroked="true" strokeweight=".140pt" strokecolor="#00afef">
              <v:stroke dashstyle="solid"/>
            </v:rect>
            <v:line style="position:absolute" from="7283,1776" to="7283,2260" stroked="true" strokeweight="5.28pt" strokecolor="#00afef">
              <v:stroke dashstyle="solid"/>
            </v:line>
            <v:rect style="position:absolute;left:7230;top:1775;width:106;height:485" filled="false" stroked="true" strokeweight=".140pt" strokecolor="#00afef">
              <v:stroke dashstyle="solid"/>
            </v:rect>
            <v:line style="position:absolute" from="7429,1488" to="7429,2361" stroked="true" strokeweight="5.28pt" strokecolor="#00afef">
              <v:stroke dashstyle="solid"/>
            </v:line>
            <v:rect style="position:absolute;left:7376;top:1487;width:106;height:874" filled="false" stroked="true" strokeweight=".140pt" strokecolor="#00afef">
              <v:stroke dashstyle="solid"/>
            </v:rect>
            <v:line style="position:absolute" from="7576,1394" to="7576,2361" stroked="true" strokeweight="5.28pt" strokecolor="#00afef">
              <v:stroke dashstyle="solid"/>
            </v:line>
            <v:rect style="position:absolute;left:7522;top:1394;width:106;height:968" filled="false" stroked="true" strokeweight=".140pt" strokecolor="#00afef">
              <v:stroke dashstyle="solid"/>
            </v:rect>
            <v:rect style="position:absolute;left:7669;top:2361;width:106;height:39" filled="true" fillcolor="#00afef" stroked="false">
              <v:fill type="solid"/>
            </v:rect>
            <v:rect style="position:absolute;left:7669;top:2361;width:106;height:39" filled="false" stroked="true" strokeweight=".140pt" strokecolor="#00afef">
              <v:stroke dashstyle="solid"/>
            </v:rect>
            <v:rect style="position:absolute;left:7815;top:2250;width:106;height:111" filled="true" fillcolor="#00afef" stroked="false">
              <v:fill type="solid"/>
            </v:rect>
            <v:rect style="position:absolute;left:7815;top:2250;width:106;height:111" filled="false" stroked="true" strokeweight=".140pt" strokecolor="#00afef">
              <v:stroke dashstyle="solid"/>
            </v:rect>
            <v:line style="position:absolute" from="8015,2361" to="8015,2659" stroked="true" strokeweight="5.28pt" strokecolor="#00afef">
              <v:stroke dashstyle="solid"/>
            </v:line>
            <v:rect style="position:absolute;left:7962;top:2361;width:106;height:298" filled="false" stroked="true" strokeweight=".140pt" strokecolor="#00afef">
              <v:stroke dashstyle="solid"/>
            </v:rect>
            <v:line style="position:absolute" from="8161,2361" to="8161,2839" stroked="true" strokeweight="5.28pt" strokecolor="#00afef">
              <v:stroke dashstyle="solid"/>
            </v:line>
            <v:rect style="position:absolute;left:8108;top:2361;width:106;height:478" filled="false" stroked="true" strokeweight=".140pt" strokecolor="#00afef">
              <v:stroke dashstyle="solid"/>
            </v:rect>
            <v:line style="position:absolute" from="8308,2462" to="8308,2606" stroked="true" strokeweight="5.28pt" strokecolor="#00afef">
              <v:stroke dashstyle="solid"/>
            </v:line>
            <v:rect style="position:absolute;left:8254;top:2462;width:106;height:144" filled="false" stroked="true" strokeweight=".140pt" strokecolor="#00afef">
              <v:stroke dashstyle="solid"/>
            </v:rect>
            <v:line style="position:absolute" from="8454,1980" to="8454,2160" stroked="true" strokeweight="5.28pt" strokecolor="#00afef">
              <v:stroke dashstyle="solid"/>
            </v:line>
            <v:rect style="position:absolute;left:8401;top:1979;width:106;height:180" filled="false" stroked="true" strokeweight=".140pt" strokecolor="#00afef">
              <v:stroke dashstyle="solid"/>
            </v:rect>
            <v:rect style="position:absolute;left:8547;top:2133;width:106;height:72" filled="true" fillcolor="#00afef" stroked="false">
              <v:fill type="solid"/>
            </v:rect>
            <v:rect style="position:absolute;left:8547;top:2133;width:106;height:72" filled="false" stroked="true" strokeweight=".140pt" strokecolor="#00afef">
              <v:stroke dashstyle="solid"/>
            </v:rect>
            <v:rect style="position:absolute;left:8694;top:1629;width:106;height:36" filled="true" fillcolor="#00afef" stroked="false">
              <v:fill type="solid"/>
            </v:rect>
            <v:rect style="position:absolute;left:8694;top:1629;width:106;height:36" filled="false" stroked="true" strokeweight=".140pt" strokecolor="#00afef">
              <v:stroke dashstyle="solid"/>
            </v:rect>
            <v:rect style="position:absolute;left:8840;top:2570;width:106;height:108" filled="true" fillcolor="#00afef" stroked="false">
              <v:fill type="solid"/>
            </v:rect>
            <v:rect style="position:absolute;left:8840;top:2570;width:106;height:108" filled="false" stroked="true" strokeweight=".140pt" strokecolor="#00afef">
              <v:stroke dashstyle="solid"/>
            </v:rect>
            <v:line style="position:absolute" from="9040,2361" to="9040,2724" stroked="true" strokeweight="5.28pt" strokecolor="#00afef">
              <v:stroke dashstyle="solid"/>
            </v:line>
            <v:rect style="position:absolute;left:8986;top:2361;width:106;height:363" filled="false" stroked="true" strokeweight=".140pt" strokecolor="#00afef">
              <v:stroke dashstyle="solid"/>
            </v:rect>
            <v:line style="position:absolute" from="9186,1860" to="9186,2040" stroked="true" strokeweight="5.28pt" strokecolor="#00afef">
              <v:stroke dashstyle="solid"/>
            </v:line>
            <v:rect style="position:absolute;left:9133;top:1859;width:106;height:180" filled="false" stroked="true" strokeweight=".140pt" strokecolor="#00afef">
              <v:stroke dashstyle="solid"/>
            </v:rect>
            <v:line style="position:absolute" from="9332,1622" to="9332,1982" stroked="true" strokeweight="5.28pt" strokecolor="#00afef">
              <v:stroke dashstyle="solid"/>
            </v:line>
            <v:rect style="position:absolute;left:9279;top:1622;width:106;height:360" filled="false" stroked="true" strokeweight=".140pt" strokecolor="#00afef">
              <v:stroke dashstyle="solid"/>
            </v:rect>
            <v:line style="position:absolute" from="9479,1852" to="9479,2361" stroked="true" strokeweight="5.28pt" strokecolor="#00afef">
              <v:stroke dashstyle="solid"/>
            </v:line>
            <v:rect style="position:absolute;left:9426;top:1852;width:106;height:509" filled="false" stroked="true" strokeweight=".140pt" strokecolor="#00afef">
              <v:stroke dashstyle="solid"/>
            </v:rect>
            <v:rect style="position:absolute;left:9572;top:2361;width:106;height:39" filled="true" fillcolor="#00afef" stroked="false">
              <v:fill type="solid"/>
            </v:rect>
            <v:rect style="position:absolute;left:9572;top:2361;width:106;height:39" filled="false" stroked="true" strokeweight=".140pt" strokecolor="#00afef">
              <v:stroke dashstyle="solid"/>
            </v:rect>
            <v:line style="position:absolute" from="9772,2068" to="9772,2361" stroked="true" strokeweight="5.28pt" strokecolor="#00afef">
              <v:stroke dashstyle="solid"/>
            </v:line>
            <v:rect style="position:absolute;left:9718;top:2068;width:106;height:293" filled="false" stroked="true" strokeweight=".140pt" strokecolor="#00afef">
              <v:stroke dashstyle="solid"/>
            </v:rect>
            <v:line style="position:absolute" from="9918,2409" to="9918,2558" stroked="true" strokeweight="5.28pt" strokecolor="#00afef">
              <v:stroke dashstyle="solid"/>
            </v:line>
            <v:rect style="position:absolute;left:9865;top:2409;width:106;height:149" filled="false" stroked="true" strokeweight=".140pt" strokecolor="#00afef">
              <v:stroke dashstyle="solid"/>
            </v:rect>
            <v:line style="position:absolute" from="10064,2361" to="10064,2548" stroked="true" strokeweight="5.28pt" strokecolor="#00afef">
              <v:stroke dashstyle="solid"/>
            </v:line>
            <v:rect style="position:absolute;left:10011;top:2361;width:106;height:188" filled="false" stroked="true" strokeweight=".140pt" strokecolor="#00afef">
              <v:stroke dashstyle="solid"/>
            </v:rect>
            <v:rect style="position:absolute;left:10158;top:2675;width:106;height:75" filled="true" fillcolor="#00afef" stroked="false">
              <v:fill type="solid"/>
            </v:rect>
            <v:rect style="position:absolute;left:10158;top:2675;width:106;height:75" filled="false" stroked="true" strokeweight=".140pt" strokecolor="#00afef">
              <v:stroke dashstyle="solid"/>
            </v:rect>
            <v:rect style="position:absolute;left:10304;top:2361;width:106;height:39" filled="true" fillcolor="#00afef" stroked="false">
              <v:fill type="solid"/>
            </v:rect>
            <v:rect style="position:absolute;left:10304;top:2361;width:106;height:39" filled="false" stroked="true" strokeweight=".140pt" strokecolor="#00afef">
              <v:stroke dashstyle="solid"/>
            </v:rect>
            <v:line style="position:absolute" from="6430,2361" to="6430,2889" stroked="true" strokeweight="2.7pt" strokecolor="#00afef">
              <v:stroke dashstyle="solid"/>
            </v:line>
            <v:shape style="position:absolute;left:6403;top:2361;width:54;height:528" coordorigin="6403,2361" coordsize="54,528" path="m6403,2889l6457,2889,6457,2361,6403,2361e" filled="false" stroked="true" strokeweight=".140pt" strokecolor="#00afef">
              <v:path arrowok="t"/>
              <v:stroke dashstyle="solid"/>
            </v:shape>
            <v:line style="position:absolute" from="6551,2436" to="6551,2817" stroked="true" strokeweight="5.28pt" strokecolor="#00afef">
              <v:stroke dashstyle="solid"/>
            </v:line>
            <v:rect style="position:absolute;left:6498;top:2435;width:106;height:382" filled="false" stroked="true" strokeweight=".140pt" strokecolor="#00afef">
              <v:stroke dashstyle="solid"/>
            </v:rect>
            <v:line style="position:absolute" from="6697,2361" to="6697,2704" stroked="true" strokeweight="5.28pt" strokecolor="#00afef">
              <v:stroke dashstyle="solid"/>
            </v:line>
            <v:rect style="position:absolute;left:6644;top:2361;width:106;height:344" filled="false" stroked="true" strokeweight=".140pt" strokecolor="#00afef">
              <v:stroke dashstyle="solid"/>
            </v:rect>
            <v:line style="position:absolute" from="6844,2193" to="6844,2361" stroked="true" strokeweight="5.28pt" strokecolor="#00afef">
              <v:stroke dashstyle="solid"/>
            </v:line>
            <v:rect style="position:absolute;left:6790;top:2193;width:106;height:168" filled="false" stroked="true" strokeweight=".140pt" strokecolor="#00afef">
              <v:stroke dashstyle="solid"/>
            </v:rect>
            <v:line style="position:absolute" from="6990,765" to="6990,902" stroked="true" strokeweight="5.28pt" strokecolor="#00afef">
              <v:stroke dashstyle="solid"/>
            </v:line>
            <v:rect style="position:absolute;left:6937;top:765;width:106;height:137" filled="false" stroked="true" strokeweight=".140pt" strokecolor="#00afef">
              <v:stroke dashstyle="solid"/>
            </v:rect>
            <v:shape style="position:absolute;left:6405;top:759;width:3951;height:2055" coordorigin="6406,759" coordsize="3951,2055" path="m6406,2161l6552,2814,6698,2305,6845,2252,6991,759,7138,2708,7284,1767,7430,1496,7577,2062,7723,1388,7870,2514,8016,2005,8162,2338,8309,2605,8455,1978,8602,2134,8748,1628,8894,2679,9041,2559,9187,1856,9334,1614,9480,2041,9624,2211,9770,2139,9917,2557,10063,1657,10210,2749,10356,2252e" filled="false" stroked="true" strokeweight="1.44pt" strokecolor="#ff00ff">
              <v:path arrowok="t"/>
              <v:stroke dashstyle="solid"/>
            </v:shape>
            <v:shape style="position:absolute;left:10502;top:192;width:63;height:3617" coordorigin="10502,193" coordsize="63,3617" path="m10502,3810l10502,193m10502,3810l10565,3810m10502,3085l10565,3085m10502,2362l10565,2362m10502,1638l10565,1638m10502,915l10565,915m10502,193l10565,193e" filled="false" stroked="true" strokeweight=".24pt" strokecolor="#000000">
              <v:path arrowok="t"/>
              <v:stroke dashstyle="solid"/>
            </v:shape>
            <v:line style="position:absolute" from="6403,2361" to="10505,2361" stroked="true" strokeweight=".140pt" strokecolor="#000000">
              <v:stroke dashstyle="solid"/>
            </v:line>
            <v:line style="position:absolute" from="6401,2173" to="10507,2173" stroked="true" strokeweight=".48pt" strokecolor="#ff00ff">
              <v:stroke dashstyle="shortdot"/>
            </v:line>
            <w10:wrap type="none"/>
          </v:group>
        </w:pict>
      </w:r>
      <w:r>
        <w:rPr/>
        <w:t>rlier </w:t>
      </w:r>
      <w:r>
        <w:rPr>
          <w:spacing w:val="6"/>
        </w:rPr>
        <w:t> </w:t>
      </w:r>
      <w:r>
        <w:rPr>
          <w:position w:val="-6"/>
        </w:rPr>
        <w:t>6</w:t>
      </w:r>
    </w:p>
    <w:p>
      <w:pPr>
        <w:pStyle w:val="BodyText"/>
        <w:rPr>
          <w:sz w:val="28"/>
        </w:rPr>
      </w:pPr>
    </w:p>
    <w:p>
      <w:pPr>
        <w:pStyle w:val="BodyText"/>
        <w:spacing w:before="170"/>
        <w:ind w:right="516"/>
        <w:jc w:val="right"/>
      </w:pPr>
      <w:r>
        <w:rPr>
          <w:w w:val="99"/>
        </w:rPr>
        <w:t>4</w:t>
      </w:r>
    </w:p>
    <w:p>
      <w:pPr>
        <w:pStyle w:val="BodyText"/>
        <w:rPr>
          <w:sz w:val="22"/>
        </w:rPr>
      </w:pPr>
    </w:p>
    <w:p>
      <w:pPr>
        <w:pStyle w:val="BodyText"/>
        <w:spacing w:before="11"/>
      </w:pPr>
    </w:p>
    <w:p>
      <w:pPr>
        <w:pStyle w:val="BodyText"/>
        <w:ind w:right="516"/>
        <w:jc w:val="right"/>
      </w:pPr>
      <w:r>
        <w:rPr>
          <w:w w:val="99"/>
        </w:rPr>
        <w:t>2</w:t>
      </w:r>
    </w:p>
    <w:p>
      <w:pPr>
        <w:pStyle w:val="BodyText"/>
        <w:rPr>
          <w:sz w:val="22"/>
        </w:rPr>
      </w:pPr>
    </w:p>
    <w:p>
      <w:pPr>
        <w:pStyle w:val="BodyText"/>
        <w:spacing w:before="10"/>
      </w:pPr>
    </w:p>
    <w:p>
      <w:pPr>
        <w:pStyle w:val="BodyText"/>
        <w:spacing w:before="1"/>
        <w:ind w:right="516"/>
        <w:jc w:val="right"/>
      </w:pPr>
      <w:r>
        <w:rPr/>
        <w:pict>
          <v:shape style="position:absolute;margin-left:466.019989pt;margin-top:-1.290109pt;width:7.85pt;height:49.4pt;mso-position-horizontal-relative:page;mso-position-vertical-relative:paragraph;z-index:251693056" coordorigin="9320,-26" coordsize="157,988" path="m9405,4l9397,16,9341,960,9356,961,9412,17,9405,4xm9414,-11l9398,-11,9413,-11,9412,17,9462,116,9464,120,9468,122,9472,120,9476,118,9477,113,9475,110,9414,-11xm9407,-26l9323,101,9320,104,9321,109,9325,111,9328,113,9333,112,9335,109,9397,16,9398,-11,9414,-11,9407,-26xm9413,-8l9399,-8,9412,-7,9405,4,9412,17,9413,-8xm9398,-11l9397,16,9405,4,9399,-8,9413,-8,9413,-11,9398,-11xm9399,-8l9405,4,9412,-7,9399,-8xe" filled="true" fillcolor="#ff00ff" stroked="false">
            <v:path arrowok="t"/>
            <v:fill type="solid"/>
            <w10:wrap type="none"/>
          </v:shape>
        </w:pict>
      </w:r>
      <w:r>
        <w:rPr>
          <w:w w:val="99"/>
        </w:rPr>
        <w:t>0</w:t>
      </w:r>
    </w:p>
    <w:p>
      <w:pPr>
        <w:pStyle w:val="BodyText"/>
        <w:rPr>
          <w:sz w:val="22"/>
        </w:rPr>
      </w:pPr>
    </w:p>
    <w:p>
      <w:pPr>
        <w:pStyle w:val="BodyText"/>
        <w:spacing w:before="10"/>
      </w:pPr>
    </w:p>
    <w:p>
      <w:pPr>
        <w:pStyle w:val="BodyText"/>
        <w:ind w:right="447"/>
        <w:jc w:val="right"/>
      </w:pPr>
      <w:r>
        <w:rPr>
          <w:w w:val="95"/>
        </w:rPr>
        <w:t>-2</w:t>
      </w:r>
    </w:p>
    <w:p>
      <w:pPr>
        <w:pStyle w:val="BodyText"/>
        <w:rPr>
          <w:sz w:val="22"/>
        </w:rPr>
      </w:pPr>
    </w:p>
    <w:p>
      <w:pPr>
        <w:pStyle w:val="BodyText"/>
        <w:spacing w:before="10"/>
      </w:pPr>
    </w:p>
    <w:p>
      <w:pPr>
        <w:pStyle w:val="BodyText"/>
        <w:spacing w:before="1"/>
        <w:ind w:right="447"/>
        <w:jc w:val="right"/>
      </w:pPr>
      <w:r>
        <w:rPr>
          <w:w w:val="95"/>
        </w:rPr>
        <w:t>-4</w:t>
      </w:r>
    </w:p>
    <w:p>
      <w:pPr>
        <w:spacing w:after="0"/>
        <w:jc w:val="right"/>
        <w:sectPr>
          <w:pgSz w:w="11910" w:h="16840"/>
          <w:pgMar w:header="0" w:footer="1338" w:top="1340" w:bottom="1520" w:left="820" w:right="600"/>
        </w:sectPr>
      </w:pPr>
    </w:p>
    <w:p>
      <w:pPr>
        <w:pStyle w:val="Heading1"/>
        <w:spacing w:before="76"/>
      </w:pPr>
      <w:r>
        <w:rPr/>
        <w:t>Table 1: Heatmap of manufacturing producer prices</w:t>
      </w:r>
    </w:p>
    <w:p>
      <w:pPr>
        <w:spacing w:before="116"/>
        <w:ind w:left="5037" w:right="296" w:firstLine="0"/>
        <w:jc w:val="center"/>
        <w:rPr>
          <w:b/>
          <w:sz w:val="20"/>
        </w:rPr>
      </w:pPr>
      <w:r>
        <w:rPr>
          <w:b/>
          <w:sz w:val="20"/>
        </w:rPr>
        <w:t>Three-month-on three month inflation rates expressed as number of standard deviations from average since 2011</w:t>
      </w:r>
    </w:p>
    <w:p>
      <w:pPr>
        <w:tabs>
          <w:tab w:pos="4748" w:val="left" w:leader="none"/>
          <w:tab w:pos="6068" w:val="left" w:leader="none"/>
          <w:tab w:pos="7595" w:val="left" w:leader="none"/>
          <w:tab w:pos="8997" w:val="left" w:leader="none"/>
        </w:tabs>
        <w:spacing w:before="73"/>
        <w:ind w:left="1224" w:right="0" w:firstLine="0"/>
        <w:jc w:val="center"/>
        <w:rPr>
          <w:sz w:val="20"/>
        </w:rPr>
      </w:pPr>
      <w:r>
        <w:rPr>
          <w:b/>
          <w:sz w:val="18"/>
        </w:rPr>
        <w:t>Manufacturing</w:t>
        <w:tab/>
      </w:r>
      <w:r>
        <w:rPr>
          <w:sz w:val="20"/>
        </w:rPr>
        <w:t>Mar</w:t>
      </w:r>
      <w:r>
        <w:rPr>
          <w:spacing w:val="-2"/>
          <w:sz w:val="20"/>
        </w:rPr>
        <w:t> </w:t>
      </w:r>
      <w:r>
        <w:rPr>
          <w:sz w:val="20"/>
        </w:rPr>
        <w:t>2014</w:t>
        <w:tab/>
        <w:t>Feb</w:t>
      </w:r>
      <w:r>
        <w:rPr>
          <w:spacing w:val="52"/>
          <w:sz w:val="20"/>
        </w:rPr>
        <w:t> </w:t>
      </w:r>
      <w:r>
        <w:rPr>
          <w:sz w:val="20"/>
        </w:rPr>
        <w:t>2014</w:t>
        <w:tab/>
        <w:t>Jan</w:t>
      </w:r>
      <w:r>
        <w:rPr>
          <w:spacing w:val="-1"/>
          <w:sz w:val="20"/>
        </w:rPr>
        <w:t> </w:t>
      </w:r>
      <w:r>
        <w:rPr>
          <w:sz w:val="20"/>
        </w:rPr>
        <w:t>2014</w:t>
        <w:tab/>
        <w:t>Dec</w:t>
      </w:r>
      <w:r>
        <w:rPr>
          <w:spacing w:val="-1"/>
          <w:sz w:val="20"/>
        </w:rPr>
        <w:t> </w:t>
      </w:r>
      <w:r>
        <w:rPr>
          <w:sz w:val="20"/>
        </w:rPr>
        <w:t>2013</w:t>
      </w:r>
    </w:p>
    <w:p>
      <w:pPr>
        <w:pStyle w:val="Heading1"/>
        <w:spacing w:before="78"/>
        <w:ind w:left="421"/>
      </w:pPr>
      <w:r>
        <w:rPr/>
        <w:pict>
          <v:shape style="position:absolute;margin-left:112.699997pt;margin-top:.079863pt;width:447.35pt;height:272.1pt;mso-position-horizontal-relative:page;mso-position-vertical-relative:paragraph;z-index:2517002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9"/>
                    <w:gridCol w:w="1275"/>
                    <w:gridCol w:w="1420"/>
                    <w:gridCol w:w="1561"/>
                    <w:gridCol w:w="1276"/>
                  </w:tblGrid>
                  <w:tr>
                    <w:trPr>
                      <w:trHeight w:val="299" w:hRule="atLeast"/>
                    </w:trPr>
                    <w:tc>
                      <w:tcPr>
                        <w:tcW w:w="3419" w:type="dxa"/>
                      </w:tcPr>
                      <w:p>
                        <w:pPr>
                          <w:pStyle w:val="TableParagraph"/>
                          <w:spacing w:line="192" w:lineRule="exact" w:before="87"/>
                          <w:ind w:left="107"/>
                          <w:rPr>
                            <w:b/>
                            <w:sz w:val="18"/>
                          </w:rPr>
                        </w:pPr>
                        <w:r>
                          <w:rPr>
                            <w:b/>
                            <w:sz w:val="18"/>
                          </w:rPr>
                          <w:t>Total</w:t>
                        </w:r>
                      </w:p>
                    </w:tc>
                    <w:tc>
                      <w:tcPr>
                        <w:tcW w:w="1275" w:type="dxa"/>
                        <w:tcBorders>
                          <w:top w:val="single" w:sz="4" w:space="0" w:color="000000"/>
                        </w:tcBorders>
                        <w:shd w:val="clear" w:color="auto" w:fill="92D050"/>
                      </w:tcPr>
                      <w:p>
                        <w:pPr>
                          <w:pStyle w:val="TableParagraph"/>
                          <w:spacing w:before="30"/>
                          <w:ind w:right="447"/>
                          <w:jc w:val="center"/>
                          <w:rPr>
                            <w:b/>
                            <w:sz w:val="20"/>
                          </w:rPr>
                        </w:pPr>
                        <w:r>
                          <w:rPr>
                            <w:b/>
                            <w:sz w:val="20"/>
                          </w:rPr>
                          <w:t>-0.8</w:t>
                        </w:r>
                      </w:p>
                    </w:tc>
                    <w:tc>
                      <w:tcPr>
                        <w:tcW w:w="1420" w:type="dxa"/>
                        <w:tcBorders>
                          <w:top w:val="single" w:sz="4" w:space="0" w:color="000000"/>
                        </w:tcBorders>
                        <w:shd w:val="clear" w:color="auto" w:fill="92D050"/>
                      </w:tcPr>
                      <w:p>
                        <w:pPr>
                          <w:pStyle w:val="TableParagraph"/>
                          <w:spacing w:before="30"/>
                          <w:ind w:left="534"/>
                          <w:rPr>
                            <w:b/>
                            <w:sz w:val="20"/>
                          </w:rPr>
                        </w:pPr>
                        <w:r>
                          <w:rPr>
                            <w:b/>
                            <w:sz w:val="20"/>
                          </w:rPr>
                          <w:t>-0.7</w:t>
                        </w:r>
                      </w:p>
                    </w:tc>
                    <w:tc>
                      <w:tcPr>
                        <w:tcW w:w="1561" w:type="dxa"/>
                        <w:tcBorders>
                          <w:top w:val="single" w:sz="4" w:space="0" w:color="000000"/>
                        </w:tcBorders>
                        <w:shd w:val="clear" w:color="auto" w:fill="92D050"/>
                      </w:tcPr>
                      <w:p>
                        <w:pPr>
                          <w:pStyle w:val="TableParagraph"/>
                          <w:spacing w:before="30"/>
                          <w:ind w:left="585" w:right="590"/>
                          <w:jc w:val="center"/>
                          <w:rPr>
                            <w:b/>
                            <w:sz w:val="20"/>
                          </w:rPr>
                        </w:pPr>
                        <w:r>
                          <w:rPr>
                            <w:b/>
                            <w:sz w:val="20"/>
                          </w:rPr>
                          <w:t>-0.8</w:t>
                        </w:r>
                      </w:p>
                    </w:tc>
                    <w:tc>
                      <w:tcPr>
                        <w:tcW w:w="1276" w:type="dxa"/>
                        <w:tcBorders>
                          <w:top w:val="single" w:sz="4" w:space="0" w:color="000000"/>
                        </w:tcBorders>
                        <w:shd w:val="clear" w:color="auto" w:fill="92D050"/>
                      </w:tcPr>
                      <w:p>
                        <w:pPr>
                          <w:pStyle w:val="TableParagraph"/>
                          <w:spacing w:before="30"/>
                          <w:ind w:left="442" w:right="447"/>
                          <w:jc w:val="center"/>
                          <w:rPr>
                            <w:b/>
                            <w:sz w:val="20"/>
                          </w:rPr>
                        </w:pPr>
                        <w:r>
                          <w:rPr>
                            <w:b/>
                            <w:sz w:val="20"/>
                          </w:rPr>
                          <w:t>-0.9</w:t>
                        </w:r>
                      </w:p>
                    </w:tc>
                  </w:tr>
                  <w:tr>
                    <w:trPr>
                      <w:trHeight w:val="300" w:hRule="atLeast"/>
                    </w:trPr>
                    <w:tc>
                      <w:tcPr>
                        <w:tcW w:w="3419" w:type="dxa"/>
                      </w:tcPr>
                      <w:p>
                        <w:pPr>
                          <w:pStyle w:val="TableParagraph"/>
                          <w:spacing w:line="187" w:lineRule="exact" w:before="92"/>
                          <w:ind w:left="107"/>
                          <w:rPr>
                            <w:sz w:val="18"/>
                          </w:rPr>
                        </w:pPr>
                        <w:r>
                          <w:rPr>
                            <w:sz w:val="18"/>
                          </w:rPr>
                          <w:t>Ex energy</w:t>
                        </w:r>
                      </w:p>
                    </w:tc>
                    <w:tc>
                      <w:tcPr>
                        <w:tcW w:w="1275" w:type="dxa"/>
                        <w:shd w:val="clear" w:color="auto" w:fill="92D050"/>
                      </w:tcPr>
                      <w:p>
                        <w:pPr>
                          <w:pStyle w:val="TableParagraph"/>
                          <w:ind w:right="447"/>
                          <w:jc w:val="center"/>
                          <w:rPr>
                            <w:sz w:val="20"/>
                          </w:rPr>
                        </w:pPr>
                        <w:r>
                          <w:rPr>
                            <w:sz w:val="20"/>
                          </w:rPr>
                          <w:t>-0.8</w:t>
                        </w:r>
                      </w:p>
                    </w:tc>
                    <w:tc>
                      <w:tcPr>
                        <w:tcW w:w="1420" w:type="dxa"/>
                        <w:shd w:val="clear" w:color="auto" w:fill="92D050"/>
                      </w:tcPr>
                      <w:p>
                        <w:pPr>
                          <w:pStyle w:val="TableParagraph"/>
                          <w:ind w:left="534"/>
                          <w:rPr>
                            <w:sz w:val="20"/>
                          </w:rPr>
                        </w:pPr>
                        <w:r>
                          <w:rPr>
                            <w:sz w:val="20"/>
                          </w:rPr>
                          <w:t>-0.8</w:t>
                        </w:r>
                      </w:p>
                    </w:tc>
                    <w:tc>
                      <w:tcPr>
                        <w:tcW w:w="1561" w:type="dxa"/>
                        <w:shd w:val="clear" w:color="auto" w:fill="92D050"/>
                      </w:tcPr>
                      <w:p>
                        <w:pPr>
                          <w:pStyle w:val="TableParagraph"/>
                          <w:ind w:left="585" w:right="590"/>
                          <w:jc w:val="center"/>
                          <w:rPr>
                            <w:sz w:val="20"/>
                          </w:rPr>
                        </w:pPr>
                        <w:r>
                          <w:rPr>
                            <w:sz w:val="20"/>
                          </w:rPr>
                          <w:t>-0.8</w:t>
                        </w:r>
                      </w:p>
                    </w:tc>
                    <w:tc>
                      <w:tcPr>
                        <w:tcW w:w="1276" w:type="dxa"/>
                        <w:shd w:val="clear" w:color="auto" w:fill="00AFEF"/>
                      </w:tcPr>
                      <w:p>
                        <w:pPr>
                          <w:pStyle w:val="TableParagraph"/>
                          <w:ind w:right="447"/>
                          <w:jc w:val="center"/>
                          <w:rPr>
                            <w:sz w:val="20"/>
                          </w:rPr>
                        </w:pPr>
                        <w:r>
                          <w:rPr>
                            <w:sz w:val="20"/>
                          </w:rPr>
                          <w:t>-1.1</w:t>
                        </w:r>
                      </w:p>
                    </w:tc>
                  </w:tr>
                  <w:tr>
                    <w:trPr>
                      <w:trHeight w:val="300" w:hRule="atLeast"/>
                    </w:trPr>
                    <w:tc>
                      <w:tcPr>
                        <w:tcW w:w="3419" w:type="dxa"/>
                      </w:tcPr>
                      <w:p>
                        <w:pPr>
                          <w:pStyle w:val="TableParagraph"/>
                          <w:spacing w:line="187" w:lineRule="exact" w:before="92"/>
                          <w:ind w:left="107"/>
                          <w:rPr>
                            <w:sz w:val="18"/>
                          </w:rPr>
                        </w:pPr>
                        <w:r>
                          <w:rPr>
                            <w:sz w:val="18"/>
                          </w:rPr>
                          <w:t>Ex petrol, food, beverages and tobacco</w:t>
                        </w:r>
                      </w:p>
                    </w:tc>
                    <w:tc>
                      <w:tcPr>
                        <w:tcW w:w="1275" w:type="dxa"/>
                        <w:shd w:val="clear" w:color="auto" w:fill="00AFEF"/>
                      </w:tcPr>
                      <w:p>
                        <w:pPr>
                          <w:pStyle w:val="TableParagraph"/>
                          <w:ind w:right="447"/>
                          <w:jc w:val="center"/>
                          <w:rPr>
                            <w:sz w:val="20"/>
                          </w:rPr>
                        </w:pPr>
                        <w:r>
                          <w:rPr>
                            <w:sz w:val="20"/>
                          </w:rPr>
                          <w:t>-1.5</w:t>
                        </w:r>
                      </w:p>
                    </w:tc>
                    <w:tc>
                      <w:tcPr>
                        <w:tcW w:w="1420" w:type="dxa"/>
                        <w:shd w:val="clear" w:color="auto" w:fill="00AFEF"/>
                      </w:tcPr>
                      <w:p>
                        <w:pPr>
                          <w:pStyle w:val="TableParagraph"/>
                          <w:ind w:left="534"/>
                          <w:rPr>
                            <w:sz w:val="20"/>
                          </w:rPr>
                        </w:pPr>
                        <w:r>
                          <w:rPr>
                            <w:sz w:val="20"/>
                          </w:rPr>
                          <w:t>-1.3</w:t>
                        </w:r>
                      </w:p>
                    </w:tc>
                    <w:tc>
                      <w:tcPr>
                        <w:tcW w:w="1561" w:type="dxa"/>
                        <w:shd w:val="clear" w:color="auto" w:fill="00AFEF"/>
                      </w:tcPr>
                      <w:p>
                        <w:pPr>
                          <w:pStyle w:val="TableParagraph"/>
                          <w:ind w:left="585" w:right="590"/>
                          <w:jc w:val="center"/>
                          <w:rPr>
                            <w:sz w:val="20"/>
                          </w:rPr>
                        </w:pPr>
                        <w:r>
                          <w:rPr>
                            <w:sz w:val="20"/>
                          </w:rPr>
                          <w:t>-1.1</w:t>
                        </w:r>
                      </w:p>
                    </w:tc>
                    <w:tc>
                      <w:tcPr>
                        <w:tcW w:w="1276" w:type="dxa"/>
                        <w:shd w:val="clear" w:color="auto" w:fill="00AFEF"/>
                      </w:tcPr>
                      <w:p>
                        <w:pPr>
                          <w:pStyle w:val="TableParagraph"/>
                          <w:ind w:right="447"/>
                          <w:jc w:val="center"/>
                          <w:rPr>
                            <w:sz w:val="20"/>
                          </w:rPr>
                        </w:pPr>
                        <w:r>
                          <w:rPr>
                            <w:sz w:val="20"/>
                          </w:rPr>
                          <w:t>-1.1</w:t>
                        </w:r>
                      </w:p>
                    </w:tc>
                  </w:tr>
                  <w:tr>
                    <w:trPr>
                      <w:trHeight w:val="300" w:hRule="atLeast"/>
                    </w:trPr>
                    <w:tc>
                      <w:tcPr>
                        <w:tcW w:w="3419" w:type="dxa"/>
                      </w:tcPr>
                      <w:p>
                        <w:pPr>
                          <w:pStyle w:val="TableParagraph"/>
                          <w:spacing w:line="187" w:lineRule="exact" w:before="92"/>
                          <w:ind w:left="107"/>
                          <w:rPr>
                            <w:sz w:val="18"/>
                          </w:rPr>
                        </w:pPr>
                        <w:r>
                          <w:rPr>
                            <w:sz w:val="18"/>
                          </w:rPr>
                          <w:t>Oil</w:t>
                        </w:r>
                      </w:p>
                    </w:tc>
                    <w:tc>
                      <w:tcPr>
                        <w:tcW w:w="1275" w:type="dxa"/>
                        <w:shd w:val="clear" w:color="auto" w:fill="92D050"/>
                      </w:tcPr>
                      <w:p>
                        <w:pPr>
                          <w:pStyle w:val="TableParagraph"/>
                          <w:ind w:right="447"/>
                          <w:jc w:val="center"/>
                          <w:rPr>
                            <w:sz w:val="20"/>
                          </w:rPr>
                        </w:pPr>
                        <w:r>
                          <w:rPr>
                            <w:sz w:val="20"/>
                          </w:rPr>
                          <w:t>-0.7</w:t>
                        </w:r>
                      </w:p>
                    </w:tc>
                    <w:tc>
                      <w:tcPr>
                        <w:tcW w:w="1420" w:type="dxa"/>
                        <w:shd w:val="clear" w:color="auto" w:fill="92D050"/>
                      </w:tcPr>
                      <w:p>
                        <w:pPr>
                          <w:pStyle w:val="TableParagraph"/>
                          <w:ind w:left="534"/>
                          <w:rPr>
                            <w:sz w:val="20"/>
                          </w:rPr>
                        </w:pPr>
                        <w:r>
                          <w:rPr>
                            <w:sz w:val="20"/>
                          </w:rPr>
                          <w:t>-0.7</w:t>
                        </w:r>
                      </w:p>
                    </w:tc>
                    <w:tc>
                      <w:tcPr>
                        <w:tcW w:w="1561" w:type="dxa"/>
                        <w:shd w:val="clear" w:color="auto" w:fill="92D050"/>
                      </w:tcPr>
                      <w:p>
                        <w:pPr>
                          <w:pStyle w:val="TableParagraph"/>
                          <w:ind w:left="585" w:right="590"/>
                          <w:jc w:val="center"/>
                          <w:rPr>
                            <w:sz w:val="20"/>
                          </w:rPr>
                        </w:pPr>
                        <w:r>
                          <w:rPr>
                            <w:sz w:val="20"/>
                          </w:rPr>
                          <w:t>-0.9</w:t>
                        </w:r>
                      </w:p>
                    </w:tc>
                    <w:tc>
                      <w:tcPr>
                        <w:tcW w:w="1276" w:type="dxa"/>
                        <w:shd w:val="clear" w:color="auto" w:fill="92D050"/>
                      </w:tcPr>
                      <w:p>
                        <w:pPr>
                          <w:pStyle w:val="TableParagraph"/>
                          <w:ind w:right="447"/>
                          <w:jc w:val="center"/>
                          <w:rPr>
                            <w:sz w:val="20"/>
                          </w:rPr>
                        </w:pPr>
                        <w:r>
                          <w:rPr>
                            <w:sz w:val="20"/>
                          </w:rPr>
                          <w:t>-0.9</w:t>
                        </w:r>
                      </w:p>
                    </w:tc>
                  </w:tr>
                  <w:tr>
                    <w:trPr>
                      <w:trHeight w:val="300" w:hRule="atLeast"/>
                    </w:trPr>
                    <w:tc>
                      <w:tcPr>
                        <w:tcW w:w="3419" w:type="dxa"/>
                      </w:tcPr>
                      <w:p>
                        <w:pPr>
                          <w:pStyle w:val="TableParagraph"/>
                          <w:spacing w:line="187" w:lineRule="exact" w:before="92"/>
                          <w:ind w:left="107"/>
                          <w:rPr>
                            <w:sz w:val="18"/>
                          </w:rPr>
                        </w:pPr>
                        <w:r>
                          <w:rPr>
                            <w:sz w:val="18"/>
                          </w:rPr>
                          <w:t>Imported parts &amp; machinery</w:t>
                        </w:r>
                      </w:p>
                    </w:tc>
                    <w:tc>
                      <w:tcPr>
                        <w:tcW w:w="1275" w:type="dxa"/>
                        <w:shd w:val="clear" w:color="auto" w:fill="92D050"/>
                      </w:tcPr>
                      <w:p>
                        <w:pPr>
                          <w:pStyle w:val="TableParagraph"/>
                          <w:ind w:right="447"/>
                          <w:jc w:val="center"/>
                          <w:rPr>
                            <w:sz w:val="20"/>
                          </w:rPr>
                        </w:pPr>
                        <w:r>
                          <w:rPr>
                            <w:sz w:val="20"/>
                          </w:rPr>
                          <w:t>-0.9</w:t>
                        </w:r>
                      </w:p>
                    </w:tc>
                    <w:tc>
                      <w:tcPr>
                        <w:tcW w:w="1420" w:type="dxa"/>
                        <w:shd w:val="clear" w:color="auto" w:fill="92D050"/>
                      </w:tcPr>
                      <w:p>
                        <w:pPr>
                          <w:pStyle w:val="TableParagraph"/>
                          <w:ind w:left="534"/>
                          <w:rPr>
                            <w:sz w:val="20"/>
                          </w:rPr>
                        </w:pPr>
                        <w:r>
                          <w:rPr>
                            <w:sz w:val="20"/>
                          </w:rPr>
                          <w:t>-0.9</w:t>
                        </w:r>
                      </w:p>
                    </w:tc>
                    <w:tc>
                      <w:tcPr>
                        <w:tcW w:w="1561" w:type="dxa"/>
                        <w:shd w:val="clear" w:color="auto" w:fill="92D050"/>
                      </w:tcPr>
                      <w:p>
                        <w:pPr>
                          <w:pStyle w:val="TableParagraph"/>
                          <w:ind w:left="585" w:right="590"/>
                          <w:jc w:val="center"/>
                          <w:rPr>
                            <w:sz w:val="20"/>
                          </w:rPr>
                        </w:pPr>
                        <w:r>
                          <w:rPr>
                            <w:sz w:val="20"/>
                          </w:rPr>
                          <w:t>-0.9</w:t>
                        </w:r>
                      </w:p>
                    </w:tc>
                    <w:tc>
                      <w:tcPr>
                        <w:tcW w:w="1276" w:type="dxa"/>
                        <w:shd w:val="clear" w:color="auto" w:fill="00AFEF"/>
                      </w:tcPr>
                      <w:p>
                        <w:pPr>
                          <w:pStyle w:val="TableParagraph"/>
                          <w:ind w:right="447"/>
                          <w:jc w:val="center"/>
                          <w:rPr>
                            <w:sz w:val="20"/>
                          </w:rPr>
                        </w:pPr>
                        <w:r>
                          <w:rPr>
                            <w:sz w:val="20"/>
                          </w:rPr>
                          <w:t>-1.1</w:t>
                        </w:r>
                      </w:p>
                    </w:tc>
                  </w:tr>
                  <w:tr>
                    <w:trPr>
                      <w:trHeight w:val="300" w:hRule="atLeast"/>
                    </w:trPr>
                    <w:tc>
                      <w:tcPr>
                        <w:tcW w:w="3419" w:type="dxa"/>
                      </w:tcPr>
                      <w:p>
                        <w:pPr>
                          <w:pStyle w:val="TableParagraph"/>
                          <w:spacing w:line="187" w:lineRule="exact" w:before="92"/>
                          <w:ind w:left="107"/>
                          <w:rPr>
                            <w:sz w:val="18"/>
                          </w:rPr>
                        </w:pPr>
                        <w:r>
                          <w:rPr>
                            <w:sz w:val="18"/>
                          </w:rPr>
                          <w:t>Imported chemicals</w:t>
                        </w:r>
                      </w:p>
                    </w:tc>
                    <w:tc>
                      <w:tcPr>
                        <w:tcW w:w="1275" w:type="dxa"/>
                        <w:shd w:val="clear" w:color="auto" w:fill="92D050"/>
                      </w:tcPr>
                      <w:p>
                        <w:pPr>
                          <w:pStyle w:val="TableParagraph"/>
                          <w:ind w:right="447"/>
                          <w:jc w:val="center"/>
                          <w:rPr>
                            <w:sz w:val="20"/>
                          </w:rPr>
                        </w:pPr>
                        <w:r>
                          <w:rPr>
                            <w:sz w:val="20"/>
                          </w:rPr>
                          <w:t>-0.9</w:t>
                        </w:r>
                      </w:p>
                    </w:tc>
                    <w:tc>
                      <w:tcPr>
                        <w:tcW w:w="1420" w:type="dxa"/>
                        <w:shd w:val="clear" w:color="auto" w:fill="00AFEF"/>
                      </w:tcPr>
                      <w:p>
                        <w:pPr>
                          <w:pStyle w:val="TableParagraph"/>
                          <w:ind w:left="534"/>
                          <w:rPr>
                            <w:sz w:val="20"/>
                          </w:rPr>
                        </w:pPr>
                        <w:r>
                          <w:rPr>
                            <w:sz w:val="20"/>
                          </w:rPr>
                          <w:t>-1.1</w:t>
                        </w:r>
                      </w:p>
                    </w:tc>
                    <w:tc>
                      <w:tcPr>
                        <w:tcW w:w="1561" w:type="dxa"/>
                        <w:shd w:val="clear" w:color="auto" w:fill="00AFEF"/>
                      </w:tcPr>
                      <w:p>
                        <w:pPr>
                          <w:pStyle w:val="TableParagraph"/>
                          <w:ind w:left="585" w:right="590"/>
                          <w:jc w:val="center"/>
                          <w:rPr>
                            <w:sz w:val="20"/>
                          </w:rPr>
                        </w:pPr>
                        <w:r>
                          <w:rPr>
                            <w:sz w:val="20"/>
                          </w:rPr>
                          <w:t>-1.0</w:t>
                        </w:r>
                      </w:p>
                    </w:tc>
                    <w:tc>
                      <w:tcPr>
                        <w:tcW w:w="1276" w:type="dxa"/>
                        <w:shd w:val="clear" w:color="auto" w:fill="92D050"/>
                      </w:tcPr>
                      <w:p>
                        <w:pPr>
                          <w:pStyle w:val="TableParagraph"/>
                          <w:ind w:right="447"/>
                          <w:jc w:val="center"/>
                          <w:rPr>
                            <w:sz w:val="20"/>
                          </w:rPr>
                        </w:pPr>
                        <w:r>
                          <w:rPr>
                            <w:sz w:val="20"/>
                          </w:rPr>
                          <w:t>-0.9</w:t>
                        </w:r>
                      </w:p>
                    </w:tc>
                  </w:tr>
                  <w:tr>
                    <w:trPr>
                      <w:trHeight w:val="349" w:hRule="atLeast"/>
                    </w:trPr>
                    <w:tc>
                      <w:tcPr>
                        <w:tcW w:w="3419" w:type="dxa"/>
                      </w:tcPr>
                      <w:p>
                        <w:pPr>
                          <w:pStyle w:val="TableParagraph"/>
                          <w:spacing w:before="92"/>
                          <w:ind w:left="107"/>
                          <w:rPr>
                            <w:sz w:val="18"/>
                          </w:rPr>
                        </w:pPr>
                        <w:r>
                          <w:rPr>
                            <w:sz w:val="18"/>
                          </w:rPr>
                          <w:t>Home produced food</w:t>
                        </w:r>
                      </w:p>
                    </w:tc>
                    <w:tc>
                      <w:tcPr>
                        <w:tcW w:w="1275" w:type="dxa"/>
                        <w:shd w:val="clear" w:color="auto" w:fill="92D050"/>
                      </w:tcPr>
                      <w:p>
                        <w:pPr>
                          <w:pStyle w:val="TableParagraph"/>
                          <w:ind w:right="447"/>
                          <w:jc w:val="center"/>
                          <w:rPr>
                            <w:sz w:val="20"/>
                          </w:rPr>
                        </w:pPr>
                        <w:r>
                          <w:rPr>
                            <w:sz w:val="20"/>
                          </w:rPr>
                          <w:t>-0.5</w:t>
                        </w:r>
                      </w:p>
                    </w:tc>
                    <w:tc>
                      <w:tcPr>
                        <w:tcW w:w="1420" w:type="dxa"/>
                        <w:shd w:val="clear" w:color="auto" w:fill="92D050"/>
                      </w:tcPr>
                      <w:p>
                        <w:pPr>
                          <w:pStyle w:val="TableParagraph"/>
                          <w:ind w:left="534"/>
                          <w:rPr>
                            <w:sz w:val="20"/>
                          </w:rPr>
                        </w:pPr>
                        <w:r>
                          <w:rPr>
                            <w:sz w:val="20"/>
                          </w:rPr>
                          <w:t>-0.2</w:t>
                        </w:r>
                      </w:p>
                    </w:tc>
                    <w:tc>
                      <w:tcPr>
                        <w:tcW w:w="1561" w:type="dxa"/>
                        <w:shd w:val="clear" w:color="auto" w:fill="92D050"/>
                      </w:tcPr>
                      <w:p>
                        <w:pPr>
                          <w:pStyle w:val="TableParagraph"/>
                          <w:ind w:left="585" w:right="590"/>
                          <w:jc w:val="center"/>
                          <w:rPr>
                            <w:sz w:val="20"/>
                          </w:rPr>
                        </w:pPr>
                        <w:r>
                          <w:rPr>
                            <w:sz w:val="20"/>
                          </w:rPr>
                          <w:t>-0.2</w:t>
                        </w:r>
                      </w:p>
                    </w:tc>
                    <w:tc>
                      <w:tcPr>
                        <w:tcW w:w="1276" w:type="dxa"/>
                        <w:shd w:val="clear" w:color="auto" w:fill="92D050"/>
                      </w:tcPr>
                      <w:p>
                        <w:pPr>
                          <w:pStyle w:val="TableParagraph"/>
                          <w:ind w:right="447"/>
                          <w:jc w:val="center"/>
                          <w:rPr>
                            <w:sz w:val="20"/>
                          </w:rPr>
                        </w:pPr>
                        <w:r>
                          <w:rPr>
                            <w:sz w:val="20"/>
                          </w:rPr>
                          <w:t>-0.9</w:t>
                        </w:r>
                      </w:p>
                    </w:tc>
                  </w:tr>
                  <w:tr>
                    <w:trPr>
                      <w:trHeight w:val="250" w:hRule="atLeast"/>
                    </w:trPr>
                    <w:tc>
                      <w:tcPr>
                        <w:tcW w:w="3419" w:type="dxa"/>
                      </w:tcPr>
                      <w:p>
                        <w:pPr>
                          <w:pStyle w:val="TableParagraph"/>
                          <w:spacing w:line="187" w:lineRule="exact" w:before="43"/>
                          <w:ind w:left="107"/>
                          <w:rPr>
                            <w:sz w:val="18"/>
                          </w:rPr>
                        </w:pPr>
                        <w:r>
                          <w:rPr>
                            <w:sz w:val="18"/>
                          </w:rPr>
                          <w:t>Fuel</w:t>
                        </w:r>
                      </w:p>
                    </w:tc>
                    <w:tc>
                      <w:tcPr>
                        <w:tcW w:w="1275" w:type="dxa"/>
                        <w:shd w:val="clear" w:color="auto" w:fill="92D050"/>
                      </w:tcPr>
                      <w:p>
                        <w:pPr>
                          <w:pStyle w:val="TableParagraph"/>
                          <w:spacing w:line="214" w:lineRule="exact" w:before="0"/>
                          <w:ind w:right="447"/>
                          <w:jc w:val="center"/>
                          <w:rPr>
                            <w:sz w:val="20"/>
                          </w:rPr>
                        </w:pPr>
                        <w:r>
                          <w:rPr>
                            <w:sz w:val="20"/>
                          </w:rPr>
                          <w:t>-0.7</w:t>
                        </w:r>
                      </w:p>
                    </w:tc>
                    <w:tc>
                      <w:tcPr>
                        <w:tcW w:w="1420" w:type="dxa"/>
                        <w:shd w:val="clear" w:color="auto" w:fill="92D050"/>
                      </w:tcPr>
                      <w:p>
                        <w:pPr>
                          <w:pStyle w:val="TableParagraph"/>
                          <w:spacing w:line="214" w:lineRule="exact" w:before="0"/>
                          <w:ind w:left="567"/>
                          <w:rPr>
                            <w:sz w:val="20"/>
                          </w:rPr>
                        </w:pPr>
                        <w:r>
                          <w:rPr>
                            <w:sz w:val="20"/>
                          </w:rPr>
                          <w:t>0.5</w:t>
                        </w:r>
                      </w:p>
                    </w:tc>
                    <w:tc>
                      <w:tcPr>
                        <w:tcW w:w="1561" w:type="dxa"/>
                        <w:shd w:val="clear" w:color="auto" w:fill="92D050"/>
                      </w:tcPr>
                      <w:p>
                        <w:pPr>
                          <w:pStyle w:val="TableParagraph"/>
                          <w:spacing w:line="214" w:lineRule="exact" w:before="0"/>
                          <w:ind w:left="585" w:right="590"/>
                          <w:jc w:val="center"/>
                          <w:rPr>
                            <w:sz w:val="20"/>
                          </w:rPr>
                        </w:pPr>
                        <w:r>
                          <w:rPr>
                            <w:sz w:val="20"/>
                          </w:rPr>
                          <w:t>0.9</w:t>
                        </w:r>
                      </w:p>
                    </w:tc>
                    <w:tc>
                      <w:tcPr>
                        <w:tcW w:w="1276" w:type="dxa"/>
                        <w:shd w:val="clear" w:color="auto" w:fill="92D050"/>
                      </w:tcPr>
                      <w:p>
                        <w:pPr>
                          <w:pStyle w:val="TableParagraph"/>
                          <w:spacing w:line="214" w:lineRule="exact" w:before="0"/>
                          <w:ind w:right="447"/>
                          <w:jc w:val="center"/>
                          <w:rPr>
                            <w:sz w:val="20"/>
                          </w:rPr>
                        </w:pPr>
                        <w:r>
                          <w:rPr>
                            <w:sz w:val="20"/>
                          </w:rPr>
                          <w:t>0.8</w:t>
                        </w:r>
                      </w:p>
                    </w:tc>
                  </w:tr>
                  <w:tr>
                    <w:trPr>
                      <w:trHeight w:val="460" w:hRule="atLeast"/>
                    </w:trPr>
                    <w:tc>
                      <w:tcPr>
                        <w:tcW w:w="3419" w:type="dxa"/>
                      </w:tcPr>
                      <w:p>
                        <w:pPr>
                          <w:pStyle w:val="TableParagraph"/>
                          <w:spacing w:before="7"/>
                          <w:ind w:left="0"/>
                          <w:rPr>
                            <w:sz w:val="21"/>
                          </w:rPr>
                        </w:pPr>
                      </w:p>
                      <w:p>
                        <w:pPr>
                          <w:pStyle w:val="TableParagraph"/>
                          <w:spacing w:line="192" w:lineRule="exact" w:before="0"/>
                          <w:ind w:left="107"/>
                          <w:rPr>
                            <w:b/>
                            <w:sz w:val="18"/>
                          </w:rPr>
                        </w:pPr>
                        <w:r>
                          <w:rPr>
                            <w:b/>
                            <w:sz w:val="18"/>
                          </w:rPr>
                          <w:t>Total</w:t>
                        </w:r>
                      </w:p>
                    </w:tc>
                    <w:tc>
                      <w:tcPr>
                        <w:tcW w:w="1275" w:type="dxa"/>
                        <w:shd w:val="clear" w:color="auto" w:fill="92D050"/>
                      </w:tcPr>
                      <w:p>
                        <w:pPr>
                          <w:pStyle w:val="TableParagraph"/>
                          <w:spacing w:before="110"/>
                          <w:ind w:right="447"/>
                          <w:jc w:val="center"/>
                          <w:rPr>
                            <w:b/>
                            <w:sz w:val="20"/>
                          </w:rPr>
                        </w:pPr>
                        <w:r>
                          <w:rPr>
                            <w:b/>
                            <w:sz w:val="20"/>
                          </w:rPr>
                          <w:t>-0.4</w:t>
                        </w:r>
                      </w:p>
                    </w:tc>
                    <w:tc>
                      <w:tcPr>
                        <w:tcW w:w="1420" w:type="dxa"/>
                        <w:shd w:val="clear" w:color="auto" w:fill="92D050"/>
                      </w:tcPr>
                      <w:p>
                        <w:pPr>
                          <w:pStyle w:val="TableParagraph"/>
                          <w:spacing w:before="110"/>
                          <w:ind w:left="534"/>
                          <w:rPr>
                            <w:b/>
                            <w:sz w:val="20"/>
                          </w:rPr>
                        </w:pPr>
                        <w:r>
                          <w:rPr>
                            <w:b/>
                            <w:sz w:val="20"/>
                          </w:rPr>
                          <w:t>-1.0</w:t>
                        </w:r>
                      </w:p>
                    </w:tc>
                    <w:tc>
                      <w:tcPr>
                        <w:tcW w:w="1561" w:type="dxa"/>
                        <w:shd w:val="clear" w:color="auto" w:fill="00AFEF"/>
                      </w:tcPr>
                      <w:p>
                        <w:pPr>
                          <w:pStyle w:val="TableParagraph"/>
                          <w:spacing w:before="110"/>
                          <w:ind w:left="585" w:right="590"/>
                          <w:jc w:val="center"/>
                          <w:rPr>
                            <w:b/>
                            <w:sz w:val="20"/>
                          </w:rPr>
                        </w:pPr>
                        <w:r>
                          <w:rPr>
                            <w:b/>
                            <w:sz w:val="20"/>
                          </w:rPr>
                          <w:t>-1.3</w:t>
                        </w:r>
                      </w:p>
                    </w:tc>
                    <w:tc>
                      <w:tcPr>
                        <w:tcW w:w="1276" w:type="dxa"/>
                        <w:shd w:val="clear" w:color="auto" w:fill="00AFEF"/>
                      </w:tcPr>
                      <w:p>
                        <w:pPr>
                          <w:pStyle w:val="TableParagraph"/>
                          <w:spacing w:before="110"/>
                          <w:ind w:left="442" w:right="447"/>
                          <w:jc w:val="center"/>
                          <w:rPr>
                            <w:b/>
                            <w:sz w:val="20"/>
                          </w:rPr>
                        </w:pPr>
                        <w:r>
                          <w:rPr>
                            <w:b/>
                            <w:sz w:val="20"/>
                          </w:rPr>
                          <w:t>-1.4</w:t>
                        </w:r>
                      </w:p>
                    </w:tc>
                  </w:tr>
                  <w:tr>
                    <w:trPr>
                      <w:trHeight w:val="300" w:hRule="atLeast"/>
                    </w:trPr>
                    <w:tc>
                      <w:tcPr>
                        <w:tcW w:w="3419" w:type="dxa"/>
                      </w:tcPr>
                      <w:p>
                        <w:pPr>
                          <w:pStyle w:val="TableParagraph"/>
                          <w:spacing w:line="187" w:lineRule="exact" w:before="93"/>
                          <w:ind w:left="107"/>
                          <w:rPr>
                            <w:sz w:val="18"/>
                          </w:rPr>
                        </w:pPr>
                        <w:r>
                          <w:rPr>
                            <w:sz w:val="18"/>
                          </w:rPr>
                          <w:t>Ex energy</w:t>
                        </w:r>
                      </w:p>
                    </w:tc>
                    <w:tc>
                      <w:tcPr>
                        <w:tcW w:w="1275" w:type="dxa"/>
                        <w:shd w:val="clear" w:color="auto" w:fill="92D050"/>
                      </w:tcPr>
                      <w:p>
                        <w:pPr>
                          <w:pStyle w:val="TableParagraph"/>
                          <w:spacing w:before="34"/>
                          <w:ind w:right="447"/>
                          <w:jc w:val="center"/>
                          <w:rPr>
                            <w:sz w:val="20"/>
                          </w:rPr>
                        </w:pPr>
                        <w:r>
                          <w:rPr>
                            <w:sz w:val="20"/>
                          </w:rPr>
                          <w:t>0.8</w:t>
                        </w:r>
                      </w:p>
                    </w:tc>
                    <w:tc>
                      <w:tcPr>
                        <w:tcW w:w="1420" w:type="dxa"/>
                        <w:shd w:val="clear" w:color="auto" w:fill="92D050"/>
                      </w:tcPr>
                      <w:p>
                        <w:pPr>
                          <w:pStyle w:val="TableParagraph"/>
                          <w:spacing w:before="34"/>
                          <w:ind w:left="534"/>
                          <w:rPr>
                            <w:sz w:val="20"/>
                          </w:rPr>
                        </w:pPr>
                        <w:r>
                          <w:rPr>
                            <w:sz w:val="20"/>
                          </w:rPr>
                          <w:t>-0.1</w:t>
                        </w:r>
                      </w:p>
                    </w:tc>
                    <w:tc>
                      <w:tcPr>
                        <w:tcW w:w="1561" w:type="dxa"/>
                        <w:shd w:val="clear" w:color="auto" w:fill="92D050"/>
                      </w:tcPr>
                      <w:p>
                        <w:pPr>
                          <w:pStyle w:val="TableParagraph"/>
                          <w:spacing w:before="34"/>
                          <w:ind w:left="585" w:right="590"/>
                          <w:jc w:val="center"/>
                          <w:rPr>
                            <w:sz w:val="20"/>
                          </w:rPr>
                        </w:pPr>
                        <w:r>
                          <w:rPr>
                            <w:sz w:val="20"/>
                          </w:rPr>
                          <w:t>-0.2</w:t>
                        </w:r>
                      </w:p>
                    </w:tc>
                    <w:tc>
                      <w:tcPr>
                        <w:tcW w:w="1276" w:type="dxa"/>
                        <w:shd w:val="clear" w:color="auto" w:fill="92D050"/>
                      </w:tcPr>
                      <w:p>
                        <w:pPr>
                          <w:pStyle w:val="TableParagraph"/>
                          <w:spacing w:before="34"/>
                          <w:ind w:right="447"/>
                          <w:jc w:val="center"/>
                          <w:rPr>
                            <w:sz w:val="20"/>
                          </w:rPr>
                        </w:pPr>
                        <w:r>
                          <w:rPr>
                            <w:sz w:val="20"/>
                          </w:rPr>
                          <w:t>-0.3</w:t>
                        </w:r>
                      </w:p>
                    </w:tc>
                  </w:tr>
                  <w:tr>
                    <w:trPr>
                      <w:trHeight w:val="300" w:hRule="atLeast"/>
                    </w:trPr>
                    <w:tc>
                      <w:tcPr>
                        <w:tcW w:w="3419" w:type="dxa"/>
                      </w:tcPr>
                      <w:p>
                        <w:pPr>
                          <w:pStyle w:val="TableParagraph"/>
                          <w:spacing w:line="187" w:lineRule="exact" w:before="92"/>
                          <w:ind w:left="107"/>
                          <w:rPr>
                            <w:sz w:val="18"/>
                          </w:rPr>
                        </w:pPr>
                        <w:r>
                          <w:rPr>
                            <w:sz w:val="18"/>
                          </w:rPr>
                          <w:t>Ex petrol, food, beverages and tobacco</w:t>
                        </w:r>
                      </w:p>
                    </w:tc>
                    <w:tc>
                      <w:tcPr>
                        <w:tcW w:w="1275" w:type="dxa"/>
                        <w:shd w:val="clear" w:color="auto" w:fill="92D050"/>
                      </w:tcPr>
                      <w:p>
                        <w:pPr>
                          <w:pStyle w:val="TableParagraph"/>
                          <w:ind w:right="447"/>
                          <w:jc w:val="center"/>
                          <w:rPr>
                            <w:sz w:val="20"/>
                          </w:rPr>
                        </w:pPr>
                        <w:r>
                          <w:rPr>
                            <w:sz w:val="20"/>
                          </w:rPr>
                          <w:t>0.9</w:t>
                        </w:r>
                      </w:p>
                    </w:tc>
                    <w:tc>
                      <w:tcPr>
                        <w:tcW w:w="1420" w:type="dxa"/>
                        <w:shd w:val="clear" w:color="auto" w:fill="92D050"/>
                      </w:tcPr>
                      <w:p>
                        <w:pPr>
                          <w:pStyle w:val="TableParagraph"/>
                          <w:ind w:left="567"/>
                          <w:rPr>
                            <w:sz w:val="20"/>
                          </w:rPr>
                        </w:pPr>
                        <w:r>
                          <w:rPr>
                            <w:sz w:val="20"/>
                          </w:rPr>
                          <w:t>0.2</w:t>
                        </w:r>
                      </w:p>
                    </w:tc>
                    <w:tc>
                      <w:tcPr>
                        <w:tcW w:w="1561" w:type="dxa"/>
                        <w:shd w:val="clear" w:color="auto" w:fill="92D050"/>
                      </w:tcPr>
                      <w:p>
                        <w:pPr>
                          <w:pStyle w:val="TableParagraph"/>
                          <w:ind w:left="585" w:right="590"/>
                          <w:jc w:val="center"/>
                          <w:rPr>
                            <w:sz w:val="20"/>
                          </w:rPr>
                        </w:pPr>
                        <w:r>
                          <w:rPr>
                            <w:sz w:val="20"/>
                          </w:rPr>
                          <w:t>-0.6</w:t>
                        </w:r>
                      </w:p>
                    </w:tc>
                    <w:tc>
                      <w:tcPr>
                        <w:tcW w:w="1276" w:type="dxa"/>
                        <w:shd w:val="clear" w:color="auto" w:fill="00AFEF"/>
                      </w:tcPr>
                      <w:p>
                        <w:pPr>
                          <w:pStyle w:val="TableParagraph"/>
                          <w:ind w:right="447"/>
                          <w:jc w:val="center"/>
                          <w:rPr>
                            <w:sz w:val="20"/>
                          </w:rPr>
                        </w:pPr>
                        <w:r>
                          <w:rPr>
                            <w:sz w:val="20"/>
                          </w:rPr>
                          <w:t>-1.1</w:t>
                        </w:r>
                      </w:p>
                    </w:tc>
                  </w:tr>
                  <w:tr>
                    <w:trPr>
                      <w:trHeight w:val="300" w:hRule="atLeast"/>
                    </w:trPr>
                    <w:tc>
                      <w:tcPr>
                        <w:tcW w:w="3419" w:type="dxa"/>
                      </w:tcPr>
                      <w:p>
                        <w:pPr>
                          <w:pStyle w:val="TableParagraph"/>
                          <w:spacing w:line="187" w:lineRule="exact" w:before="92"/>
                          <w:ind w:left="107"/>
                          <w:rPr>
                            <w:sz w:val="18"/>
                          </w:rPr>
                        </w:pPr>
                        <w:r>
                          <w:rPr>
                            <w:sz w:val="18"/>
                          </w:rPr>
                          <w:t>Food products</w:t>
                        </w:r>
                      </w:p>
                    </w:tc>
                    <w:tc>
                      <w:tcPr>
                        <w:tcW w:w="1275" w:type="dxa"/>
                        <w:shd w:val="clear" w:color="auto" w:fill="00AFEF"/>
                      </w:tcPr>
                      <w:p>
                        <w:pPr>
                          <w:pStyle w:val="TableParagraph"/>
                          <w:ind w:right="447"/>
                          <w:jc w:val="center"/>
                          <w:rPr>
                            <w:sz w:val="20"/>
                          </w:rPr>
                        </w:pPr>
                        <w:r>
                          <w:rPr>
                            <w:sz w:val="20"/>
                          </w:rPr>
                          <w:t>-1.2</w:t>
                        </w:r>
                      </w:p>
                    </w:tc>
                    <w:tc>
                      <w:tcPr>
                        <w:tcW w:w="1420" w:type="dxa"/>
                        <w:shd w:val="clear" w:color="auto" w:fill="00AFEF"/>
                      </w:tcPr>
                      <w:p>
                        <w:pPr>
                          <w:pStyle w:val="TableParagraph"/>
                          <w:ind w:left="534"/>
                          <w:rPr>
                            <w:sz w:val="20"/>
                          </w:rPr>
                        </w:pPr>
                        <w:r>
                          <w:rPr>
                            <w:sz w:val="20"/>
                          </w:rPr>
                          <w:t>-1.5</w:t>
                        </w:r>
                      </w:p>
                    </w:tc>
                    <w:tc>
                      <w:tcPr>
                        <w:tcW w:w="1561" w:type="dxa"/>
                        <w:shd w:val="clear" w:color="auto" w:fill="00AFEF"/>
                      </w:tcPr>
                      <w:p>
                        <w:pPr>
                          <w:pStyle w:val="TableParagraph"/>
                          <w:ind w:left="585" w:right="590"/>
                          <w:jc w:val="center"/>
                          <w:rPr>
                            <w:sz w:val="20"/>
                          </w:rPr>
                        </w:pPr>
                        <w:r>
                          <w:rPr>
                            <w:sz w:val="20"/>
                          </w:rPr>
                          <w:t>-1.5</w:t>
                        </w:r>
                      </w:p>
                    </w:tc>
                    <w:tc>
                      <w:tcPr>
                        <w:tcW w:w="1276" w:type="dxa"/>
                        <w:shd w:val="clear" w:color="auto" w:fill="00AFEF"/>
                      </w:tcPr>
                      <w:p>
                        <w:pPr>
                          <w:pStyle w:val="TableParagraph"/>
                          <w:ind w:right="447"/>
                          <w:jc w:val="center"/>
                          <w:rPr>
                            <w:sz w:val="20"/>
                          </w:rPr>
                        </w:pPr>
                        <w:r>
                          <w:rPr>
                            <w:sz w:val="20"/>
                          </w:rPr>
                          <w:t>-1.5</w:t>
                        </w:r>
                      </w:p>
                    </w:tc>
                  </w:tr>
                  <w:tr>
                    <w:trPr>
                      <w:trHeight w:val="300" w:hRule="atLeast"/>
                    </w:trPr>
                    <w:tc>
                      <w:tcPr>
                        <w:tcW w:w="3419" w:type="dxa"/>
                      </w:tcPr>
                      <w:p>
                        <w:pPr>
                          <w:pStyle w:val="TableParagraph"/>
                          <w:spacing w:line="187" w:lineRule="exact" w:before="92"/>
                          <w:ind w:left="107"/>
                          <w:rPr>
                            <w:sz w:val="18"/>
                          </w:rPr>
                        </w:pPr>
                        <w:r>
                          <w:rPr>
                            <w:sz w:val="18"/>
                          </w:rPr>
                          <w:t>Motor vehicles</w:t>
                        </w:r>
                      </w:p>
                    </w:tc>
                    <w:tc>
                      <w:tcPr>
                        <w:tcW w:w="1275" w:type="dxa"/>
                        <w:shd w:val="clear" w:color="auto" w:fill="92D050"/>
                      </w:tcPr>
                      <w:p>
                        <w:pPr>
                          <w:pStyle w:val="TableParagraph"/>
                          <w:ind w:right="447"/>
                          <w:jc w:val="center"/>
                          <w:rPr>
                            <w:sz w:val="20"/>
                          </w:rPr>
                        </w:pPr>
                        <w:r>
                          <w:rPr>
                            <w:sz w:val="20"/>
                          </w:rPr>
                          <w:t>-0.3</w:t>
                        </w:r>
                      </w:p>
                    </w:tc>
                    <w:tc>
                      <w:tcPr>
                        <w:tcW w:w="1420" w:type="dxa"/>
                        <w:shd w:val="clear" w:color="auto" w:fill="92D050"/>
                      </w:tcPr>
                      <w:p>
                        <w:pPr>
                          <w:pStyle w:val="TableParagraph"/>
                          <w:ind w:left="534"/>
                          <w:rPr>
                            <w:sz w:val="20"/>
                          </w:rPr>
                        </w:pPr>
                        <w:r>
                          <w:rPr>
                            <w:sz w:val="20"/>
                          </w:rPr>
                          <w:t>-0.8</w:t>
                        </w:r>
                      </w:p>
                    </w:tc>
                    <w:tc>
                      <w:tcPr>
                        <w:tcW w:w="1561" w:type="dxa"/>
                      </w:tcPr>
                      <w:p>
                        <w:pPr>
                          <w:pStyle w:val="TableParagraph"/>
                          <w:tabs>
                            <w:tab w:pos="605" w:val="left" w:leader="none"/>
                            <w:tab w:pos="1557" w:val="left" w:leader="none"/>
                          </w:tabs>
                          <w:ind w:left="-2" w:right="2"/>
                          <w:jc w:val="center"/>
                          <w:rPr>
                            <w:sz w:val="20"/>
                          </w:rPr>
                        </w:pPr>
                        <w:r>
                          <w:rPr>
                            <w:w w:val="99"/>
                            <w:sz w:val="20"/>
                            <w:shd w:fill="00AFEF" w:color="auto" w:val="clear"/>
                          </w:rPr>
                          <w:t> </w:t>
                        </w:r>
                        <w:r>
                          <w:rPr>
                            <w:sz w:val="20"/>
                            <w:shd w:fill="00AFEF" w:color="auto" w:val="clear"/>
                          </w:rPr>
                          <w:tab/>
                          <w:t>-1.4</w:t>
                          <w:tab/>
                        </w:r>
                      </w:p>
                    </w:tc>
                    <w:tc>
                      <w:tcPr>
                        <w:tcW w:w="1276" w:type="dxa"/>
                        <w:shd w:val="clear" w:color="auto" w:fill="00AFEF"/>
                      </w:tcPr>
                      <w:p>
                        <w:pPr>
                          <w:pStyle w:val="TableParagraph"/>
                          <w:ind w:right="447"/>
                          <w:jc w:val="center"/>
                          <w:rPr>
                            <w:sz w:val="20"/>
                          </w:rPr>
                        </w:pPr>
                        <w:r>
                          <w:rPr>
                            <w:sz w:val="20"/>
                          </w:rPr>
                          <w:t>-1.4</w:t>
                        </w:r>
                      </w:p>
                    </w:tc>
                  </w:tr>
                  <w:tr>
                    <w:trPr>
                      <w:trHeight w:val="425" w:hRule="atLeast"/>
                    </w:trPr>
                    <w:tc>
                      <w:tcPr>
                        <w:tcW w:w="3419" w:type="dxa"/>
                      </w:tcPr>
                      <w:p>
                        <w:pPr>
                          <w:pStyle w:val="TableParagraph"/>
                          <w:spacing w:before="92"/>
                          <w:ind w:left="107"/>
                          <w:rPr>
                            <w:sz w:val="18"/>
                          </w:rPr>
                        </w:pPr>
                        <w:r>
                          <w:rPr>
                            <w:sz w:val="18"/>
                          </w:rPr>
                          <w:t>Computer and technical products</w:t>
                        </w:r>
                      </w:p>
                    </w:tc>
                    <w:tc>
                      <w:tcPr>
                        <w:tcW w:w="1275" w:type="dxa"/>
                        <w:shd w:val="clear" w:color="auto" w:fill="92D050"/>
                      </w:tcPr>
                      <w:p>
                        <w:pPr>
                          <w:pStyle w:val="TableParagraph"/>
                          <w:ind w:right="447"/>
                          <w:jc w:val="center"/>
                          <w:rPr>
                            <w:sz w:val="20"/>
                          </w:rPr>
                        </w:pPr>
                        <w:r>
                          <w:rPr>
                            <w:sz w:val="20"/>
                          </w:rPr>
                          <w:t>-0.1</w:t>
                        </w:r>
                      </w:p>
                    </w:tc>
                    <w:tc>
                      <w:tcPr>
                        <w:tcW w:w="1420" w:type="dxa"/>
                        <w:shd w:val="clear" w:color="auto" w:fill="92D050"/>
                      </w:tcPr>
                      <w:p>
                        <w:pPr>
                          <w:pStyle w:val="TableParagraph"/>
                          <w:ind w:left="534"/>
                          <w:rPr>
                            <w:sz w:val="20"/>
                          </w:rPr>
                        </w:pPr>
                        <w:r>
                          <w:rPr>
                            <w:sz w:val="20"/>
                          </w:rPr>
                          <w:t>-0.2</w:t>
                        </w:r>
                      </w:p>
                    </w:tc>
                    <w:tc>
                      <w:tcPr>
                        <w:tcW w:w="1561" w:type="dxa"/>
                        <w:shd w:val="clear" w:color="auto" w:fill="92D050"/>
                      </w:tcPr>
                      <w:p>
                        <w:pPr>
                          <w:pStyle w:val="TableParagraph"/>
                          <w:ind w:left="585" w:right="590"/>
                          <w:jc w:val="center"/>
                          <w:rPr>
                            <w:sz w:val="20"/>
                          </w:rPr>
                        </w:pPr>
                        <w:r>
                          <w:rPr>
                            <w:sz w:val="20"/>
                          </w:rPr>
                          <w:t>0.1</w:t>
                        </w:r>
                      </w:p>
                    </w:tc>
                    <w:tc>
                      <w:tcPr>
                        <w:tcW w:w="1276" w:type="dxa"/>
                        <w:shd w:val="clear" w:color="auto" w:fill="92D050"/>
                      </w:tcPr>
                      <w:p>
                        <w:pPr>
                          <w:pStyle w:val="TableParagraph"/>
                          <w:ind w:right="447"/>
                          <w:jc w:val="center"/>
                          <w:rPr>
                            <w:sz w:val="20"/>
                          </w:rPr>
                        </w:pPr>
                        <w:r>
                          <w:rPr>
                            <w:sz w:val="20"/>
                          </w:rPr>
                          <w:t>0.5</w:t>
                        </w:r>
                      </w:p>
                    </w:tc>
                  </w:tr>
                  <w:tr>
                    <w:trPr>
                      <w:trHeight w:val="334" w:hRule="atLeast"/>
                    </w:trPr>
                    <w:tc>
                      <w:tcPr>
                        <w:tcW w:w="3419" w:type="dxa"/>
                      </w:tcPr>
                      <w:p>
                        <w:pPr>
                          <w:pStyle w:val="TableParagraph"/>
                          <w:spacing w:line="194" w:lineRule="exact" w:before="120"/>
                          <w:ind w:left="107"/>
                          <w:rPr>
                            <w:b/>
                            <w:sz w:val="18"/>
                          </w:rPr>
                        </w:pPr>
                        <w:r>
                          <w:rPr>
                            <w:b/>
                            <w:sz w:val="18"/>
                          </w:rPr>
                          <w:t>Aggregate</w:t>
                        </w:r>
                      </w:p>
                    </w:tc>
                    <w:tc>
                      <w:tcPr>
                        <w:tcW w:w="1275" w:type="dxa"/>
                        <w:shd w:val="clear" w:color="auto" w:fill="92D050"/>
                      </w:tcPr>
                      <w:p>
                        <w:pPr>
                          <w:pStyle w:val="TableParagraph"/>
                          <w:spacing w:line="214" w:lineRule="exact" w:before="0"/>
                          <w:ind w:right="447"/>
                          <w:jc w:val="center"/>
                          <w:rPr>
                            <w:b/>
                            <w:sz w:val="20"/>
                          </w:rPr>
                        </w:pPr>
                        <w:r>
                          <w:rPr>
                            <w:b/>
                            <w:sz w:val="20"/>
                          </w:rPr>
                          <w:t>0.4</w:t>
                        </w:r>
                      </w:p>
                    </w:tc>
                    <w:tc>
                      <w:tcPr>
                        <w:tcW w:w="1420" w:type="dxa"/>
                        <w:shd w:val="clear" w:color="auto" w:fill="92D050"/>
                      </w:tcPr>
                      <w:p>
                        <w:pPr>
                          <w:pStyle w:val="TableParagraph"/>
                          <w:spacing w:line="214" w:lineRule="exact" w:before="0"/>
                          <w:ind w:left="534"/>
                          <w:rPr>
                            <w:b/>
                            <w:sz w:val="20"/>
                          </w:rPr>
                        </w:pPr>
                        <w:r>
                          <w:rPr>
                            <w:b/>
                            <w:sz w:val="20"/>
                          </w:rPr>
                          <w:t>-0.3</w:t>
                        </w:r>
                      </w:p>
                    </w:tc>
                    <w:tc>
                      <w:tcPr>
                        <w:tcW w:w="1561" w:type="dxa"/>
                        <w:shd w:val="clear" w:color="auto" w:fill="92D050"/>
                      </w:tcPr>
                      <w:p>
                        <w:pPr>
                          <w:pStyle w:val="TableParagraph"/>
                          <w:spacing w:line="214" w:lineRule="exact" w:before="0"/>
                          <w:ind w:left="585" w:right="590"/>
                          <w:jc w:val="center"/>
                          <w:rPr>
                            <w:b/>
                            <w:sz w:val="20"/>
                          </w:rPr>
                        </w:pPr>
                        <w:r>
                          <w:rPr>
                            <w:b/>
                            <w:sz w:val="20"/>
                          </w:rPr>
                          <w:t>-0.5</w:t>
                        </w:r>
                      </w:p>
                    </w:tc>
                    <w:tc>
                      <w:tcPr>
                        <w:tcW w:w="1276" w:type="dxa"/>
                        <w:shd w:val="clear" w:color="auto" w:fill="92D050"/>
                      </w:tcPr>
                      <w:p>
                        <w:pPr>
                          <w:pStyle w:val="TableParagraph"/>
                          <w:spacing w:line="214" w:lineRule="exact" w:before="0"/>
                          <w:ind w:left="442" w:right="447"/>
                          <w:jc w:val="center"/>
                          <w:rPr>
                            <w:b/>
                            <w:sz w:val="20"/>
                          </w:rPr>
                        </w:pPr>
                        <w:r>
                          <w:rPr>
                            <w:b/>
                            <w:sz w:val="20"/>
                          </w:rPr>
                          <w:t>-0.5</w:t>
                        </w:r>
                      </w:p>
                    </w:tc>
                  </w:tr>
                  <w:tr>
                    <w:trPr>
                      <w:trHeight w:val="300" w:hRule="atLeast"/>
                    </w:trPr>
                    <w:tc>
                      <w:tcPr>
                        <w:tcW w:w="3419" w:type="dxa"/>
                      </w:tcPr>
                      <w:p>
                        <w:pPr>
                          <w:pStyle w:val="TableParagraph"/>
                          <w:spacing w:line="190" w:lineRule="exact" w:before="90"/>
                          <w:ind w:left="107"/>
                          <w:rPr>
                            <w:sz w:val="18"/>
                          </w:rPr>
                        </w:pPr>
                        <w:r>
                          <w:rPr>
                            <w:sz w:val="18"/>
                          </w:rPr>
                          <w:t>Ex energy</w:t>
                        </w:r>
                      </w:p>
                    </w:tc>
                    <w:tc>
                      <w:tcPr>
                        <w:tcW w:w="1275" w:type="dxa"/>
                        <w:shd w:val="clear" w:color="auto" w:fill="FFC000"/>
                      </w:tcPr>
                      <w:p>
                        <w:pPr>
                          <w:pStyle w:val="TableParagraph"/>
                          <w:spacing w:before="31"/>
                          <w:ind w:right="447"/>
                          <w:jc w:val="center"/>
                          <w:rPr>
                            <w:sz w:val="20"/>
                          </w:rPr>
                        </w:pPr>
                        <w:r>
                          <w:rPr>
                            <w:sz w:val="20"/>
                          </w:rPr>
                          <w:t>1.5</w:t>
                        </w:r>
                      </w:p>
                    </w:tc>
                    <w:tc>
                      <w:tcPr>
                        <w:tcW w:w="1420" w:type="dxa"/>
                        <w:shd w:val="clear" w:color="auto" w:fill="92D050"/>
                      </w:tcPr>
                      <w:p>
                        <w:pPr>
                          <w:pStyle w:val="TableParagraph"/>
                          <w:spacing w:before="31"/>
                          <w:ind w:left="567"/>
                          <w:rPr>
                            <w:sz w:val="20"/>
                          </w:rPr>
                        </w:pPr>
                        <w:r>
                          <w:rPr>
                            <w:sz w:val="20"/>
                          </w:rPr>
                          <w:t>0.7</w:t>
                        </w:r>
                      </w:p>
                    </w:tc>
                    <w:tc>
                      <w:tcPr>
                        <w:tcW w:w="1561" w:type="dxa"/>
                        <w:shd w:val="clear" w:color="auto" w:fill="92D050"/>
                      </w:tcPr>
                      <w:p>
                        <w:pPr>
                          <w:pStyle w:val="TableParagraph"/>
                          <w:spacing w:before="31"/>
                          <w:ind w:left="585" w:right="590"/>
                          <w:jc w:val="center"/>
                          <w:rPr>
                            <w:sz w:val="20"/>
                          </w:rPr>
                        </w:pPr>
                        <w:r>
                          <w:rPr>
                            <w:sz w:val="20"/>
                          </w:rPr>
                          <w:t>0.6</w:t>
                        </w:r>
                      </w:p>
                    </w:tc>
                    <w:tc>
                      <w:tcPr>
                        <w:tcW w:w="1276" w:type="dxa"/>
                        <w:shd w:val="clear" w:color="auto" w:fill="92D050"/>
                      </w:tcPr>
                      <w:p>
                        <w:pPr>
                          <w:pStyle w:val="TableParagraph"/>
                          <w:spacing w:before="31"/>
                          <w:ind w:right="447"/>
                          <w:jc w:val="center"/>
                          <w:rPr>
                            <w:sz w:val="20"/>
                          </w:rPr>
                        </w:pPr>
                        <w:r>
                          <w:rPr>
                            <w:sz w:val="20"/>
                          </w:rPr>
                          <w:t>0.8</w:t>
                        </w:r>
                      </w:p>
                    </w:tc>
                  </w:tr>
                  <w:tr>
                    <w:trPr>
                      <w:trHeight w:val="299" w:hRule="atLeast"/>
                    </w:trPr>
                    <w:tc>
                      <w:tcPr>
                        <w:tcW w:w="3419" w:type="dxa"/>
                        <w:tcBorders>
                          <w:bottom w:val="single" w:sz="4" w:space="0" w:color="000000"/>
                        </w:tcBorders>
                      </w:tcPr>
                      <w:p>
                        <w:pPr>
                          <w:pStyle w:val="TableParagraph"/>
                          <w:spacing w:line="189" w:lineRule="exact" w:before="90"/>
                          <w:ind w:left="107"/>
                          <w:rPr>
                            <w:sz w:val="18"/>
                          </w:rPr>
                        </w:pPr>
                        <w:r>
                          <w:rPr>
                            <w:sz w:val="18"/>
                          </w:rPr>
                          <w:t>Ex petrol, food, beverages and tobacco</w:t>
                        </w:r>
                      </w:p>
                    </w:tc>
                    <w:tc>
                      <w:tcPr>
                        <w:tcW w:w="1275" w:type="dxa"/>
                        <w:tcBorders>
                          <w:bottom w:val="single" w:sz="4" w:space="0" w:color="000000"/>
                        </w:tcBorders>
                        <w:shd w:val="clear" w:color="auto" w:fill="FF0000"/>
                      </w:tcPr>
                      <w:p>
                        <w:pPr>
                          <w:pStyle w:val="TableParagraph"/>
                          <w:spacing w:before="31"/>
                          <w:ind w:right="447"/>
                          <w:jc w:val="center"/>
                          <w:rPr>
                            <w:sz w:val="20"/>
                          </w:rPr>
                        </w:pPr>
                        <w:r>
                          <w:rPr>
                            <w:sz w:val="20"/>
                          </w:rPr>
                          <w:t>2.4</w:t>
                        </w:r>
                      </w:p>
                    </w:tc>
                    <w:tc>
                      <w:tcPr>
                        <w:tcW w:w="1420" w:type="dxa"/>
                        <w:tcBorders>
                          <w:bottom w:val="single" w:sz="4" w:space="0" w:color="000000"/>
                        </w:tcBorders>
                        <w:shd w:val="clear" w:color="auto" w:fill="FFC000"/>
                      </w:tcPr>
                      <w:p>
                        <w:pPr>
                          <w:pStyle w:val="TableParagraph"/>
                          <w:spacing w:before="31"/>
                          <w:ind w:left="567"/>
                          <w:rPr>
                            <w:sz w:val="20"/>
                          </w:rPr>
                        </w:pPr>
                        <w:r>
                          <w:rPr>
                            <w:sz w:val="20"/>
                          </w:rPr>
                          <w:t>1.4</w:t>
                        </w:r>
                      </w:p>
                    </w:tc>
                    <w:tc>
                      <w:tcPr>
                        <w:tcW w:w="1561" w:type="dxa"/>
                        <w:tcBorders>
                          <w:bottom w:val="single" w:sz="4" w:space="0" w:color="000000"/>
                        </w:tcBorders>
                        <w:shd w:val="clear" w:color="auto" w:fill="92D050"/>
                      </w:tcPr>
                      <w:p>
                        <w:pPr>
                          <w:pStyle w:val="TableParagraph"/>
                          <w:spacing w:before="31"/>
                          <w:ind w:left="585" w:right="590"/>
                          <w:jc w:val="center"/>
                          <w:rPr>
                            <w:sz w:val="20"/>
                          </w:rPr>
                        </w:pPr>
                        <w:r>
                          <w:rPr>
                            <w:sz w:val="20"/>
                          </w:rPr>
                          <w:t>0.5</w:t>
                        </w:r>
                      </w:p>
                    </w:tc>
                    <w:tc>
                      <w:tcPr>
                        <w:tcW w:w="1276" w:type="dxa"/>
                        <w:tcBorders>
                          <w:bottom w:val="single" w:sz="4" w:space="0" w:color="000000"/>
                        </w:tcBorders>
                        <w:shd w:val="clear" w:color="auto" w:fill="92D050"/>
                      </w:tcPr>
                      <w:p>
                        <w:pPr>
                          <w:pStyle w:val="TableParagraph"/>
                          <w:spacing w:before="31"/>
                          <w:ind w:right="447"/>
                          <w:jc w:val="center"/>
                          <w:rPr>
                            <w:sz w:val="20"/>
                          </w:rPr>
                        </w:pPr>
                        <w:r>
                          <w:rPr>
                            <w:sz w:val="20"/>
                          </w:rPr>
                          <w:t>0.0</w:t>
                        </w:r>
                      </w:p>
                    </w:tc>
                  </w:tr>
                </w:tbl>
                <w:p>
                  <w:pPr>
                    <w:pStyle w:val="BodyText"/>
                  </w:pPr>
                </w:p>
              </w:txbxContent>
            </v:textbox>
            <w10:wrap type="none"/>
          </v:shape>
        </w:pict>
      </w:r>
      <w:r>
        <w:rPr/>
        <w:t>Input PPI</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5"/>
        <w:rPr>
          <w:b/>
          <w:sz w:val="28"/>
        </w:rPr>
      </w:pPr>
    </w:p>
    <w:p>
      <w:pPr>
        <w:spacing w:before="0"/>
        <w:ind w:left="421" w:right="9393" w:firstLine="0"/>
        <w:jc w:val="left"/>
        <w:rPr>
          <w:b/>
          <w:sz w:val="20"/>
        </w:rPr>
      </w:pPr>
      <w:r>
        <w:rPr>
          <w:b/>
          <w:sz w:val="20"/>
        </w:rPr>
        <w:t>Output PPI</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6"/>
        <w:rPr>
          <w:b/>
        </w:rPr>
      </w:pPr>
    </w:p>
    <w:p>
      <w:pPr>
        <w:spacing w:before="0"/>
        <w:ind w:left="421" w:right="9282" w:firstLine="0"/>
        <w:jc w:val="left"/>
        <w:rPr>
          <w:b/>
          <w:sz w:val="20"/>
        </w:rPr>
      </w:pPr>
      <w:r>
        <w:rPr>
          <w:b/>
          <w:sz w:val="20"/>
        </w:rPr>
        <w:t>Implied Margins</w:t>
      </w:r>
    </w:p>
    <w:p>
      <w:pPr>
        <w:pStyle w:val="BodyText"/>
        <w:rPr>
          <w:b/>
          <w:sz w:val="22"/>
        </w:rPr>
      </w:pPr>
    </w:p>
    <w:p>
      <w:pPr>
        <w:pStyle w:val="BodyText"/>
        <w:spacing w:before="3"/>
        <w:rPr>
          <w:b/>
          <w:sz w:val="31"/>
        </w:rPr>
      </w:pPr>
    </w:p>
    <w:p>
      <w:pPr>
        <w:spacing w:before="0"/>
        <w:ind w:left="1542" w:right="0" w:firstLine="0"/>
        <w:jc w:val="left"/>
        <w:rPr>
          <w:sz w:val="16"/>
        </w:rPr>
      </w:pPr>
      <w:r>
        <w:rPr>
          <w:sz w:val="16"/>
        </w:rPr>
        <w:t>Dark blue indicates more than two standard deviations below average</w:t>
      </w:r>
    </w:p>
    <w:p>
      <w:pPr>
        <w:spacing w:before="1"/>
        <w:ind w:left="1542" w:right="3075" w:firstLine="0"/>
        <w:jc w:val="left"/>
        <w:rPr>
          <w:sz w:val="16"/>
        </w:rPr>
      </w:pPr>
      <w:r>
        <w:rPr>
          <w:sz w:val="16"/>
        </w:rPr>
        <w:t>Light blue indicates more than one but less two standard deviations below average Green indicates within one standard deviation of average</w:t>
      </w:r>
    </w:p>
    <w:p>
      <w:pPr>
        <w:spacing w:before="0"/>
        <w:ind w:left="1542" w:right="2861" w:firstLine="0"/>
        <w:jc w:val="left"/>
        <w:rPr>
          <w:sz w:val="16"/>
        </w:rPr>
      </w:pPr>
      <w:r>
        <w:rPr>
          <w:sz w:val="16"/>
        </w:rPr>
        <w:t>Orange indicates more than one but less than two standard deviations above average Red indicates more than two standard deviations above average</w:t>
      </w:r>
    </w:p>
    <w:p>
      <w:pPr>
        <w:pStyle w:val="BodyText"/>
        <w:spacing w:before="11"/>
        <w:rPr>
          <w:sz w:val="15"/>
        </w:rPr>
      </w:pPr>
    </w:p>
    <w:p>
      <w:pPr>
        <w:spacing w:before="0"/>
        <w:ind w:left="313" w:right="0" w:firstLine="0"/>
        <w:jc w:val="left"/>
        <w:rPr>
          <w:sz w:val="16"/>
        </w:rPr>
      </w:pPr>
      <w:r>
        <w:rPr>
          <w:sz w:val="16"/>
        </w:rPr>
        <w:t>Source: ONS and Bank of England calculations.</w:t>
      </w:r>
    </w:p>
    <w:p>
      <w:pPr>
        <w:pStyle w:val="BodyText"/>
        <w:spacing w:before="8"/>
        <w:rPr>
          <w:sz w:val="21"/>
        </w:rPr>
      </w:pPr>
    </w:p>
    <w:p>
      <w:pPr>
        <w:spacing w:after="0"/>
        <w:rPr>
          <w:sz w:val="21"/>
        </w:rPr>
        <w:sectPr>
          <w:pgSz w:w="11910" w:h="16840"/>
          <w:pgMar w:header="0" w:footer="1338" w:top="1340" w:bottom="1520" w:left="820" w:right="600"/>
        </w:sectPr>
      </w:pPr>
    </w:p>
    <w:p>
      <w:pPr>
        <w:pStyle w:val="Heading1"/>
        <w:spacing w:before="93"/>
      </w:pPr>
      <w:r>
        <w:rPr/>
        <w:pict>
          <v:group style="position:absolute;margin-left:69.360001pt;margin-top:24.813354pt;width:202.95pt;height:172.65pt;mso-position-horizontal-relative:page;mso-position-vertical-relative:paragraph;z-index:251697152" coordorigin="1387,496" coordsize="4059,3453">
            <v:shape style="position:absolute;left:1437;top:648;width:4008;height:3298" coordorigin="1438,649" coordsize="4008,3298" path="m5386,3946l5386,649m5386,3946l5446,3946m5386,3121l5446,3121m5386,2298l5446,2298m5386,1474l5446,1474m5386,649l5446,649m1438,2298l5386,2298m1438,2238l1438,2298m2018,2238l2018,2298m2602,2238l2602,2298m3182,2238l3182,2298m3763,2238l3763,2298m4344,2238l4344,2298m4925,2238l4925,2298e" filled="false" stroked="true" strokeweight=".24pt" strokecolor="#000000">
              <v:path arrowok="t"/>
              <v:stroke dashstyle="solid"/>
            </v:shape>
            <v:shape style="position:absolute;left:3993;top:2028;width:1380;height:488" coordorigin="3994,2029" coordsize="1380,488" path="m3994,2516l4066,2468,4138,2178,4212,2144,4284,2094,4356,2029,4430,2199,4502,2298,4574,2118,4646,2120,4721,2458,4793,2233,4865,2281,4939,2216,5011,2329,5083,2250,5155,2137,5230,2360,5302,2202,5374,2346e" filled="false" stroked="true" strokeweight="1.92pt" strokecolor="#0e0080">
              <v:path arrowok="t"/>
              <v:stroke dashstyle="solid"/>
            </v:shape>
            <v:shape style="position:absolute;left:1449;top:1347;width:3924;height:2304" coordorigin="1450,1347" coordsize="3924,2304" path="m1450,2667l1522,2317,1596,2278,1668,2158,1740,2180,1812,2377,1886,2355,1958,2101,2030,2180,2105,2259,2177,2278,2249,2259,2321,2144,2395,2278,2467,2298,2539,2679,2614,2199,2686,2278,2758,2240,2830,1969,2904,2259,2976,2185,3048,2504,3122,1957,3194,1964,3266,2278,3338,2079,3413,2209,3485,2137,3557,2103,3629,2089,3703,1347,3775,2086,3847,1942,3922,2046,3994,2530,4066,3651,4138,1748,4212,2214,4284,2230,4356,2264,4430,2413,4502,2247,4574,2298,4646,1770,4721,2281,4793,2233,4865,2218,4939,2391,5011,2408,5083,2106,5155,2091,5230,2250,5302,2406,5374,2125e" filled="false" stroked="true" strokeweight="1.44pt" strokecolor="#bd4a47">
              <v:path arrowok="t"/>
              <v:stroke dashstyle="solid"/>
            </v:shape>
            <v:shape style="position:absolute;left:1449;top:1784;width:3924;height:629" coordorigin="1450,1784" coordsize="3924,629" path="m1450,2173l1522,2194,1596,2110,1668,2175,1740,2216,1812,2338,1886,2338,1958,2298,2030,2197,2105,2156,2177,2158,2249,2139,2321,2278,2395,2298,2467,2238,2539,2238,2614,2218,2686,2180,2758,2144,2830,1839,2904,2149,2976,2096,3048,2278,3122,2242,3194,2226,3266,2226,3338,2278,3413,2226,3485,2209,3557,2192,3629,2156,3703,1930,3775,1784,3847,2082,3922,2413,3994,2413,4066,2365,4138,2331,4212,2264,4284,2314,4356,2146,4430,2199,4502,2166,4574,2134,4646,2120,4721,2233,4793,2266,4865,2202,4939,2312,5011,2266,5083,2281,5155,2266,5230,2281,5302,2391,5374,2314e" filled="false" stroked="true" strokeweight="1.44pt" strokecolor="#97b853">
              <v:path arrowok="t"/>
              <v:stroke dashstyle="solid"/>
            </v:shape>
            <v:shape style="position:absolute;left:2904;top:980;width:2470;height:2151" coordorigin="2904,980" coordsize="2470,2151" path="m2904,2146l2976,2098,3048,2281,3122,2233,3194,2233,3266,2233,3338,2266,3413,2233,3485,2216,3557,2185,3629,2154,3703,1935,3775,1774,3847,2089,3922,2415,3994,2401,4066,2312,4138,2252,4212,2223,4284,2341,4356,2120,4430,2166,4502,2166,4574,2108,4646,980,4721,2343,4793,2214,4865,2720,4939,2228,5011,2269,5083,2134,5155,2422,5230,2170,5302,2130,5374,3130e" filled="false" stroked="true" strokeweight="1.44pt" strokecolor="#7c5f9f">
              <v:path arrowok="t"/>
              <v:stroke dashstyle="solid"/>
            </v:shape>
            <v:shape style="position:absolute;left:1449;top:1323;width:3924;height:1788" coordorigin="1450,1323" coordsize="3924,1788" path="m1450,2197l1522,2137,1596,2139,1668,2120,1740,2610,1812,2557,1886,2317,1958,2298,2030,2137,2105,2178,2177,2257,2249,2000,2321,2142,2395,2163,2467,2259,2539,2910,2614,2158,2686,2259,2758,2454,2830,2298,2904,2554,2976,1995,3048,2180,3122,2552,3194,2298,3266,2218,3338,2199,3413,2278,3485,2336,3557,2101,3629,2199,3703,1717,3775,1323,3847,1767,3922,2468,3994,3111,4066,3025,4138,1820,4212,1669,4284,1585,4356,1494,4430,2118,4502,2605,4574,2413,4646,1933,4721,3106,4793,2247,4865,2298,4939,2127,5011,2314,5083,2247,5155,1995,5230,2809,5302,1923,5374,2247e" filled="false" stroked="true" strokeweight="1.44pt" strokecolor="#46aac5">
              <v:path arrowok="t"/>
              <v:stroke dashstyle="solid"/>
            </v:shape>
            <v:line style="position:absolute" from="1387,2792" to="1771,2792" stroked="true" strokeweight="1.92pt" strokecolor="#0e0080">
              <v:stroke dashstyle="solid"/>
            </v:line>
            <v:line style="position:absolute" from="1387,3054" to="1771,3054" stroked="true" strokeweight="1.44pt" strokecolor="#bd4a47">
              <v:stroke dashstyle="solid"/>
            </v:line>
            <v:line style="position:absolute" from="1387,3318" to="1771,3318" stroked="true" strokeweight="1.44pt" strokecolor="#97b853">
              <v:stroke dashstyle="solid"/>
            </v:line>
            <v:line style="position:absolute" from="1387,3579" to="1771,3579" stroked="true" strokeweight="1.44pt" strokecolor="#7c5f9f">
              <v:stroke dashstyle="solid"/>
            </v:line>
            <v:line style="position:absolute" from="1387,3843" to="1771,3843" stroked="true" strokeweight="1.44pt" strokecolor="#46aac5">
              <v:stroke dashstyle="solid"/>
            </v:line>
            <v:shape style="position:absolute;left:1842;top:496;width:3493;height:223" type="#_x0000_t202" filled="false" stroked="false">
              <v:textbox inset="0,0,0,0">
                <w:txbxContent>
                  <w:p>
                    <w:pPr>
                      <w:spacing w:line="223" w:lineRule="exact" w:before="0"/>
                      <w:ind w:left="0" w:right="0" w:firstLine="0"/>
                      <w:jc w:val="left"/>
                      <w:rPr>
                        <w:sz w:val="20"/>
                      </w:rPr>
                    </w:pPr>
                    <w:r>
                      <w:rPr>
                        <w:sz w:val="20"/>
                      </w:rPr>
                      <w:t>Percentage change on a quarter earlier</w:t>
                    </w:r>
                  </w:p>
                </w:txbxContent>
              </v:textbox>
              <w10:wrap type="none"/>
            </v:shape>
            <v:shape style="position:absolute;left:1812;top:2687;width:2180;height:1253" type="#_x0000_t202" filled="false" stroked="false">
              <v:textbox inset="0,0,0,0">
                <w:txbxContent>
                  <w:p>
                    <w:pPr>
                      <w:spacing w:line="304" w:lineRule="auto" w:before="0"/>
                      <w:ind w:left="0" w:right="-2" w:firstLine="0"/>
                      <w:jc w:val="left"/>
                      <w:rPr>
                        <w:sz w:val="18"/>
                      </w:rPr>
                    </w:pPr>
                    <w:r>
                      <w:rPr>
                        <w:sz w:val="18"/>
                      </w:rPr>
                      <w:t>Transportation and storage Rail freight</w:t>
                    </w:r>
                  </w:p>
                  <w:p>
                    <w:pPr>
                      <w:spacing w:line="304" w:lineRule="auto" w:before="0"/>
                      <w:ind w:left="0" w:right="189" w:firstLine="0"/>
                      <w:jc w:val="left"/>
                      <w:rPr>
                        <w:sz w:val="18"/>
                      </w:rPr>
                    </w:pPr>
                    <w:r>
                      <w:rPr>
                        <w:sz w:val="18"/>
                      </w:rPr>
                      <w:t>Freight transport by road Storage &amp; warehousing</w:t>
                    </w:r>
                  </w:p>
                  <w:p>
                    <w:pPr>
                      <w:spacing w:before="0"/>
                      <w:ind w:left="0" w:right="0" w:firstLine="0"/>
                      <w:jc w:val="left"/>
                      <w:rPr>
                        <w:sz w:val="18"/>
                      </w:rPr>
                    </w:pPr>
                    <w:r>
                      <w:rPr>
                        <w:sz w:val="18"/>
                      </w:rPr>
                      <w:t>Freight fowarding</w:t>
                    </w:r>
                  </w:p>
                </w:txbxContent>
              </v:textbox>
              <w10:wrap type="none"/>
            </v:shape>
            <w10:wrap type="none"/>
          </v:group>
        </w:pict>
      </w:r>
      <w:r>
        <w:rPr/>
        <w:t>Chart 5: Transport prices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95"/>
        <w:ind w:left="408"/>
      </w:pPr>
      <w:r>
        <w:rPr/>
        <w:t>2000 2002 2004 2006 2008 2010 2012</w:t>
      </w:r>
    </w:p>
    <w:p>
      <w:pPr>
        <w:pStyle w:val="BodyText"/>
        <w:rPr>
          <w:sz w:val="22"/>
        </w:rPr>
      </w:pPr>
      <w:r>
        <w:rPr/>
        <w:br w:type="column"/>
      </w:r>
      <w:r>
        <w:rPr>
          <w:sz w:val="22"/>
        </w:rPr>
      </w:r>
    </w:p>
    <w:p>
      <w:pPr>
        <w:pStyle w:val="BodyText"/>
        <w:spacing w:before="8"/>
        <w:rPr>
          <w:sz w:val="23"/>
        </w:rPr>
      </w:pPr>
    </w:p>
    <w:p>
      <w:pPr>
        <w:pStyle w:val="BodyText"/>
        <w:ind w:left="313"/>
      </w:pPr>
      <w:r>
        <w:rPr/>
        <w:t>10</w:t>
      </w:r>
    </w:p>
    <w:p>
      <w:pPr>
        <w:pStyle w:val="BodyText"/>
        <w:rPr>
          <w:sz w:val="22"/>
        </w:rPr>
      </w:pPr>
    </w:p>
    <w:p>
      <w:pPr>
        <w:pStyle w:val="BodyText"/>
        <w:spacing w:before="7"/>
        <w:rPr>
          <w:sz w:val="29"/>
        </w:rPr>
      </w:pPr>
    </w:p>
    <w:p>
      <w:pPr>
        <w:pStyle w:val="BodyText"/>
        <w:spacing w:before="1"/>
        <w:ind w:left="313"/>
      </w:pPr>
      <w:r>
        <w:rPr>
          <w:w w:val="99"/>
        </w:rPr>
        <w:t>5</w:t>
      </w:r>
    </w:p>
    <w:p>
      <w:pPr>
        <w:pStyle w:val="BodyText"/>
        <w:rPr>
          <w:sz w:val="22"/>
        </w:rPr>
      </w:pPr>
    </w:p>
    <w:p>
      <w:pPr>
        <w:pStyle w:val="BodyText"/>
        <w:spacing w:before="7"/>
        <w:rPr>
          <w:sz w:val="29"/>
        </w:rPr>
      </w:pPr>
    </w:p>
    <w:p>
      <w:pPr>
        <w:pStyle w:val="BodyText"/>
        <w:ind w:left="313"/>
      </w:pPr>
      <w:r>
        <w:rPr>
          <w:w w:val="99"/>
        </w:rPr>
        <w:t>0</w:t>
      </w:r>
    </w:p>
    <w:p>
      <w:pPr>
        <w:pStyle w:val="BodyText"/>
        <w:rPr>
          <w:sz w:val="22"/>
        </w:rPr>
      </w:pPr>
    </w:p>
    <w:p>
      <w:pPr>
        <w:pStyle w:val="BodyText"/>
        <w:spacing w:before="8"/>
        <w:rPr>
          <w:sz w:val="29"/>
        </w:rPr>
      </w:pPr>
    </w:p>
    <w:p>
      <w:pPr>
        <w:pStyle w:val="BodyText"/>
        <w:ind w:left="313"/>
      </w:pPr>
      <w:r>
        <w:rPr/>
        <w:t>-5</w:t>
      </w:r>
    </w:p>
    <w:p>
      <w:pPr>
        <w:pStyle w:val="BodyText"/>
        <w:rPr>
          <w:sz w:val="22"/>
        </w:rPr>
      </w:pPr>
    </w:p>
    <w:p>
      <w:pPr>
        <w:pStyle w:val="BodyText"/>
        <w:spacing w:before="8"/>
        <w:rPr>
          <w:sz w:val="29"/>
        </w:rPr>
      </w:pPr>
    </w:p>
    <w:p>
      <w:pPr>
        <w:pStyle w:val="BodyText"/>
        <w:ind w:left="313"/>
      </w:pPr>
      <w:r>
        <w:rPr>
          <w:w w:val="95"/>
        </w:rPr>
        <w:t>-10</w:t>
      </w:r>
    </w:p>
    <w:p>
      <w:pPr>
        <w:pStyle w:val="Heading1"/>
        <w:spacing w:before="93"/>
        <w:ind w:left="296" w:right="415"/>
      </w:pPr>
      <w:r>
        <w:rPr>
          <w:b w:val="0"/>
        </w:rPr>
        <w:br w:type="column"/>
      </w:r>
      <w:r>
        <w:rPr/>
        <w:t>Chart 6: Companies’ expectations about changes in their own prices over the next year</w:t>
      </w:r>
    </w:p>
    <w:p>
      <w:pPr>
        <w:pStyle w:val="BodyText"/>
        <w:spacing w:before="77"/>
        <w:ind w:right="296"/>
        <w:jc w:val="right"/>
      </w:pPr>
      <w:r>
        <w:rPr/>
        <w:pict>
          <v:group style="position:absolute;margin-left:327.239990pt;margin-top:14.619892pt;width:211.8pt;height:159.85pt;mso-position-horizontal-relative:page;mso-position-vertical-relative:paragraph;z-index:-252614656" coordorigin="6545,292" coordsize="4236,3197">
            <v:shape style="position:absolute;left:6547;top:294;width:4234;height:3195" coordorigin="6547,295" coordsize="4234,3195" path="m10721,3429l10721,295m10721,3429l10781,3429m10721,2906l10781,2906m10721,2385l10781,2385m10721,1862l10781,1862m10721,1341l10781,1341m10721,818l10781,818m10721,295l10781,295m6547,3429l10721,3429m6547,3429l6547,3489m7262,3429l7262,3489m7978,3429l7978,3489m8695,3429l8695,3489m9413,3429l9413,3489m10128,3429l10128,3489e" filled="false" stroked="true" strokeweight=".24pt" strokecolor="#000000">
              <v:path arrowok="t"/>
              <v:stroke dashstyle="solid"/>
            </v:shape>
            <v:shape style="position:absolute;left:6604;top:1859;width:4116;height:1119" coordorigin="6605,1860" coordsize="4116,1119" path="m6605,1860l6785,2296,6965,2899,7142,2954,7320,2978,7500,2956,7680,2752,7858,2527,8035,2661,8215,2745,8395,2143,8573,2282,8750,2359,8930,2582,9113,2625,9290,2577,9468,2673,9648,2450,9830,2695,10006,2618,10183,2829,10366,2596,10546,2551,10721,2330e" filled="false" stroked="true" strokeweight="1.44pt" strokecolor="#001f5f">
              <v:path arrowok="t"/>
              <v:stroke dashstyle="solid"/>
            </v:shape>
            <v:shape style="position:absolute;left:6604;top:906;width:4116;height:1596" coordorigin="6605,907" coordsize="4116,1596" path="m6605,1166l6785,1694,6965,1941,7142,1975,7320,2068,7500,2352,7680,2068,7858,1509,8035,2131,8215,2025,8395,1202,8573,1257,8750,1418,8930,1920,9113,2426,9290,2287,9468,1982,9648,907,9830,2498,10006,2268,10183,2436,10366,2332,10546,2503,10721,2241e" filled="false" stroked="true" strokeweight="1.44pt" strokecolor="#00afef">
              <v:path arrowok="t"/>
              <v:stroke dashstyle="solid"/>
            </v:shape>
            <v:line style="position:absolute" from="8143,2985" to="8527,2985" stroked="true" strokeweight="1.44pt" strokecolor="#001f5f">
              <v:stroke dashstyle="solid"/>
            </v:line>
            <v:line style="position:absolute" from="8143,3288" to="8527,3288" stroked="true" strokeweight="1.44pt" strokecolor="#00afef">
              <v:stroke dashstyle="solid"/>
            </v:line>
            <v:shape style="position:absolute;left:6544;top:292;width:4236;height:3197"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5"/>
                      <w:rPr>
                        <w:sz w:val="25"/>
                      </w:rPr>
                    </w:pPr>
                  </w:p>
                  <w:p>
                    <w:pPr>
                      <w:spacing w:line="314" w:lineRule="auto" w:before="0"/>
                      <w:ind w:left="2025" w:right="590" w:firstLine="0"/>
                      <w:jc w:val="left"/>
                      <w:rPr>
                        <w:sz w:val="20"/>
                      </w:rPr>
                    </w:pPr>
                    <w:r>
                      <w:rPr>
                        <w:sz w:val="20"/>
                      </w:rPr>
                      <w:t>All sectors Distributive trades</w:t>
                    </w:r>
                  </w:p>
                </w:txbxContent>
              </v:textbox>
              <w10:wrap type="none"/>
            </v:shape>
            <w10:wrap type="none"/>
          </v:group>
        </w:pict>
      </w:r>
      <w:r>
        <w:rPr/>
        <w:t>Per cent </w:t>
      </w:r>
      <w:r>
        <w:rPr>
          <w:position w:val="-8"/>
        </w:rPr>
        <w:t>5</w:t>
      </w:r>
    </w:p>
    <w:p>
      <w:pPr>
        <w:pStyle w:val="BodyText"/>
        <w:spacing w:before="9"/>
        <w:rPr>
          <w:sz w:val="25"/>
        </w:rPr>
      </w:pPr>
    </w:p>
    <w:p>
      <w:pPr>
        <w:pStyle w:val="BodyText"/>
        <w:ind w:left="5008"/>
      </w:pPr>
      <w:r>
        <w:rPr>
          <w:w w:val="99"/>
        </w:rPr>
        <w:t>4</w:t>
      </w:r>
    </w:p>
    <w:p>
      <w:pPr>
        <w:pStyle w:val="BodyText"/>
        <w:spacing w:before="5"/>
        <w:rPr>
          <w:sz w:val="25"/>
        </w:rPr>
      </w:pPr>
    </w:p>
    <w:p>
      <w:pPr>
        <w:pStyle w:val="BodyText"/>
        <w:ind w:left="5008"/>
      </w:pPr>
      <w:r>
        <w:rPr>
          <w:w w:val="99"/>
        </w:rPr>
        <w:t>3</w:t>
      </w:r>
    </w:p>
    <w:p>
      <w:pPr>
        <w:pStyle w:val="BodyText"/>
        <w:spacing w:before="5"/>
        <w:rPr>
          <w:sz w:val="25"/>
        </w:rPr>
      </w:pPr>
    </w:p>
    <w:p>
      <w:pPr>
        <w:pStyle w:val="BodyText"/>
        <w:ind w:left="5008"/>
      </w:pPr>
      <w:r>
        <w:rPr>
          <w:w w:val="99"/>
        </w:rPr>
        <w:t>2</w:t>
      </w:r>
    </w:p>
    <w:p>
      <w:pPr>
        <w:pStyle w:val="BodyText"/>
        <w:spacing w:before="5"/>
        <w:rPr>
          <w:sz w:val="25"/>
        </w:rPr>
      </w:pPr>
    </w:p>
    <w:p>
      <w:pPr>
        <w:pStyle w:val="BodyText"/>
        <w:ind w:left="5008"/>
      </w:pPr>
      <w:r>
        <w:rPr>
          <w:w w:val="99"/>
        </w:rPr>
        <w:t>1</w:t>
      </w:r>
    </w:p>
    <w:p>
      <w:pPr>
        <w:pStyle w:val="BodyText"/>
        <w:spacing w:before="5"/>
        <w:rPr>
          <w:sz w:val="25"/>
        </w:rPr>
      </w:pPr>
    </w:p>
    <w:p>
      <w:pPr>
        <w:pStyle w:val="BodyText"/>
        <w:ind w:left="5008"/>
      </w:pPr>
      <w:r>
        <w:rPr>
          <w:w w:val="99"/>
        </w:rPr>
        <w:t>0</w:t>
      </w:r>
    </w:p>
    <w:p>
      <w:pPr>
        <w:pStyle w:val="BodyText"/>
        <w:spacing w:before="5"/>
        <w:rPr>
          <w:sz w:val="25"/>
        </w:rPr>
      </w:pPr>
    </w:p>
    <w:p>
      <w:pPr>
        <w:pStyle w:val="BodyText"/>
        <w:ind w:left="5008"/>
      </w:pPr>
      <w:r>
        <w:rPr/>
        <w:t>-1</w:t>
      </w:r>
    </w:p>
    <w:p>
      <w:pPr>
        <w:pStyle w:val="BodyText"/>
        <w:tabs>
          <w:tab w:pos="1154" w:val="left" w:leader="none"/>
          <w:tab w:pos="1869" w:val="left" w:leader="none"/>
          <w:tab w:pos="2585" w:val="left" w:leader="none"/>
          <w:tab w:pos="3303" w:val="left" w:leader="none"/>
          <w:tab w:pos="4019" w:val="left" w:leader="none"/>
        </w:tabs>
        <w:spacing w:before="8"/>
        <w:ind w:left="438"/>
      </w:pPr>
      <w:r>
        <w:rPr/>
        <w:t>2008</w:t>
        <w:tab/>
        <w:t>2009</w:t>
        <w:tab/>
        <w:t>2010</w:t>
        <w:tab/>
        <w:t>2011</w:t>
        <w:tab/>
        <w:t>2012</w:t>
        <w:tab/>
        <w:t>2013</w:t>
      </w:r>
    </w:p>
    <w:p>
      <w:pPr>
        <w:spacing w:after="0"/>
        <w:sectPr>
          <w:type w:val="continuous"/>
          <w:pgSz w:w="11910" w:h="16840"/>
          <w:pgMar w:top="1180" w:bottom="1520" w:left="820" w:right="600"/>
          <w:cols w:num="3" w:equalWidth="0">
            <w:col w:w="4383" w:space="45"/>
            <w:col w:w="602" w:space="39"/>
            <w:col w:w="5421"/>
          </w:cols>
        </w:sectPr>
      </w:pPr>
    </w:p>
    <w:p>
      <w:pPr>
        <w:pStyle w:val="BodyText"/>
        <w:spacing w:before="2"/>
        <w:rPr>
          <w:sz w:val="9"/>
        </w:rPr>
      </w:pPr>
    </w:p>
    <w:p>
      <w:pPr>
        <w:spacing w:after="0"/>
        <w:rPr>
          <w:sz w:val="9"/>
        </w:rPr>
        <w:sectPr>
          <w:type w:val="continuous"/>
          <w:pgSz w:w="11910" w:h="16840"/>
          <w:pgMar w:top="1180" w:bottom="1520" w:left="820" w:right="600"/>
        </w:sectPr>
      </w:pPr>
    </w:p>
    <w:p>
      <w:pPr>
        <w:spacing w:before="96"/>
        <w:ind w:left="313" w:right="0" w:firstLine="0"/>
        <w:jc w:val="left"/>
        <w:rPr>
          <w:sz w:val="16"/>
        </w:rPr>
      </w:pPr>
      <w:r>
        <w:rPr>
          <w:sz w:val="16"/>
        </w:rPr>
        <w:t>Source: ONS.</w:t>
      </w:r>
    </w:p>
    <w:p>
      <w:pPr>
        <w:spacing w:before="7"/>
        <w:ind w:left="313" w:right="0" w:firstLine="0"/>
        <w:jc w:val="left"/>
        <w:rPr>
          <w:b/>
          <w:sz w:val="24"/>
        </w:rPr>
      </w:pPr>
      <w:r>
        <w:rPr>
          <w:b/>
          <w:sz w:val="24"/>
        </w:rPr>
        <w:t>References</w:t>
      </w:r>
    </w:p>
    <w:p>
      <w:pPr>
        <w:spacing w:before="100"/>
        <w:ind w:left="313" w:right="0" w:firstLine="0"/>
        <w:jc w:val="left"/>
        <w:rPr>
          <w:sz w:val="16"/>
        </w:rPr>
      </w:pPr>
      <w:r>
        <w:rPr/>
        <w:br w:type="column"/>
      </w:r>
      <w:r>
        <w:rPr>
          <w:sz w:val="16"/>
        </w:rPr>
        <w:t>Source: CBI.</w:t>
      </w:r>
    </w:p>
    <w:p>
      <w:pPr>
        <w:spacing w:after="0"/>
        <w:jc w:val="left"/>
        <w:rPr>
          <w:sz w:val="16"/>
        </w:rPr>
        <w:sectPr>
          <w:type w:val="continuous"/>
          <w:pgSz w:w="11910" w:h="16840"/>
          <w:pgMar w:top="1180" w:bottom="1520" w:left="820" w:right="600"/>
          <w:cols w:num="2" w:equalWidth="0">
            <w:col w:w="1648" w:space="3405"/>
            <w:col w:w="5437"/>
          </w:cols>
        </w:sectPr>
      </w:pPr>
    </w:p>
    <w:p>
      <w:pPr>
        <w:spacing w:line="242" w:lineRule="auto" w:before="113"/>
        <w:ind w:left="313" w:right="0" w:firstLine="0"/>
        <w:jc w:val="left"/>
        <w:rPr>
          <w:sz w:val="20"/>
        </w:rPr>
      </w:pPr>
      <w:r>
        <w:rPr>
          <w:b/>
          <w:sz w:val="20"/>
        </w:rPr>
        <w:t>Bank of England (2014), </w:t>
      </w:r>
      <w:r>
        <w:rPr>
          <w:i/>
          <w:sz w:val="20"/>
        </w:rPr>
        <w:t>Inflation Report</w:t>
      </w:r>
      <w:r>
        <w:rPr>
          <w:sz w:val="20"/>
        </w:rPr>
        <w:t>, February 2014, available at </w:t>
      </w:r>
      <w:hyperlink r:id="rId12">
        <w:r>
          <w:rPr>
            <w:color w:val="0000FF"/>
            <w:w w:val="95"/>
            <w:sz w:val="20"/>
            <w:u w:val="single" w:color="0000FF"/>
          </w:rPr>
          <w:t>http://www.bankofengland.co.uk/publications/Documents/inflationreport/2014/ir14feb.pdf</w:t>
        </w:r>
      </w:hyperlink>
    </w:p>
    <w:p>
      <w:pPr>
        <w:pStyle w:val="BodyText"/>
        <w:spacing w:before="4"/>
        <w:rPr>
          <w:sz w:val="11"/>
        </w:rPr>
      </w:pPr>
    </w:p>
    <w:p>
      <w:pPr>
        <w:pStyle w:val="BodyText"/>
        <w:spacing w:line="242" w:lineRule="auto" w:before="93"/>
        <w:ind w:left="313" w:right="552"/>
      </w:pPr>
      <w:r>
        <w:rPr>
          <w:b/>
        </w:rPr>
        <w:t>McCafferty, I (2014)</w:t>
      </w:r>
      <w:r>
        <w:rPr/>
        <w:t>, ‘Achieving a sustainable recovery: where next for business investment?’, speech given at the Nottingham Business School, 22 January, available at </w:t>
      </w:r>
      <w:hyperlink r:id="rId13">
        <w:r>
          <w:rPr>
            <w:color w:val="0000FF"/>
            <w:u w:val="single" w:color="0000FF"/>
          </w:rPr>
          <w:t>http://www.bankofengland.co.uk/publications/Documents/speeches/2014/speech703.pdf</w:t>
        </w:r>
      </w:hyperlink>
    </w:p>
    <w:p>
      <w:pPr>
        <w:pStyle w:val="BodyText"/>
        <w:spacing w:before="6"/>
        <w:rPr>
          <w:sz w:val="11"/>
        </w:rPr>
      </w:pPr>
    </w:p>
    <w:p>
      <w:pPr>
        <w:pStyle w:val="BodyText"/>
        <w:spacing w:before="93"/>
        <w:ind w:left="313" w:right="563"/>
      </w:pPr>
      <w:r>
        <w:rPr>
          <w:b/>
        </w:rPr>
        <w:t>Weale, M (2014)</w:t>
      </w:r>
      <w:r>
        <w:rPr/>
        <w:t>, ‘Slack and the labour market’, speech given at the Thames Valley Chamber of Commerce, Windsor, 20 March, available at </w:t>
      </w:r>
      <w:hyperlink r:id="rId14">
        <w:r>
          <w:rPr>
            <w:color w:val="0000FF"/>
            <w:u w:val="single" w:color="0000FF"/>
          </w:rPr>
          <w:t>http://www.bankofengland.co.uk/publications/Documents/speeches/2014/speech716.pdf</w:t>
        </w:r>
      </w:hyperlink>
    </w:p>
    <w:sectPr>
      <w:pgSz w:w="11910" w:h="16840"/>
      <w:pgMar w:header="0" w:footer="1338" w:top="1580" w:bottom="152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55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65459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6535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52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51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650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4947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48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47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6464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45376"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44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433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6423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41280"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3" w:hanging="360"/>
      </w:pPr>
      <w:rPr>
        <w:rFonts w:hint="default" w:ascii="Symbol" w:hAnsi="Symbol" w:eastAsia="Symbol" w:cs="Symbol"/>
        <w:w w:val="99"/>
        <w:sz w:val="20"/>
        <w:szCs w:val="20"/>
        <w:lang w:val="en-gb" w:eastAsia="en-gb" w:bidi="en-gb"/>
      </w:rPr>
    </w:lvl>
    <w:lvl w:ilvl="1">
      <w:start w:val="0"/>
      <w:numFmt w:val="bullet"/>
      <w:lvlText w:val="•"/>
      <w:lvlJc w:val="left"/>
      <w:pPr>
        <w:ind w:left="1984" w:hanging="360"/>
      </w:pPr>
      <w:rPr>
        <w:rFonts w:hint="default"/>
        <w:lang w:val="en-gb" w:eastAsia="en-gb" w:bidi="en-gb"/>
      </w:rPr>
    </w:lvl>
    <w:lvl w:ilvl="2">
      <w:start w:val="0"/>
      <w:numFmt w:val="bullet"/>
      <w:lvlText w:val="•"/>
      <w:lvlJc w:val="left"/>
      <w:pPr>
        <w:ind w:left="2929" w:hanging="360"/>
      </w:pPr>
      <w:rPr>
        <w:rFonts w:hint="default"/>
        <w:lang w:val="en-gb" w:eastAsia="en-gb" w:bidi="en-gb"/>
      </w:rPr>
    </w:lvl>
    <w:lvl w:ilvl="3">
      <w:start w:val="0"/>
      <w:numFmt w:val="bullet"/>
      <w:lvlText w:val="•"/>
      <w:lvlJc w:val="left"/>
      <w:pPr>
        <w:ind w:left="3873" w:hanging="360"/>
      </w:pPr>
      <w:rPr>
        <w:rFonts w:hint="default"/>
        <w:lang w:val="en-gb" w:eastAsia="en-gb" w:bidi="en-gb"/>
      </w:rPr>
    </w:lvl>
    <w:lvl w:ilvl="4">
      <w:start w:val="0"/>
      <w:numFmt w:val="bullet"/>
      <w:lvlText w:val="•"/>
      <w:lvlJc w:val="left"/>
      <w:pPr>
        <w:ind w:left="4818" w:hanging="360"/>
      </w:pPr>
      <w:rPr>
        <w:rFonts w:hint="default"/>
        <w:lang w:val="en-gb" w:eastAsia="en-gb" w:bidi="en-gb"/>
      </w:rPr>
    </w:lvl>
    <w:lvl w:ilvl="5">
      <w:start w:val="0"/>
      <w:numFmt w:val="bullet"/>
      <w:lvlText w:val="•"/>
      <w:lvlJc w:val="left"/>
      <w:pPr>
        <w:ind w:left="5763" w:hanging="360"/>
      </w:pPr>
      <w:rPr>
        <w:rFonts w:hint="default"/>
        <w:lang w:val="en-gb" w:eastAsia="en-gb" w:bidi="en-gb"/>
      </w:rPr>
    </w:lvl>
    <w:lvl w:ilvl="6">
      <w:start w:val="0"/>
      <w:numFmt w:val="bullet"/>
      <w:lvlText w:val="•"/>
      <w:lvlJc w:val="left"/>
      <w:pPr>
        <w:ind w:left="6707" w:hanging="360"/>
      </w:pPr>
      <w:rPr>
        <w:rFonts w:hint="default"/>
        <w:lang w:val="en-gb" w:eastAsia="en-gb" w:bidi="en-gb"/>
      </w:rPr>
    </w:lvl>
    <w:lvl w:ilvl="7">
      <w:start w:val="0"/>
      <w:numFmt w:val="bullet"/>
      <w:lvlText w:val="•"/>
      <w:lvlJc w:val="left"/>
      <w:pPr>
        <w:ind w:left="7652" w:hanging="360"/>
      </w:pPr>
      <w:rPr>
        <w:rFonts w:hint="default"/>
        <w:lang w:val="en-gb" w:eastAsia="en-gb" w:bidi="en-gb"/>
      </w:rPr>
    </w:lvl>
    <w:lvl w:ilvl="8">
      <w:start w:val="0"/>
      <w:numFmt w:val="bullet"/>
      <w:lvlText w:val="•"/>
      <w:lvlJc w:val="left"/>
      <w:pPr>
        <w:ind w:left="8597"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hanging="361"/>
    </w:pPr>
    <w:rPr>
      <w:rFonts w:ascii="Arial" w:hAnsi="Arial" w:eastAsia="Arial" w:cs="Arial"/>
      <w:lang w:val="en-gb" w:eastAsia="en-gb" w:bidi="en-gb"/>
    </w:rPr>
  </w:style>
  <w:style w:styleId="TableParagraph" w:type="paragraph">
    <w:name w:val="Table Paragraph"/>
    <w:basedOn w:val="Normal"/>
    <w:uiPriority w:val="1"/>
    <w:qFormat/>
    <w:pPr>
      <w:spacing w:before="33"/>
      <w:ind w:left="443"/>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bankofengland.co.uk/publications/Documents/inflationreport/2014/ir14feb.pdf" TargetMode="External"/><Relationship Id="rId13" Type="http://schemas.openxmlformats.org/officeDocument/2006/relationships/hyperlink" Target="http://www.bankofengland.co.uk/publications/Documents/speeches/2014/speech703.pdf" TargetMode="External"/><Relationship Id="rId14" Type="http://schemas.openxmlformats.org/officeDocument/2006/relationships/hyperlink" Target="http://www.bankofengland.co.uk/publications/Documents/speeches/2014/speech716.pdf" TargetMode="Externa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Ian McCafferty</dc:subject>
  <dc:title>Slack, pricing pressures and the outlook for policy</dc:title>
  <dcterms:created xsi:type="dcterms:W3CDTF">2020-06-02T18:24:54Z</dcterms:created>
  <dcterms:modified xsi:type="dcterms:W3CDTF">2020-06-02T18:24:54Z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2014-04-29T00:00:00Z</vt:filetime>
  </property>
  <property fmtid="{D5CDD505-2E9C-101B-9397-08002B2CF9AE}" pid="3" name="LastSaved">
    <vt:filetime>2020-06-02T00:00:00Z</vt:filetime>
  </property>
</Properties>
</file>