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Solving too big to fail: where do things stand on resolution</w:t>
      </w:r>
    </w:p>
    <w:p>
      <w:pPr>
        <w:pStyle w:val="Heading1"/>
        <w:spacing w:before="264"/>
      </w:pPr>
      <w:r>
        <w:rPr/>
        <w:t>Speech given by</w:t>
      </w:r>
    </w:p>
    <w:p>
      <w:pPr>
        <w:spacing w:line="369" w:lineRule="auto" w:before="137"/>
        <w:ind w:left="227" w:right="791" w:firstLine="0"/>
        <w:jc w:val="left"/>
        <w:rPr>
          <w:sz w:val="22"/>
        </w:rPr>
      </w:pPr>
      <w:r>
        <w:rPr>
          <w:sz w:val="22"/>
        </w:rPr>
        <w:t>Paul Tucker, Deputy Governor Financial Stability, Member of the Monetary Policy Committee, Member of the Financial Policy Committee and Member of the Prudential Regulation Authority Board</w:t>
      </w:r>
    </w:p>
    <w:p>
      <w:pPr>
        <w:pStyle w:val="BodyText"/>
        <w:spacing w:before="9"/>
        <w:rPr>
          <w:sz w:val="33"/>
        </w:rPr>
      </w:pPr>
    </w:p>
    <w:p>
      <w:pPr>
        <w:spacing w:line="369" w:lineRule="auto" w:before="0"/>
        <w:ind w:left="227" w:right="791" w:firstLine="0"/>
        <w:jc w:val="left"/>
        <w:rPr>
          <w:sz w:val="22"/>
        </w:rPr>
      </w:pPr>
      <w:r>
        <w:rPr>
          <w:sz w:val="22"/>
        </w:rPr>
        <w:t>At the Institute of International Finance 2013 Annual Membership meeting, Washington DC</w:t>
      </w:r>
    </w:p>
    <w:p>
      <w:pPr>
        <w:spacing w:line="253" w:lineRule="exact" w:before="0"/>
        <w:ind w:left="227" w:right="0" w:firstLine="0"/>
        <w:jc w:val="left"/>
        <w:rPr>
          <w:sz w:val="22"/>
        </w:rPr>
      </w:pPr>
      <w:r>
        <w:rPr>
          <w:sz w:val="22"/>
        </w:rPr>
        <w:t>Saturday 12 October 2013</w:t>
      </w:r>
    </w:p>
    <w:p>
      <w:pPr>
        <w:spacing w:after="0" w:line="253" w:lineRule="exact"/>
        <w:jc w:val="left"/>
        <w:rPr>
          <w:sz w:val="22"/>
        </w:rPr>
        <w:sectPr>
          <w:footerReference w:type="default" r:id="rId5"/>
          <w:type w:val="continuous"/>
          <w:pgSz w:w="12240" w:h="15840"/>
          <w:pgMar w:footer="1240" w:top="1120" w:bottom="1440" w:left="1360" w:right="1480"/>
        </w:sectPr>
      </w:pPr>
    </w:p>
    <w:p>
      <w:pPr>
        <w:pStyle w:val="BodyText"/>
        <w:spacing w:line="357" w:lineRule="auto" w:before="80"/>
        <w:ind w:left="226" w:right="160"/>
      </w:pPr>
      <w:r>
        <w:rPr/>
        <w:t>By</w:t>
      </w:r>
      <w:r>
        <w:rPr>
          <w:spacing w:val="-7"/>
        </w:rPr>
        <w:t> </w:t>
      </w:r>
      <w:r>
        <w:rPr/>
        <w:t>way</w:t>
      </w:r>
      <w:r>
        <w:rPr>
          <w:spacing w:val="-6"/>
        </w:rPr>
        <w:t> </w:t>
      </w:r>
      <w:r>
        <w:rPr/>
        <w:t>of</w:t>
      </w:r>
      <w:r>
        <w:rPr>
          <w:spacing w:val="-6"/>
        </w:rPr>
        <w:t> </w:t>
      </w:r>
      <w:r>
        <w:rPr/>
        <w:t>setting</w:t>
      </w:r>
      <w:r>
        <w:rPr>
          <w:spacing w:val="-7"/>
        </w:rPr>
        <w:t> </w:t>
      </w:r>
      <w:r>
        <w:rPr/>
        <w:t>the</w:t>
      </w:r>
      <w:r>
        <w:rPr>
          <w:spacing w:val="-8"/>
        </w:rPr>
        <w:t> </w:t>
      </w:r>
      <w:r>
        <w:rPr/>
        <w:t>scene</w:t>
      </w:r>
      <w:r>
        <w:rPr>
          <w:spacing w:val="-8"/>
        </w:rPr>
        <w:t> </w:t>
      </w:r>
      <w:r>
        <w:rPr/>
        <w:t>for</w:t>
      </w:r>
      <w:r>
        <w:rPr>
          <w:spacing w:val="-8"/>
        </w:rPr>
        <w:t> </w:t>
      </w:r>
      <w:r>
        <w:rPr/>
        <w:t>this</w:t>
      </w:r>
      <w:r>
        <w:rPr>
          <w:spacing w:val="-7"/>
        </w:rPr>
        <w:t> </w:t>
      </w:r>
      <w:r>
        <w:rPr/>
        <w:t>morning’s</w:t>
      </w:r>
      <w:r>
        <w:rPr>
          <w:spacing w:val="-5"/>
        </w:rPr>
        <w:t> </w:t>
      </w:r>
      <w:r>
        <w:rPr/>
        <w:t>discussion,</w:t>
      </w:r>
      <w:r>
        <w:rPr>
          <w:spacing w:val="-8"/>
        </w:rPr>
        <w:t> </w:t>
      </w:r>
      <w:r>
        <w:rPr/>
        <w:t>I</w:t>
      </w:r>
      <w:r>
        <w:rPr>
          <w:spacing w:val="-7"/>
        </w:rPr>
        <w:t> </w:t>
      </w:r>
      <w:r>
        <w:rPr/>
        <w:t>shall</w:t>
      </w:r>
      <w:r>
        <w:rPr>
          <w:spacing w:val="-6"/>
        </w:rPr>
        <w:t> </w:t>
      </w:r>
      <w:r>
        <w:rPr/>
        <w:t>make</w:t>
      </w:r>
      <w:r>
        <w:rPr>
          <w:spacing w:val="-8"/>
        </w:rPr>
        <w:t> </w:t>
      </w:r>
      <w:r>
        <w:rPr/>
        <w:t>five</w:t>
      </w:r>
      <w:r>
        <w:rPr>
          <w:spacing w:val="-8"/>
        </w:rPr>
        <w:t> </w:t>
      </w:r>
      <w:r>
        <w:rPr/>
        <w:t>broad</w:t>
      </w:r>
      <w:r>
        <w:rPr>
          <w:spacing w:val="-7"/>
        </w:rPr>
        <w:t> </w:t>
      </w:r>
      <w:r>
        <w:rPr/>
        <w:t>and</w:t>
      </w:r>
      <w:r>
        <w:rPr>
          <w:spacing w:val="-8"/>
        </w:rPr>
        <w:t> </w:t>
      </w:r>
      <w:r>
        <w:rPr/>
        <w:t>big</w:t>
      </w:r>
      <w:r>
        <w:rPr>
          <w:spacing w:val="-7"/>
        </w:rPr>
        <w:t> </w:t>
      </w:r>
      <w:r>
        <w:rPr/>
        <w:t>points</w:t>
      </w:r>
      <w:r>
        <w:rPr>
          <w:spacing w:val="-7"/>
        </w:rPr>
        <w:t> </w:t>
      </w:r>
      <w:r>
        <w:rPr/>
        <w:t>about</w:t>
      </w:r>
      <w:r>
        <w:rPr>
          <w:spacing w:val="-6"/>
        </w:rPr>
        <w:t> </w:t>
      </w:r>
      <w:r>
        <w:rPr/>
        <w:t>where the international community has got to on addressing the Too Big To Fail problem through planning for orderly resolution. Before continuing, I should stress that these are my views and do not necessarily represent</w:t>
      </w:r>
      <w:r>
        <w:rPr>
          <w:spacing w:val="-2"/>
        </w:rPr>
        <w:t> </w:t>
      </w:r>
      <w:r>
        <w:rPr/>
        <w:t>the</w:t>
      </w:r>
      <w:r>
        <w:rPr>
          <w:spacing w:val="-4"/>
        </w:rPr>
        <w:t> </w:t>
      </w:r>
      <w:r>
        <w:rPr/>
        <w:t>views</w:t>
      </w:r>
      <w:r>
        <w:rPr>
          <w:spacing w:val="-3"/>
        </w:rPr>
        <w:t> </w:t>
      </w:r>
      <w:r>
        <w:rPr/>
        <w:t>of</w:t>
      </w:r>
      <w:r>
        <w:rPr>
          <w:spacing w:val="-2"/>
        </w:rPr>
        <w:t> </w:t>
      </w:r>
      <w:r>
        <w:rPr/>
        <w:t>any</w:t>
      </w:r>
      <w:r>
        <w:rPr>
          <w:spacing w:val="-3"/>
        </w:rPr>
        <w:t> </w:t>
      </w:r>
      <w:r>
        <w:rPr/>
        <w:t>of</w:t>
      </w:r>
      <w:r>
        <w:rPr>
          <w:spacing w:val="-4"/>
        </w:rPr>
        <w:t> </w:t>
      </w:r>
      <w:r>
        <w:rPr/>
        <w:t>the</w:t>
      </w:r>
      <w:r>
        <w:rPr>
          <w:spacing w:val="-4"/>
        </w:rPr>
        <w:t> </w:t>
      </w:r>
      <w:r>
        <w:rPr/>
        <w:t>UK</w:t>
      </w:r>
      <w:r>
        <w:rPr>
          <w:spacing w:val="-4"/>
        </w:rPr>
        <w:t> </w:t>
      </w:r>
      <w:r>
        <w:rPr/>
        <w:t>and</w:t>
      </w:r>
      <w:r>
        <w:rPr>
          <w:spacing w:val="-2"/>
        </w:rPr>
        <w:t> </w:t>
      </w:r>
      <w:r>
        <w:rPr/>
        <w:t>international</w:t>
      </w:r>
      <w:r>
        <w:rPr>
          <w:spacing w:val="-2"/>
        </w:rPr>
        <w:t> </w:t>
      </w:r>
      <w:r>
        <w:rPr/>
        <w:t>bodies</w:t>
      </w:r>
      <w:r>
        <w:rPr>
          <w:spacing w:val="-3"/>
        </w:rPr>
        <w:t> </w:t>
      </w:r>
      <w:r>
        <w:rPr/>
        <w:t>of</w:t>
      </w:r>
      <w:r>
        <w:rPr>
          <w:spacing w:val="-2"/>
        </w:rPr>
        <w:t> </w:t>
      </w:r>
      <w:r>
        <w:rPr/>
        <w:t>which</w:t>
      </w:r>
      <w:r>
        <w:rPr>
          <w:spacing w:val="-3"/>
        </w:rPr>
        <w:t> </w:t>
      </w:r>
      <w:r>
        <w:rPr/>
        <w:t>I</w:t>
      </w:r>
      <w:r>
        <w:rPr>
          <w:spacing w:val="-4"/>
        </w:rPr>
        <w:t> </w:t>
      </w:r>
      <w:r>
        <w:rPr/>
        <w:t>have</w:t>
      </w:r>
      <w:r>
        <w:rPr>
          <w:spacing w:val="-5"/>
        </w:rPr>
        <w:t> </w:t>
      </w:r>
      <w:r>
        <w:rPr/>
        <w:t>been</w:t>
      </w:r>
      <w:r>
        <w:rPr>
          <w:spacing w:val="-4"/>
        </w:rPr>
        <w:t> </w:t>
      </w:r>
      <w:r>
        <w:rPr/>
        <w:t>a</w:t>
      </w:r>
      <w:r>
        <w:rPr>
          <w:spacing w:val="-4"/>
        </w:rPr>
        <w:t> </w:t>
      </w:r>
      <w:r>
        <w:rPr/>
        <w:t>member.</w:t>
      </w:r>
    </w:p>
    <w:p>
      <w:pPr>
        <w:pStyle w:val="BodyText"/>
        <w:spacing w:before="10"/>
        <w:rPr>
          <w:sz w:val="27"/>
        </w:rPr>
      </w:pPr>
    </w:p>
    <w:p>
      <w:pPr>
        <w:pStyle w:val="ListParagraph"/>
        <w:numPr>
          <w:ilvl w:val="0"/>
          <w:numId w:val="1"/>
        </w:numPr>
        <w:tabs>
          <w:tab w:pos="761" w:val="left" w:leader="none"/>
          <w:tab w:pos="762" w:val="left" w:leader="none"/>
        </w:tabs>
        <w:spacing w:line="240" w:lineRule="auto" w:before="0" w:after="0"/>
        <w:ind w:left="761" w:right="0" w:hanging="536"/>
        <w:jc w:val="left"/>
        <w:rPr>
          <w:sz w:val="19"/>
          <w:u w:val="none"/>
        </w:rPr>
      </w:pPr>
      <w:r>
        <w:rPr>
          <w:sz w:val="19"/>
          <w:u w:val="single"/>
        </w:rPr>
        <w:t>The US authorities could resolve most US SIFIs right</w:t>
      </w:r>
      <w:r>
        <w:rPr>
          <w:spacing w:val="-11"/>
          <w:sz w:val="19"/>
          <w:u w:val="single"/>
        </w:rPr>
        <w:t> </w:t>
      </w:r>
      <w:r>
        <w:rPr>
          <w:sz w:val="19"/>
          <w:u w:val="single"/>
        </w:rPr>
        <w:t>now</w:t>
      </w:r>
    </w:p>
    <w:p>
      <w:pPr>
        <w:pStyle w:val="BodyText"/>
        <w:spacing w:before="4"/>
        <w:rPr>
          <w:sz w:val="29"/>
        </w:rPr>
      </w:pPr>
    </w:p>
    <w:p>
      <w:pPr>
        <w:pStyle w:val="BodyText"/>
        <w:spacing w:line="357" w:lineRule="auto" w:before="93"/>
        <w:ind w:left="226"/>
      </w:pPr>
      <w:r>
        <w:rPr/>
        <w:t>First, I repeat what I said in London recently. I cannot see how the US Administration could persuade Congress to provide taxpayer solvency support to – ie bailout – some of the biggest US banks and</w:t>
      </w:r>
    </w:p>
    <w:p>
      <w:pPr>
        <w:pStyle w:val="BodyText"/>
        <w:spacing w:line="357" w:lineRule="auto"/>
        <w:ind w:left="226" w:right="160"/>
      </w:pPr>
      <w:r>
        <w:rPr/>
        <w:t>dealers. In short, the US authorities have the technology – via Title II of Dodd Frank; and, just as important, most US bank and dealer groups are, through an accident of history,</w:t>
      </w:r>
      <w:r>
        <w:rPr>
          <w:vertAlign w:val="superscript"/>
        </w:rPr>
        <w:t>1</w:t>
      </w:r>
      <w:r>
        <w:rPr>
          <w:vertAlign w:val="baseline"/>
        </w:rPr>
        <w:t> organised in way that lends them to top-down resolution on a group-wide basis. I don’t mean it would be completely smooth right now; it would be smoother in a year or as more progress is made. But in extremis, it could be done now. That surely is a massive signal to bankers and markets.</w:t>
      </w:r>
    </w:p>
    <w:p>
      <w:pPr>
        <w:pStyle w:val="BodyText"/>
        <w:spacing w:before="7"/>
        <w:rPr>
          <w:sz w:val="27"/>
        </w:rPr>
      </w:pPr>
    </w:p>
    <w:p>
      <w:pPr>
        <w:pStyle w:val="BodyText"/>
        <w:spacing w:line="357" w:lineRule="auto"/>
        <w:ind w:left="226" w:right="168"/>
      </w:pPr>
      <w:r>
        <w:rPr/>
        <w:t>Europe has not yet reached the same point, but contrary to some commentary is not far behind. The necessary legislative regime is close to completion. In contrast to the US, however, many of the largest European</w:t>
      </w:r>
      <w:r>
        <w:rPr>
          <w:spacing w:val="-9"/>
        </w:rPr>
        <w:t> </w:t>
      </w:r>
      <w:r>
        <w:rPr/>
        <w:t>–</w:t>
      </w:r>
      <w:r>
        <w:rPr>
          <w:spacing w:val="-9"/>
        </w:rPr>
        <w:t> </w:t>
      </w:r>
      <w:r>
        <w:rPr/>
        <w:t>including</w:t>
      </w:r>
      <w:r>
        <w:rPr>
          <w:spacing w:val="-9"/>
        </w:rPr>
        <w:t> </w:t>
      </w:r>
      <w:r>
        <w:rPr/>
        <w:t>UK</w:t>
      </w:r>
      <w:r>
        <w:rPr>
          <w:spacing w:val="-9"/>
        </w:rPr>
        <w:t> </w:t>
      </w:r>
      <w:r>
        <w:rPr/>
        <w:t>–</w:t>
      </w:r>
      <w:r>
        <w:rPr>
          <w:spacing w:val="-8"/>
        </w:rPr>
        <w:t> </w:t>
      </w:r>
      <w:r>
        <w:rPr/>
        <w:t>banking</w:t>
      </w:r>
      <w:r>
        <w:rPr>
          <w:spacing w:val="-9"/>
        </w:rPr>
        <w:t> </w:t>
      </w:r>
      <w:r>
        <w:rPr/>
        <w:t>groups</w:t>
      </w:r>
      <w:r>
        <w:rPr>
          <w:spacing w:val="-7"/>
        </w:rPr>
        <w:t> </w:t>
      </w:r>
      <w:r>
        <w:rPr/>
        <w:t>will</w:t>
      </w:r>
      <w:r>
        <w:rPr>
          <w:spacing w:val="-6"/>
        </w:rPr>
        <w:t> </w:t>
      </w:r>
      <w:r>
        <w:rPr/>
        <w:t>need</w:t>
      </w:r>
      <w:r>
        <w:rPr>
          <w:spacing w:val="-9"/>
        </w:rPr>
        <w:t> </w:t>
      </w:r>
      <w:r>
        <w:rPr/>
        <w:t>to</w:t>
      </w:r>
      <w:r>
        <w:rPr>
          <w:spacing w:val="-8"/>
        </w:rPr>
        <w:t> </w:t>
      </w:r>
      <w:r>
        <w:rPr/>
        <w:t>reorganise</w:t>
      </w:r>
      <w:r>
        <w:rPr>
          <w:spacing w:val="-9"/>
        </w:rPr>
        <w:t> </w:t>
      </w:r>
      <w:r>
        <w:rPr/>
        <w:t>in</w:t>
      </w:r>
      <w:r>
        <w:rPr>
          <w:spacing w:val="-8"/>
        </w:rPr>
        <w:t> </w:t>
      </w:r>
      <w:r>
        <w:rPr/>
        <w:t>order</w:t>
      </w:r>
      <w:r>
        <w:rPr>
          <w:spacing w:val="-8"/>
        </w:rPr>
        <w:t> </w:t>
      </w:r>
      <w:r>
        <w:rPr/>
        <w:t>to</w:t>
      </w:r>
      <w:r>
        <w:rPr>
          <w:spacing w:val="-10"/>
        </w:rPr>
        <w:t> </w:t>
      </w:r>
      <w:r>
        <w:rPr/>
        <w:t>make</w:t>
      </w:r>
      <w:r>
        <w:rPr>
          <w:spacing w:val="-9"/>
        </w:rPr>
        <w:t> </w:t>
      </w:r>
      <w:r>
        <w:rPr/>
        <w:t>themselves</w:t>
      </w:r>
      <w:r>
        <w:rPr>
          <w:spacing w:val="-8"/>
        </w:rPr>
        <w:t> </w:t>
      </w:r>
      <w:r>
        <w:rPr/>
        <w:t>susceptible to either Single Point of Entry or Multiple Point of Entry</w:t>
      </w:r>
      <w:r>
        <w:rPr>
          <w:spacing w:val="-18"/>
        </w:rPr>
        <w:t> </w:t>
      </w:r>
      <w:r>
        <w:rPr/>
        <w:t>resolution.</w:t>
      </w:r>
    </w:p>
    <w:p>
      <w:pPr>
        <w:pStyle w:val="BodyText"/>
        <w:spacing w:before="11"/>
        <w:rPr>
          <w:sz w:val="27"/>
        </w:rPr>
      </w:pPr>
    </w:p>
    <w:p>
      <w:pPr>
        <w:pStyle w:val="BodyText"/>
        <w:ind w:left="226"/>
      </w:pPr>
      <w:r>
        <w:rPr/>
        <w:t>That brings me to my second point.</w:t>
      </w:r>
    </w:p>
    <w:p>
      <w:pPr>
        <w:pStyle w:val="BodyText"/>
        <w:rPr>
          <w:sz w:val="20"/>
        </w:rPr>
      </w:pPr>
    </w:p>
    <w:p>
      <w:pPr>
        <w:pStyle w:val="BodyText"/>
        <w:spacing w:before="5"/>
        <w:rPr>
          <w:sz w:val="17"/>
        </w:rPr>
      </w:pPr>
    </w:p>
    <w:p>
      <w:pPr>
        <w:pStyle w:val="ListParagraph"/>
        <w:numPr>
          <w:ilvl w:val="0"/>
          <w:numId w:val="1"/>
        </w:numPr>
        <w:tabs>
          <w:tab w:pos="761" w:val="left" w:leader="none"/>
          <w:tab w:pos="762" w:val="left" w:leader="none"/>
        </w:tabs>
        <w:spacing w:line="355" w:lineRule="auto" w:before="0" w:after="0"/>
        <w:ind w:left="760" w:right="144" w:hanging="534"/>
        <w:jc w:val="left"/>
        <w:rPr>
          <w:sz w:val="19"/>
          <w:u w:val="none"/>
        </w:rPr>
      </w:pPr>
      <w:r>
        <w:rPr>
          <w:sz w:val="19"/>
          <w:u w:val="single"/>
        </w:rPr>
        <w:t>The</w:t>
      </w:r>
      <w:r>
        <w:rPr>
          <w:spacing w:val="-9"/>
          <w:sz w:val="19"/>
          <w:u w:val="single"/>
        </w:rPr>
        <w:t> </w:t>
      </w:r>
      <w:r>
        <w:rPr>
          <w:sz w:val="19"/>
          <w:u w:val="single"/>
        </w:rPr>
        <w:t>Single</w:t>
      </w:r>
      <w:r>
        <w:rPr>
          <w:spacing w:val="-9"/>
          <w:sz w:val="19"/>
          <w:u w:val="single"/>
        </w:rPr>
        <w:t> </w:t>
      </w:r>
      <w:r>
        <w:rPr>
          <w:sz w:val="19"/>
          <w:u w:val="single"/>
        </w:rPr>
        <w:t>Point</w:t>
      </w:r>
      <w:r>
        <w:rPr>
          <w:spacing w:val="-8"/>
          <w:sz w:val="19"/>
          <w:u w:val="single"/>
        </w:rPr>
        <w:t> </w:t>
      </w:r>
      <w:r>
        <w:rPr>
          <w:sz w:val="19"/>
          <w:u w:val="single"/>
        </w:rPr>
        <w:t>of</w:t>
      </w:r>
      <w:r>
        <w:rPr>
          <w:spacing w:val="-9"/>
          <w:sz w:val="19"/>
          <w:u w:val="single"/>
        </w:rPr>
        <w:t> </w:t>
      </w:r>
      <w:r>
        <w:rPr>
          <w:sz w:val="19"/>
          <w:u w:val="single"/>
        </w:rPr>
        <w:t>Entry</w:t>
      </w:r>
      <w:r>
        <w:rPr>
          <w:spacing w:val="-8"/>
          <w:sz w:val="19"/>
          <w:u w:val="single"/>
        </w:rPr>
        <w:t> </w:t>
      </w:r>
      <w:r>
        <w:rPr>
          <w:sz w:val="19"/>
          <w:u w:val="single"/>
        </w:rPr>
        <w:t>versus</w:t>
      </w:r>
      <w:r>
        <w:rPr>
          <w:spacing w:val="-6"/>
          <w:sz w:val="19"/>
          <w:u w:val="single"/>
        </w:rPr>
        <w:t> </w:t>
      </w:r>
      <w:r>
        <w:rPr>
          <w:sz w:val="19"/>
          <w:u w:val="single"/>
        </w:rPr>
        <w:t>Multiple</w:t>
      </w:r>
      <w:r>
        <w:rPr>
          <w:spacing w:val="-8"/>
          <w:sz w:val="19"/>
          <w:u w:val="single"/>
        </w:rPr>
        <w:t> </w:t>
      </w:r>
      <w:r>
        <w:rPr>
          <w:sz w:val="19"/>
          <w:u w:val="single"/>
        </w:rPr>
        <w:t>Point</w:t>
      </w:r>
      <w:r>
        <w:rPr>
          <w:spacing w:val="-6"/>
          <w:sz w:val="19"/>
          <w:u w:val="single"/>
        </w:rPr>
        <w:t> </w:t>
      </w:r>
      <w:r>
        <w:rPr>
          <w:sz w:val="19"/>
          <w:u w:val="single"/>
        </w:rPr>
        <w:t>of</w:t>
      </w:r>
      <w:r>
        <w:rPr>
          <w:spacing w:val="-8"/>
          <w:sz w:val="19"/>
          <w:u w:val="single"/>
        </w:rPr>
        <w:t> </w:t>
      </w:r>
      <w:r>
        <w:rPr>
          <w:sz w:val="19"/>
          <w:u w:val="single"/>
        </w:rPr>
        <w:t>Entry</w:t>
      </w:r>
      <w:r>
        <w:rPr>
          <w:spacing w:val="-8"/>
          <w:sz w:val="19"/>
          <w:u w:val="single"/>
        </w:rPr>
        <w:t> </w:t>
      </w:r>
      <w:r>
        <w:rPr>
          <w:sz w:val="19"/>
          <w:u w:val="single"/>
        </w:rPr>
        <w:t>resolution</w:t>
      </w:r>
      <w:r>
        <w:rPr>
          <w:spacing w:val="-8"/>
          <w:sz w:val="19"/>
          <w:u w:val="single"/>
        </w:rPr>
        <w:t> </w:t>
      </w:r>
      <w:r>
        <w:rPr>
          <w:sz w:val="19"/>
          <w:u w:val="single"/>
        </w:rPr>
        <w:t>strategy</w:t>
      </w:r>
      <w:r>
        <w:rPr>
          <w:spacing w:val="-7"/>
          <w:sz w:val="19"/>
          <w:u w:val="single"/>
        </w:rPr>
        <w:t> </w:t>
      </w:r>
      <w:r>
        <w:rPr>
          <w:sz w:val="19"/>
          <w:u w:val="single"/>
        </w:rPr>
        <w:t>distinction</w:t>
      </w:r>
      <w:r>
        <w:rPr>
          <w:spacing w:val="-8"/>
          <w:sz w:val="19"/>
          <w:u w:val="single"/>
        </w:rPr>
        <w:t> </w:t>
      </w:r>
      <w:r>
        <w:rPr>
          <w:sz w:val="19"/>
          <w:u w:val="single"/>
        </w:rPr>
        <w:t>may</w:t>
      </w:r>
      <w:r>
        <w:rPr>
          <w:spacing w:val="-7"/>
          <w:sz w:val="19"/>
          <w:u w:val="single"/>
        </w:rPr>
        <w:t> </w:t>
      </w:r>
      <w:r>
        <w:rPr>
          <w:sz w:val="19"/>
          <w:u w:val="single"/>
        </w:rPr>
        <w:t>be</w:t>
      </w:r>
      <w:r>
        <w:rPr>
          <w:spacing w:val="-8"/>
          <w:sz w:val="19"/>
          <w:u w:val="single"/>
        </w:rPr>
        <w:t> </w:t>
      </w:r>
      <w:r>
        <w:rPr>
          <w:sz w:val="19"/>
          <w:u w:val="single"/>
        </w:rPr>
        <w:t>the</w:t>
      </w:r>
      <w:r>
        <w:rPr>
          <w:spacing w:val="-9"/>
          <w:sz w:val="19"/>
          <w:u w:val="single"/>
        </w:rPr>
        <w:t> </w:t>
      </w:r>
      <w:r>
        <w:rPr>
          <w:sz w:val="19"/>
          <w:u w:val="single"/>
        </w:rPr>
        <w:t>most important innovation in banking policy in</w:t>
      </w:r>
      <w:r>
        <w:rPr>
          <w:spacing w:val="-11"/>
          <w:sz w:val="19"/>
          <w:u w:val="single"/>
        </w:rPr>
        <w:t> </w:t>
      </w:r>
      <w:r>
        <w:rPr>
          <w:sz w:val="19"/>
          <w:u w:val="single"/>
        </w:rPr>
        <w:t>decades</w:t>
      </w:r>
    </w:p>
    <w:p>
      <w:pPr>
        <w:pStyle w:val="BodyText"/>
        <w:spacing w:before="4"/>
        <w:rPr>
          <w:sz w:val="20"/>
        </w:rPr>
      </w:pPr>
    </w:p>
    <w:p>
      <w:pPr>
        <w:pStyle w:val="BodyText"/>
        <w:spacing w:line="357" w:lineRule="auto" w:before="93"/>
        <w:ind w:left="226" w:right="160"/>
      </w:pPr>
      <w:r>
        <w:rPr/>
        <w:t>We will learn to speak of banks and dealers as either ‘SPE groups’ or ‘MPE groups’. Some technical developments don't matter hugely. This one does. A lot will follow from it, as I will sketch in a moment. But first I should recap the difference between SPE and MPE resolution strategies.</w:t>
      </w:r>
    </w:p>
    <w:p>
      <w:pPr>
        <w:pStyle w:val="BodyText"/>
        <w:spacing w:before="11"/>
        <w:rPr>
          <w:sz w:val="27"/>
        </w:rPr>
      </w:pPr>
    </w:p>
    <w:p>
      <w:pPr>
        <w:pStyle w:val="BodyText"/>
        <w:spacing w:line="357" w:lineRule="auto"/>
        <w:ind w:left="226" w:right="160"/>
      </w:pPr>
      <w:r>
        <w:rPr/>
        <w:t>A</w:t>
      </w:r>
      <w:r>
        <w:rPr>
          <w:spacing w:val="-10"/>
        </w:rPr>
        <w:t> </w:t>
      </w:r>
      <w:r>
        <w:rPr/>
        <w:t>single-point-of-entry</w:t>
      </w:r>
      <w:r>
        <w:rPr>
          <w:spacing w:val="-9"/>
        </w:rPr>
        <w:t> </w:t>
      </w:r>
      <w:r>
        <w:rPr/>
        <w:t>or</w:t>
      </w:r>
      <w:r>
        <w:rPr>
          <w:spacing w:val="-9"/>
        </w:rPr>
        <w:t> </w:t>
      </w:r>
      <w:r>
        <w:rPr/>
        <w:t>SPE</w:t>
      </w:r>
      <w:r>
        <w:rPr>
          <w:spacing w:val="-8"/>
        </w:rPr>
        <w:t> </w:t>
      </w:r>
      <w:r>
        <w:rPr/>
        <w:t>resolution</w:t>
      </w:r>
      <w:r>
        <w:rPr>
          <w:spacing w:val="-7"/>
        </w:rPr>
        <w:t> </w:t>
      </w:r>
      <w:r>
        <w:rPr/>
        <w:t>works</w:t>
      </w:r>
      <w:r>
        <w:rPr>
          <w:spacing w:val="-8"/>
        </w:rPr>
        <w:t> </w:t>
      </w:r>
      <w:r>
        <w:rPr/>
        <w:t>downwards</w:t>
      </w:r>
      <w:r>
        <w:rPr>
          <w:spacing w:val="-9"/>
        </w:rPr>
        <w:t> </w:t>
      </w:r>
      <w:r>
        <w:rPr/>
        <w:t>from</w:t>
      </w:r>
      <w:r>
        <w:rPr>
          <w:spacing w:val="-9"/>
        </w:rPr>
        <w:t> </w:t>
      </w:r>
      <w:r>
        <w:rPr/>
        <w:t>the</w:t>
      </w:r>
      <w:r>
        <w:rPr>
          <w:spacing w:val="-9"/>
        </w:rPr>
        <w:t> </w:t>
      </w:r>
      <w:r>
        <w:rPr/>
        <w:t>group’s</w:t>
      </w:r>
      <w:r>
        <w:rPr>
          <w:spacing w:val="-8"/>
        </w:rPr>
        <w:t> </w:t>
      </w:r>
      <w:r>
        <w:rPr/>
        <w:t>top</w:t>
      </w:r>
      <w:r>
        <w:rPr>
          <w:spacing w:val="-10"/>
        </w:rPr>
        <w:t> </w:t>
      </w:r>
      <w:r>
        <w:rPr/>
        <w:t>company</w:t>
      </w:r>
      <w:r>
        <w:rPr>
          <w:spacing w:val="-9"/>
        </w:rPr>
        <w:t> </w:t>
      </w:r>
      <w:r>
        <w:rPr/>
        <w:t>–</w:t>
      </w:r>
      <w:r>
        <w:rPr>
          <w:spacing w:val="-9"/>
        </w:rPr>
        <w:t> </w:t>
      </w:r>
      <w:r>
        <w:rPr/>
        <w:t>most</w:t>
      </w:r>
      <w:r>
        <w:rPr>
          <w:spacing w:val="-8"/>
        </w:rPr>
        <w:t> </w:t>
      </w:r>
      <w:r>
        <w:rPr/>
        <w:t>simply,</w:t>
      </w:r>
      <w:r>
        <w:rPr>
          <w:spacing w:val="-10"/>
        </w:rPr>
        <w:t> </w:t>
      </w:r>
      <w:r>
        <w:rPr/>
        <w:t>a pure holding company (Holdco). Losses in subsidiaries are first transferred up to Holdco. If Holdco is bankrupt</w:t>
      </w:r>
      <w:r>
        <w:rPr>
          <w:spacing w:val="-8"/>
        </w:rPr>
        <w:t> </w:t>
      </w:r>
      <w:r>
        <w:rPr/>
        <w:t>as</w:t>
      </w:r>
      <w:r>
        <w:rPr>
          <w:spacing w:val="-6"/>
        </w:rPr>
        <w:t> </w:t>
      </w:r>
      <w:r>
        <w:rPr/>
        <w:t>a</w:t>
      </w:r>
      <w:r>
        <w:rPr>
          <w:spacing w:val="-8"/>
        </w:rPr>
        <w:t> </w:t>
      </w:r>
      <w:r>
        <w:rPr/>
        <w:t>result,</w:t>
      </w:r>
      <w:r>
        <w:rPr>
          <w:spacing w:val="-7"/>
        </w:rPr>
        <w:t> </w:t>
      </w:r>
      <w:r>
        <w:rPr/>
        <w:t>the</w:t>
      </w:r>
      <w:r>
        <w:rPr>
          <w:spacing w:val="-7"/>
        </w:rPr>
        <w:t> </w:t>
      </w:r>
      <w:r>
        <w:rPr/>
        <w:t>group</w:t>
      </w:r>
      <w:r>
        <w:rPr>
          <w:spacing w:val="-7"/>
        </w:rPr>
        <w:t> </w:t>
      </w:r>
      <w:r>
        <w:rPr/>
        <w:t>needs</w:t>
      </w:r>
      <w:r>
        <w:rPr>
          <w:spacing w:val="-7"/>
        </w:rPr>
        <w:t> </w:t>
      </w:r>
      <w:r>
        <w:rPr/>
        <w:t>resolving.</w:t>
      </w:r>
      <w:r>
        <w:rPr>
          <w:spacing w:val="38"/>
        </w:rPr>
        <w:t> </w:t>
      </w:r>
      <w:r>
        <w:rPr/>
        <w:t>The</w:t>
      </w:r>
      <w:r>
        <w:rPr>
          <w:spacing w:val="-7"/>
        </w:rPr>
        <w:t> </w:t>
      </w:r>
      <w:r>
        <w:rPr/>
        <w:t>‘bailin’</w:t>
      </w:r>
      <w:r>
        <w:rPr>
          <w:spacing w:val="-6"/>
        </w:rPr>
        <w:t> </w:t>
      </w:r>
      <w:r>
        <w:rPr/>
        <w:t>tool</w:t>
      </w:r>
      <w:r>
        <w:rPr>
          <w:spacing w:val="-8"/>
        </w:rPr>
        <w:t> </w:t>
      </w:r>
      <w:r>
        <w:rPr/>
        <w:t>is</w:t>
      </w:r>
      <w:r>
        <w:rPr>
          <w:spacing w:val="-7"/>
        </w:rPr>
        <w:t> </w:t>
      </w:r>
      <w:r>
        <w:rPr/>
        <w:t>applied</w:t>
      </w:r>
      <w:r>
        <w:rPr>
          <w:spacing w:val="-8"/>
        </w:rPr>
        <w:t> </w:t>
      </w:r>
      <w:r>
        <w:rPr/>
        <w:t>to</w:t>
      </w:r>
      <w:r>
        <w:rPr>
          <w:spacing w:val="-8"/>
        </w:rPr>
        <w:t> </w:t>
      </w:r>
      <w:r>
        <w:rPr/>
        <w:t>Holdco,</w:t>
      </w:r>
      <w:r>
        <w:rPr>
          <w:spacing w:val="-6"/>
        </w:rPr>
        <w:t> </w:t>
      </w:r>
      <w:r>
        <w:rPr/>
        <w:t>with</w:t>
      </w:r>
      <w:r>
        <w:rPr>
          <w:spacing w:val="-7"/>
        </w:rPr>
        <w:t> </w:t>
      </w:r>
      <w:r>
        <w:rPr/>
        <w:t>the</w:t>
      </w:r>
      <w:r>
        <w:rPr>
          <w:spacing w:val="-8"/>
        </w:rPr>
        <w:t> </w:t>
      </w:r>
      <w:r>
        <w:rPr/>
        <w:t>equity</w:t>
      </w:r>
      <w:r>
        <w:rPr>
          <w:spacing w:val="-5"/>
        </w:rPr>
        <w:t> </w:t>
      </w:r>
      <w:r>
        <w:rPr/>
        <w:t>being written off and bonds converted as necessary into equity to recapitalise the group. Those bondholders become the new owners. The group stays</w:t>
      </w:r>
      <w:r>
        <w:rPr>
          <w:spacing w:val="-14"/>
        </w:rPr>
        <w:t> </w:t>
      </w:r>
      <w:r>
        <w:rPr/>
        <w:t>together.</w:t>
      </w:r>
    </w:p>
    <w:p>
      <w:pPr>
        <w:pStyle w:val="BodyText"/>
        <w:rPr>
          <w:sz w:val="20"/>
        </w:rPr>
      </w:pPr>
    </w:p>
    <w:p>
      <w:pPr>
        <w:pStyle w:val="BodyText"/>
        <w:rPr>
          <w:sz w:val="20"/>
        </w:rPr>
      </w:pPr>
    </w:p>
    <w:p>
      <w:pPr>
        <w:pStyle w:val="BodyText"/>
        <w:rPr>
          <w:sz w:val="20"/>
        </w:rPr>
      </w:pPr>
    </w:p>
    <w:p>
      <w:pPr>
        <w:pStyle w:val="BodyText"/>
        <w:spacing w:before="8"/>
        <w:rPr>
          <w:sz w:val="12"/>
        </w:rPr>
      </w:pPr>
      <w:r>
        <w:rPr/>
        <w:pict>
          <v:shape style="position:absolute;margin-left:79.320pt;margin-top:9.541042pt;width:135.5pt;height:.1pt;mso-position-horizontal-relative:page;mso-position-vertical-relative:paragraph;z-index:-251657216;mso-wrap-distance-left:0;mso-wrap-distance-right:0" coordorigin="1586,191" coordsize="2710,0" path="m1586,191l4296,191e" filled="false" stroked="true" strokeweight=".42001pt" strokecolor="#000000">
            <v:path arrowok="t"/>
            <v:stroke dashstyle="solid"/>
            <w10:wrap type="topAndBottom"/>
          </v:shape>
        </w:pict>
      </w:r>
    </w:p>
    <w:p>
      <w:pPr>
        <w:spacing w:before="27"/>
        <w:ind w:left="226" w:right="160" w:firstLine="0"/>
        <w:jc w:val="left"/>
        <w:rPr>
          <w:sz w:val="15"/>
        </w:rPr>
      </w:pPr>
      <w:r>
        <w:rPr>
          <w:position w:val="8"/>
          <w:sz w:val="9"/>
        </w:rPr>
        <w:t>1 </w:t>
      </w:r>
      <w:r>
        <w:rPr>
          <w:sz w:val="15"/>
        </w:rPr>
        <w:t>The accident of history arose from the McFadden Act ban on interstate banking. Banks set up holding companies so that they could own banks in different states. A variant of that story applies to broker dealer groups.</w:t>
      </w:r>
    </w:p>
    <w:p>
      <w:pPr>
        <w:spacing w:after="0"/>
        <w:jc w:val="left"/>
        <w:rPr>
          <w:sz w:val="15"/>
        </w:rPr>
        <w:sectPr>
          <w:footerReference w:type="default" r:id="rId7"/>
          <w:pgSz w:w="12240" w:h="15840"/>
          <w:pgMar w:footer="1240" w:header="0" w:top="1440" w:bottom="1440" w:left="1360" w:right="1480"/>
        </w:sectPr>
      </w:pPr>
    </w:p>
    <w:p>
      <w:pPr>
        <w:pStyle w:val="BodyText"/>
        <w:spacing w:line="357" w:lineRule="auto" w:before="80"/>
        <w:ind w:left="226" w:right="160"/>
      </w:pPr>
      <w:r>
        <w:rPr/>
        <w:t>Under multiple-point-of-entry or MPE resolutions, by contrast, a group would be split up into some of its parts. Healthy parts might be sold or be maintained as a residual group shorn of their distressed sister companies.</w:t>
      </w:r>
      <w:r>
        <w:rPr>
          <w:spacing w:val="-9"/>
        </w:rPr>
        <w:t> </w:t>
      </w:r>
      <w:r>
        <w:rPr/>
        <w:t>The</w:t>
      </w:r>
      <w:r>
        <w:rPr>
          <w:spacing w:val="-8"/>
        </w:rPr>
        <w:t> </w:t>
      </w:r>
      <w:r>
        <w:rPr/>
        <w:t>resolution</w:t>
      </w:r>
      <w:r>
        <w:rPr>
          <w:spacing w:val="-8"/>
        </w:rPr>
        <w:t> </w:t>
      </w:r>
      <w:r>
        <w:rPr/>
        <w:t>of</w:t>
      </w:r>
      <w:r>
        <w:rPr>
          <w:spacing w:val="-7"/>
        </w:rPr>
        <w:t> </w:t>
      </w:r>
      <w:r>
        <w:rPr/>
        <w:t>the</w:t>
      </w:r>
      <w:r>
        <w:rPr>
          <w:spacing w:val="-9"/>
        </w:rPr>
        <w:t> </w:t>
      </w:r>
      <w:r>
        <w:rPr/>
        <w:t>distressed</w:t>
      </w:r>
      <w:r>
        <w:rPr>
          <w:spacing w:val="-9"/>
        </w:rPr>
        <w:t> </w:t>
      </w:r>
      <w:r>
        <w:rPr/>
        <w:t>parts</w:t>
      </w:r>
      <w:r>
        <w:rPr>
          <w:spacing w:val="-8"/>
        </w:rPr>
        <w:t> </w:t>
      </w:r>
      <w:r>
        <w:rPr/>
        <w:t>might</w:t>
      </w:r>
      <w:r>
        <w:rPr>
          <w:spacing w:val="-9"/>
        </w:rPr>
        <w:t> </w:t>
      </w:r>
      <w:r>
        <w:rPr/>
        <w:t>be</w:t>
      </w:r>
      <w:r>
        <w:rPr>
          <w:spacing w:val="-10"/>
        </w:rPr>
        <w:t> </w:t>
      </w:r>
      <w:r>
        <w:rPr/>
        <w:t>effected</w:t>
      </w:r>
      <w:r>
        <w:rPr>
          <w:spacing w:val="-9"/>
        </w:rPr>
        <w:t> </w:t>
      </w:r>
      <w:r>
        <w:rPr/>
        <w:t>via</w:t>
      </w:r>
      <w:r>
        <w:rPr>
          <w:spacing w:val="-9"/>
        </w:rPr>
        <w:t> </w:t>
      </w:r>
      <w:r>
        <w:rPr/>
        <w:t>bailin</w:t>
      </w:r>
      <w:r>
        <w:rPr>
          <w:spacing w:val="-10"/>
        </w:rPr>
        <w:t> </w:t>
      </w:r>
      <w:r>
        <w:rPr/>
        <w:t>of</w:t>
      </w:r>
      <w:r>
        <w:rPr>
          <w:spacing w:val="-9"/>
        </w:rPr>
        <w:t> </w:t>
      </w:r>
      <w:r>
        <w:rPr/>
        <w:t>bonds</w:t>
      </w:r>
      <w:r>
        <w:rPr>
          <w:spacing w:val="-8"/>
        </w:rPr>
        <w:t> </w:t>
      </w:r>
      <w:r>
        <w:rPr/>
        <w:t>that</w:t>
      </w:r>
      <w:r>
        <w:rPr>
          <w:spacing w:val="-8"/>
        </w:rPr>
        <w:t> </w:t>
      </w:r>
      <w:r>
        <w:rPr/>
        <w:t>had</w:t>
      </w:r>
      <w:r>
        <w:rPr>
          <w:spacing w:val="-7"/>
        </w:rPr>
        <w:t> </w:t>
      </w:r>
      <w:r>
        <w:rPr/>
        <w:t>been</w:t>
      </w:r>
      <w:r>
        <w:rPr>
          <w:spacing w:val="-9"/>
        </w:rPr>
        <w:t> </w:t>
      </w:r>
      <w:r>
        <w:rPr/>
        <w:t>issued to the market by a regional intermediate holding</w:t>
      </w:r>
      <w:r>
        <w:rPr>
          <w:spacing w:val="-11"/>
        </w:rPr>
        <w:t> </w:t>
      </w:r>
      <w:r>
        <w:rPr/>
        <w:t>company.</w:t>
      </w:r>
    </w:p>
    <w:p>
      <w:pPr>
        <w:pStyle w:val="BodyText"/>
        <w:spacing w:before="10"/>
        <w:rPr>
          <w:sz w:val="27"/>
        </w:rPr>
      </w:pPr>
    </w:p>
    <w:p>
      <w:pPr>
        <w:pStyle w:val="BodyText"/>
        <w:spacing w:line="355" w:lineRule="auto"/>
        <w:ind w:left="226" w:right="663"/>
      </w:pPr>
      <w:r>
        <w:rPr/>
        <w:t>This is, of course, no more than a brief sketch, but I hope it will suffice for me to draw out some of the implications for the industry and regulators.</w:t>
      </w:r>
      <w:r>
        <w:rPr>
          <w:vertAlign w:val="superscript"/>
        </w:rPr>
        <w:t>2</w:t>
      </w:r>
    </w:p>
    <w:p>
      <w:pPr>
        <w:pStyle w:val="BodyText"/>
        <w:spacing w:before="5"/>
        <w:rPr>
          <w:sz w:val="28"/>
        </w:rPr>
      </w:pPr>
    </w:p>
    <w:p>
      <w:pPr>
        <w:pStyle w:val="BodyText"/>
        <w:spacing w:line="355" w:lineRule="auto"/>
        <w:ind w:left="226" w:right="71" w:firstLine="52"/>
      </w:pPr>
      <w:r>
        <w:rPr/>
        <w:t>For many financial groups, it is fairly obvious which broad resolution strategy (SPE or MPE) they are currently most suited to. But few major groups will escape having to make significant changes to their legal, organisational and financial structure to remove obstacles to effective resolution under that preferred strategy.</w:t>
      </w:r>
    </w:p>
    <w:p>
      <w:pPr>
        <w:pStyle w:val="BodyText"/>
        <w:spacing w:before="7"/>
        <w:rPr>
          <w:sz w:val="28"/>
        </w:rPr>
      </w:pPr>
    </w:p>
    <w:p>
      <w:pPr>
        <w:pStyle w:val="BodyText"/>
        <w:spacing w:line="357" w:lineRule="auto"/>
        <w:ind w:left="226"/>
      </w:pPr>
      <w:r>
        <w:rPr/>
        <w:t>For example, outside of the US, many ‘SPE groups’ will need to establish holding companies from which to issue bonds that can absorb losses and be converted into equity through a resolution. And even in the US, nearly all ‘SPE groups’ will need to ensure that there exists intra-group debt, issued by key subsidiaries around the world to the holding company, that can be written down when a distressed subsidiary would otherwise need to be resolved.</w:t>
      </w:r>
    </w:p>
    <w:p>
      <w:pPr>
        <w:pStyle w:val="BodyText"/>
        <w:spacing w:before="9"/>
        <w:rPr>
          <w:sz w:val="27"/>
        </w:rPr>
      </w:pPr>
    </w:p>
    <w:p>
      <w:pPr>
        <w:pStyle w:val="BodyText"/>
        <w:spacing w:line="357" w:lineRule="auto"/>
        <w:ind w:left="226" w:right="160"/>
      </w:pPr>
      <w:r>
        <w:rPr/>
        <w:t>For ‘MPE groups’, many will need to do more to organise themselves into well-defined regional and functional subgroups, perhaps with regional or functional intermediate holding companies, which could be subjected to SPE resolutions. And these groups will need to ensure that common services, such as IT, are provided</w:t>
      </w:r>
      <w:r>
        <w:rPr>
          <w:spacing w:val="-9"/>
        </w:rPr>
        <w:t> </w:t>
      </w:r>
      <w:r>
        <w:rPr/>
        <w:t>by</w:t>
      </w:r>
      <w:r>
        <w:rPr>
          <w:spacing w:val="-8"/>
        </w:rPr>
        <w:t> </w:t>
      </w:r>
      <w:r>
        <w:rPr/>
        <w:t>stand-alone</w:t>
      </w:r>
      <w:r>
        <w:rPr>
          <w:spacing w:val="-8"/>
        </w:rPr>
        <w:t> </w:t>
      </w:r>
      <w:r>
        <w:rPr/>
        <w:t>entities</w:t>
      </w:r>
      <w:r>
        <w:rPr>
          <w:spacing w:val="-8"/>
        </w:rPr>
        <w:t> </w:t>
      </w:r>
      <w:r>
        <w:rPr/>
        <w:t>under</w:t>
      </w:r>
      <w:r>
        <w:rPr>
          <w:spacing w:val="-9"/>
        </w:rPr>
        <w:t> </w:t>
      </w:r>
      <w:r>
        <w:rPr/>
        <w:t>contracts</w:t>
      </w:r>
      <w:r>
        <w:rPr>
          <w:spacing w:val="-8"/>
        </w:rPr>
        <w:t> </w:t>
      </w:r>
      <w:r>
        <w:rPr/>
        <w:t>that</w:t>
      </w:r>
      <w:r>
        <w:rPr>
          <w:spacing w:val="-9"/>
        </w:rPr>
        <w:t> </w:t>
      </w:r>
      <w:r>
        <w:rPr/>
        <w:t>are</w:t>
      </w:r>
      <w:r>
        <w:rPr>
          <w:spacing w:val="-9"/>
        </w:rPr>
        <w:t> </w:t>
      </w:r>
      <w:r>
        <w:rPr/>
        <w:t>robust</w:t>
      </w:r>
      <w:r>
        <w:rPr>
          <w:spacing w:val="-8"/>
        </w:rPr>
        <w:t> </w:t>
      </w:r>
      <w:r>
        <w:rPr/>
        <w:t>enough</w:t>
      </w:r>
      <w:r>
        <w:rPr>
          <w:spacing w:val="-9"/>
        </w:rPr>
        <w:t> </w:t>
      </w:r>
      <w:r>
        <w:rPr/>
        <w:t>to</w:t>
      </w:r>
      <w:r>
        <w:rPr>
          <w:spacing w:val="-8"/>
        </w:rPr>
        <w:t> </w:t>
      </w:r>
      <w:r>
        <w:rPr/>
        <w:t>survive</w:t>
      </w:r>
      <w:r>
        <w:rPr>
          <w:spacing w:val="-8"/>
        </w:rPr>
        <w:t> </w:t>
      </w:r>
      <w:r>
        <w:rPr/>
        <w:t>the</w:t>
      </w:r>
      <w:r>
        <w:rPr>
          <w:spacing w:val="-8"/>
        </w:rPr>
        <w:t> </w:t>
      </w:r>
      <w:r>
        <w:rPr/>
        <w:t>break</w:t>
      </w:r>
      <w:r>
        <w:rPr>
          <w:spacing w:val="-7"/>
        </w:rPr>
        <w:t> </w:t>
      </w:r>
      <w:r>
        <w:rPr/>
        <w:t>up</w:t>
      </w:r>
      <w:r>
        <w:rPr>
          <w:spacing w:val="-8"/>
        </w:rPr>
        <w:t> </w:t>
      </w:r>
      <w:r>
        <w:rPr/>
        <w:t>of</w:t>
      </w:r>
      <w:r>
        <w:rPr>
          <w:spacing w:val="-8"/>
        </w:rPr>
        <w:t> </w:t>
      </w:r>
      <w:r>
        <w:rPr/>
        <w:t>the</w:t>
      </w:r>
      <w:r>
        <w:rPr>
          <w:spacing w:val="-8"/>
        </w:rPr>
        <w:t> </w:t>
      </w:r>
      <w:r>
        <w:rPr/>
        <w:t>group.</w:t>
      </w:r>
    </w:p>
    <w:p>
      <w:pPr>
        <w:pStyle w:val="BodyText"/>
        <w:rPr>
          <w:sz w:val="28"/>
        </w:rPr>
      </w:pPr>
    </w:p>
    <w:p>
      <w:pPr>
        <w:pStyle w:val="BodyText"/>
        <w:spacing w:line="357" w:lineRule="auto"/>
        <w:ind w:left="226" w:right="71"/>
      </w:pPr>
      <w:r>
        <w:rPr/>
        <w:t>There will be implications for the regulatory regime too. As I see it, the amount of equity that a host regulator requires to be held in a subsidiary over and above the Basel minimum may vary according to whether it is part of an ‘SPE group’ in which the parent/holding company is a source of strength through resolution.</w:t>
      </w:r>
    </w:p>
    <w:p>
      <w:pPr>
        <w:pStyle w:val="BodyText"/>
        <w:spacing w:line="357" w:lineRule="auto"/>
        <w:ind w:left="226" w:right="71"/>
      </w:pPr>
      <w:r>
        <w:rPr/>
        <w:t>Where that is the case, it may be possible to shade the subsidiary’s capital structure from equity to subordinated debt issued to the HoldCo. Where the group as a whole is not a source of strength in resolution, a subsidiary may need more equity than otherwise. What I am describing would entail some recasting of the key pillars of international supervisory co-operation: the Basel Concordat, Core Principles of Supervision, and Capital Accord.</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r>
        <w:rPr/>
        <w:pict>
          <v:shape style="position:absolute;margin-left:79.320pt;margin-top:10.181648pt;width:135.5pt;height:.1pt;mso-position-horizontal-relative:page;mso-position-vertical-relative:paragraph;z-index:-251656192;mso-wrap-distance-left:0;mso-wrap-distance-right:0" coordorigin="1586,204" coordsize="2710,0" path="m1586,204l4296,204e" filled="false" stroked="true" strokeweight=".41998pt" strokecolor="#000000">
            <v:path arrowok="t"/>
            <v:stroke dashstyle="solid"/>
            <w10:wrap type="topAndBottom"/>
          </v:shape>
        </w:pict>
      </w:r>
    </w:p>
    <w:p>
      <w:pPr>
        <w:spacing w:before="27"/>
        <w:ind w:left="226" w:right="0" w:firstLine="0"/>
        <w:jc w:val="left"/>
        <w:rPr>
          <w:sz w:val="15"/>
        </w:rPr>
      </w:pPr>
      <w:r>
        <w:rPr>
          <w:position w:val="8"/>
          <w:sz w:val="9"/>
        </w:rPr>
        <w:t>2 </w:t>
      </w:r>
      <w:r>
        <w:rPr>
          <w:sz w:val="15"/>
        </w:rPr>
        <w:t>See Financial Stability Board (2013), ‘Recovery and Resolution Planning for Systemically Important Financial Institutions: Guidance on Developing Effective Resolution Strategies’ ’ and Tucker (2013), ‘Resolution and the future of finance’.</w:t>
      </w:r>
    </w:p>
    <w:p>
      <w:pPr>
        <w:pStyle w:val="BodyText"/>
        <w:spacing w:before="1"/>
        <w:rPr>
          <w:sz w:val="18"/>
        </w:rPr>
      </w:pPr>
    </w:p>
    <w:p>
      <w:pPr>
        <w:spacing w:before="0"/>
        <w:ind w:left="226" w:right="0" w:firstLine="0"/>
        <w:jc w:val="left"/>
        <w:rPr>
          <w:sz w:val="15"/>
        </w:rPr>
      </w:pPr>
      <w:r>
        <w:rPr>
          <w:position w:val="8"/>
          <w:sz w:val="9"/>
        </w:rPr>
        <w:t>3 </w:t>
      </w:r>
      <w:r>
        <w:rPr>
          <w:sz w:val="15"/>
        </w:rPr>
        <w:t>See Tucker (2013), ‘The reform of international banking: some remaining challenges’.</w:t>
      </w:r>
    </w:p>
    <w:p>
      <w:pPr>
        <w:spacing w:after="0"/>
        <w:jc w:val="left"/>
        <w:rPr>
          <w:sz w:val="15"/>
        </w:rPr>
        <w:sectPr>
          <w:footerReference w:type="default" r:id="rId8"/>
          <w:pgSz w:w="12240" w:h="15840"/>
          <w:pgMar w:footer="1240" w:header="0" w:top="1440" w:bottom="1440" w:left="1360" w:right="1480"/>
        </w:sectPr>
      </w:pPr>
    </w:p>
    <w:p>
      <w:pPr>
        <w:pStyle w:val="ListParagraph"/>
        <w:numPr>
          <w:ilvl w:val="0"/>
          <w:numId w:val="1"/>
        </w:numPr>
        <w:tabs>
          <w:tab w:pos="719" w:val="left" w:leader="none"/>
          <w:tab w:pos="720" w:val="left" w:leader="none"/>
        </w:tabs>
        <w:spacing w:line="357" w:lineRule="auto" w:before="80" w:after="0"/>
        <w:ind w:left="760" w:right="467" w:hanging="534"/>
        <w:jc w:val="left"/>
        <w:rPr>
          <w:sz w:val="19"/>
          <w:u w:val="none"/>
        </w:rPr>
      </w:pPr>
      <w:r>
        <w:rPr>
          <w:sz w:val="19"/>
          <w:u w:val="single"/>
        </w:rPr>
        <w:t>There is no such thing as a ‘bailin bond’. Bailin is a resolution tool. All creditors can face having to absorb losses. What matters is the creditor</w:t>
      </w:r>
      <w:r>
        <w:rPr>
          <w:spacing w:val="-10"/>
          <w:sz w:val="19"/>
          <w:u w:val="single"/>
        </w:rPr>
        <w:t> </w:t>
      </w:r>
      <w:r>
        <w:rPr>
          <w:sz w:val="19"/>
          <w:u w:val="single"/>
        </w:rPr>
        <w:t>hierarchy</w:t>
      </w:r>
    </w:p>
    <w:p>
      <w:pPr>
        <w:pStyle w:val="BodyText"/>
        <w:spacing w:before="1"/>
        <w:rPr>
          <w:sz w:val="17"/>
        </w:rPr>
      </w:pPr>
    </w:p>
    <w:p>
      <w:pPr>
        <w:pStyle w:val="BodyText"/>
        <w:spacing w:line="357" w:lineRule="auto" w:before="126"/>
        <w:ind w:left="226" w:right="249" w:hanging="1"/>
        <w:jc w:val="both"/>
      </w:pPr>
      <w:r>
        <w:rPr/>
        <w:t>Notwithstanding</w:t>
      </w:r>
      <w:r>
        <w:rPr>
          <w:spacing w:val="-10"/>
        </w:rPr>
        <w:t> </w:t>
      </w:r>
      <w:r>
        <w:rPr/>
        <w:t>the</w:t>
      </w:r>
      <w:r>
        <w:rPr>
          <w:spacing w:val="-10"/>
        </w:rPr>
        <w:t> </w:t>
      </w:r>
      <w:r>
        <w:rPr/>
        <w:t>clarity</w:t>
      </w:r>
      <w:r>
        <w:rPr>
          <w:spacing w:val="-9"/>
        </w:rPr>
        <w:t> </w:t>
      </w:r>
      <w:r>
        <w:rPr/>
        <w:t>in</w:t>
      </w:r>
      <w:r>
        <w:rPr>
          <w:spacing w:val="-10"/>
        </w:rPr>
        <w:t> </w:t>
      </w:r>
      <w:r>
        <w:rPr/>
        <w:t>the</w:t>
      </w:r>
      <w:r>
        <w:rPr>
          <w:spacing w:val="-10"/>
        </w:rPr>
        <w:t> </w:t>
      </w:r>
      <w:r>
        <w:rPr/>
        <w:t>Financial</w:t>
      </w:r>
      <w:r>
        <w:rPr>
          <w:spacing w:val="-10"/>
        </w:rPr>
        <w:t> </w:t>
      </w:r>
      <w:r>
        <w:rPr/>
        <w:t>Stability</w:t>
      </w:r>
      <w:r>
        <w:rPr>
          <w:spacing w:val="-10"/>
        </w:rPr>
        <w:t> </w:t>
      </w:r>
      <w:r>
        <w:rPr/>
        <w:t>Board's</w:t>
      </w:r>
      <w:r>
        <w:rPr>
          <w:spacing w:val="-8"/>
        </w:rPr>
        <w:t> </w:t>
      </w:r>
      <w:r>
        <w:rPr/>
        <w:t>international</w:t>
      </w:r>
      <w:r>
        <w:rPr>
          <w:spacing w:val="-8"/>
        </w:rPr>
        <w:t> </w:t>
      </w:r>
      <w:r>
        <w:rPr/>
        <w:t>standard</w:t>
      </w:r>
      <w:r>
        <w:rPr>
          <w:spacing w:val="-9"/>
        </w:rPr>
        <w:t> </w:t>
      </w:r>
      <w:r>
        <w:rPr/>
        <w:t>on</w:t>
      </w:r>
      <w:r>
        <w:rPr>
          <w:spacing w:val="-10"/>
        </w:rPr>
        <w:t> </w:t>
      </w:r>
      <w:r>
        <w:rPr/>
        <w:t>resolution,</w:t>
      </w:r>
      <w:r>
        <w:rPr>
          <w:vertAlign w:val="superscript"/>
        </w:rPr>
        <w:t>4</w:t>
      </w:r>
      <w:r>
        <w:rPr>
          <w:spacing w:val="-8"/>
          <w:vertAlign w:val="baseline"/>
        </w:rPr>
        <w:t> </w:t>
      </w:r>
      <w:r>
        <w:rPr>
          <w:vertAlign w:val="baseline"/>
        </w:rPr>
        <w:t>and</w:t>
      </w:r>
      <w:r>
        <w:rPr>
          <w:spacing w:val="-9"/>
          <w:vertAlign w:val="baseline"/>
        </w:rPr>
        <w:t> </w:t>
      </w:r>
      <w:r>
        <w:rPr>
          <w:vertAlign w:val="baseline"/>
        </w:rPr>
        <w:t>in</w:t>
      </w:r>
      <w:r>
        <w:rPr>
          <w:spacing w:val="-11"/>
          <w:vertAlign w:val="baseline"/>
        </w:rPr>
        <w:t> </w:t>
      </w:r>
      <w:r>
        <w:rPr>
          <w:vertAlign w:val="baseline"/>
        </w:rPr>
        <w:t>the US</w:t>
      </w:r>
      <w:r>
        <w:rPr>
          <w:spacing w:val="-6"/>
          <w:vertAlign w:val="baseline"/>
        </w:rPr>
        <w:t> </w:t>
      </w:r>
      <w:r>
        <w:rPr>
          <w:vertAlign w:val="baseline"/>
        </w:rPr>
        <w:t>and</w:t>
      </w:r>
      <w:r>
        <w:rPr>
          <w:spacing w:val="-8"/>
          <w:vertAlign w:val="baseline"/>
        </w:rPr>
        <w:t> </w:t>
      </w:r>
      <w:r>
        <w:rPr>
          <w:vertAlign w:val="baseline"/>
        </w:rPr>
        <w:t>draft</w:t>
      </w:r>
      <w:r>
        <w:rPr>
          <w:spacing w:val="-7"/>
          <w:vertAlign w:val="baseline"/>
        </w:rPr>
        <w:t> </w:t>
      </w:r>
      <w:r>
        <w:rPr>
          <w:vertAlign w:val="baseline"/>
        </w:rPr>
        <w:t>EU</w:t>
      </w:r>
      <w:r>
        <w:rPr>
          <w:spacing w:val="-7"/>
          <w:vertAlign w:val="baseline"/>
        </w:rPr>
        <w:t> </w:t>
      </w:r>
      <w:r>
        <w:rPr>
          <w:vertAlign w:val="baseline"/>
        </w:rPr>
        <w:t>legislative</w:t>
      </w:r>
      <w:r>
        <w:rPr>
          <w:spacing w:val="-8"/>
          <w:vertAlign w:val="baseline"/>
        </w:rPr>
        <w:t> </w:t>
      </w:r>
      <w:r>
        <w:rPr>
          <w:vertAlign w:val="baseline"/>
        </w:rPr>
        <w:t>regimes,</w:t>
      </w:r>
      <w:r>
        <w:rPr>
          <w:spacing w:val="-6"/>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still</w:t>
      </w:r>
      <w:r>
        <w:rPr>
          <w:spacing w:val="-8"/>
          <w:vertAlign w:val="baseline"/>
        </w:rPr>
        <w:t> </w:t>
      </w:r>
      <w:r>
        <w:rPr>
          <w:vertAlign w:val="baseline"/>
        </w:rPr>
        <w:t>common</w:t>
      </w:r>
      <w:r>
        <w:rPr>
          <w:spacing w:val="-7"/>
          <w:vertAlign w:val="baseline"/>
        </w:rPr>
        <w:t> </w:t>
      </w:r>
      <w:r>
        <w:rPr>
          <w:vertAlign w:val="baseline"/>
        </w:rPr>
        <w:t>for</w:t>
      </w:r>
      <w:r>
        <w:rPr>
          <w:spacing w:val="-8"/>
          <w:vertAlign w:val="baseline"/>
        </w:rPr>
        <w:t> </w:t>
      </w:r>
      <w:r>
        <w:rPr>
          <w:vertAlign w:val="baseline"/>
        </w:rPr>
        <w:t>commentators</w:t>
      </w:r>
      <w:r>
        <w:rPr>
          <w:spacing w:val="-6"/>
          <w:vertAlign w:val="baseline"/>
        </w:rPr>
        <w:t> </w:t>
      </w:r>
      <w:r>
        <w:rPr>
          <w:vertAlign w:val="baseline"/>
        </w:rPr>
        <w:t>and</w:t>
      </w:r>
      <w:r>
        <w:rPr>
          <w:spacing w:val="-7"/>
          <w:vertAlign w:val="baseline"/>
        </w:rPr>
        <w:t> </w:t>
      </w:r>
      <w:r>
        <w:rPr>
          <w:vertAlign w:val="baseline"/>
        </w:rPr>
        <w:t>industry</w:t>
      </w:r>
      <w:r>
        <w:rPr>
          <w:spacing w:val="-8"/>
          <w:vertAlign w:val="baseline"/>
        </w:rPr>
        <w:t> </w:t>
      </w:r>
      <w:r>
        <w:rPr>
          <w:vertAlign w:val="baseline"/>
        </w:rPr>
        <w:t>participants</w:t>
      </w:r>
      <w:r>
        <w:rPr>
          <w:spacing w:val="-6"/>
          <w:vertAlign w:val="baseline"/>
        </w:rPr>
        <w:t> </w:t>
      </w:r>
      <w:r>
        <w:rPr>
          <w:vertAlign w:val="baseline"/>
        </w:rPr>
        <w:t>to</w:t>
      </w:r>
      <w:r>
        <w:rPr>
          <w:spacing w:val="-7"/>
          <w:vertAlign w:val="baseline"/>
        </w:rPr>
        <w:t> </w:t>
      </w:r>
      <w:r>
        <w:rPr>
          <w:vertAlign w:val="baseline"/>
        </w:rPr>
        <w:t>refer</w:t>
      </w:r>
      <w:r>
        <w:rPr>
          <w:spacing w:val="-8"/>
          <w:vertAlign w:val="baseline"/>
        </w:rPr>
        <w:t> </w:t>
      </w:r>
      <w:r>
        <w:rPr>
          <w:vertAlign w:val="baseline"/>
        </w:rPr>
        <w:t>to 'bailin</w:t>
      </w:r>
      <w:r>
        <w:rPr>
          <w:spacing w:val="-3"/>
          <w:vertAlign w:val="baseline"/>
        </w:rPr>
        <w:t> </w:t>
      </w:r>
      <w:r>
        <w:rPr>
          <w:vertAlign w:val="baseline"/>
        </w:rPr>
        <w:t>bonds’.</w:t>
      </w:r>
      <w:r>
        <w:rPr>
          <w:vertAlign w:val="superscript"/>
        </w:rPr>
        <w:t>5</w:t>
      </w:r>
    </w:p>
    <w:p>
      <w:pPr>
        <w:pStyle w:val="BodyText"/>
        <w:spacing w:before="10"/>
        <w:rPr>
          <w:sz w:val="27"/>
        </w:rPr>
      </w:pPr>
    </w:p>
    <w:p>
      <w:pPr>
        <w:pStyle w:val="BodyText"/>
        <w:spacing w:line="357" w:lineRule="auto"/>
        <w:ind w:left="226"/>
      </w:pPr>
      <w:r>
        <w:rPr/>
        <w:t>As I have said before, ‘bailin’ is a verb not a noun. It is a power, not a special kind of bond. Like other resolution tools, it can be applied to any kind of debt obligation.</w:t>
      </w:r>
    </w:p>
    <w:p>
      <w:pPr>
        <w:pStyle w:val="BodyText"/>
        <w:spacing w:before="2"/>
        <w:rPr>
          <w:sz w:val="28"/>
        </w:rPr>
      </w:pPr>
    </w:p>
    <w:p>
      <w:pPr>
        <w:pStyle w:val="BodyText"/>
        <w:spacing w:line="355" w:lineRule="auto"/>
        <w:ind w:left="226" w:right="160"/>
      </w:pPr>
      <w:r>
        <w:rPr/>
        <w:t>What is true is that if bonds are issued from a holding company and the resolution is top-down (SPE), then those bonds will absorb losses before any creditors of the operating subsidiaries; holdco creditors are structurally subordinated to opco creditors. But if the losses are vast enough, then the haircuts imposed by the resolution authority can in principle permeate to any level of the creditor stack.</w:t>
      </w:r>
    </w:p>
    <w:p>
      <w:pPr>
        <w:pStyle w:val="BodyText"/>
        <w:spacing w:before="7"/>
        <w:rPr>
          <w:sz w:val="28"/>
        </w:rPr>
      </w:pPr>
    </w:p>
    <w:p>
      <w:pPr>
        <w:pStyle w:val="BodyText"/>
        <w:spacing w:line="357" w:lineRule="auto"/>
        <w:ind w:left="226" w:right="78"/>
      </w:pPr>
      <w:r>
        <w:rPr/>
        <w:t>In the case of insured deposits, that means Deposit Guarantee Schemes (DGS) suffering losses, as they would</w:t>
      </w:r>
      <w:r>
        <w:rPr>
          <w:spacing w:val="-9"/>
        </w:rPr>
        <w:t> </w:t>
      </w:r>
      <w:r>
        <w:rPr/>
        <w:t>in</w:t>
      </w:r>
      <w:r>
        <w:rPr>
          <w:spacing w:val="-8"/>
        </w:rPr>
        <w:t> </w:t>
      </w:r>
      <w:r>
        <w:rPr/>
        <w:t>Purchase</w:t>
      </w:r>
      <w:r>
        <w:rPr>
          <w:spacing w:val="-8"/>
        </w:rPr>
        <w:t> </w:t>
      </w:r>
      <w:r>
        <w:rPr/>
        <w:t>&amp;</w:t>
      </w:r>
      <w:r>
        <w:rPr>
          <w:spacing w:val="-8"/>
        </w:rPr>
        <w:t> </w:t>
      </w:r>
      <w:r>
        <w:rPr/>
        <w:t>Assumption-style</w:t>
      </w:r>
      <w:r>
        <w:rPr>
          <w:spacing w:val="-9"/>
        </w:rPr>
        <w:t> </w:t>
      </w:r>
      <w:r>
        <w:rPr/>
        <w:t>resolutions</w:t>
      </w:r>
      <w:r>
        <w:rPr>
          <w:spacing w:val="-7"/>
        </w:rPr>
        <w:t> </w:t>
      </w:r>
      <w:r>
        <w:rPr/>
        <w:t>of</w:t>
      </w:r>
      <w:r>
        <w:rPr>
          <w:spacing w:val="-8"/>
        </w:rPr>
        <w:t> </w:t>
      </w:r>
      <w:r>
        <w:rPr/>
        <w:t>an</w:t>
      </w:r>
      <w:r>
        <w:rPr>
          <w:spacing w:val="-9"/>
        </w:rPr>
        <w:t> </w:t>
      </w:r>
      <w:r>
        <w:rPr/>
        <w:t>operating</w:t>
      </w:r>
      <w:r>
        <w:rPr>
          <w:spacing w:val="-8"/>
        </w:rPr>
        <w:t> </w:t>
      </w:r>
      <w:r>
        <w:rPr/>
        <w:t>bank.</w:t>
      </w:r>
      <w:r>
        <w:rPr>
          <w:spacing w:val="-7"/>
        </w:rPr>
        <w:t> </w:t>
      </w:r>
      <w:r>
        <w:rPr/>
        <w:t>But,</w:t>
      </w:r>
      <w:r>
        <w:rPr>
          <w:spacing w:val="-7"/>
        </w:rPr>
        <w:t> </w:t>
      </w:r>
      <w:r>
        <w:rPr/>
        <w:t>due</w:t>
      </w:r>
      <w:r>
        <w:rPr>
          <w:spacing w:val="-9"/>
        </w:rPr>
        <w:t> </w:t>
      </w:r>
      <w:r>
        <w:rPr/>
        <w:t>to</w:t>
      </w:r>
      <w:r>
        <w:rPr>
          <w:spacing w:val="-9"/>
        </w:rPr>
        <w:t> </w:t>
      </w:r>
      <w:r>
        <w:rPr/>
        <w:t>less</w:t>
      </w:r>
      <w:r>
        <w:rPr>
          <w:spacing w:val="-8"/>
        </w:rPr>
        <w:t> </w:t>
      </w:r>
      <w:r>
        <w:rPr/>
        <w:t>destruction</w:t>
      </w:r>
      <w:r>
        <w:rPr>
          <w:spacing w:val="-8"/>
        </w:rPr>
        <w:t> </w:t>
      </w:r>
      <w:r>
        <w:rPr/>
        <w:t>of</w:t>
      </w:r>
      <w:r>
        <w:rPr>
          <w:spacing w:val="-8"/>
        </w:rPr>
        <w:t> </w:t>
      </w:r>
      <w:r>
        <w:rPr/>
        <w:t>value, those</w:t>
      </w:r>
      <w:r>
        <w:rPr>
          <w:spacing w:val="-8"/>
        </w:rPr>
        <w:t> </w:t>
      </w:r>
      <w:r>
        <w:rPr/>
        <w:t>losses</w:t>
      </w:r>
      <w:r>
        <w:rPr>
          <w:spacing w:val="-6"/>
        </w:rPr>
        <w:t> </w:t>
      </w:r>
      <w:r>
        <w:rPr/>
        <w:t>under</w:t>
      </w:r>
      <w:r>
        <w:rPr>
          <w:spacing w:val="-7"/>
        </w:rPr>
        <w:t> </w:t>
      </w:r>
      <w:r>
        <w:rPr/>
        <w:t>bailin</w:t>
      </w:r>
      <w:r>
        <w:rPr>
          <w:spacing w:val="-8"/>
        </w:rPr>
        <w:t> </w:t>
      </w:r>
      <w:r>
        <w:rPr/>
        <w:t>would</w:t>
      </w:r>
      <w:r>
        <w:rPr>
          <w:spacing w:val="-8"/>
        </w:rPr>
        <w:t> </w:t>
      </w:r>
      <w:r>
        <w:rPr/>
        <w:t>be</w:t>
      </w:r>
      <w:r>
        <w:rPr>
          <w:spacing w:val="-7"/>
        </w:rPr>
        <w:t> </w:t>
      </w:r>
      <w:r>
        <w:rPr/>
        <w:t>smaller</w:t>
      </w:r>
      <w:r>
        <w:rPr>
          <w:spacing w:val="-7"/>
        </w:rPr>
        <w:t> </w:t>
      </w:r>
      <w:r>
        <w:rPr/>
        <w:t>(and</w:t>
      </w:r>
      <w:r>
        <w:rPr>
          <w:spacing w:val="-7"/>
        </w:rPr>
        <w:t> </w:t>
      </w:r>
      <w:r>
        <w:rPr/>
        <w:t>never</w:t>
      </w:r>
      <w:r>
        <w:rPr>
          <w:spacing w:val="-8"/>
        </w:rPr>
        <w:t> </w:t>
      </w:r>
      <w:r>
        <w:rPr/>
        <w:t>greater)</w:t>
      </w:r>
      <w:r>
        <w:rPr>
          <w:spacing w:val="-7"/>
        </w:rPr>
        <w:t> </w:t>
      </w:r>
      <w:r>
        <w:rPr/>
        <w:t>than</w:t>
      </w:r>
      <w:r>
        <w:rPr>
          <w:spacing w:val="-7"/>
        </w:rPr>
        <w:t> </w:t>
      </w:r>
      <w:r>
        <w:rPr/>
        <w:t>the</w:t>
      </w:r>
      <w:r>
        <w:rPr>
          <w:spacing w:val="-7"/>
        </w:rPr>
        <w:t> </w:t>
      </w:r>
      <w:r>
        <w:rPr/>
        <w:t>losses</w:t>
      </w:r>
      <w:r>
        <w:rPr>
          <w:spacing w:val="-7"/>
        </w:rPr>
        <w:t> </w:t>
      </w:r>
      <w:r>
        <w:rPr/>
        <w:t>the</w:t>
      </w:r>
      <w:r>
        <w:rPr>
          <w:spacing w:val="-8"/>
        </w:rPr>
        <w:t> </w:t>
      </w:r>
      <w:r>
        <w:rPr/>
        <w:t>DGS</w:t>
      </w:r>
      <w:r>
        <w:rPr>
          <w:spacing w:val="-6"/>
        </w:rPr>
        <w:t> </w:t>
      </w:r>
      <w:r>
        <w:rPr/>
        <w:t>would</w:t>
      </w:r>
      <w:r>
        <w:rPr>
          <w:spacing w:val="-7"/>
        </w:rPr>
        <w:t> </w:t>
      </w:r>
      <w:r>
        <w:rPr/>
        <w:t>have</w:t>
      </w:r>
      <w:r>
        <w:rPr>
          <w:spacing w:val="-8"/>
        </w:rPr>
        <w:t> </w:t>
      </w:r>
      <w:r>
        <w:rPr/>
        <w:t>suffered in a liquidation. Insured deposits themselves do not get haircut under any resolution techniques; the losses of the DGS get picked up by the rest of the industry standing behind it. Bailin is no different from other resolution tools in that</w:t>
      </w:r>
      <w:r>
        <w:rPr>
          <w:spacing w:val="-4"/>
        </w:rPr>
        <w:t> </w:t>
      </w:r>
      <w:r>
        <w:rPr/>
        <w:t>respect.</w:t>
      </w:r>
    </w:p>
    <w:p>
      <w:pPr>
        <w:pStyle w:val="BodyText"/>
        <w:spacing w:before="9"/>
        <w:rPr>
          <w:sz w:val="27"/>
        </w:rPr>
      </w:pPr>
    </w:p>
    <w:p>
      <w:pPr>
        <w:pStyle w:val="BodyText"/>
        <w:spacing w:line="355" w:lineRule="auto"/>
        <w:ind w:left="226"/>
      </w:pPr>
      <w:r>
        <w:rPr/>
        <w:t>The</w:t>
      </w:r>
      <w:r>
        <w:rPr>
          <w:spacing w:val="-9"/>
        </w:rPr>
        <w:t> </w:t>
      </w:r>
      <w:r>
        <w:rPr/>
        <w:t>point</w:t>
      </w:r>
      <w:r>
        <w:rPr>
          <w:spacing w:val="-8"/>
        </w:rPr>
        <w:t> </w:t>
      </w:r>
      <w:r>
        <w:rPr/>
        <w:t>I</w:t>
      </w:r>
      <w:r>
        <w:rPr>
          <w:spacing w:val="-5"/>
        </w:rPr>
        <w:t> </w:t>
      </w:r>
      <w:r>
        <w:rPr/>
        <w:t>have</w:t>
      </w:r>
      <w:r>
        <w:rPr>
          <w:spacing w:val="-7"/>
        </w:rPr>
        <w:t> </w:t>
      </w:r>
      <w:r>
        <w:rPr/>
        <w:t>been</w:t>
      </w:r>
      <w:r>
        <w:rPr>
          <w:spacing w:val="-8"/>
        </w:rPr>
        <w:t> </w:t>
      </w:r>
      <w:r>
        <w:rPr/>
        <w:t>labouring</w:t>
      </w:r>
      <w:r>
        <w:rPr>
          <w:spacing w:val="-7"/>
        </w:rPr>
        <w:t> </w:t>
      </w:r>
      <w:r>
        <w:rPr/>
        <w:t>about</w:t>
      </w:r>
      <w:r>
        <w:rPr>
          <w:spacing w:val="-7"/>
        </w:rPr>
        <w:t> </w:t>
      </w:r>
      <w:r>
        <w:rPr/>
        <w:t>all</w:t>
      </w:r>
      <w:r>
        <w:rPr>
          <w:spacing w:val="-6"/>
        </w:rPr>
        <w:t> </w:t>
      </w:r>
      <w:r>
        <w:rPr/>
        <w:t>creditors</w:t>
      </w:r>
      <w:r>
        <w:rPr>
          <w:spacing w:val="-6"/>
        </w:rPr>
        <w:t> </w:t>
      </w:r>
      <w:r>
        <w:rPr/>
        <w:t>being</w:t>
      </w:r>
      <w:r>
        <w:rPr>
          <w:spacing w:val="-8"/>
        </w:rPr>
        <w:t> </w:t>
      </w:r>
      <w:r>
        <w:rPr/>
        <w:t>exposed</w:t>
      </w:r>
      <w:r>
        <w:rPr>
          <w:spacing w:val="-7"/>
        </w:rPr>
        <w:t> </w:t>
      </w:r>
      <w:r>
        <w:rPr/>
        <w:t>to</w:t>
      </w:r>
      <w:r>
        <w:rPr>
          <w:spacing w:val="-8"/>
        </w:rPr>
        <w:t> </w:t>
      </w:r>
      <w:r>
        <w:rPr/>
        <w:t>loss</w:t>
      </w:r>
      <w:r>
        <w:rPr>
          <w:spacing w:val="-7"/>
        </w:rPr>
        <w:t> </w:t>
      </w:r>
      <w:r>
        <w:rPr/>
        <w:t>needs</w:t>
      </w:r>
      <w:r>
        <w:rPr>
          <w:spacing w:val="-6"/>
        </w:rPr>
        <w:t> </w:t>
      </w:r>
      <w:r>
        <w:rPr/>
        <w:t>to</w:t>
      </w:r>
      <w:r>
        <w:rPr>
          <w:spacing w:val="-8"/>
        </w:rPr>
        <w:t> </w:t>
      </w:r>
      <w:r>
        <w:rPr/>
        <w:t>be</w:t>
      </w:r>
      <w:r>
        <w:rPr>
          <w:spacing w:val="-7"/>
        </w:rPr>
        <w:t> </w:t>
      </w:r>
      <w:r>
        <w:rPr/>
        <w:t>distinguished</w:t>
      </w:r>
      <w:r>
        <w:rPr>
          <w:spacing w:val="-8"/>
        </w:rPr>
        <w:t> </w:t>
      </w:r>
      <w:r>
        <w:rPr/>
        <w:t>from</w:t>
      </w:r>
      <w:r>
        <w:rPr>
          <w:spacing w:val="-7"/>
        </w:rPr>
        <w:t> </w:t>
      </w:r>
      <w:r>
        <w:rPr/>
        <w:t>the quite separate issue of whether the authorities should mandate a specified amount of bonded debt to act as required layer of gone-concern loss-absorbing capacity (GCLAC). That may be issued from a holding company,</w:t>
      </w:r>
      <w:r>
        <w:rPr>
          <w:spacing w:val="-8"/>
        </w:rPr>
        <w:t> </w:t>
      </w:r>
      <w:r>
        <w:rPr/>
        <w:t>or</w:t>
      </w:r>
      <w:r>
        <w:rPr>
          <w:spacing w:val="-8"/>
        </w:rPr>
        <w:t> </w:t>
      </w:r>
      <w:r>
        <w:rPr/>
        <w:t>it</w:t>
      </w:r>
      <w:r>
        <w:rPr>
          <w:spacing w:val="-10"/>
        </w:rPr>
        <w:t> </w:t>
      </w:r>
      <w:r>
        <w:rPr/>
        <w:t>might</w:t>
      </w:r>
      <w:r>
        <w:rPr>
          <w:spacing w:val="-7"/>
        </w:rPr>
        <w:t> </w:t>
      </w:r>
      <w:r>
        <w:rPr/>
        <w:t>be</w:t>
      </w:r>
      <w:r>
        <w:rPr>
          <w:spacing w:val="-9"/>
        </w:rPr>
        <w:t> </w:t>
      </w:r>
      <w:r>
        <w:rPr/>
        <w:t>subordinated</w:t>
      </w:r>
      <w:r>
        <w:rPr>
          <w:spacing w:val="-8"/>
        </w:rPr>
        <w:t> </w:t>
      </w:r>
      <w:r>
        <w:rPr/>
        <w:t>debt</w:t>
      </w:r>
      <w:r>
        <w:rPr>
          <w:spacing w:val="-9"/>
        </w:rPr>
        <w:t> </w:t>
      </w:r>
      <w:r>
        <w:rPr/>
        <w:t>issued</w:t>
      </w:r>
      <w:r>
        <w:rPr>
          <w:spacing w:val="-9"/>
        </w:rPr>
        <w:t> </w:t>
      </w:r>
      <w:r>
        <w:rPr/>
        <w:t>by</w:t>
      </w:r>
      <w:r>
        <w:rPr>
          <w:spacing w:val="-7"/>
        </w:rPr>
        <w:t> </w:t>
      </w:r>
      <w:r>
        <w:rPr/>
        <w:t>an</w:t>
      </w:r>
      <w:r>
        <w:rPr>
          <w:spacing w:val="-8"/>
        </w:rPr>
        <w:t> </w:t>
      </w:r>
      <w:r>
        <w:rPr/>
        <w:t>operating</w:t>
      </w:r>
      <w:r>
        <w:rPr>
          <w:spacing w:val="-9"/>
        </w:rPr>
        <w:t> </w:t>
      </w:r>
      <w:r>
        <w:rPr/>
        <w:t>company.</w:t>
      </w:r>
      <w:r>
        <w:rPr>
          <w:spacing w:val="-7"/>
        </w:rPr>
        <w:t> </w:t>
      </w:r>
      <w:r>
        <w:rPr/>
        <w:t>through</w:t>
      </w:r>
      <w:r>
        <w:rPr>
          <w:spacing w:val="-9"/>
        </w:rPr>
        <w:t> </w:t>
      </w:r>
      <w:r>
        <w:rPr/>
        <w:t>such</w:t>
      </w:r>
      <w:r>
        <w:rPr>
          <w:spacing w:val="-9"/>
        </w:rPr>
        <w:t> </w:t>
      </w:r>
      <w:r>
        <w:rPr/>
        <w:t>requirements,</w:t>
      </w:r>
      <w:r>
        <w:rPr>
          <w:spacing w:val="-9"/>
        </w:rPr>
        <w:t> </w:t>
      </w:r>
      <w:r>
        <w:rPr/>
        <w:t>the authorities would in effect be determining part of the creditor hierarchy – the order in which creditor classes take</w:t>
      </w:r>
      <w:r>
        <w:rPr>
          <w:spacing w:val="-7"/>
        </w:rPr>
        <w:t> </w:t>
      </w:r>
      <w:r>
        <w:rPr/>
        <w:t>losses</w:t>
      </w:r>
      <w:r>
        <w:rPr>
          <w:spacing w:val="-5"/>
        </w:rPr>
        <w:t> </w:t>
      </w:r>
      <w:r>
        <w:rPr/>
        <w:t>–</w:t>
      </w:r>
      <w:r>
        <w:rPr>
          <w:spacing w:val="-7"/>
        </w:rPr>
        <w:t> </w:t>
      </w:r>
      <w:r>
        <w:rPr/>
        <w:t>in</w:t>
      </w:r>
      <w:r>
        <w:rPr>
          <w:spacing w:val="-8"/>
        </w:rPr>
        <w:t> </w:t>
      </w:r>
      <w:r>
        <w:rPr/>
        <w:t>order</w:t>
      </w:r>
      <w:r>
        <w:rPr>
          <w:spacing w:val="-6"/>
        </w:rPr>
        <w:t> </w:t>
      </w:r>
      <w:r>
        <w:rPr/>
        <w:t>to</w:t>
      </w:r>
      <w:r>
        <w:rPr>
          <w:spacing w:val="-6"/>
        </w:rPr>
        <w:t> </w:t>
      </w:r>
      <w:r>
        <w:rPr/>
        <w:t>reduce</w:t>
      </w:r>
      <w:r>
        <w:rPr>
          <w:spacing w:val="-6"/>
        </w:rPr>
        <w:t> </w:t>
      </w:r>
      <w:r>
        <w:rPr/>
        <w:t>spillovers</w:t>
      </w:r>
      <w:r>
        <w:rPr>
          <w:spacing w:val="-5"/>
        </w:rPr>
        <w:t> </w:t>
      </w:r>
      <w:r>
        <w:rPr/>
        <w:t>into</w:t>
      </w:r>
      <w:r>
        <w:rPr>
          <w:spacing w:val="-7"/>
        </w:rPr>
        <w:t> </w:t>
      </w:r>
      <w:r>
        <w:rPr/>
        <w:t>the</w:t>
      </w:r>
      <w:r>
        <w:rPr>
          <w:spacing w:val="-5"/>
        </w:rPr>
        <w:t> </w:t>
      </w:r>
      <w:r>
        <w:rPr/>
        <w:t>wider</w:t>
      </w:r>
      <w:r>
        <w:rPr>
          <w:spacing w:val="-6"/>
        </w:rPr>
        <w:t> </w:t>
      </w:r>
      <w:r>
        <w:rPr/>
        <w:t>financial</w:t>
      </w:r>
      <w:r>
        <w:rPr>
          <w:spacing w:val="-5"/>
        </w:rPr>
        <w:t> </w:t>
      </w:r>
      <w:r>
        <w:rPr/>
        <w:t>system</w:t>
      </w:r>
      <w:r>
        <w:rPr>
          <w:spacing w:val="-6"/>
        </w:rPr>
        <w:t> </w:t>
      </w:r>
      <w:r>
        <w:rPr/>
        <w:t>when</w:t>
      </w:r>
      <w:r>
        <w:rPr>
          <w:spacing w:val="-7"/>
        </w:rPr>
        <w:t> </w:t>
      </w:r>
      <w:r>
        <w:rPr/>
        <w:t>a</w:t>
      </w:r>
      <w:r>
        <w:rPr>
          <w:spacing w:val="-6"/>
        </w:rPr>
        <w:t> </w:t>
      </w:r>
      <w:r>
        <w:rPr/>
        <w:t>distressed</w:t>
      </w:r>
      <w:r>
        <w:rPr>
          <w:spacing w:val="-7"/>
        </w:rPr>
        <w:t> </w:t>
      </w:r>
      <w:r>
        <w:rPr/>
        <w:t>financial</w:t>
      </w:r>
      <w:r>
        <w:rPr>
          <w:spacing w:val="-5"/>
        </w:rPr>
        <w:t> </w:t>
      </w:r>
      <w:r>
        <w:rPr/>
        <w:t>group</w:t>
      </w:r>
      <w:r>
        <w:rPr>
          <w:spacing w:val="-6"/>
        </w:rPr>
        <w:t> </w:t>
      </w:r>
      <w:r>
        <w:rPr/>
        <w:t>is resolved.</w:t>
      </w:r>
      <w:r>
        <w:rPr>
          <w:spacing w:val="-6"/>
        </w:rPr>
        <w:t> </w:t>
      </w:r>
      <w:r>
        <w:rPr/>
        <w:t>The</w:t>
      </w:r>
      <w:r>
        <w:rPr>
          <w:spacing w:val="-5"/>
        </w:rPr>
        <w:t> </w:t>
      </w:r>
      <w:r>
        <w:rPr/>
        <w:t>G20</w:t>
      </w:r>
      <w:r>
        <w:rPr>
          <w:spacing w:val="-6"/>
        </w:rPr>
        <w:t> </w:t>
      </w:r>
      <w:r>
        <w:rPr/>
        <w:t>Leaders'</w:t>
      </w:r>
      <w:r>
        <w:rPr>
          <w:spacing w:val="-7"/>
        </w:rPr>
        <w:t> </w:t>
      </w:r>
      <w:r>
        <w:rPr/>
        <w:t>Summit</w:t>
      </w:r>
      <w:r>
        <w:rPr>
          <w:spacing w:val="-6"/>
        </w:rPr>
        <w:t> </w:t>
      </w:r>
      <w:r>
        <w:rPr/>
        <w:t>have</w:t>
      </w:r>
      <w:r>
        <w:rPr>
          <w:spacing w:val="-6"/>
        </w:rPr>
        <w:t> </w:t>
      </w:r>
      <w:r>
        <w:rPr/>
        <w:t>asked</w:t>
      </w:r>
      <w:r>
        <w:rPr>
          <w:spacing w:val="-5"/>
        </w:rPr>
        <w:t> </w:t>
      </w:r>
      <w:r>
        <w:rPr/>
        <w:t>the</w:t>
      </w:r>
      <w:r>
        <w:rPr>
          <w:spacing w:val="-6"/>
        </w:rPr>
        <w:t> </w:t>
      </w:r>
      <w:r>
        <w:rPr/>
        <w:t>FSB</w:t>
      </w:r>
      <w:r>
        <w:rPr>
          <w:spacing w:val="-7"/>
        </w:rPr>
        <w:t> </w:t>
      </w:r>
      <w:r>
        <w:rPr/>
        <w:t>to</w:t>
      </w:r>
      <w:r>
        <w:rPr>
          <w:spacing w:val="-6"/>
        </w:rPr>
        <w:t> </w:t>
      </w:r>
      <w:r>
        <w:rPr/>
        <w:t>develop</w:t>
      </w:r>
      <w:r>
        <w:rPr>
          <w:spacing w:val="-6"/>
        </w:rPr>
        <w:t> </w:t>
      </w:r>
      <w:r>
        <w:rPr/>
        <w:t>such</w:t>
      </w:r>
      <w:r>
        <w:rPr>
          <w:spacing w:val="-7"/>
        </w:rPr>
        <w:t> </w:t>
      </w:r>
      <w:r>
        <w:rPr/>
        <w:t>a</w:t>
      </w:r>
      <w:r>
        <w:rPr>
          <w:spacing w:val="-6"/>
        </w:rPr>
        <w:t> </w:t>
      </w:r>
      <w:r>
        <w:rPr/>
        <w:t>regime</w:t>
      </w:r>
      <w:r>
        <w:rPr>
          <w:spacing w:val="-7"/>
        </w:rPr>
        <w:t> </w:t>
      </w:r>
      <w:r>
        <w:rPr/>
        <w:t>over</w:t>
      </w:r>
      <w:r>
        <w:rPr>
          <w:spacing w:val="-7"/>
        </w:rPr>
        <w:t> </w:t>
      </w:r>
      <w:r>
        <w:rPr/>
        <w:t>the</w:t>
      </w:r>
      <w:r>
        <w:rPr>
          <w:spacing w:val="-6"/>
        </w:rPr>
        <w:t> </w:t>
      </w:r>
      <w:r>
        <w:rPr/>
        <w:t>coming</w:t>
      </w:r>
      <w:r>
        <w:rPr>
          <w:spacing w:val="-7"/>
        </w:rPr>
        <w:t> </w:t>
      </w:r>
      <w:r>
        <w:rPr/>
        <w:t>year.</w:t>
      </w:r>
    </w:p>
    <w:p>
      <w:pPr>
        <w:pStyle w:val="BodyText"/>
        <w:spacing w:before="10"/>
        <w:rPr>
          <w:sz w:val="28"/>
        </w:rPr>
      </w:pPr>
    </w:p>
    <w:p>
      <w:pPr>
        <w:pStyle w:val="ListParagraph"/>
        <w:numPr>
          <w:ilvl w:val="0"/>
          <w:numId w:val="1"/>
        </w:numPr>
        <w:tabs>
          <w:tab w:pos="717" w:val="left" w:leader="none"/>
          <w:tab w:pos="718" w:val="left" w:leader="none"/>
        </w:tabs>
        <w:spacing w:line="240" w:lineRule="auto" w:before="0" w:after="0"/>
        <w:ind w:left="717" w:right="0" w:hanging="492"/>
        <w:jc w:val="left"/>
        <w:rPr>
          <w:sz w:val="19"/>
          <w:u w:val="none"/>
        </w:rPr>
      </w:pPr>
      <w:r>
        <w:rPr>
          <w:sz w:val="19"/>
          <w:u w:val="single"/>
        </w:rPr>
        <w:t>Some impediments to smooth cross-border resolution need to be</w:t>
      </w:r>
      <w:r>
        <w:rPr>
          <w:spacing w:val="-25"/>
          <w:sz w:val="19"/>
          <w:u w:val="single"/>
        </w:rPr>
        <w:t> </w:t>
      </w:r>
      <w:r>
        <w:rPr>
          <w:sz w:val="19"/>
          <w:u w:val="single"/>
        </w:rPr>
        <w:t>removed</w:t>
      </w:r>
    </w:p>
    <w:p>
      <w:pPr>
        <w:pStyle w:val="BodyText"/>
        <w:spacing w:before="5"/>
        <w:rPr>
          <w:sz w:val="29"/>
        </w:rPr>
      </w:pPr>
    </w:p>
    <w:p>
      <w:pPr>
        <w:pStyle w:val="BodyText"/>
        <w:spacing w:line="357" w:lineRule="auto" w:before="92"/>
        <w:ind w:left="226"/>
      </w:pPr>
      <w:r>
        <w:rPr/>
        <w:t>I said earlier that the resolution process will become smoother over time. A range of impediments have been identified.</w:t>
      </w:r>
      <w:r>
        <w:rPr>
          <w:vertAlign w:val="superscript"/>
        </w:rPr>
        <w:t>6</w:t>
      </w:r>
    </w:p>
    <w:p>
      <w:pPr>
        <w:pStyle w:val="BodyText"/>
        <w:rPr>
          <w:sz w:val="20"/>
        </w:rPr>
      </w:pPr>
    </w:p>
    <w:p>
      <w:pPr>
        <w:pStyle w:val="BodyText"/>
        <w:spacing w:before="1"/>
        <w:rPr>
          <w:sz w:val="24"/>
        </w:rPr>
      </w:pPr>
      <w:r>
        <w:rPr/>
        <w:pict>
          <v:shape style="position:absolute;margin-left:79.320pt;margin-top:16.068972pt;width:135.5pt;height:.1pt;mso-position-horizontal-relative:page;mso-position-vertical-relative:paragraph;z-index:-251655168;mso-wrap-distance-left:0;mso-wrap-distance-right:0" coordorigin="1586,321" coordsize="2710,0" path="m1586,321l4296,321e" filled="false" stroked="true" strokeweight=".48001pt" strokecolor="#000000">
            <v:path arrowok="t"/>
            <v:stroke dashstyle="solid"/>
            <w10:wrap type="topAndBottom"/>
          </v:shape>
        </w:pict>
      </w:r>
    </w:p>
    <w:p>
      <w:pPr>
        <w:spacing w:line="185" w:lineRule="exact" w:before="27"/>
        <w:ind w:left="226" w:right="0" w:firstLine="0"/>
        <w:jc w:val="left"/>
        <w:rPr>
          <w:sz w:val="15"/>
        </w:rPr>
      </w:pPr>
      <w:r>
        <w:rPr>
          <w:position w:val="8"/>
          <w:sz w:val="9"/>
        </w:rPr>
        <w:t>4 </w:t>
      </w:r>
      <w:r>
        <w:rPr>
          <w:sz w:val="15"/>
        </w:rPr>
        <w:t>See Financial Stability Board (2011), ‘Key Attributes of Effective Resolution Regimes for Financial Institutions’.</w:t>
      </w:r>
    </w:p>
    <w:p>
      <w:pPr>
        <w:spacing w:line="174" w:lineRule="exact" w:before="13"/>
        <w:ind w:left="226" w:right="160" w:firstLine="0"/>
        <w:jc w:val="left"/>
        <w:rPr>
          <w:sz w:val="15"/>
        </w:rPr>
      </w:pPr>
      <w:r>
        <w:rPr>
          <w:position w:val="8"/>
          <w:sz w:val="9"/>
        </w:rPr>
        <w:t>5 </w:t>
      </w:r>
      <w:r>
        <w:rPr>
          <w:sz w:val="15"/>
        </w:rPr>
        <w:t>Most recently in Chapter 3, ‘Changes in bank funding patterns and financial stability risks’, of the IMF’s October GFSR, which misleadingly refers throughout to ‘bail-in debt’.</w:t>
      </w:r>
    </w:p>
    <w:p>
      <w:pPr>
        <w:pStyle w:val="BodyText"/>
        <w:spacing w:before="7"/>
        <w:rPr>
          <w:sz w:val="16"/>
        </w:rPr>
      </w:pPr>
    </w:p>
    <w:p>
      <w:pPr>
        <w:spacing w:before="0"/>
        <w:ind w:left="226" w:right="0" w:firstLine="0"/>
        <w:jc w:val="left"/>
        <w:rPr>
          <w:sz w:val="15"/>
        </w:rPr>
      </w:pPr>
      <w:r>
        <w:rPr>
          <w:position w:val="8"/>
          <w:sz w:val="9"/>
        </w:rPr>
        <w:t>6 </w:t>
      </w:r>
      <w:r>
        <w:rPr>
          <w:sz w:val="15"/>
        </w:rPr>
        <w:t>See Financial Stability Board (2013), ‘Progress and Next Steps Towards Ending “Too-Big-To-Fail”’.</w:t>
      </w:r>
    </w:p>
    <w:p>
      <w:pPr>
        <w:spacing w:after="0"/>
        <w:jc w:val="left"/>
        <w:rPr>
          <w:sz w:val="15"/>
        </w:rPr>
        <w:sectPr>
          <w:footerReference w:type="default" r:id="rId9"/>
          <w:pgSz w:w="12240" w:h="15840"/>
          <w:pgMar w:footer="1240" w:header="0" w:top="1440" w:bottom="1440" w:left="1360" w:right="1480"/>
        </w:sectPr>
      </w:pPr>
    </w:p>
    <w:p>
      <w:pPr>
        <w:pStyle w:val="BodyText"/>
        <w:spacing w:line="357" w:lineRule="auto" w:before="100"/>
        <w:ind w:left="226" w:right="303" w:hanging="1"/>
      </w:pPr>
      <w:r>
        <w:rPr/>
        <w:t>Some of them require steps by policymakers. For example, I have said on behalf of the Bank of England</w:t>
      </w:r>
      <w:r>
        <w:rPr>
          <w:vertAlign w:val="superscript"/>
        </w:rPr>
        <w:t>7</w:t>
      </w:r>
      <w:r>
        <w:rPr>
          <w:vertAlign w:val="baseline"/>
        </w:rPr>
        <w:t> that in principle the Bank, as the UK’s resolution authority, would be prepared to step aside and allow UK subsidiaries of the big US financial groups to be resolved as part of a group-wide resolution led by the US authorities.</w:t>
      </w:r>
    </w:p>
    <w:p>
      <w:pPr>
        <w:pStyle w:val="BodyText"/>
        <w:spacing w:before="10"/>
        <w:rPr>
          <w:sz w:val="27"/>
        </w:rPr>
      </w:pPr>
    </w:p>
    <w:p>
      <w:pPr>
        <w:pStyle w:val="BodyText"/>
        <w:spacing w:line="357" w:lineRule="auto"/>
        <w:ind w:left="226" w:right="53"/>
      </w:pPr>
      <w:r>
        <w:rPr/>
        <w:t>To take this further, the Bank of England needs to set out the conditions that would need to be met in practice for it to deliver on its ‘in principle policy’. Second, the UK needs the US authorities to make a reciprocal ‘in principle statement’ about their being prepared to step back to facilitate a UK-led top-down whole-group resolution of UK groups with a presence in the US. That cannot, in my view, wait very long after the EU’s Resolution Directive is passed. And, third, similar commitments need to be made between other pairs of countries – particularly the major jurisdictions in which the headquarters of global systemically important financial institutions are domiciled. On that, I can tell you that progress in this field is not limited to the US and UK.</w:t>
      </w:r>
    </w:p>
    <w:p>
      <w:pPr>
        <w:pStyle w:val="BodyText"/>
        <w:spacing w:before="6"/>
        <w:rPr>
          <w:sz w:val="27"/>
        </w:rPr>
      </w:pPr>
    </w:p>
    <w:p>
      <w:pPr>
        <w:pStyle w:val="BodyText"/>
        <w:spacing w:line="355" w:lineRule="auto"/>
        <w:ind w:left="226"/>
      </w:pPr>
      <w:r>
        <w:rPr/>
        <w:t>Separately, some technical impediments need to be removed. Perhaps most obviously for this audience, the standard market agreements for derivatives and repos need to be amended so that putting a firm into resolution or the exercise of a resolution power is not an event of default. If necessary, there will have to be regulatory changes to induce or require this. That too is on the FSB's agenda for the next year.</w:t>
      </w:r>
    </w:p>
    <w:p>
      <w:pPr>
        <w:pStyle w:val="BodyText"/>
        <w:spacing w:before="7"/>
        <w:rPr>
          <w:sz w:val="28"/>
        </w:rPr>
      </w:pPr>
    </w:p>
    <w:p>
      <w:pPr>
        <w:pStyle w:val="ListParagraph"/>
        <w:numPr>
          <w:ilvl w:val="0"/>
          <w:numId w:val="1"/>
        </w:numPr>
        <w:tabs>
          <w:tab w:pos="760" w:val="left" w:leader="none"/>
          <w:tab w:pos="761" w:val="left" w:leader="none"/>
        </w:tabs>
        <w:spacing w:line="357" w:lineRule="auto" w:before="1" w:after="0"/>
        <w:ind w:left="760" w:right="329" w:hanging="534"/>
        <w:jc w:val="left"/>
        <w:rPr>
          <w:sz w:val="19"/>
          <w:u w:val="none"/>
        </w:rPr>
      </w:pPr>
      <w:r>
        <w:rPr>
          <w:sz w:val="19"/>
          <w:u w:val="single"/>
        </w:rPr>
        <w:t>The</w:t>
      </w:r>
      <w:r>
        <w:rPr>
          <w:spacing w:val="-9"/>
          <w:sz w:val="19"/>
          <w:u w:val="single"/>
        </w:rPr>
        <w:t> </w:t>
      </w:r>
      <w:r>
        <w:rPr>
          <w:sz w:val="19"/>
          <w:u w:val="single"/>
        </w:rPr>
        <w:t>resolution</w:t>
      </w:r>
      <w:r>
        <w:rPr>
          <w:spacing w:val="-8"/>
          <w:sz w:val="19"/>
          <w:u w:val="single"/>
        </w:rPr>
        <w:t> </w:t>
      </w:r>
      <w:r>
        <w:rPr>
          <w:sz w:val="19"/>
          <w:u w:val="single"/>
        </w:rPr>
        <w:t>agenda</w:t>
      </w:r>
      <w:r>
        <w:rPr>
          <w:spacing w:val="-8"/>
          <w:sz w:val="19"/>
          <w:u w:val="single"/>
        </w:rPr>
        <w:t> </w:t>
      </w:r>
      <w:r>
        <w:rPr>
          <w:sz w:val="19"/>
          <w:u w:val="single"/>
        </w:rPr>
        <w:t>is</w:t>
      </w:r>
      <w:r>
        <w:rPr>
          <w:spacing w:val="-7"/>
          <w:sz w:val="19"/>
          <w:u w:val="single"/>
        </w:rPr>
        <w:t> </w:t>
      </w:r>
      <w:r>
        <w:rPr>
          <w:sz w:val="19"/>
          <w:u w:val="single"/>
        </w:rPr>
        <w:t>not</w:t>
      </w:r>
      <w:r>
        <w:rPr>
          <w:spacing w:val="-8"/>
          <w:sz w:val="19"/>
          <w:u w:val="single"/>
        </w:rPr>
        <w:t> </w:t>
      </w:r>
      <w:r>
        <w:rPr>
          <w:sz w:val="19"/>
          <w:u w:val="single"/>
        </w:rPr>
        <w:t>just</w:t>
      </w:r>
      <w:r>
        <w:rPr>
          <w:spacing w:val="-7"/>
          <w:sz w:val="19"/>
          <w:u w:val="single"/>
        </w:rPr>
        <w:t> </w:t>
      </w:r>
      <w:r>
        <w:rPr>
          <w:sz w:val="19"/>
          <w:u w:val="single"/>
        </w:rPr>
        <w:t>about</w:t>
      </w:r>
      <w:r>
        <w:rPr>
          <w:spacing w:val="-8"/>
          <w:sz w:val="19"/>
          <w:u w:val="single"/>
        </w:rPr>
        <w:t> </w:t>
      </w:r>
      <w:r>
        <w:rPr>
          <w:sz w:val="19"/>
          <w:u w:val="single"/>
        </w:rPr>
        <w:t>banks</w:t>
      </w:r>
      <w:r>
        <w:rPr>
          <w:spacing w:val="-6"/>
          <w:sz w:val="19"/>
          <w:u w:val="single"/>
        </w:rPr>
        <w:t> </w:t>
      </w:r>
      <w:r>
        <w:rPr>
          <w:sz w:val="19"/>
          <w:u w:val="single"/>
        </w:rPr>
        <w:t>and</w:t>
      </w:r>
      <w:r>
        <w:rPr>
          <w:spacing w:val="-9"/>
          <w:sz w:val="19"/>
          <w:u w:val="single"/>
        </w:rPr>
        <w:t> </w:t>
      </w:r>
      <w:r>
        <w:rPr>
          <w:sz w:val="19"/>
          <w:u w:val="single"/>
        </w:rPr>
        <w:t>dealers.</w:t>
      </w:r>
      <w:r>
        <w:rPr>
          <w:spacing w:val="38"/>
          <w:sz w:val="19"/>
          <w:u w:val="single"/>
        </w:rPr>
        <w:t> </w:t>
      </w:r>
      <w:r>
        <w:rPr>
          <w:sz w:val="19"/>
          <w:u w:val="single"/>
        </w:rPr>
        <w:t>It</w:t>
      </w:r>
      <w:r>
        <w:rPr>
          <w:spacing w:val="-8"/>
          <w:sz w:val="19"/>
          <w:u w:val="single"/>
        </w:rPr>
        <w:t> </w:t>
      </w:r>
      <w:r>
        <w:rPr>
          <w:sz w:val="19"/>
          <w:u w:val="single"/>
        </w:rPr>
        <w:t>is</w:t>
      </w:r>
      <w:r>
        <w:rPr>
          <w:spacing w:val="-6"/>
          <w:sz w:val="19"/>
          <w:u w:val="single"/>
        </w:rPr>
        <w:t> </w:t>
      </w:r>
      <w:r>
        <w:rPr>
          <w:sz w:val="19"/>
          <w:u w:val="single"/>
        </w:rPr>
        <w:t>about</w:t>
      </w:r>
      <w:r>
        <w:rPr>
          <w:spacing w:val="-8"/>
          <w:sz w:val="19"/>
          <w:u w:val="single"/>
        </w:rPr>
        <w:t> </w:t>
      </w:r>
      <w:r>
        <w:rPr>
          <w:sz w:val="19"/>
          <w:u w:val="single"/>
        </w:rPr>
        <w:t>central</w:t>
      </w:r>
      <w:r>
        <w:rPr>
          <w:spacing w:val="-8"/>
          <w:sz w:val="19"/>
          <w:u w:val="single"/>
        </w:rPr>
        <w:t> </w:t>
      </w:r>
      <w:r>
        <w:rPr>
          <w:sz w:val="19"/>
          <w:u w:val="single"/>
        </w:rPr>
        <w:t>counterparties</w:t>
      </w:r>
      <w:r>
        <w:rPr>
          <w:spacing w:val="-6"/>
          <w:sz w:val="19"/>
          <w:u w:val="single"/>
        </w:rPr>
        <w:t> </w:t>
      </w:r>
      <w:r>
        <w:rPr>
          <w:sz w:val="19"/>
          <w:u w:val="single"/>
        </w:rPr>
        <w:t>too,</w:t>
      </w:r>
      <w:r>
        <w:rPr>
          <w:spacing w:val="-8"/>
          <w:sz w:val="19"/>
          <w:u w:val="single"/>
        </w:rPr>
        <w:t> </w:t>
      </w:r>
      <w:r>
        <w:rPr>
          <w:sz w:val="19"/>
          <w:u w:val="single"/>
        </w:rPr>
        <w:t>for example</w:t>
      </w:r>
    </w:p>
    <w:p>
      <w:pPr>
        <w:pStyle w:val="BodyText"/>
        <w:rPr>
          <w:sz w:val="20"/>
        </w:rPr>
      </w:pPr>
    </w:p>
    <w:p>
      <w:pPr>
        <w:pStyle w:val="BodyText"/>
        <w:spacing w:line="357" w:lineRule="auto" w:before="93"/>
        <w:ind w:left="226"/>
      </w:pPr>
      <w:r>
        <w:rPr/>
        <w:t>Banks became TBTF by accident. The G20 Leaders having mandated that standardised OTC derivatives must be centrally cleared, there is a risk that central counterparties (CCPs) will come to be seen as too important to fail as a matter of policy.</w:t>
      </w:r>
    </w:p>
    <w:p>
      <w:pPr>
        <w:pStyle w:val="BodyText"/>
        <w:spacing w:before="11"/>
        <w:rPr>
          <w:sz w:val="27"/>
        </w:rPr>
      </w:pPr>
    </w:p>
    <w:p>
      <w:pPr>
        <w:pStyle w:val="BodyText"/>
        <w:spacing w:line="355" w:lineRule="auto"/>
        <w:ind w:left="226" w:right="448"/>
        <w:jc w:val="both"/>
      </w:pPr>
      <w:r>
        <w:rPr/>
        <w:t>That</w:t>
      </w:r>
      <w:r>
        <w:rPr>
          <w:spacing w:val="-9"/>
        </w:rPr>
        <w:t> </w:t>
      </w:r>
      <w:r>
        <w:rPr/>
        <w:t>makes</w:t>
      </w:r>
      <w:r>
        <w:rPr>
          <w:spacing w:val="-10"/>
        </w:rPr>
        <w:t> </w:t>
      </w:r>
      <w:r>
        <w:rPr/>
        <w:t>it</w:t>
      </w:r>
      <w:r>
        <w:rPr>
          <w:spacing w:val="-10"/>
        </w:rPr>
        <w:t> </w:t>
      </w:r>
      <w:r>
        <w:rPr/>
        <w:t>incredibly</w:t>
      </w:r>
      <w:r>
        <w:rPr>
          <w:spacing w:val="-10"/>
        </w:rPr>
        <w:t> </w:t>
      </w:r>
      <w:r>
        <w:rPr/>
        <w:t>important</w:t>
      </w:r>
      <w:r>
        <w:rPr>
          <w:spacing w:val="-10"/>
        </w:rPr>
        <w:t> </w:t>
      </w:r>
      <w:r>
        <w:rPr/>
        <w:t>that</w:t>
      </w:r>
      <w:r>
        <w:rPr>
          <w:spacing w:val="-8"/>
        </w:rPr>
        <w:t> </w:t>
      </w:r>
      <w:r>
        <w:rPr/>
        <w:t>CCPs</w:t>
      </w:r>
      <w:r>
        <w:rPr>
          <w:spacing w:val="-11"/>
        </w:rPr>
        <w:t> </w:t>
      </w:r>
      <w:r>
        <w:rPr/>
        <w:t>are</w:t>
      </w:r>
      <w:r>
        <w:rPr>
          <w:spacing w:val="-11"/>
        </w:rPr>
        <w:t> </w:t>
      </w:r>
      <w:r>
        <w:rPr/>
        <w:t>robust,</w:t>
      </w:r>
      <w:r>
        <w:rPr>
          <w:spacing w:val="-10"/>
        </w:rPr>
        <w:t> </w:t>
      </w:r>
      <w:r>
        <w:rPr/>
        <w:t>effectively</w:t>
      </w:r>
      <w:r>
        <w:rPr>
          <w:spacing w:val="-10"/>
        </w:rPr>
        <w:t> </w:t>
      </w:r>
      <w:r>
        <w:rPr/>
        <w:t>managed,</w:t>
      </w:r>
      <w:r>
        <w:rPr>
          <w:spacing w:val="-10"/>
        </w:rPr>
        <w:t> </w:t>
      </w:r>
      <w:r>
        <w:rPr/>
        <w:t>effectively</w:t>
      </w:r>
      <w:r>
        <w:rPr>
          <w:spacing w:val="-10"/>
        </w:rPr>
        <w:t> </w:t>
      </w:r>
      <w:r>
        <w:rPr/>
        <w:t>supervised,</w:t>
      </w:r>
      <w:r>
        <w:rPr>
          <w:spacing w:val="-10"/>
        </w:rPr>
        <w:t> </w:t>
      </w:r>
      <w:r>
        <w:rPr/>
        <w:t>and have first rate recovery plans. And, beyond that, they absolutely must be subject to a credible resolution regime.</w:t>
      </w:r>
    </w:p>
    <w:p>
      <w:pPr>
        <w:pStyle w:val="BodyText"/>
        <w:spacing w:before="5"/>
        <w:rPr>
          <w:sz w:val="28"/>
        </w:rPr>
      </w:pPr>
    </w:p>
    <w:p>
      <w:pPr>
        <w:pStyle w:val="BodyText"/>
        <w:spacing w:line="357" w:lineRule="auto"/>
        <w:ind w:left="226" w:right="160"/>
      </w:pPr>
      <w:r>
        <w:rPr/>
        <w:t>I worry that CCPs are ‘for profit’, or are typically part of ‘for profit’ groups. If a CCP fails and it turns out that its risk management was slack, this point is bound to come up in the public response. Policymakers should think about that now in the context of the governance structure they want for CCPs embedded in vertically integrated groups.</w:t>
      </w:r>
    </w:p>
    <w:p>
      <w:pPr>
        <w:pStyle w:val="BodyText"/>
        <w:rPr>
          <w:sz w:val="20"/>
        </w:rPr>
      </w:pPr>
    </w:p>
    <w:p>
      <w:pPr>
        <w:pStyle w:val="BodyText"/>
        <w:rPr>
          <w:sz w:val="20"/>
        </w:rPr>
      </w:pPr>
    </w:p>
    <w:p>
      <w:pPr>
        <w:pStyle w:val="BodyText"/>
        <w:rPr>
          <w:sz w:val="20"/>
        </w:rPr>
      </w:pPr>
    </w:p>
    <w:p>
      <w:pPr>
        <w:pStyle w:val="BodyText"/>
        <w:spacing w:before="9"/>
        <w:rPr>
          <w:sz w:val="17"/>
        </w:rPr>
      </w:pPr>
      <w:r>
        <w:rPr/>
        <w:pict>
          <v:shape style="position:absolute;margin-left:79.320pt;margin-top:12.447981pt;width:135.5pt;height:.1pt;mso-position-horizontal-relative:page;mso-position-vertical-relative:paragraph;z-index:-251654144;mso-wrap-distance-left:0;mso-wrap-distance-right:0" coordorigin="1586,249" coordsize="2710,0" path="m1586,249l4296,249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7 </w:t>
      </w:r>
      <w:r>
        <w:rPr>
          <w:sz w:val="15"/>
        </w:rPr>
        <w:t>For example, at the FDIC Systemic Resolution Advisory Committee Meeting on 10th December 2012. The webcast for the meeting is available online at: </w:t>
      </w:r>
      <w:hyperlink r:id="rId11">
        <w:r>
          <w:rPr>
            <w:color w:val="0000FF"/>
            <w:sz w:val="15"/>
            <w:u w:val="single" w:color="0000FF"/>
          </w:rPr>
          <w:t>http://www.fdic.gov/about/srac/2012/2012_12_10_agenda.htm</w:t>
        </w:r>
        <w:r>
          <w:rPr>
            <w:color w:val="0000FF"/>
            <w:sz w:val="15"/>
          </w:rPr>
          <w:t>l</w:t>
        </w:r>
      </w:hyperlink>
    </w:p>
    <w:p>
      <w:pPr>
        <w:spacing w:after="0"/>
        <w:jc w:val="left"/>
        <w:rPr>
          <w:sz w:val="15"/>
        </w:rPr>
        <w:sectPr>
          <w:footerReference w:type="default" r:id="rId10"/>
          <w:pgSz w:w="12240" w:h="15840"/>
          <w:pgMar w:footer="1240" w:header="0" w:top="1420" w:bottom="1440" w:left="1360" w:right="1480"/>
        </w:sectPr>
      </w:pPr>
    </w:p>
    <w:p>
      <w:pPr>
        <w:pStyle w:val="BodyText"/>
        <w:spacing w:line="357" w:lineRule="auto" w:before="100"/>
        <w:ind w:left="226" w:right="168"/>
      </w:pPr>
      <w:r>
        <w:rPr/>
        <w:t>Meanwhile,</w:t>
      </w:r>
      <w:r>
        <w:rPr>
          <w:spacing w:val="-8"/>
        </w:rPr>
        <w:t> </w:t>
      </w:r>
      <w:r>
        <w:rPr/>
        <w:t>work</w:t>
      </w:r>
      <w:r>
        <w:rPr>
          <w:spacing w:val="-9"/>
        </w:rPr>
        <w:t> </w:t>
      </w:r>
      <w:r>
        <w:rPr/>
        <w:t>is</w:t>
      </w:r>
      <w:r>
        <w:rPr>
          <w:spacing w:val="-9"/>
        </w:rPr>
        <w:t> </w:t>
      </w:r>
      <w:r>
        <w:rPr/>
        <w:t>underway</w:t>
      </w:r>
      <w:r>
        <w:rPr>
          <w:spacing w:val="-8"/>
        </w:rPr>
        <w:t> </w:t>
      </w:r>
      <w:r>
        <w:rPr/>
        <w:t>in</w:t>
      </w:r>
      <w:r>
        <w:rPr>
          <w:spacing w:val="-9"/>
        </w:rPr>
        <w:t> </w:t>
      </w:r>
      <w:r>
        <w:rPr/>
        <w:t>CPSS/</w:t>
      </w:r>
      <w:r>
        <w:rPr>
          <w:spacing w:val="-9"/>
        </w:rPr>
        <w:t> </w:t>
      </w:r>
      <w:r>
        <w:rPr/>
        <w:t>IOSCO</w:t>
      </w:r>
      <w:r>
        <w:rPr>
          <w:vertAlign w:val="superscript"/>
        </w:rPr>
        <w:t>8</w:t>
      </w:r>
      <w:r>
        <w:rPr>
          <w:spacing w:val="-7"/>
          <w:vertAlign w:val="baseline"/>
        </w:rPr>
        <w:t> </w:t>
      </w:r>
      <w:r>
        <w:rPr>
          <w:vertAlign w:val="baseline"/>
        </w:rPr>
        <w:t>on</w:t>
      </w:r>
      <w:r>
        <w:rPr>
          <w:spacing w:val="-10"/>
          <w:vertAlign w:val="baseline"/>
        </w:rPr>
        <w:t> </w:t>
      </w:r>
      <w:r>
        <w:rPr>
          <w:vertAlign w:val="baseline"/>
        </w:rPr>
        <w:t>loss-allocation</w:t>
      </w:r>
      <w:r>
        <w:rPr>
          <w:spacing w:val="-9"/>
          <w:vertAlign w:val="baseline"/>
        </w:rPr>
        <w:t> </w:t>
      </w:r>
      <w:r>
        <w:rPr>
          <w:vertAlign w:val="baseline"/>
        </w:rPr>
        <w:t>rules.</w:t>
      </w:r>
      <w:r>
        <w:rPr>
          <w:spacing w:val="-8"/>
          <w:vertAlign w:val="baseline"/>
        </w:rPr>
        <w:t> </w:t>
      </w:r>
      <w:r>
        <w:rPr>
          <w:vertAlign w:val="baseline"/>
        </w:rPr>
        <w:t>Unlike</w:t>
      </w:r>
      <w:r>
        <w:rPr>
          <w:spacing w:val="-9"/>
          <w:vertAlign w:val="baseline"/>
        </w:rPr>
        <w:t> </w:t>
      </w:r>
      <w:r>
        <w:rPr>
          <w:vertAlign w:val="baseline"/>
        </w:rPr>
        <w:t>banks,</w:t>
      </w:r>
      <w:r>
        <w:rPr>
          <w:spacing w:val="-8"/>
          <w:vertAlign w:val="baseline"/>
        </w:rPr>
        <w:t> </w:t>
      </w:r>
      <w:r>
        <w:rPr>
          <w:vertAlign w:val="baseline"/>
        </w:rPr>
        <w:t>CCPs</w:t>
      </w:r>
      <w:r>
        <w:rPr>
          <w:spacing w:val="-9"/>
          <w:vertAlign w:val="baseline"/>
        </w:rPr>
        <w:t> </w:t>
      </w:r>
      <w:r>
        <w:rPr>
          <w:vertAlign w:val="baseline"/>
        </w:rPr>
        <w:t>are</w:t>
      </w:r>
      <w:r>
        <w:rPr>
          <w:spacing w:val="-10"/>
          <w:vertAlign w:val="baseline"/>
        </w:rPr>
        <w:t> </w:t>
      </w:r>
      <w:r>
        <w:rPr>
          <w:vertAlign w:val="baseline"/>
        </w:rPr>
        <w:t>essentially rule-based</w:t>
      </w:r>
      <w:r>
        <w:rPr>
          <w:spacing w:val="-8"/>
          <w:vertAlign w:val="baseline"/>
        </w:rPr>
        <w:t> </w:t>
      </w:r>
      <w:r>
        <w:rPr>
          <w:vertAlign w:val="baseline"/>
        </w:rPr>
        <w:t>machines</w:t>
      </w:r>
      <w:r>
        <w:rPr>
          <w:spacing w:val="-8"/>
          <w:vertAlign w:val="baseline"/>
        </w:rPr>
        <w:t> </w:t>
      </w:r>
      <w:r>
        <w:rPr>
          <w:vertAlign w:val="baseline"/>
        </w:rPr>
        <w:t>for</w:t>
      </w:r>
      <w:r>
        <w:rPr>
          <w:spacing w:val="-8"/>
          <w:vertAlign w:val="baseline"/>
        </w:rPr>
        <w:t> </w:t>
      </w:r>
      <w:r>
        <w:rPr>
          <w:vertAlign w:val="baseline"/>
        </w:rPr>
        <w:t>netting</w:t>
      </w:r>
      <w:r>
        <w:rPr>
          <w:spacing w:val="-8"/>
          <w:vertAlign w:val="baseline"/>
        </w:rPr>
        <w:t> </w:t>
      </w:r>
      <w:r>
        <w:rPr>
          <w:vertAlign w:val="baseline"/>
        </w:rPr>
        <w:t>and</w:t>
      </w:r>
      <w:r>
        <w:rPr>
          <w:spacing w:val="-8"/>
          <w:vertAlign w:val="baseline"/>
        </w:rPr>
        <w:t> </w:t>
      </w:r>
      <w:r>
        <w:rPr>
          <w:vertAlign w:val="baseline"/>
        </w:rPr>
        <w:t>allocating</w:t>
      </w:r>
      <w:r>
        <w:rPr>
          <w:spacing w:val="-8"/>
          <w:vertAlign w:val="baseline"/>
        </w:rPr>
        <w:t> </w:t>
      </w:r>
      <w:r>
        <w:rPr>
          <w:vertAlign w:val="baseline"/>
        </w:rPr>
        <w:t>risks.</w:t>
      </w:r>
      <w:r>
        <w:rPr>
          <w:spacing w:val="37"/>
          <w:vertAlign w:val="baseline"/>
        </w:rPr>
        <w:t> </w:t>
      </w:r>
      <w:r>
        <w:rPr>
          <w:vertAlign w:val="baseline"/>
        </w:rPr>
        <w:t>Those</w:t>
      </w:r>
      <w:r>
        <w:rPr>
          <w:spacing w:val="-8"/>
          <w:vertAlign w:val="baseline"/>
        </w:rPr>
        <w:t> </w:t>
      </w:r>
      <w:r>
        <w:rPr>
          <w:vertAlign w:val="baseline"/>
        </w:rPr>
        <w:t>rules</w:t>
      </w:r>
      <w:r>
        <w:rPr>
          <w:spacing w:val="-9"/>
          <w:vertAlign w:val="baseline"/>
        </w:rPr>
        <w:t> </w:t>
      </w:r>
      <w:r>
        <w:rPr>
          <w:vertAlign w:val="baseline"/>
        </w:rPr>
        <w:t>need</w:t>
      </w:r>
      <w:r>
        <w:rPr>
          <w:spacing w:val="-7"/>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enriched</w:t>
      </w:r>
      <w:r>
        <w:rPr>
          <w:spacing w:val="-8"/>
          <w:vertAlign w:val="baseline"/>
        </w:rPr>
        <w:t> </w:t>
      </w:r>
      <w:r>
        <w:rPr>
          <w:vertAlign w:val="baseline"/>
        </w:rPr>
        <w:t>so</w:t>
      </w:r>
      <w:r>
        <w:rPr>
          <w:spacing w:val="-8"/>
          <w:vertAlign w:val="baseline"/>
        </w:rPr>
        <w:t> </w:t>
      </w:r>
      <w:r>
        <w:rPr>
          <w:vertAlign w:val="baseline"/>
        </w:rPr>
        <w:t>that</w:t>
      </w:r>
      <w:r>
        <w:rPr>
          <w:spacing w:val="-6"/>
          <w:vertAlign w:val="baseline"/>
        </w:rPr>
        <w:t> </w:t>
      </w:r>
      <w:r>
        <w:rPr>
          <w:vertAlign w:val="baseline"/>
        </w:rPr>
        <w:t>it</w:t>
      </w:r>
      <w:r>
        <w:rPr>
          <w:spacing w:val="-7"/>
          <w:vertAlign w:val="baseline"/>
        </w:rPr>
        <w:t> </w:t>
      </w:r>
      <w:r>
        <w:rPr>
          <w:vertAlign w:val="baseline"/>
        </w:rPr>
        <w:t>is</w:t>
      </w:r>
      <w:r>
        <w:rPr>
          <w:spacing w:val="-8"/>
          <w:vertAlign w:val="baseline"/>
        </w:rPr>
        <w:t> </w:t>
      </w:r>
      <w:r>
        <w:rPr>
          <w:vertAlign w:val="baseline"/>
        </w:rPr>
        <w:t>clear</w:t>
      </w:r>
      <w:r>
        <w:rPr>
          <w:spacing w:val="-6"/>
          <w:vertAlign w:val="baseline"/>
        </w:rPr>
        <w:t> </w:t>
      </w:r>
      <w:r>
        <w:rPr>
          <w:vertAlign w:val="baseline"/>
        </w:rPr>
        <w:t>what happens when, due to a member's default , both the initial margin and default fund are exhausted. The guidance</w:t>
      </w:r>
      <w:r>
        <w:rPr>
          <w:spacing w:val="-7"/>
          <w:vertAlign w:val="baseline"/>
        </w:rPr>
        <w:t> </w:t>
      </w:r>
      <w:r>
        <w:rPr>
          <w:vertAlign w:val="baseline"/>
        </w:rPr>
        <w:t>which</w:t>
      </w:r>
      <w:r>
        <w:rPr>
          <w:spacing w:val="-7"/>
          <w:vertAlign w:val="baseline"/>
        </w:rPr>
        <w:t> </w:t>
      </w:r>
      <w:r>
        <w:rPr>
          <w:vertAlign w:val="baseline"/>
        </w:rPr>
        <w:t>CPSS/</w:t>
      </w:r>
      <w:r>
        <w:rPr>
          <w:spacing w:val="-8"/>
          <w:vertAlign w:val="baseline"/>
        </w:rPr>
        <w:t> </w:t>
      </w:r>
      <w:r>
        <w:rPr>
          <w:vertAlign w:val="baseline"/>
        </w:rPr>
        <w:t>IOSCO</w:t>
      </w:r>
      <w:r>
        <w:rPr>
          <w:spacing w:val="-7"/>
          <w:vertAlign w:val="baseline"/>
        </w:rPr>
        <w:t> </w:t>
      </w:r>
      <w:r>
        <w:rPr>
          <w:vertAlign w:val="baseline"/>
        </w:rPr>
        <w:t>produce</w:t>
      </w:r>
      <w:r>
        <w:rPr>
          <w:spacing w:val="-6"/>
          <w:vertAlign w:val="baseline"/>
        </w:rPr>
        <w:t> </w:t>
      </w:r>
      <w:r>
        <w:rPr>
          <w:vertAlign w:val="baseline"/>
        </w:rPr>
        <w:t>following</w:t>
      </w:r>
      <w:r>
        <w:rPr>
          <w:spacing w:val="-7"/>
          <w:vertAlign w:val="baseline"/>
        </w:rPr>
        <w:t> </w:t>
      </w:r>
      <w:r>
        <w:rPr>
          <w:vertAlign w:val="baseline"/>
        </w:rPr>
        <w:t>the</w:t>
      </w:r>
      <w:r>
        <w:rPr>
          <w:spacing w:val="-6"/>
          <w:vertAlign w:val="baseline"/>
        </w:rPr>
        <w:t> </w:t>
      </w:r>
      <w:r>
        <w:rPr>
          <w:vertAlign w:val="baseline"/>
        </w:rPr>
        <w:t>current</w:t>
      </w:r>
      <w:r>
        <w:rPr>
          <w:spacing w:val="-7"/>
          <w:vertAlign w:val="baseline"/>
        </w:rPr>
        <w:t> </w:t>
      </w:r>
      <w:r>
        <w:rPr>
          <w:vertAlign w:val="baseline"/>
        </w:rPr>
        <w:t>consultation</w:t>
      </w:r>
      <w:r>
        <w:rPr>
          <w:spacing w:val="-5"/>
          <w:vertAlign w:val="baseline"/>
        </w:rPr>
        <w:t> </w:t>
      </w:r>
      <w:r>
        <w:rPr>
          <w:vertAlign w:val="baseline"/>
        </w:rPr>
        <w:t>will</w:t>
      </w:r>
      <w:r>
        <w:rPr>
          <w:spacing w:val="-6"/>
          <w:vertAlign w:val="baseline"/>
        </w:rPr>
        <w:t> </w:t>
      </w:r>
      <w:r>
        <w:rPr>
          <w:vertAlign w:val="baseline"/>
        </w:rPr>
        <w:t>need</w:t>
      </w:r>
      <w:r>
        <w:rPr>
          <w:spacing w:val="-7"/>
          <w:vertAlign w:val="baseline"/>
        </w:rPr>
        <w:t> </w:t>
      </w:r>
      <w:r>
        <w:rPr>
          <w:vertAlign w:val="baseline"/>
        </w:rPr>
        <w:t>to</w:t>
      </w:r>
      <w:r>
        <w:rPr>
          <w:spacing w:val="-6"/>
          <w:vertAlign w:val="baseline"/>
        </w:rPr>
        <w:t> </w:t>
      </w:r>
      <w:r>
        <w:rPr>
          <w:vertAlign w:val="baseline"/>
        </w:rPr>
        <w:t>be</w:t>
      </w:r>
      <w:r>
        <w:rPr>
          <w:spacing w:val="-7"/>
          <w:vertAlign w:val="baseline"/>
        </w:rPr>
        <w:t> </w:t>
      </w:r>
      <w:r>
        <w:rPr>
          <w:vertAlign w:val="baseline"/>
        </w:rPr>
        <w:t>unambiguous.</w:t>
      </w:r>
    </w:p>
    <w:p>
      <w:pPr>
        <w:pStyle w:val="BodyText"/>
        <w:spacing w:before="10"/>
        <w:rPr>
          <w:sz w:val="27"/>
        </w:rPr>
      </w:pPr>
    </w:p>
    <w:p>
      <w:pPr>
        <w:pStyle w:val="BodyText"/>
        <w:spacing w:line="355" w:lineRule="auto"/>
        <w:ind w:left="226" w:right="71"/>
      </w:pPr>
      <w:r>
        <w:rPr/>
        <w:t>That work can build a solid defence against failure. But one of the central lessons of the crisis is that we must be able to cater for the worst, when all defences are breached. The FSB has therefore been consulting on how resolution regimes can be applied to CCPs (and other financial-infrastructure providers). I hope that G20 Ministers will keep the FSB’s feet to the fire on this.</w:t>
      </w:r>
    </w:p>
    <w:p>
      <w:pPr>
        <w:pStyle w:val="BodyText"/>
        <w:spacing w:before="7"/>
        <w:rPr>
          <w:sz w:val="28"/>
        </w:rPr>
      </w:pPr>
    </w:p>
    <w:p>
      <w:pPr>
        <w:pStyle w:val="BodyText"/>
        <w:spacing w:line="357" w:lineRule="auto"/>
        <w:ind w:left="226"/>
      </w:pPr>
      <w:r>
        <w:rPr/>
        <w:t>If</w:t>
      </w:r>
      <w:r>
        <w:rPr>
          <w:spacing w:val="-9"/>
        </w:rPr>
        <w:t> </w:t>
      </w:r>
      <w:r>
        <w:rPr/>
        <w:t>CCPs</w:t>
      </w:r>
      <w:r>
        <w:rPr>
          <w:spacing w:val="-8"/>
        </w:rPr>
        <w:t> </w:t>
      </w:r>
      <w:r>
        <w:rPr/>
        <w:t>are</w:t>
      </w:r>
      <w:r>
        <w:rPr>
          <w:spacing w:val="-8"/>
        </w:rPr>
        <w:t> </w:t>
      </w:r>
      <w:r>
        <w:rPr/>
        <w:t>probably</w:t>
      </w:r>
      <w:r>
        <w:rPr>
          <w:spacing w:val="-9"/>
        </w:rPr>
        <w:t> </w:t>
      </w:r>
      <w:r>
        <w:rPr/>
        <w:t>the</w:t>
      </w:r>
      <w:r>
        <w:rPr>
          <w:spacing w:val="-8"/>
        </w:rPr>
        <w:t> </w:t>
      </w:r>
      <w:r>
        <w:rPr/>
        <w:t>most</w:t>
      </w:r>
      <w:r>
        <w:rPr>
          <w:spacing w:val="-8"/>
        </w:rPr>
        <w:t> </w:t>
      </w:r>
      <w:r>
        <w:rPr/>
        <w:t>important</w:t>
      </w:r>
      <w:r>
        <w:rPr>
          <w:spacing w:val="-8"/>
        </w:rPr>
        <w:t> </w:t>
      </w:r>
      <w:r>
        <w:rPr/>
        <w:t>example</w:t>
      </w:r>
      <w:r>
        <w:rPr>
          <w:spacing w:val="-9"/>
        </w:rPr>
        <w:t> </w:t>
      </w:r>
      <w:r>
        <w:rPr/>
        <w:t>of</w:t>
      </w:r>
      <w:r>
        <w:rPr>
          <w:spacing w:val="-6"/>
        </w:rPr>
        <w:t> </w:t>
      </w:r>
      <w:r>
        <w:rPr/>
        <w:t>where</w:t>
      </w:r>
      <w:r>
        <w:rPr>
          <w:spacing w:val="-8"/>
        </w:rPr>
        <w:t> </w:t>
      </w:r>
      <w:r>
        <w:rPr/>
        <w:t>resolution</w:t>
      </w:r>
      <w:r>
        <w:rPr>
          <w:spacing w:val="-9"/>
        </w:rPr>
        <w:t> </w:t>
      </w:r>
      <w:r>
        <w:rPr/>
        <w:t>regimes</w:t>
      </w:r>
      <w:r>
        <w:rPr>
          <w:spacing w:val="-6"/>
        </w:rPr>
        <w:t> </w:t>
      </w:r>
      <w:r>
        <w:rPr/>
        <w:t>need</w:t>
      </w:r>
      <w:r>
        <w:rPr>
          <w:spacing w:val="-8"/>
        </w:rPr>
        <w:t> </w:t>
      </w:r>
      <w:r>
        <w:rPr/>
        <w:t>to</w:t>
      </w:r>
      <w:r>
        <w:rPr>
          <w:spacing w:val="-8"/>
        </w:rPr>
        <w:t> </w:t>
      </w:r>
      <w:r>
        <w:rPr/>
        <w:t>be</w:t>
      </w:r>
      <w:r>
        <w:rPr>
          <w:spacing w:val="-8"/>
        </w:rPr>
        <w:t> </w:t>
      </w:r>
      <w:r>
        <w:rPr/>
        <w:t>extended,</w:t>
      </w:r>
      <w:r>
        <w:rPr>
          <w:spacing w:val="-8"/>
        </w:rPr>
        <w:t> </w:t>
      </w:r>
      <w:r>
        <w:rPr/>
        <w:t>they</w:t>
      </w:r>
      <w:r>
        <w:rPr>
          <w:spacing w:val="-8"/>
        </w:rPr>
        <w:t> </w:t>
      </w:r>
      <w:r>
        <w:rPr/>
        <w:t>are not</w:t>
      </w:r>
      <w:r>
        <w:rPr>
          <w:spacing w:val="-5"/>
        </w:rPr>
        <w:t> </w:t>
      </w:r>
      <w:r>
        <w:rPr/>
        <w:t>the</w:t>
      </w:r>
      <w:r>
        <w:rPr>
          <w:spacing w:val="-7"/>
        </w:rPr>
        <w:t> </w:t>
      </w:r>
      <w:r>
        <w:rPr/>
        <w:t>only</w:t>
      </w:r>
      <w:r>
        <w:rPr>
          <w:spacing w:val="-7"/>
        </w:rPr>
        <w:t> </w:t>
      </w:r>
      <w:r>
        <w:rPr/>
        <w:t>one.</w:t>
      </w:r>
      <w:r>
        <w:rPr>
          <w:spacing w:val="42"/>
        </w:rPr>
        <w:t> </w:t>
      </w:r>
      <w:r>
        <w:rPr/>
        <w:t>Insurance</w:t>
      </w:r>
      <w:r>
        <w:rPr>
          <w:spacing w:val="-7"/>
        </w:rPr>
        <w:t> </w:t>
      </w:r>
      <w:r>
        <w:rPr/>
        <w:t>is</w:t>
      </w:r>
      <w:r>
        <w:rPr>
          <w:spacing w:val="-4"/>
        </w:rPr>
        <w:t> </w:t>
      </w:r>
      <w:r>
        <w:rPr/>
        <w:t>another.</w:t>
      </w:r>
      <w:r>
        <w:rPr>
          <w:spacing w:val="-5"/>
        </w:rPr>
        <w:t> </w:t>
      </w:r>
      <w:r>
        <w:rPr/>
        <w:t>And</w:t>
      </w:r>
      <w:r>
        <w:rPr>
          <w:spacing w:val="-7"/>
        </w:rPr>
        <w:t> </w:t>
      </w:r>
      <w:r>
        <w:rPr/>
        <w:t>you</w:t>
      </w:r>
      <w:r>
        <w:rPr>
          <w:spacing w:val="-5"/>
        </w:rPr>
        <w:t> </w:t>
      </w:r>
      <w:r>
        <w:rPr/>
        <w:t>won't</w:t>
      </w:r>
      <w:r>
        <w:rPr>
          <w:spacing w:val="-7"/>
        </w:rPr>
        <w:t> </w:t>
      </w:r>
      <w:r>
        <w:rPr/>
        <w:t>be</w:t>
      </w:r>
      <w:r>
        <w:rPr>
          <w:spacing w:val="-6"/>
        </w:rPr>
        <w:t> </w:t>
      </w:r>
      <w:r>
        <w:rPr/>
        <w:t>surprised</w:t>
      </w:r>
      <w:r>
        <w:rPr>
          <w:spacing w:val="-7"/>
        </w:rPr>
        <w:t> </w:t>
      </w:r>
      <w:r>
        <w:rPr/>
        <w:t>to</w:t>
      </w:r>
      <w:r>
        <w:rPr>
          <w:spacing w:val="-8"/>
        </w:rPr>
        <w:t> </w:t>
      </w:r>
      <w:r>
        <w:rPr/>
        <w:t>hear</w:t>
      </w:r>
      <w:r>
        <w:rPr>
          <w:spacing w:val="-7"/>
        </w:rPr>
        <w:t> </w:t>
      </w:r>
      <w:r>
        <w:rPr/>
        <w:t>me</w:t>
      </w:r>
      <w:r>
        <w:rPr>
          <w:spacing w:val="-6"/>
        </w:rPr>
        <w:t> </w:t>
      </w:r>
      <w:r>
        <w:rPr/>
        <w:t>say</w:t>
      </w:r>
      <w:r>
        <w:rPr>
          <w:spacing w:val="-7"/>
        </w:rPr>
        <w:t> </w:t>
      </w:r>
      <w:r>
        <w:rPr/>
        <w:t>that,</w:t>
      </w:r>
      <w:r>
        <w:rPr>
          <w:spacing w:val="-7"/>
        </w:rPr>
        <w:t> </w:t>
      </w:r>
      <w:r>
        <w:rPr/>
        <w:t>given</w:t>
      </w:r>
      <w:r>
        <w:rPr>
          <w:spacing w:val="-6"/>
        </w:rPr>
        <w:t> </w:t>
      </w:r>
      <w:r>
        <w:rPr/>
        <w:t>the</w:t>
      </w:r>
      <w:r>
        <w:rPr>
          <w:spacing w:val="-7"/>
        </w:rPr>
        <w:t> </w:t>
      </w:r>
      <w:r>
        <w:rPr/>
        <w:t>ubiquity</w:t>
      </w:r>
      <w:r>
        <w:rPr>
          <w:spacing w:val="-7"/>
        </w:rPr>
        <w:t> </w:t>
      </w:r>
      <w:r>
        <w:rPr/>
        <w:t>of regulatory</w:t>
      </w:r>
      <w:r>
        <w:rPr>
          <w:spacing w:val="-8"/>
        </w:rPr>
        <w:t> </w:t>
      </w:r>
      <w:r>
        <w:rPr/>
        <w:t>arbitrage,</w:t>
      </w:r>
      <w:r>
        <w:rPr>
          <w:spacing w:val="-9"/>
        </w:rPr>
        <w:t> </w:t>
      </w:r>
      <w:r>
        <w:rPr/>
        <w:t>shadow</w:t>
      </w:r>
      <w:r>
        <w:rPr>
          <w:spacing w:val="-9"/>
        </w:rPr>
        <w:t> </w:t>
      </w:r>
      <w:r>
        <w:rPr/>
        <w:t>banking</w:t>
      </w:r>
      <w:r>
        <w:rPr>
          <w:spacing w:val="-9"/>
        </w:rPr>
        <w:t> </w:t>
      </w:r>
      <w:r>
        <w:rPr/>
        <w:t>and</w:t>
      </w:r>
      <w:r>
        <w:rPr>
          <w:spacing w:val="-8"/>
        </w:rPr>
        <w:t> </w:t>
      </w:r>
      <w:r>
        <w:rPr/>
        <w:t>the</w:t>
      </w:r>
      <w:r>
        <w:rPr>
          <w:spacing w:val="-9"/>
        </w:rPr>
        <w:t> </w:t>
      </w:r>
      <w:r>
        <w:rPr/>
        <w:t>world</w:t>
      </w:r>
      <w:r>
        <w:rPr>
          <w:spacing w:val="-8"/>
        </w:rPr>
        <w:t> </w:t>
      </w:r>
      <w:r>
        <w:rPr/>
        <w:t>of</w:t>
      </w:r>
      <w:r>
        <w:rPr>
          <w:spacing w:val="-9"/>
        </w:rPr>
        <w:t> </w:t>
      </w:r>
      <w:r>
        <w:rPr/>
        <w:t>funds</w:t>
      </w:r>
      <w:r>
        <w:rPr>
          <w:spacing w:val="-8"/>
        </w:rPr>
        <w:t> </w:t>
      </w:r>
      <w:r>
        <w:rPr/>
        <w:t>and</w:t>
      </w:r>
      <w:r>
        <w:rPr>
          <w:spacing w:val="-7"/>
        </w:rPr>
        <w:t> </w:t>
      </w:r>
      <w:r>
        <w:rPr/>
        <w:t>special</w:t>
      </w:r>
      <w:r>
        <w:rPr>
          <w:spacing w:val="-8"/>
        </w:rPr>
        <w:t> </w:t>
      </w:r>
      <w:r>
        <w:rPr/>
        <w:t>purpose</w:t>
      </w:r>
      <w:r>
        <w:rPr>
          <w:spacing w:val="-10"/>
        </w:rPr>
        <w:t> </w:t>
      </w:r>
      <w:r>
        <w:rPr/>
        <w:t>vehicles</w:t>
      </w:r>
      <w:r>
        <w:rPr>
          <w:spacing w:val="-8"/>
        </w:rPr>
        <w:t> </w:t>
      </w:r>
      <w:r>
        <w:rPr/>
        <w:t>could</w:t>
      </w:r>
      <w:r>
        <w:rPr>
          <w:spacing w:val="-9"/>
        </w:rPr>
        <w:t> </w:t>
      </w:r>
      <w:r>
        <w:rPr/>
        <w:t>be</w:t>
      </w:r>
      <w:r>
        <w:rPr>
          <w:spacing w:val="-8"/>
        </w:rPr>
        <w:t> </w:t>
      </w:r>
      <w:r>
        <w:rPr/>
        <w:t>another. That makes it important that resolution is not the special preserve of the G20 jurisdictions. With many asset management vehicles domiciled in offshore centres, we are going to need them to get on the resolution bandwagon</w:t>
      </w:r>
    </w:p>
    <w:p>
      <w:pPr>
        <w:pStyle w:val="BodyText"/>
        <w:spacing w:before="8"/>
        <w:rPr>
          <w:sz w:val="27"/>
        </w:rPr>
      </w:pPr>
    </w:p>
    <w:p>
      <w:pPr>
        <w:pStyle w:val="BodyText"/>
        <w:ind w:left="226"/>
      </w:pPr>
      <w:r>
        <w:rPr>
          <w:u w:val="single"/>
        </w:rPr>
        <w:t>Conclusion</w:t>
      </w:r>
    </w:p>
    <w:p>
      <w:pPr>
        <w:pStyle w:val="BodyText"/>
        <w:spacing w:before="5"/>
        <w:rPr>
          <w:sz w:val="29"/>
        </w:rPr>
      </w:pPr>
    </w:p>
    <w:p>
      <w:pPr>
        <w:pStyle w:val="BodyText"/>
        <w:spacing w:before="93"/>
        <w:ind w:left="226"/>
      </w:pPr>
      <w:r>
        <w:rPr/>
        <w:t>To conclude, let me say just this.</w:t>
      </w:r>
    </w:p>
    <w:p>
      <w:pPr>
        <w:pStyle w:val="BodyText"/>
        <w:rPr>
          <w:sz w:val="20"/>
        </w:rPr>
      </w:pPr>
    </w:p>
    <w:p>
      <w:pPr>
        <w:pStyle w:val="BodyText"/>
        <w:spacing w:before="5"/>
        <w:rPr>
          <w:sz w:val="17"/>
        </w:rPr>
      </w:pPr>
    </w:p>
    <w:p>
      <w:pPr>
        <w:pStyle w:val="BodyText"/>
        <w:spacing w:line="357" w:lineRule="auto"/>
        <w:ind w:left="226"/>
      </w:pPr>
      <w:r>
        <w:rPr/>
        <w:t>It is absolutely essential that the TBTF problem is cracked. Nothing is more important to the success of the international reform agenda. Without it, global finance would remain fragile; and to protect against that, the international financial system would balkanise as individual countries sought to protect themselves. The stakes are high.</w:t>
      </w:r>
    </w:p>
    <w:p>
      <w:pPr>
        <w:pStyle w:val="BodyText"/>
        <w:spacing w:before="11"/>
        <w:rPr>
          <w:sz w:val="27"/>
        </w:rPr>
      </w:pPr>
    </w:p>
    <w:p>
      <w:pPr>
        <w:pStyle w:val="BodyText"/>
        <w:spacing w:line="355" w:lineRule="auto"/>
        <w:ind w:left="226"/>
      </w:pPr>
      <w:r>
        <w:rPr/>
        <w:t>My final point, therefore, is that the authorities will have no excuse if they don’t solve the TBTF problem through resolution regimes and reforms. The necessary technology is clear. The necessary restructuring of firms is clear. The necessary degrees and forms of cross-border co-operation are clear. It is a matter</w:t>
      </w:r>
    </w:p>
    <w:p>
      <w:pPr>
        <w:pStyle w:val="BodyText"/>
        <w:spacing w:before="3"/>
        <w:ind w:left="226"/>
      </w:pPr>
      <w:r>
        <w:rPr/>
        <w:t>of: just do 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0"/>
        </w:rPr>
      </w:pPr>
      <w:r>
        <w:rPr/>
        <w:pict>
          <v:shape style="position:absolute;margin-left:79.320pt;margin-top:8.162529pt;width:135.5pt;height:.1pt;mso-position-horizontal-relative:page;mso-position-vertical-relative:paragraph;z-index:-251653120;mso-wrap-distance-left:0;mso-wrap-distance-right:0" coordorigin="1586,163" coordsize="2710,0" path="m1586,163l4296,163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8 </w:t>
      </w:r>
      <w:r>
        <w:rPr>
          <w:sz w:val="15"/>
        </w:rPr>
        <w:t>Committee on Payment and Settlement Systems (CPSS) and International Organization of Securities Commissions (IOSCO).</w:t>
      </w:r>
    </w:p>
    <w:sectPr>
      <w:footerReference w:type="default" r:id="rId12"/>
      <w:pgSz w:w="12240" w:h="15840"/>
      <w:pgMar w:footer="1240" w:header="0" w:top="142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5744"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193472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193369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267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3164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19306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296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857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2755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19265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2550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448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2345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439.6pt;height:12.55pt;mso-position-horizontal-relative:page;mso-position-vertical-relative:page;z-index:-2519224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2140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038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1936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4448pt;width:439.6pt;height:12.55pt;mso-position-horizontal-relative:page;mso-position-vertical-relative:page;z-index:-25191833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1731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1628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1526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680481pt;margin-top:726.184448pt;width:439.6pt;height:12.55pt;mso-position-horizontal-relative:page;mso-position-vertical-relative:page;z-index:-25191424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13216" type="#_x0000_t202" filled="false" stroked="false">
          <v:textbox inset="0,0,0,0">
            <w:txbxContent>
              <w:p>
                <w:pPr>
                  <w:pStyle w:val="BodyText"/>
                  <w:spacing w:before="12"/>
                  <w:ind w:left="20"/>
                </w:pPr>
                <w:r>
                  <w:rPr>
                    <w:w w:val="99"/>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61" w:hanging="535"/>
        <w:jc w:val="left"/>
      </w:pPr>
      <w:rPr>
        <w:rFonts w:hint="default" w:ascii="Arial" w:hAnsi="Arial" w:eastAsia="Arial" w:cs="Arial"/>
        <w:spacing w:val="-1"/>
        <w:w w:val="99"/>
        <w:sz w:val="19"/>
        <w:szCs w:val="19"/>
      </w:rPr>
    </w:lvl>
    <w:lvl w:ilvl="1">
      <w:start w:val="0"/>
      <w:numFmt w:val="bullet"/>
      <w:lvlText w:val="•"/>
      <w:lvlJc w:val="left"/>
      <w:pPr>
        <w:ind w:left="1624" w:hanging="535"/>
      </w:pPr>
      <w:rPr>
        <w:rFonts w:hint="default"/>
      </w:rPr>
    </w:lvl>
    <w:lvl w:ilvl="2">
      <w:start w:val="0"/>
      <w:numFmt w:val="bullet"/>
      <w:lvlText w:val="•"/>
      <w:lvlJc w:val="left"/>
      <w:pPr>
        <w:ind w:left="2488" w:hanging="535"/>
      </w:pPr>
      <w:rPr>
        <w:rFonts w:hint="default"/>
      </w:rPr>
    </w:lvl>
    <w:lvl w:ilvl="3">
      <w:start w:val="0"/>
      <w:numFmt w:val="bullet"/>
      <w:lvlText w:val="•"/>
      <w:lvlJc w:val="left"/>
      <w:pPr>
        <w:ind w:left="3352" w:hanging="535"/>
      </w:pPr>
      <w:rPr>
        <w:rFonts w:hint="default"/>
      </w:rPr>
    </w:lvl>
    <w:lvl w:ilvl="4">
      <w:start w:val="0"/>
      <w:numFmt w:val="bullet"/>
      <w:lvlText w:val="•"/>
      <w:lvlJc w:val="left"/>
      <w:pPr>
        <w:ind w:left="4216" w:hanging="535"/>
      </w:pPr>
      <w:rPr>
        <w:rFonts w:hint="default"/>
      </w:rPr>
    </w:lvl>
    <w:lvl w:ilvl="5">
      <w:start w:val="0"/>
      <w:numFmt w:val="bullet"/>
      <w:lvlText w:val="•"/>
      <w:lvlJc w:val="left"/>
      <w:pPr>
        <w:ind w:left="5080" w:hanging="535"/>
      </w:pPr>
      <w:rPr>
        <w:rFonts w:hint="default"/>
      </w:rPr>
    </w:lvl>
    <w:lvl w:ilvl="6">
      <w:start w:val="0"/>
      <w:numFmt w:val="bullet"/>
      <w:lvlText w:val="•"/>
      <w:lvlJc w:val="left"/>
      <w:pPr>
        <w:ind w:left="5944" w:hanging="535"/>
      </w:pPr>
      <w:rPr>
        <w:rFonts w:hint="default"/>
      </w:rPr>
    </w:lvl>
    <w:lvl w:ilvl="7">
      <w:start w:val="0"/>
      <w:numFmt w:val="bullet"/>
      <w:lvlText w:val="•"/>
      <w:lvlJc w:val="left"/>
      <w:pPr>
        <w:ind w:left="6808" w:hanging="535"/>
      </w:pPr>
      <w:rPr>
        <w:rFonts w:hint="default"/>
      </w:rPr>
    </w:lvl>
    <w:lvl w:ilvl="8">
      <w:start w:val="0"/>
      <w:numFmt w:val="bullet"/>
      <w:lvlText w:val="•"/>
      <w:lvlJc w:val="left"/>
      <w:pPr>
        <w:ind w:left="7672" w:hanging="5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ListParagraph" w:type="paragraph">
    <w:name w:val="List Paragraph"/>
    <w:basedOn w:val="Normal"/>
    <w:uiPriority w:val="1"/>
    <w:qFormat/>
    <w:pPr>
      <w:ind w:left="760" w:hanging="534"/>
    </w:pPr>
    <w:rPr>
      <w:rFonts w:ascii="Arial" w:hAnsi="Arial" w:eastAsia="Arial" w:cs="Arial"/>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www.fdic.gov/about/srac/2012/2012_12_10_agenda.html" TargetMode="External"/><Relationship Id="rId12" Type="http://schemas.openxmlformats.org/officeDocument/2006/relationships/footer" Target="footer6.xml"/><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dc:subject>
  <dc:title>Solving too big to fail: where do things stand on resolution</dc:title>
  <dcterms:created xsi:type="dcterms:W3CDTF">2020-06-02T18:26:01Z</dcterms:created>
  <dcterms:modified xsi:type="dcterms:W3CDTF">2020-06-02T18:26:01Z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2013-10-21T00:00:00Z</vt:filetime>
  </property>
  <property fmtid="{D5CDD505-2E9C-101B-9397-08002B2CF9AE}" pid="3" name="Creator">
    <vt:lpwstr>PScript5.dll Version 5.2.2</vt:lpwstr>
  </property>
  <property fmtid="{D5CDD505-2E9C-101B-9397-08002B2CF9AE}" pid="4" name="LastSaved">
    <vt:filetime>2020-06-02T00:00:00Z</vt:filetime>
  </property>
</Properties>
</file>