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Some Reflections on the MPC</w:t>
      </w:r>
    </w:p>
    <w:p>
      <w:pPr>
        <w:pStyle w:val="BodyText"/>
        <w:spacing w:before="281"/>
        <w:ind w:left="352"/>
        <w:rPr>
          <w:rFonts w:ascii="Arial"/>
        </w:rPr>
      </w:pPr>
      <w:r>
        <w:rPr>
          <w:rFonts w:ascii="Arial"/>
        </w:rPr>
        <w:t>Speech given by</w:t>
      </w:r>
    </w:p>
    <w:p>
      <w:pPr>
        <w:pStyle w:val="BodyText"/>
        <w:spacing w:line="360" w:lineRule="auto" w:before="136"/>
        <w:ind w:left="352" w:right="106"/>
        <w:rPr>
          <w:rFonts w:ascii="Arial"/>
        </w:rPr>
      </w:pPr>
      <w:r>
        <w:rPr>
          <w:rFonts w:ascii="Arial"/>
        </w:rPr>
        <w:t>Dr Sushil B Wadhwani, Member of the Monetary Policy Committee, Bank of England and Visiting Professor at the City University Business School and the London School of Economics</w:t>
      </w:r>
    </w:p>
    <w:p>
      <w:pPr>
        <w:pStyle w:val="BodyText"/>
        <w:rPr>
          <w:rFonts w:ascii="Arial"/>
          <w:sz w:val="36"/>
        </w:rPr>
      </w:pPr>
    </w:p>
    <w:p>
      <w:pPr>
        <w:pStyle w:val="BodyText"/>
        <w:spacing w:line="360" w:lineRule="auto" w:before="1"/>
        <w:ind w:left="352" w:right="1987"/>
        <w:rPr>
          <w:rFonts w:ascii="Arial"/>
        </w:rPr>
      </w:pPr>
      <w:r>
        <w:rPr>
          <w:rFonts w:ascii="Arial"/>
        </w:rPr>
        <w:t>To the National Association for Business Economics in Washington DC 21 May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6"/>
        </w:rPr>
      </w:pPr>
    </w:p>
    <w:p>
      <w:pPr>
        <w:spacing w:before="93"/>
        <w:ind w:left="352" w:right="600" w:firstLine="0"/>
        <w:jc w:val="left"/>
        <w:rPr>
          <w:rFonts w:ascii="Arial" w:hAnsi="Arial"/>
          <w:sz w:val="20"/>
        </w:rPr>
      </w:pPr>
      <w:r>
        <w:rPr>
          <w:rFonts w:ascii="Arial" w:hAnsi="Arial"/>
          <w:sz w:val="20"/>
        </w:rPr>
        <w:t>I am extremely grateful to Nick Davey and Jennifer Greenslade for their help and advice. Helpful comments on an earlier draft were received from Joanne Cutler, Sir Edward George, DeAnne Julius, Kathy McCarthy, Edward Nelson, Gus O’Donnell, Ian Plenderleith and Peter Rodgers. The speech is entirely personal and does not in any way express the views of either the Monetary Policy Committee or the Bank of England.</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20"/>
        </w:sectPr>
      </w:pPr>
    </w:p>
    <w:p>
      <w:pPr>
        <w:pStyle w:val="BodyText"/>
        <w:spacing w:before="61"/>
        <w:ind w:left="160"/>
      </w:pPr>
      <w:r>
        <w:rPr>
          <w:u w:val="single"/>
        </w:rPr>
        <w:t>SUMMARY</w:t>
      </w:r>
    </w:p>
    <w:p>
      <w:pPr>
        <w:pStyle w:val="BodyText"/>
        <w:rPr>
          <w:sz w:val="20"/>
        </w:rPr>
      </w:pPr>
    </w:p>
    <w:p>
      <w:pPr>
        <w:pStyle w:val="BodyText"/>
        <w:spacing w:before="10"/>
        <w:rPr>
          <w:sz w:val="19"/>
        </w:rPr>
      </w:pPr>
    </w:p>
    <w:p>
      <w:pPr>
        <w:pStyle w:val="ListParagraph"/>
        <w:numPr>
          <w:ilvl w:val="0"/>
          <w:numId w:val="1"/>
        </w:numPr>
        <w:tabs>
          <w:tab w:pos="520" w:val="left" w:leader="none"/>
        </w:tabs>
        <w:spacing w:line="240" w:lineRule="auto" w:before="90" w:after="0"/>
        <w:ind w:left="520" w:right="0" w:hanging="360"/>
        <w:jc w:val="left"/>
        <w:rPr>
          <w:sz w:val="24"/>
        </w:rPr>
      </w:pPr>
      <w:r>
        <w:rPr>
          <w:sz w:val="24"/>
          <w:u w:val="single"/>
        </w:rPr>
        <w:t>The New UK Monetary</w:t>
      </w:r>
      <w:r>
        <w:rPr>
          <w:spacing w:val="5"/>
          <w:sz w:val="24"/>
          <w:u w:val="single"/>
        </w:rPr>
        <w:t> </w:t>
      </w:r>
      <w:r>
        <w:rPr>
          <w:sz w:val="24"/>
          <w:u w:val="single"/>
        </w:rPr>
        <w:t>Framework</w:t>
      </w:r>
    </w:p>
    <w:p>
      <w:pPr>
        <w:pStyle w:val="BodyText"/>
        <w:rPr>
          <w:sz w:val="20"/>
        </w:rPr>
      </w:pPr>
    </w:p>
    <w:p>
      <w:pPr>
        <w:pStyle w:val="BodyText"/>
        <w:spacing w:before="11"/>
        <w:rPr>
          <w:sz w:val="19"/>
        </w:rPr>
      </w:pPr>
    </w:p>
    <w:p>
      <w:pPr>
        <w:pStyle w:val="BodyText"/>
        <w:spacing w:line="360" w:lineRule="auto" w:before="90"/>
        <w:ind w:left="160" w:right="182"/>
      </w:pPr>
      <w:r>
        <w:rPr/>
        <w:t>The new monetary policy framework in the UK has made an encouraging start as inflation expectations have fallen to around target. This does not, at first sight, appear to have come at the cost of growth, as the unemployment rate has continued to fall, and output growth has been slightly above its average rate.</w:t>
      </w:r>
    </w:p>
    <w:p>
      <w:pPr>
        <w:pStyle w:val="BodyText"/>
        <w:rPr>
          <w:sz w:val="36"/>
        </w:rPr>
      </w:pPr>
    </w:p>
    <w:p>
      <w:pPr>
        <w:pStyle w:val="ListParagraph"/>
        <w:numPr>
          <w:ilvl w:val="0"/>
          <w:numId w:val="1"/>
        </w:numPr>
        <w:tabs>
          <w:tab w:pos="520" w:val="left" w:leader="none"/>
        </w:tabs>
        <w:spacing w:line="240" w:lineRule="auto" w:before="0" w:after="0"/>
        <w:ind w:left="520" w:right="0" w:hanging="360"/>
        <w:jc w:val="left"/>
        <w:rPr>
          <w:sz w:val="24"/>
        </w:rPr>
      </w:pPr>
      <w:r>
        <w:rPr>
          <w:sz w:val="24"/>
          <w:u w:val="single"/>
        </w:rPr>
        <w:t>Are we </w:t>
      </w:r>
      <w:r>
        <w:rPr>
          <w:spacing w:val="-3"/>
          <w:sz w:val="24"/>
          <w:u w:val="single"/>
        </w:rPr>
        <w:t>Biased Towards Undershooting </w:t>
      </w:r>
      <w:r>
        <w:rPr>
          <w:sz w:val="24"/>
          <w:u w:val="single"/>
        </w:rPr>
        <w:t>the</w:t>
      </w:r>
      <w:r>
        <w:rPr>
          <w:spacing w:val="8"/>
          <w:sz w:val="24"/>
          <w:u w:val="single"/>
        </w:rPr>
        <w:t> </w:t>
      </w:r>
      <w:r>
        <w:rPr>
          <w:spacing w:val="-3"/>
          <w:sz w:val="24"/>
          <w:u w:val="single"/>
        </w:rPr>
        <w:t>Target?</w:t>
      </w:r>
    </w:p>
    <w:p>
      <w:pPr>
        <w:pStyle w:val="BodyText"/>
        <w:rPr>
          <w:sz w:val="20"/>
        </w:rPr>
      </w:pPr>
    </w:p>
    <w:p>
      <w:pPr>
        <w:pStyle w:val="BodyText"/>
        <w:spacing w:before="11"/>
        <w:rPr>
          <w:sz w:val="19"/>
        </w:rPr>
      </w:pPr>
    </w:p>
    <w:p>
      <w:pPr>
        <w:pStyle w:val="BodyText"/>
        <w:spacing w:line="360" w:lineRule="auto" w:before="89"/>
        <w:ind w:left="160" w:right="176"/>
      </w:pPr>
      <w:r>
        <w:rPr/>
        <w:t>Inflation has been below target for the last two years and is projected to remain below 2½% for </w:t>
      </w:r>
      <w:r>
        <w:rPr>
          <w:spacing w:val="-3"/>
        </w:rPr>
        <w:t>much </w:t>
      </w:r>
      <w:r>
        <w:rPr/>
        <w:t>of the </w:t>
      </w:r>
      <w:r>
        <w:rPr>
          <w:spacing w:val="-3"/>
        </w:rPr>
        <w:t>next </w:t>
      </w:r>
      <w:r>
        <w:rPr/>
        <w:t>two </w:t>
      </w:r>
      <w:r>
        <w:rPr>
          <w:spacing w:val="-3"/>
        </w:rPr>
        <w:t>years </w:t>
      </w:r>
      <w:r>
        <w:rPr/>
        <w:t>as </w:t>
      </w:r>
      <w:r>
        <w:rPr>
          <w:spacing w:val="-3"/>
        </w:rPr>
        <w:t>well.  </w:t>
      </w:r>
      <w:r>
        <w:rPr/>
        <w:t>A </w:t>
      </w:r>
      <w:r>
        <w:rPr>
          <w:spacing w:val="-3"/>
        </w:rPr>
        <w:t>critical feature </w:t>
      </w:r>
      <w:r>
        <w:rPr/>
        <w:t>of our </w:t>
      </w:r>
      <w:r>
        <w:rPr>
          <w:spacing w:val="-3"/>
        </w:rPr>
        <w:t>framework is </w:t>
      </w:r>
      <w:r>
        <w:rPr/>
        <w:t>that it specifies a symmetric target. If we were persistently to undershoot the target for well beyond the current anticipated duration, this might, at some point, come to damage our credibility. Therefore, it will remain important for us to make sure that we continue to respond to the possible changes in the structural relationships that underlie our forecasting</w:t>
      </w:r>
      <w:r>
        <w:rPr>
          <w:spacing w:val="6"/>
        </w:rPr>
        <w:t> </w:t>
      </w:r>
      <w:r>
        <w:rPr/>
        <w:t>processes.</w:t>
      </w:r>
    </w:p>
    <w:p>
      <w:pPr>
        <w:pStyle w:val="BodyText"/>
        <w:spacing w:before="4"/>
        <w:rPr>
          <w:sz w:val="36"/>
        </w:rPr>
      </w:pPr>
    </w:p>
    <w:p>
      <w:pPr>
        <w:pStyle w:val="BodyText"/>
        <w:tabs>
          <w:tab w:pos="519" w:val="left" w:leader="none"/>
        </w:tabs>
        <w:ind w:left="160"/>
      </w:pPr>
      <w:r>
        <w:rPr/>
        <w:t>3</w:t>
        <w:tab/>
      </w:r>
      <w:r>
        <w:rPr>
          <w:u w:val="single"/>
        </w:rPr>
        <w:t>Transparency and Predictability</w:t>
      </w:r>
    </w:p>
    <w:p>
      <w:pPr>
        <w:pStyle w:val="BodyText"/>
        <w:rPr>
          <w:sz w:val="20"/>
        </w:rPr>
      </w:pPr>
    </w:p>
    <w:p>
      <w:pPr>
        <w:pStyle w:val="BodyText"/>
        <w:spacing w:before="10"/>
        <w:rPr>
          <w:sz w:val="19"/>
        </w:rPr>
      </w:pPr>
    </w:p>
    <w:p>
      <w:pPr>
        <w:pStyle w:val="BodyText"/>
        <w:spacing w:line="360" w:lineRule="auto" w:before="90"/>
        <w:ind w:left="160" w:right="218"/>
      </w:pPr>
      <w:r>
        <w:rPr/>
        <w:t>It is generally acknowledged that UK monetary policy is more transparent than in many other countries. Somewhat unexpectedly, there is some evidence which suggests that our interest rate decisions have, on average, surprised the markets more than the corresponding decisions by other central banks over the last four years. This might be the price one pays for a system of </w:t>
      </w:r>
      <w:r>
        <w:rPr>
          <w:u w:val="single"/>
        </w:rPr>
        <w:t>individua</w:t>
      </w:r>
      <w:r>
        <w:rPr/>
        <w:t>l accountability, since it is less easy to ‘guide’ markets in advance of our decisions. However, it is also possible that these empirical results are distorted, because, in the early years of the MPC, the markets were trying to learn how we would react to developments in the economy.</w:t>
      </w:r>
    </w:p>
    <w:p>
      <w:pPr>
        <w:pStyle w:val="BodyText"/>
        <w:spacing w:line="357" w:lineRule="auto" w:before="4"/>
        <w:ind w:left="160" w:right="395"/>
      </w:pPr>
      <w:r>
        <w:rPr/>
        <w:t>Somewhat reassuringly, the average market surprise associated with our decisions over a more recent period is broadly in line with other major central banks. Of course, we should continue to endeavour to explain our actions better.</w:t>
      </w:r>
    </w:p>
    <w:p>
      <w:pPr>
        <w:spacing w:after="0" w:line="357" w:lineRule="auto"/>
        <w:sectPr>
          <w:footerReference w:type="default" r:id="rId7"/>
          <w:pgSz w:w="11920" w:h="16840"/>
          <w:pgMar w:footer="739" w:header="0" w:top="1360" w:bottom="920" w:left="1640" w:right="1680"/>
          <w:pgNumType w:start="1"/>
        </w:sectPr>
      </w:pPr>
    </w:p>
    <w:p>
      <w:pPr>
        <w:pStyle w:val="BodyText"/>
        <w:spacing w:before="61"/>
        <w:ind w:left="160"/>
      </w:pPr>
      <w:r>
        <w:rPr/>
        <w:t>Good afternoon.</w:t>
      </w:r>
    </w:p>
    <w:p>
      <w:pPr>
        <w:pStyle w:val="BodyText"/>
        <w:rPr>
          <w:sz w:val="26"/>
        </w:rPr>
      </w:pPr>
    </w:p>
    <w:p>
      <w:pPr>
        <w:pStyle w:val="BodyText"/>
        <w:spacing w:before="8"/>
        <w:rPr>
          <w:sz w:val="21"/>
        </w:rPr>
      </w:pPr>
    </w:p>
    <w:p>
      <w:pPr>
        <w:pStyle w:val="BodyText"/>
        <w:spacing w:line="352" w:lineRule="auto"/>
        <w:ind w:left="160" w:right="395"/>
      </w:pPr>
      <w:r>
        <w:rPr/>
        <w:t>It is a great privilege for me to have the opportunity to discuss the process of policy formulation in the UK with you today.</w:t>
      </w:r>
    </w:p>
    <w:p>
      <w:pPr>
        <w:pStyle w:val="BodyText"/>
        <w:spacing w:before="8"/>
        <w:rPr>
          <w:sz w:val="37"/>
        </w:rPr>
      </w:pPr>
    </w:p>
    <w:p>
      <w:pPr>
        <w:pStyle w:val="BodyText"/>
        <w:ind w:left="160"/>
      </w:pPr>
      <w:r>
        <w:rPr>
          <w:u w:val="single"/>
        </w:rPr>
        <w:t>THE NEW UK MONETARY FRAMEWORK</w:t>
      </w:r>
    </w:p>
    <w:p>
      <w:pPr>
        <w:pStyle w:val="BodyText"/>
        <w:rPr>
          <w:sz w:val="20"/>
        </w:rPr>
      </w:pPr>
    </w:p>
    <w:p>
      <w:pPr>
        <w:pStyle w:val="BodyText"/>
        <w:spacing w:before="11"/>
        <w:rPr>
          <w:sz w:val="19"/>
        </w:rPr>
      </w:pPr>
    </w:p>
    <w:p>
      <w:pPr>
        <w:pStyle w:val="BodyText"/>
        <w:spacing w:line="360" w:lineRule="auto" w:before="90"/>
        <w:ind w:left="160"/>
      </w:pPr>
      <w:r>
        <w:rPr/>
        <w:t>I shall start today by briefly outlining the monetary policy framework in the UK. We have just passed the fourth anniversary of the announcement that the Bank of England would be independently responsible for the operation of monetary policy. Decisions concerning interest rates are now taken each month by a nine-member</w:t>
      </w:r>
    </w:p>
    <w:p>
      <w:pPr>
        <w:pStyle w:val="BodyText"/>
        <w:spacing w:line="360" w:lineRule="auto"/>
        <w:ind w:left="160" w:right="182"/>
      </w:pPr>
      <w:r>
        <w:rPr/>
        <w:t>Monetary Policy Committee (MPC). Our responsibility, as defined in The Bank of England Act (which came into effect in 1998), is “to maintain price stability, and subject to that, to support the economic policy of Her Majesty’s Government including its objectives for growth and employment”. </w:t>
      </w:r>
      <w:r>
        <w:rPr>
          <w:vertAlign w:val="superscript"/>
        </w:rPr>
        <w:t>1</w:t>
      </w:r>
      <w:r>
        <w:rPr>
          <w:vertAlign w:val="baseline"/>
        </w:rPr>
        <w:t> The Chancellor gives an annual remit to the Bank, currently specified as a symmetric target for the annual growth rate of retail prices excluding mortgage interest payments (the RPIX index) of 2½%, and so there is a clear objective for monetary policy.</w:t>
      </w:r>
    </w:p>
    <w:p>
      <w:pPr>
        <w:pStyle w:val="BodyText"/>
        <w:spacing w:before="9"/>
        <w:rPr>
          <w:sz w:val="35"/>
        </w:rPr>
      </w:pPr>
    </w:p>
    <w:p>
      <w:pPr>
        <w:pStyle w:val="BodyText"/>
        <w:spacing w:line="360" w:lineRule="auto"/>
        <w:ind w:left="160" w:right="182"/>
      </w:pPr>
      <w:r>
        <w:rPr/>
        <w:t>The new monetary policy framework is intended to be transparent, so we publish a quarterly Inflation Report, which contains the MPC’s inflation forecast. The minutes of our monthly policy meetings are also published, now just two weeks after the decision (though the legal requirement is six weeks), and these show the individual votes. We are individually accountable to Parliament through appearances before the relevant Select Committees.</w:t>
      </w:r>
    </w:p>
    <w:p>
      <w:pPr>
        <w:pStyle w:val="BodyText"/>
        <w:spacing w:before="8"/>
        <w:rPr>
          <w:sz w:val="35"/>
        </w:rPr>
      </w:pPr>
    </w:p>
    <w:p>
      <w:pPr>
        <w:pStyle w:val="BodyText"/>
        <w:spacing w:before="1"/>
        <w:ind w:left="160"/>
      </w:pPr>
      <w:r>
        <w:rPr>
          <w:u w:val="single"/>
        </w:rPr>
        <w:t>HOW HAS THE NEW FRAMEWORK PERFORMED?</w:t>
      </w:r>
    </w:p>
    <w:p>
      <w:pPr>
        <w:pStyle w:val="BodyText"/>
        <w:rPr>
          <w:sz w:val="20"/>
        </w:rPr>
      </w:pPr>
    </w:p>
    <w:p>
      <w:pPr>
        <w:pStyle w:val="BodyText"/>
        <w:spacing w:before="6"/>
        <w:rPr>
          <w:sz w:val="16"/>
        </w:rPr>
      </w:pPr>
    </w:p>
    <w:p>
      <w:pPr>
        <w:pStyle w:val="BodyText"/>
        <w:spacing w:line="360" w:lineRule="auto" w:before="129"/>
        <w:ind w:left="160" w:right="182"/>
      </w:pPr>
      <w:r>
        <w:rPr/>
        <w:t>The new system appears to have made an encouraging start.</w:t>
      </w:r>
      <w:r>
        <w:rPr>
          <w:vertAlign w:val="superscript"/>
        </w:rPr>
        <w:t>2</w:t>
      </w:r>
      <w:r>
        <w:rPr>
          <w:vertAlign w:val="baseline"/>
        </w:rPr>
        <w:t> Inflation averaged around 7% during the 1980s, and around 4¼% over the 1990 - 1997 period. But, between May 1997 and March 2001, annual RPIX inflation has averaged 2.4%, slightly below target. Since the introduction of the new framework, inflation has also</w:t>
      </w:r>
    </w:p>
    <w:p>
      <w:pPr>
        <w:pStyle w:val="BodyText"/>
        <w:spacing w:before="10"/>
        <w:rPr>
          <w:sz w:val="12"/>
        </w:rPr>
      </w:pPr>
      <w:r>
        <w:rPr/>
        <w:pict>
          <v:shape style="position:absolute;margin-left:90pt;margin-top:9.783056pt;width:144pt;height:.1pt;mso-position-horizontal-relative:page;mso-position-vertical-relative:paragraph;z-index:-251656192;mso-wrap-distance-left:0;mso-wrap-distance-right:0" coordorigin="1800,196" coordsize="2880,0" path="m1800,196l4680,196e" filled="false" stroked="true" strokeweight=".75pt" strokecolor="#000000">
            <v:path arrowok="t"/>
            <v:stroke dashstyle="solid"/>
            <w10:wrap type="topAndBottom"/>
          </v:shape>
        </w:pict>
      </w:r>
    </w:p>
    <w:p>
      <w:pPr>
        <w:spacing w:line="246" w:lineRule="exact" w:before="14"/>
        <w:ind w:left="160" w:right="0" w:firstLine="0"/>
        <w:jc w:val="left"/>
        <w:rPr>
          <w:sz w:val="19"/>
        </w:rPr>
      </w:pPr>
      <w:r>
        <w:rPr>
          <w:w w:val="105"/>
          <w:position w:val="9"/>
          <w:sz w:val="13"/>
        </w:rPr>
        <w:t>1 </w:t>
      </w:r>
      <w:r>
        <w:rPr>
          <w:w w:val="105"/>
          <w:sz w:val="19"/>
        </w:rPr>
        <w:t>Chapter 11, Part II, Section 11.</w:t>
      </w:r>
    </w:p>
    <w:p>
      <w:pPr>
        <w:spacing w:line="246" w:lineRule="exact" w:before="0"/>
        <w:ind w:left="160" w:right="0" w:firstLine="0"/>
        <w:jc w:val="left"/>
        <w:rPr>
          <w:sz w:val="19"/>
        </w:rPr>
      </w:pPr>
      <w:r>
        <w:rPr>
          <w:w w:val="105"/>
          <w:position w:val="9"/>
          <w:sz w:val="13"/>
        </w:rPr>
        <w:t>2 </w:t>
      </w:r>
      <w:r>
        <w:rPr>
          <w:w w:val="105"/>
          <w:sz w:val="19"/>
        </w:rPr>
        <w:t>For a detailed discussion of the framework and its performance, see HMT (1999).</w:t>
      </w:r>
    </w:p>
    <w:p>
      <w:pPr>
        <w:spacing w:after="0" w:line="246" w:lineRule="exact"/>
        <w:jc w:val="left"/>
        <w:rPr>
          <w:sz w:val="19"/>
        </w:rPr>
        <w:sectPr>
          <w:pgSz w:w="11920" w:h="16840"/>
          <w:pgMar w:header="0" w:footer="739" w:top="1360" w:bottom="920" w:left="1640" w:right="1680"/>
        </w:sectPr>
      </w:pPr>
    </w:p>
    <w:p>
      <w:pPr>
        <w:pStyle w:val="BodyText"/>
        <w:spacing w:line="352" w:lineRule="auto" w:before="61"/>
        <w:ind w:left="160"/>
      </w:pPr>
      <w:r>
        <w:rPr/>
        <w:t>been remarkably stable, lying within a rather narrow range (actually just 1.8% - 3.2%) during this period (Chart 1).</w:t>
      </w:r>
    </w:p>
    <w:p>
      <w:pPr>
        <w:pStyle w:val="BodyText"/>
        <w:rPr>
          <w:sz w:val="26"/>
        </w:rPr>
      </w:pPr>
    </w:p>
    <w:p>
      <w:pPr>
        <w:pStyle w:val="BodyText"/>
        <w:rPr>
          <w:sz w:val="26"/>
        </w:rPr>
      </w:pPr>
    </w:p>
    <w:p>
      <w:pPr>
        <w:pStyle w:val="BodyText"/>
        <w:rPr>
          <w:sz w:val="26"/>
        </w:rPr>
      </w:pPr>
    </w:p>
    <w:p>
      <w:pPr>
        <w:pStyle w:val="BodyText"/>
        <w:spacing w:before="6"/>
        <w:rPr>
          <w:sz w:val="31"/>
        </w:rPr>
      </w:pPr>
    </w:p>
    <w:p>
      <w:pPr>
        <w:spacing w:before="1"/>
        <w:ind w:left="160" w:right="0" w:firstLine="0"/>
        <w:jc w:val="left"/>
        <w:rPr>
          <w:sz w:val="19"/>
        </w:rPr>
      </w:pPr>
      <w:r>
        <w:rPr>
          <w:w w:val="105"/>
          <w:sz w:val="19"/>
        </w:rPr>
        <w:t>Chart 1</w:t>
      </w:r>
    </w:p>
    <w:p>
      <w:pPr>
        <w:pStyle w:val="BodyText"/>
        <w:spacing w:before="1"/>
        <w:rPr>
          <w:sz w:val="22"/>
        </w:rPr>
      </w:pPr>
    </w:p>
    <w:p>
      <w:pPr>
        <w:spacing w:after="0"/>
        <w:rPr>
          <w:sz w:val="22"/>
        </w:rPr>
        <w:sectPr>
          <w:pgSz w:w="11920" w:h="16840"/>
          <w:pgMar w:header="0" w:footer="739" w:top="1360" w:bottom="920" w:left="1640" w:right="1680"/>
        </w:sectPr>
      </w:pPr>
    </w:p>
    <w:p>
      <w:pPr>
        <w:pStyle w:val="Heading1"/>
        <w:spacing w:before="95"/>
        <w:ind w:left="625"/>
      </w:pPr>
      <w:r>
        <w:rPr>
          <w:w w:val="105"/>
        </w:rPr>
        <w:t>RPIX</w:t>
      </w:r>
      <w:r>
        <w:rPr>
          <w:spacing w:val="-30"/>
          <w:w w:val="105"/>
        </w:rPr>
        <w:t> </w:t>
      </w:r>
      <w:r>
        <w:rPr>
          <w:w w:val="105"/>
        </w:rPr>
        <w:t>Inflation</w:t>
      </w:r>
    </w:p>
    <w:p>
      <w:pPr>
        <w:pStyle w:val="BodyText"/>
        <w:rPr>
          <w:b/>
          <w:sz w:val="18"/>
        </w:rPr>
      </w:pPr>
      <w:r>
        <w:rPr/>
        <w:br w:type="column"/>
      </w:r>
      <w:r>
        <w:rPr>
          <w:b/>
          <w:sz w:val="18"/>
        </w:rPr>
      </w:r>
    </w:p>
    <w:p>
      <w:pPr>
        <w:pStyle w:val="BodyText"/>
        <w:spacing w:before="7"/>
        <w:rPr>
          <w:b/>
          <w:sz w:val="17"/>
        </w:rPr>
      </w:pPr>
    </w:p>
    <w:p>
      <w:pPr>
        <w:spacing w:before="1"/>
        <w:ind w:left="625" w:right="0" w:firstLine="0"/>
        <w:jc w:val="left"/>
        <w:rPr>
          <w:sz w:val="16"/>
        </w:rPr>
      </w:pPr>
      <w:r>
        <w:rPr/>
        <w:pict>
          <v:group style="position:absolute;margin-left:109.125pt;margin-top:-1.338727pt;width:207.75pt;height:153.65pt;mso-position-horizontal-relative:page;mso-position-vertical-relative:paragraph;z-index:251664384" coordorigin="2183,-27" coordsize="4155,3073">
            <v:shape style="position:absolute;left:2205;top:90;width:4125;height:2955" coordorigin="2205,90" coordsize="4125,2955" path="m6285,90l6285,2985,6330,2985m6285,2265l6330,2265m6285,1545l6330,1545m6285,810l6330,810m6285,90l6330,90m2205,2985l6285,2985m2205,3045l2205,2985m3165,3045l3165,2985m4125,3045l4125,2985m5085,3045l5085,2985m6045,3045l6045,2985e" filled="false" stroked="true" strokeweight=".75pt" strokecolor="#000000">
              <v:path arrowok="t"/>
              <v:stroke dashstyle="solid"/>
            </v:shape>
            <v:line style="position:absolute" from="2205,660" to="2295,960" stroked="true" strokeweight="2.25pt" strokecolor="#000080">
              <v:stroke dashstyle="solid"/>
            </v:line>
            <v:line style="position:absolute" from="2295,960" to="2370,1245" stroked="true" strokeweight="2.25pt" strokecolor="#000080">
              <v:stroke dashstyle="solid"/>
            </v:line>
            <v:line style="position:absolute" from="2370,1245" to="2445,1545" stroked="true" strokeweight="2.25pt" strokecolor="#000080">
              <v:stroke dashstyle="solid"/>
            </v:line>
            <v:line style="position:absolute" from="2445,1545" to="2535,1545" stroked="true" strokeweight="2.25pt" strokecolor="#000080">
              <v:stroke dashstyle="solid"/>
            </v:line>
            <v:line style="position:absolute" from="2535,1545" to="2610,1245" stroked="true" strokeweight="2.25pt" strokecolor="#000080">
              <v:stroke dashstyle="solid"/>
            </v:line>
            <v:line style="position:absolute" from="2610,1245" to="2685,810" stroked="true" strokeweight="2.25pt" strokecolor="#000080">
              <v:stroke dashstyle="solid"/>
            </v:line>
            <v:shape style="position:absolute;left:2662;top:787;width:668;height:780" type="#_x0000_t75" stroked="false">
              <v:imagedata r:id="rId8" o:title=""/>
            </v:shape>
            <v:line style="position:absolute" from="3330,1395" to="3405,810" stroked="true" strokeweight="2.25pt" strokecolor="#000080">
              <v:stroke dashstyle="solid"/>
            </v:line>
            <v:line style="position:absolute" from="3405,810" to="3480,525" stroked="true" strokeweight="2.25pt" strokecolor="#000080">
              <v:stroke dashstyle="solid"/>
            </v:line>
            <v:line style="position:absolute" from="3480,525" to="3570,1095" stroked="true" strokeweight="2.25pt" strokecolor="#000080">
              <v:stroke dashstyle="solid"/>
            </v:line>
            <v:shape style="position:absolute;left:3547;top:1072;width:675;height:630" type="#_x0000_t75" stroked="false">
              <v:imagedata r:id="rId9" o:title=""/>
            </v:shape>
            <v:shape style="position:absolute;left:4200;top:1245;width:1515;height:1170" coordorigin="4200,1245" coordsize="1515,1170" path="m4200,1680l4290,1245m4290,1245l4365,1680m4365,1680l4440,2115m4440,2115l4530,1965m4530,1965l4605,1965m4605,1965l4680,2115m4680,2115l4770,2115m4770,2115l4845,1965m4845,1965l4920,1965m4920,1965l5010,1965m5010,1965l5085,2115m5085,2115l5160,1965m5160,1965l5250,2265m5250,2265l5325,2415m5325,2415l5400,2265m5400,2265l5475,1965m5475,1965l5565,1965m5565,1965l5640,2415m5640,2415l5715,1965e" filled="false" stroked="true" strokeweight="2.25pt" strokecolor="#000080">
              <v:path arrowok="t"/>
              <v:stroke dashstyle="solid"/>
            </v:shape>
            <v:shape style="position:absolute;left:5692;top:1942;width:615;height:630" type="#_x0000_t75" stroked="false">
              <v:imagedata r:id="rId10" o:title=""/>
            </v:shape>
            <v:line style="position:absolute" from="2205,1545" to="6285,1545" stroked="true" strokeweight="2.25pt" strokecolor="#ff00ff">
              <v:stroke dashstyle="solid"/>
            </v:line>
            <v:shape style="position:absolute;left:2730;top:210;width:525;height:2745" coordorigin="2730,210" coordsize="525,2745" path="m2730,2955l2730,210m3255,2535l2835,2535e" filled="false" stroked="true" strokeweight=".75pt" strokecolor="#000000">
              <v:path arrowok="t"/>
              <v:stroke dashstyle="solid"/>
            </v:shape>
            <v:shape style="position:absolute;left:2730;top:2460;width:105;height:150" coordorigin="2730,2460" coordsize="105,150" path="m2835,2460l2730,2535,2835,2610,2835,2460xe" filled="true" fillcolor="#000000" stroked="false">
              <v:path arrowok="t"/>
              <v:fill type="solid"/>
            </v:shape>
            <v:shape style="position:absolute;left:5610;top:-27;width:455;height:183" type="#_x0000_t202" filled="false" stroked="false">
              <v:textbox inset="0,0,0,0">
                <w:txbxContent>
                  <w:p>
                    <w:pPr>
                      <w:spacing w:line="182" w:lineRule="exact" w:before="0"/>
                      <w:ind w:left="0" w:right="0" w:firstLine="0"/>
                      <w:jc w:val="left"/>
                      <w:rPr>
                        <w:sz w:val="16"/>
                      </w:rPr>
                    </w:pPr>
                    <w:r>
                      <w:rPr>
                        <w:w w:val="105"/>
                        <w:sz w:val="16"/>
                      </w:rPr>
                      <w:t>% yoy</w:t>
                    </w:r>
                  </w:p>
                </w:txbxContent>
              </v:textbox>
              <w10:wrap type="none"/>
            </v:shape>
            <v:shape style="position:absolute;left:5130;top:1278;width:440;height:183" type="#_x0000_t202" filled="false" stroked="false">
              <v:textbox inset="0,0,0,0">
                <w:txbxContent>
                  <w:p>
                    <w:pPr>
                      <w:spacing w:line="182" w:lineRule="exact" w:before="0"/>
                      <w:ind w:left="0" w:right="0" w:firstLine="0"/>
                      <w:jc w:val="left"/>
                      <w:rPr>
                        <w:sz w:val="16"/>
                      </w:rPr>
                    </w:pPr>
                    <w:r>
                      <w:rPr>
                        <w:w w:val="105"/>
                        <w:sz w:val="16"/>
                      </w:rPr>
                      <w:t>Target</w:t>
                    </w:r>
                  </w:p>
                </w:txbxContent>
              </v:textbox>
              <w10:wrap type="none"/>
            </v:shape>
            <v:shape style="position:absolute;left:2737;top:1567;width:3540;height:141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1"/>
                      <w:rPr>
                        <w:sz w:val="24"/>
                      </w:rPr>
                    </w:pPr>
                  </w:p>
                  <w:p>
                    <w:pPr>
                      <w:spacing w:before="0"/>
                      <w:ind w:left="577" w:right="0" w:firstLine="0"/>
                      <w:jc w:val="left"/>
                      <w:rPr>
                        <w:sz w:val="16"/>
                      </w:rPr>
                    </w:pPr>
                    <w:r>
                      <w:rPr>
                        <w:w w:val="105"/>
                        <w:sz w:val="16"/>
                      </w:rPr>
                      <w:t>Central Bank Independence</w:t>
                    </w:r>
                  </w:p>
                </w:txbxContent>
              </v:textbox>
              <w10:wrap type="none"/>
            </v:shape>
            <w10:wrap type="none"/>
          </v:group>
        </w:pict>
      </w:r>
      <w:r>
        <w:rPr>
          <w:w w:val="105"/>
          <w:sz w:val="16"/>
        </w:rPr>
        <w:t>3.5</w:t>
      </w:r>
    </w:p>
    <w:p>
      <w:pPr>
        <w:spacing w:after="0"/>
        <w:jc w:val="left"/>
        <w:rPr>
          <w:sz w:val="16"/>
        </w:rPr>
        <w:sectPr>
          <w:type w:val="continuous"/>
          <w:pgSz w:w="11920" w:h="16840"/>
          <w:pgMar w:top="1180" w:bottom="280" w:left="1640" w:right="1680"/>
          <w:cols w:num="2" w:equalWidth="0">
            <w:col w:w="2240" w:space="1900"/>
            <w:col w:w="4460"/>
          </w:cols>
        </w:sectPr>
      </w:pPr>
    </w:p>
    <w:p>
      <w:pPr>
        <w:pStyle w:val="BodyText"/>
        <w:rPr>
          <w:sz w:val="20"/>
        </w:rPr>
      </w:pPr>
    </w:p>
    <w:p>
      <w:pPr>
        <w:pStyle w:val="BodyText"/>
        <w:spacing w:before="4"/>
        <w:rPr>
          <w:sz w:val="19"/>
        </w:rPr>
      </w:pPr>
    </w:p>
    <w:p>
      <w:pPr>
        <w:spacing w:before="98"/>
        <w:ind w:left="2970" w:right="1845" w:firstLine="0"/>
        <w:jc w:val="center"/>
        <w:rPr>
          <w:sz w:val="16"/>
        </w:rPr>
      </w:pPr>
      <w:r>
        <w:rPr>
          <w:spacing w:val="-4"/>
          <w:w w:val="105"/>
          <w:sz w:val="16"/>
        </w:rPr>
        <w:t>3.0</w:t>
      </w:r>
    </w:p>
    <w:p>
      <w:pPr>
        <w:pStyle w:val="BodyText"/>
        <w:rPr>
          <w:sz w:val="20"/>
        </w:rPr>
      </w:pPr>
    </w:p>
    <w:p>
      <w:pPr>
        <w:pStyle w:val="BodyText"/>
        <w:spacing w:before="1"/>
        <w:rPr>
          <w:sz w:val="18"/>
        </w:rPr>
      </w:pPr>
    </w:p>
    <w:p>
      <w:pPr>
        <w:spacing w:before="98"/>
        <w:ind w:left="2970" w:right="1845" w:firstLine="0"/>
        <w:jc w:val="center"/>
        <w:rPr>
          <w:sz w:val="16"/>
        </w:rPr>
      </w:pPr>
      <w:r>
        <w:rPr>
          <w:spacing w:val="-4"/>
          <w:w w:val="105"/>
          <w:sz w:val="16"/>
        </w:rPr>
        <w:t>2.5</w:t>
      </w:r>
    </w:p>
    <w:p>
      <w:pPr>
        <w:pStyle w:val="BodyText"/>
        <w:rPr>
          <w:sz w:val="20"/>
        </w:rPr>
      </w:pPr>
    </w:p>
    <w:p>
      <w:pPr>
        <w:pStyle w:val="BodyText"/>
        <w:spacing w:before="1"/>
        <w:rPr>
          <w:sz w:val="18"/>
        </w:rPr>
      </w:pPr>
    </w:p>
    <w:p>
      <w:pPr>
        <w:spacing w:before="98"/>
        <w:ind w:left="2970" w:right="1845" w:firstLine="0"/>
        <w:jc w:val="center"/>
        <w:rPr>
          <w:sz w:val="16"/>
        </w:rPr>
      </w:pPr>
      <w:r>
        <w:rPr>
          <w:spacing w:val="-4"/>
          <w:w w:val="105"/>
          <w:sz w:val="16"/>
        </w:rPr>
        <w:t>2.0</w:t>
      </w:r>
    </w:p>
    <w:p>
      <w:pPr>
        <w:pStyle w:val="BodyText"/>
        <w:rPr>
          <w:sz w:val="20"/>
        </w:rPr>
      </w:pPr>
    </w:p>
    <w:p>
      <w:pPr>
        <w:pStyle w:val="BodyText"/>
        <w:spacing w:before="5"/>
        <w:rPr>
          <w:sz w:val="19"/>
        </w:rPr>
      </w:pPr>
    </w:p>
    <w:p>
      <w:pPr>
        <w:spacing w:before="98"/>
        <w:ind w:left="2970" w:right="1845" w:firstLine="0"/>
        <w:jc w:val="center"/>
        <w:rPr>
          <w:sz w:val="16"/>
        </w:rPr>
      </w:pPr>
      <w:r>
        <w:rPr>
          <w:spacing w:val="-4"/>
          <w:w w:val="105"/>
          <w:sz w:val="16"/>
        </w:rPr>
        <w:t>1.5</w:t>
      </w:r>
    </w:p>
    <w:p>
      <w:pPr>
        <w:tabs>
          <w:tab w:pos="944" w:val="left" w:leader="none"/>
          <w:tab w:pos="1904" w:val="left" w:leader="none"/>
          <w:tab w:pos="2864" w:val="left" w:leader="none"/>
          <w:tab w:pos="3824" w:val="left" w:leader="none"/>
        </w:tabs>
        <w:spacing w:before="56"/>
        <w:ind w:left="0" w:right="3613" w:firstLine="0"/>
        <w:jc w:val="center"/>
        <w:rPr>
          <w:sz w:val="16"/>
        </w:rPr>
      </w:pPr>
      <w:r>
        <w:rPr>
          <w:w w:val="105"/>
          <w:sz w:val="16"/>
        </w:rPr>
        <w:t>Jan-97</w:t>
        <w:tab/>
        <w:t>Jan-98</w:t>
        <w:tab/>
        <w:t>Jan-99</w:t>
        <w:tab/>
        <w:t>Jan-00</w:t>
        <w:tab/>
        <w:t>Jan-01</w:t>
      </w:r>
    </w:p>
    <w:p>
      <w:pPr>
        <w:pStyle w:val="BodyText"/>
        <w:rPr>
          <w:sz w:val="20"/>
        </w:rPr>
      </w:pPr>
    </w:p>
    <w:p>
      <w:pPr>
        <w:pStyle w:val="BodyText"/>
        <w:rPr>
          <w:sz w:val="20"/>
        </w:rPr>
      </w:pPr>
    </w:p>
    <w:p>
      <w:pPr>
        <w:pStyle w:val="BodyText"/>
        <w:rPr>
          <w:sz w:val="20"/>
        </w:rPr>
      </w:pPr>
    </w:p>
    <w:p>
      <w:pPr>
        <w:pStyle w:val="BodyText"/>
        <w:spacing w:before="1"/>
        <w:rPr>
          <w:sz w:val="27"/>
        </w:rPr>
      </w:pPr>
    </w:p>
    <w:p>
      <w:pPr>
        <w:pStyle w:val="BodyText"/>
        <w:spacing w:line="360" w:lineRule="auto" w:before="90"/>
        <w:ind w:left="160" w:right="182"/>
      </w:pPr>
      <w:r>
        <w:rPr/>
        <w:t>Note that the arrangements that existed prior to May 1997 appear to have lacked credibility in the markets. For example, in June 1995, an inflation target of 2½% or less was announced and yet inflation expectations 10 years ahead (derived from financial markets) generally remained above 4%. But market measures of inflation expectations fell sharply on 6 May 1997 following the announcement of the new monetary framework, and there have since been further falls to a level slightly lower than the target (Chart 2). This suggests that the markets believe that the current framework will deliver the target in the long-run.</w:t>
      </w:r>
    </w:p>
    <w:p>
      <w:pPr>
        <w:spacing w:after="0" w:line="360" w:lineRule="auto"/>
        <w:sectPr>
          <w:type w:val="continuous"/>
          <w:pgSz w:w="11920" w:h="16840"/>
          <w:pgMar w:top="1180" w:bottom="280" w:left="1640" w:right="1680"/>
        </w:sectPr>
      </w:pPr>
    </w:p>
    <w:p>
      <w:pPr>
        <w:spacing w:before="82"/>
        <w:ind w:left="160" w:right="0" w:firstLine="0"/>
        <w:jc w:val="left"/>
        <w:rPr>
          <w:sz w:val="19"/>
        </w:rPr>
      </w:pPr>
      <w:r>
        <w:rPr>
          <w:w w:val="105"/>
          <w:sz w:val="19"/>
        </w:rPr>
        <w:t>Chart 2</w:t>
      </w:r>
    </w:p>
    <w:p>
      <w:pPr>
        <w:pStyle w:val="BodyText"/>
        <w:spacing w:before="1"/>
        <w:rPr>
          <w:sz w:val="21"/>
        </w:rPr>
      </w:pPr>
    </w:p>
    <w:p>
      <w:pPr>
        <w:spacing w:after="0"/>
        <w:rPr>
          <w:sz w:val="21"/>
        </w:rPr>
        <w:sectPr>
          <w:pgSz w:w="11920" w:h="16840"/>
          <w:pgMar w:header="0" w:footer="739" w:top="1340" w:bottom="920" w:left="1640" w:right="1680"/>
        </w:sectPr>
      </w:pPr>
    </w:p>
    <w:p>
      <w:pPr>
        <w:spacing w:before="91"/>
        <w:ind w:left="295" w:right="0" w:firstLine="0"/>
        <w:jc w:val="left"/>
        <w:rPr>
          <w:b/>
          <w:sz w:val="21"/>
        </w:rPr>
      </w:pPr>
      <w:r>
        <w:rPr>
          <w:b/>
          <w:sz w:val="21"/>
        </w:rPr>
        <w:t>UK Market 10-Year Inflation Expectation</w:t>
      </w:r>
    </w:p>
    <w:p>
      <w:pPr>
        <w:pStyle w:val="BodyText"/>
        <w:rPr>
          <w:b/>
          <w:sz w:val="18"/>
        </w:rPr>
      </w:pPr>
      <w:r>
        <w:rPr/>
        <w:br w:type="column"/>
      </w:r>
      <w:r>
        <w:rPr>
          <w:b/>
          <w:sz w:val="18"/>
        </w:rPr>
      </w:r>
    </w:p>
    <w:p>
      <w:pPr>
        <w:spacing w:before="140"/>
        <w:ind w:left="295" w:right="0" w:firstLine="0"/>
        <w:jc w:val="left"/>
        <w:rPr>
          <w:sz w:val="16"/>
        </w:rPr>
      </w:pPr>
      <w:r>
        <w:rPr/>
        <w:pict>
          <v:group style="position:absolute;margin-left:112.125pt;margin-top:10.34375pt;width:214.5pt;height:164.65pt;mso-position-horizontal-relative:page;mso-position-vertical-relative:paragraph;z-index:251667456" coordorigin="2243,207" coordsize="4290,3293">
            <v:shape style="position:absolute;left:2250;top:214;width:4275;height:3285" coordorigin="2250,214" coordsize="4275,3285" path="m6480,214l6480,3439,6525,3439m6480,2899l6525,2899m6480,2359l6525,2359m6480,1834l6525,1834m6480,1294l6525,1294m6480,754l6525,754m6480,214l6525,214m2250,3439l6480,3439m2250,3499l2250,3439m3255,3499l3255,3439m4275,3499l4275,3439m5280,3499l5280,3439m6300,3499l6300,3439e" filled="false" stroked="true" strokeweight=".75pt" strokecolor="#000000">
              <v:path arrowok="t"/>
              <v:stroke dashstyle="solid"/>
            </v:shape>
            <v:shape style="position:absolute;left:2250;top:619;width:4215;height:2325" coordorigin="2250,619" coordsize="4215,2325" path="m2250,844l2250,904,2250,874,2265,844,2265,889,2265,844,2280,889,2280,919,2280,889,2295,889,2295,934,2295,904,2295,919,2295,904,2310,889,2310,874,2310,844,2325,904,2325,859,2325,874,2340,889,2340,829,2340,814,2340,829,2355,859,2355,844,2370,769,2370,739,2370,649,2385,679,2385,709,2385,754,2385,724,2400,679,2415,619,2415,649,2415,634,2415,664,2430,724,2430,739,2430,709,2430,694,2445,709,2445,799,2445,784,2460,844,2460,799,2460,784,2475,784,2475,769,2475,709,2475,694,2490,709,2490,769,2490,844,2490,889,2490,904,2505,904,2505,1204,2505,1249,2520,1369,2520,1384,2520,1399,2520,1369,2535,1384,2535,1429,2535,1369,2535,1324,2550,1324,2550,1279,2550,1219,2550,1264,2565,1264,2565,1294,2565,1264,2565,1324,2580,1324,2580,1384,2580,1369,2595,1384,2595,1444,2595,1414,2610,1399,2610,1414,2610,1474,2610,1459,2625,1474,2625,1444,2625,1429,2625,1414,2640,1399,2640,1414,2640,1444,2655,1444,2655,1489,2655,1444,2655,1489,2670,1474,2670,1459,2670,1489,2685,1504,2685,1519,2685,1489,2685,1549,2700,1489,2700,1474,2700,1489,2700,1459,2715,1459,2715,1444,2715,1489,2715,1564,2730,1549,2730,1519,2745,1534,2745,1579,2745,1549,2745,1504,2760,1489,2760,1444,2760,1474,2760,1504,2760,1444,2775,1429,2775,1444,2775,1399,2790,1444,2790,1414,2790,1459,2805,1459,2805,1429,2805,1384,2820,1384,2820,1399,2820,1414,2820,1429,2835,1459,2835,1474,2835,1489,2835,1504,2850,1504,2850,1534,2850,1549,2865,1549,2865,1579,2865,1609,2880,1684,2880,1744,2880,1714,2895,1729,2895,1714,2895,1729,2895,1819,2910,1819,2910,1834,2910,1879,2925,1879,2925,1924,2925,1819,2940,1744,2940,1714,2955,1759,2955,1714,2955,1684,2970,1624,2970,1579,2970,1564,2970,1594,2985,1594,2985,1534,2985,1519,3000,1519,3015,1534,3015,1519,3015,1504,3015,1564,3030,1564,3030,1519,3030,1459,3030,1519,3045,1624,3045,1594,3045,1639,3060,1699,3060,1684,3075,1699,3075,1669,3075,1639,3090,1624,3090,1654,3090,1639,3090,1669,3090,1624,3105,1654,3105,1669,3105,1729,3120,1714,3120,1699,3135,1699,3135,1729,3135,1774,3150,1804,3150,1819,3165,1819,3165,1714,3165,1729,3180,1744,3180,1834,3180,1924,3180,1969,3195,2014,3195,2044,3210,2044,3210,2014,3210,1984,3225,1984,3225,1999,3225,1984,3225,2014,3240,1999,3240,2014,3240,1984,3240,2014,3255,2044,3255,2014,3255,2029,3270,2014,3270,1984,3270,1969,3270,1954,3285,1939,3285,1999,3285,2014,3300,2044,3300,2059,3300,2029,3300,1999,3315,1999,3315,1969,3315,1954,3330,1954,3330,1909,3330,1954,3345,1879,3345,1864,3345,1894,3345,1939,3360,1954,3360,1969,3360,1954,3360,1999,3360,1984,3375,2014,3375,2029,3375,2044,3390,1999,3390,2029,3405,2044,3405,2029,3405,2014,3420,1999,3420,2029,3420,2014,3420,2059,3420,2089,3435,2074,3435,2104,3450,2104,3450,2134,3450,2119,3465,2104,3480,2104,3480,2029,3480,2014,3480,2059,3495,1954,3495,1969,3495,1999,3495,2044,3495,2104,3510,2104,3510,2059,3525,1999,3525,2014,3540,1984,3540,1954,3540,1924,3555,1939,3555,2059,3555,2089,3555,2074,3555,2089,3570,2089,3570,2104,3570,2089,3585,2074,3585,2089,3585,2074,3600,2059,3600,2074,3600,2089,3600,2074,3615,2074,3615,2134,3615,2179,3630,2179,3630,2134,3630,2059,3630,1999,3645,2029,3645,2059,3645,2104,3660,2089,3660,2074,3675,2074,3675,2059,3675,2044,3675,1999,3690,2014,3690,1984,3690,1999,3690,2014,3690,2029,3705,2014,3705,1984,3705,1939,3720,1924,3720,1909,3735,1864,3735,1834,3750,1834,3750,1909,3750,1999,3750,1969,3750,2014,3765,2044,3765,1999,3780,2014,3780,2059,3780,2074,3780,2089,3795,2044,3795,2119,3795,2149,3810,2059,3810,2044,3810,2119,3810,2134,3825,2104,3825,2119,3825,2104,3825,2194,3840,2194,3840,2119,3840,2134,3855,2164,3855,2224,3855,2209,3870,2254,3870,2374,3885,2374,3885,2434,3885,2449,3885,2539,3885,2554,3900,2614,3900,2599,3900,2584,3900,2599,3915,2674,3915,2764,3915,2734,3930,2734,3930,2839,3930,2899,3945,2944,3945,2899,3945,2944,3945,2809,3945,2614,3960,2539,3960,2644,3960,2674,3960,2659,3960,2524,3975,2569,3975,2479,3975,2434,3990,2389,3990,2329,3990,2449,3990,2494,4005,2434,4005,2464,4005,2434,4020,2389,4020,2449,4020,2389,4020,2359,4020,2269,4035,2269,4035,2329,4035,2314,4035,2374,4050,2404,4050,2419,4050,2434,4065,2524,4065,2539,4065,2494,4080,2479,4080,2494,4080,2524,4080,2614,4080,2584,4095,2644,4095,2629,4095,2584,4110,2524,4110,2539,4110,2569,4125,2629,4125,2644,4125,2599,4125,2569,4125,2524,4140,2509,4140,2539,4155,2479,4155,2434,4155,2509,4155,2494,4170,2494,4170,2509,4170,2554,4185,2554,4185,2629,4185,2614,4200,2629,4200,2644,4200,2674,4215,2629,4215,2569,4215,2629,4215,2674,4215,2629,4230,2629,4230,2614,4230,2644,4230,2689,4245,2719,4245,2674,4245,2719,4260,2704,4260,2674,4260,2644,4260,2614,4275,2584,4275,2539,4275,2419,4275,2449,4290,2389,4290,2434,4290,2464,4290,2359,4305,2329,4305,2269,4305,2284,4305,2299,4320,2314,4320,2344,4320,2374,4335,2329,4335,2209,4335,2194,4350,2119,4350,2029,4350,2044,4350,2134,4365,2104,4365,2029,4365,2059,4365,2089,4380,2074,4380,2119,4395,2194,4395,2179,4395,2164,4410,2119,4410,2104,4410,2044,4425,2029,4425,2074,4425,1999,4440,1999,4440,2104,4440,2089,4455,2044,4455,1999,4470,1969,4470,1864,4470,1909,4485,1939,4485,2014,4485,2029,4485,1984,4485,1999,4500,1954,4500,1984,4500,2074,4500,2134,4515,2074,4515,1954,4530,1954,4530,1909,4530,1894,4530,1909,4545,1909,4545,1954,4545,2044,4545,1879,4560,1879,4560,1924,4560,1909,4560,1939,4575,1924,4575,1954,4575,1939,4575,1909,4590,1834,4590,1804,4605,1684,4620,1729,4620,1699,4620,1669,4620,1579,4620,1594,4635,1594,4635,1669,4635,1684,4650,1759,4650,1744,4650,1639,4650,1564,4665,1534,4665,1414,4665,1534,4665,1564,4680,1564,4680,1639,4680,1549,4680,1624,4695,1564,4695,1504,4695,1474,4695,1399,4710,1384,4710,1429,4710,1444,4710,1429,4725,1354,4725,1384,4725,1399,4740,1399,4740,1444,4740,1474,4740,1414,4755,1429,4755,1489,4755,1579,4755,1474,4755,1489,4770,1594,4770,1654,4785,1609,4785,1444,4785,1549,4785,1624,4800,1654,4800,1729,4800,1759,4815,1774,4815,1759,4815,1849,4815,1894,4815,1879,4830,1879,4830,1894,4830,2014,4845,1999,4845,1939,4860,1774,4860,1849,4860,1864,4875,1744,4875,1669,4875,1684,4875,1624,4890,1594,4890,1579,4890,1639,4890,1714,4905,1654,4905,1594,4905,1519,4920,1504,4920,1534,4920,1399,4920,1384,4935,1354,4935,1444,4935,1339,4950,1354,4950,1369,4950,1339,4965,1339,4965,1309,4965,1354,4965,1219,4980,1294,4980,1309,4980,1354,4995,1339,4995,1414,5010,1354,5010,1444,5010,1474,5010,1594,5010,1624,5025,1594,5025,1654,5025,1774,5025,1789,5040,1774,5040,1744,5040,1774,5055,1819,5055,1939,5055,1924,5055,1984,5070,1894,5070,1849,5070,1819,5085,1759,5085,1669,5085,1624,5085,1654,5100,1684,5100,1714,5100,1609,5115,1564,5115,1609,5115,1684,5130,1684,5130,1759,5130,1834,5145,1789,5145,1729,5145,1744,5145,1549,5145,1564,5160,1549,5160,1534,5160,1459,5160,1474,5175,1459,5190,1459,5190,1384,5190,1264,5205,1189,5205,1219,5220,1264,5220,1174,5220,1144,5220,1249,5220,1234,5235,1189,5235,1159,5235,1294,5235,1264,5250,1294,5250,1324,5250,1444,5265,1429,5265,1369,5280,1474,5280,1564,5280,1609,5280,1534,5295,1519,5295,1549,5295,1474,5295,1429,5310,1459,5310,1504,5310,1444,5325,1369,5325,1399,5325,1459,5325,1549,5340,1609,5340,1579,5340,1684,5340,1699,5355,1699,5355,1609,5355,1624,5355,1579,5355,1609,5370,1669,5370,1684,5370,1654,5370,1684,5385,1624,5385,1639,5385,1624,5400,1624,5400,1714,5415,1684,5415,1699,5415,1714,5415,1804,5415,1789,5430,1654,5430,1714,5430,1744,5430,1804,5445,1819,5445,1834,5445,1804,5460,1864,5460,1774,5460,1834,5460,1774,5475,1789,5475,1759,5475,1699,5475,1669,5490,1639,5490,1714,5490,1729,5490,1744,5505,1744,5505,1714,5505,1759,5520,1774,5520,1819,5535,1789,5535,1759,5535,1654,5550,1699,5550,1729,5550,1624,5565,1669,5565,1789,5565,1684,5565,1609,5580,1609,5580,1714,5580,1699,5595,1729,5595,1834,5595,1924,5610,1909,5610,1999,5610,1969,5610,1984,5625,1954,5625,1924,5640,1969,5640,1984,5640,2014,5640,1969,5655,1924,5655,1999,5655,1954,5670,1894,5670,1789,5670,1834,5670,1804,5685,1834,5685,1804,5685,1819,5700,1774,5700,1819,5700,1879,5715,1834,5715,1909,5715,1849,5715,1864,5730,1849,5730,1864,5730,1789,5745,1819,5745,1864,5745,1909,5745,1969,5760,1969,5760,2044,5760,1999,5775,1924,5775,1939,5775,1924,5790,1909,5790,1879,5790,1909,5805,1924,5805,1909,5805,1984,5820,1954,5820,1834,5820,1849,5820,1864,5820,1879,5835,1849,5835,1864,5835,1894,5850,1939,5850,1924,5865,1879,5865,1969,5880,1954,5880,1924,5880,1909,5880,1924,5880,1864,5895,1864,5895,1759,5895,1774,5895,1804,5910,1789,5910,1804,5910,1849,5925,1864,5925,1894,5925,1834,5940,1849,5940,1864,5940,1894,5940,2014,5955,2014,5955,2029,5955,2044,5970,2104,5970,2089,5985,2089,5985,2029,5985,2044,6000,2089,6000,2119,6000,2149,6015,2149,6015,2164,6015,2149,6015,2134,6015,2089,6030,2104,6030,2134,6045,2119,6045,2149,6045,2119,6060,2119,6060,2134,6060,2149,6060,2194,6075,2179,6075,2239,6075,2224,6090,2224,6090,2239,6090,2314,6090,2329,6090,2314,6105,2344,6105,2329,6105,2284,6120,2299,6120,2314,6120,2329,6135,2314,6135,2299,6135,2254,6150,2269,6150,2254,6150,2314,6150,2299,6165,2314,6165,2269,6165,2254,6180,2239,6180,2254,6195,2284,6195,2314,6210,2314,6210,2389,6210,2464,6210,2389,6225,2389,6225,2329,6225,2344,6240,2284,6240,2299,6240,2269,6240,2284,6255,2284,6255,2299,6255,2269,6270,2284,6270,2299,6270,2314,6270,2359,6285,2344,6285,2404,6285,2434,6285,2449,6300,2449,6300,2494,6315,2449,6315,2464,6315,2449,6315,2419,6330,2374,6330,2344,6345,2329,6345,2299,6345,2269,6345,2314,6360,2314,6360,2359,6360,2449,6360,2479,6375,2479,6375,2464,6390,2464,6390,2479,6390,2494,6390,2509,6405,2464,6405,2569,6405,2674,6405,2719,6420,2719,6420,2614,6420,2599,6420,2614,6435,2584,6435,2569,6435,2599,6450,2644,6450,2629,6450,2659,6465,2599,6465,2569,6465,2614e" filled="false" stroked="true" strokeweight=".75pt" strokecolor="#000080">
              <v:path arrowok="t"/>
              <v:stroke dashstyle="solid"/>
            </v:shape>
            <v:line style="position:absolute" from="6465,2614" to="6480,2614" stroked="true" strokeweight=".75pt" strokecolor="#000080">
              <v:stroke dashstyle="solid"/>
            </v:line>
            <v:line style="position:absolute" from="3105,694" to="2685,694" stroked="true" strokeweight=".75pt" strokecolor="#000000">
              <v:stroke dashstyle="solid"/>
            </v:line>
            <v:shape style="position:absolute;left:2595;top:604;width:105;height:165" coordorigin="2595,604" coordsize="105,165" path="m2700,604l2595,694,2700,769,2700,604xe" filled="true" fillcolor="#000000" stroked="false">
              <v:path arrowok="t"/>
              <v:fill type="solid"/>
            </v:shape>
            <v:shape style="position:absolute;left:2242;top:206;width:4290;height:3293" type="#_x0000_t202" filled="false" stroked="false">
              <v:textbox inset="0,0,0,0">
                <w:txbxContent>
                  <w:p>
                    <w:pPr>
                      <w:spacing w:before="13"/>
                      <w:ind w:left="0" w:right="170" w:firstLine="0"/>
                      <w:jc w:val="right"/>
                      <w:rPr>
                        <w:sz w:val="17"/>
                      </w:rPr>
                    </w:pPr>
                    <w:r>
                      <w:rPr>
                        <w:sz w:val="17"/>
                      </w:rPr>
                      <w:t>Percent</w:t>
                    </w:r>
                  </w:p>
                  <w:p>
                    <w:pPr>
                      <w:spacing w:line="240" w:lineRule="auto" w:before="4"/>
                      <w:rPr>
                        <w:sz w:val="20"/>
                      </w:rPr>
                    </w:pPr>
                  </w:p>
                  <w:p>
                    <w:pPr>
                      <w:spacing w:before="0"/>
                      <w:ind w:left="967" w:right="0" w:firstLine="0"/>
                      <w:jc w:val="left"/>
                      <w:rPr>
                        <w:sz w:val="16"/>
                      </w:rPr>
                    </w:pPr>
                    <w:r>
                      <w:rPr>
                        <w:w w:val="105"/>
                        <w:sz w:val="16"/>
                      </w:rPr>
                      <w:t>Independent Monetary Policy Announced</w:t>
                    </w:r>
                  </w:p>
                </w:txbxContent>
              </v:textbox>
              <w10:wrap type="none"/>
            </v:shape>
            <w10:wrap type="none"/>
          </v:group>
        </w:pict>
      </w:r>
      <w:r>
        <w:rPr>
          <w:w w:val="105"/>
          <w:sz w:val="16"/>
        </w:rPr>
        <w:t>4.5</w:t>
      </w:r>
    </w:p>
    <w:p>
      <w:pPr>
        <w:spacing w:after="0"/>
        <w:jc w:val="left"/>
        <w:rPr>
          <w:sz w:val="16"/>
        </w:rPr>
        <w:sectPr>
          <w:type w:val="continuous"/>
          <w:pgSz w:w="11920" w:h="16840"/>
          <w:pgMar w:top="1180" w:bottom="280" w:left="1640" w:right="1680"/>
          <w:cols w:num="2" w:equalWidth="0">
            <w:col w:w="4115" w:space="550"/>
            <w:col w:w="3935"/>
          </w:cols>
        </w:sectPr>
      </w:pPr>
    </w:p>
    <w:p>
      <w:pPr>
        <w:pStyle w:val="BodyText"/>
        <w:spacing w:before="6"/>
        <w:rPr>
          <w:sz w:val="22"/>
        </w:rPr>
      </w:pPr>
    </w:p>
    <w:p>
      <w:pPr>
        <w:spacing w:before="97"/>
        <w:ind w:left="2970" w:right="1426" w:firstLine="0"/>
        <w:jc w:val="center"/>
        <w:rPr>
          <w:sz w:val="16"/>
        </w:rPr>
      </w:pPr>
      <w:r>
        <w:rPr>
          <w:spacing w:val="6"/>
          <w:w w:val="105"/>
          <w:sz w:val="16"/>
        </w:rPr>
        <w:t>4.0</w:t>
      </w:r>
    </w:p>
    <w:p>
      <w:pPr>
        <w:pStyle w:val="BodyText"/>
        <w:spacing w:before="2"/>
        <w:rPr>
          <w:sz w:val="21"/>
        </w:rPr>
      </w:pPr>
    </w:p>
    <w:p>
      <w:pPr>
        <w:spacing w:before="98"/>
        <w:ind w:left="2970" w:right="1426" w:firstLine="0"/>
        <w:jc w:val="center"/>
        <w:rPr>
          <w:sz w:val="16"/>
        </w:rPr>
      </w:pPr>
      <w:r>
        <w:rPr>
          <w:spacing w:val="6"/>
          <w:w w:val="105"/>
          <w:sz w:val="16"/>
        </w:rPr>
        <w:t>3.5</w:t>
      </w:r>
    </w:p>
    <w:p>
      <w:pPr>
        <w:pStyle w:val="BodyText"/>
        <w:spacing w:before="5"/>
        <w:rPr>
          <w:sz w:val="22"/>
        </w:rPr>
      </w:pPr>
    </w:p>
    <w:p>
      <w:pPr>
        <w:spacing w:before="98"/>
        <w:ind w:left="2970" w:right="1426" w:firstLine="0"/>
        <w:jc w:val="center"/>
        <w:rPr>
          <w:sz w:val="16"/>
        </w:rPr>
      </w:pPr>
      <w:r>
        <w:rPr>
          <w:spacing w:val="6"/>
          <w:w w:val="105"/>
          <w:sz w:val="16"/>
        </w:rPr>
        <w:t>3.0</w:t>
      </w:r>
    </w:p>
    <w:p>
      <w:pPr>
        <w:pStyle w:val="BodyText"/>
        <w:spacing w:before="5"/>
        <w:rPr>
          <w:sz w:val="22"/>
        </w:rPr>
      </w:pPr>
    </w:p>
    <w:p>
      <w:pPr>
        <w:spacing w:before="98"/>
        <w:ind w:left="2970" w:right="1426" w:firstLine="0"/>
        <w:jc w:val="center"/>
        <w:rPr>
          <w:sz w:val="16"/>
        </w:rPr>
      </w:pPr>
      <w:r>
        <w:rPr>
          <w:spacing w:val="6"/>
          <w:w w:val="105"/>
          <w:sz w:val="16"/>
        </w:rPr>
        <w:t>2.5</w:t>
      </w:r>
    </w:p>
    <w:p>
      <w:pPr>
        <w:pStyle w:val="BodyText"/>
        <w:spacing w:before="5"/>
        <w:rPr>
          <w:sz w:val="22"/>
        </w:rPr>
      </w:pPr>
    </w:p>
    <w:p>
      <w:pPr>
        <w:spacing w:before="98"/>
        <w:ind w:left="2970" w:right="1426" w:firstLine="0"/>
        <w:jc w:val="center"/>
        <w:rPr>
          <w:sz w:val="16"/>
        </w:rPr>
      </w:pPr>
      <w:r>
        <w:rPr>
          <w:spacing w:val="6"/>
          <w:w w:val="105"/>
          <w:sz w:val="16"/>
        </w:rPr>
        <w:t>2.0</w:t>
      </w:r>
    </w:p>
    <w:p>
      <w:pPr>
        <w:pStyle w:val="BodyText"/>
        <w:spacing w:before="2"/>
        <w:rPr>
          <w:sz w:val="21"/>
        </w:rPr>
      </w:pPr>
    </w:p>
    <w:p>
      <w:pPr>
        <w:spacing w:before="98"/>
        <w:ind w:left="2970" w:right="1426" w:firstLine="0"/>
        <w:jc w:val="center"/>
        <w:rPr>
          <w:sz w:val="16"/>
        </w:rPr>
      </w:pPr>
      <w:r>
        <w:rPr>
          <w:spacing w:val="6"/>
          <w:w w:val="105"/>
          <w:sz w:val="16"/>
        </w:rPr>
        <w:t>1.5</w:t>
      </w:r>
    </w:p>
    <w:p>
      <w:pPr>
        <w:tabs>
          <w:tab w:pos="1019" w:val="left" w:leader="none"/>
          <w:tab w:pos="2024" w:val="left" w:leader="none"/>
          <w:tab w:pos="3029" w:val="left" w:leader="none"/>
          <w:tab w:pos="4049" w:val="left" w:leader="none"/>
        </w:tabs>
        <w:spacing w:before="82"/>
        <w:ind w:left="0" w:right="3328" w:firstLine="0"/>
        <w:jc w:val="center"/>
        <w:rPr>
          <w:sz w:val="18"/>
        </w:rPr>
      </w:pPr>
      <w:r>
        <w:rPr>
          <w:sz w:val="18"/>
        </w:rPr>
        <w:t>Feb-97</w:t>
        <w:tab/>
      </w:r>
      <w:r>
        <w:rPr>
          <w:spacing w:val="-3"/>
          <w:sz w:val="18"/>
        </w:rPr>
        <w:t>Feb-98</w:t>
        <w:tab/>
      </w:r>
      <w:r>
        <w:rPr>
          <w:sz w:val="18"/>
        </w:rPr>
        <w:t>Feb-99</w:t>
        <w:tab/>
        <w:t>Feb-00</w:t>
        <w:tab/>
        <w:t>Feb-01</w:t>
      </w:r>
    </w:p>
    <w:p>
      <w:pPr>
        <w:pStyle w:val="BodyText"/>
        <w:rPr>
          <w:sz w:val="20"/>
        </w:rPr>
      </w:pPr>
    </w:p>
    <w:p>
      <w:pPr>
        <w:pStyle w:val="BodyText"/>
        <w:rPr>
          <w:sz w:val="20"/>
        </w:rPr>
      </w:pPr>
    </w:p>
    <w:p>
      <w:pPr>
        <w:pStyle w:val="BodyText"/>
        <w:spacing w:before="7"/>
        <w:rPr>
          <w:sz w:val="20"/>
        </w:rPr>
      </w:pPr>
    </w:p>
    <w:p>
      <w:pPr>
        <w:pStyle w:val="BodyText"/>
        <w:spacing w:line="357" w:lineRule="auto"/>
        <w:ind w:left="160" w:right="218"/>
      </w:pPr>
      <w:r>
        <w:rPr/>
        <w:t>Credibility may also be considered with reference to the inflation expectations of independent economic forecasters. There have been substantial falls in the consensus one-year ahead RPIX inflation forecast</w:t>
      </w:r>
      <w:r>
        <w:rPr>
          <w:vertAlign w:val="superscript"/>
        </w:rPr>
        <w:t>3</w:t>
      </w:r>
      <w:r>
        <w:rPr>
          <w:vertAlign w:val="baseline"/>
        </w:rPr>
        <w:t> since the new monetary arrangements were put into place. Since then, these expectations have remained very close to target (Chart 3).</w:t>
      </w:r>
    </w:p>
    <w:p>
      <w:pPr>
        <w:pStyle w:val="BodyText"/>
        <w:spacing w:before="10"/>
        <w:rPr>
          <w:sz w:val="37"/>
        </w:rPr>
      </w:pPr>
    </w:p>
    <w:p>
      <w:pPr>
        <w:spacing w:before="0"/>
        <w:ind w:left="160" w:right="0" w:firstLine="0"/>
        <w:jc w:val="left"/>
        <w:rPr>
          <w:sz w:val="19"/>
        </w:rPr>
      </w:pPr>
      <w:r>
        <w:rPr>
          <w:w w:val="105"/>
          <w:sz w:val="19"/>
        </w:rPr>
        <w:t>Chart 3</w:t>
      </w:r>
    </w:p>
    <w:p>
      <w:pPr>
        <w:pStyle w:val="BodyText"/>
        <w:spacing w:before="1"/>
        <w:rPr>
          <w:sz w:val="16"/>
        </w:rPr>
      </w:pPr>
    </w:p>
    <w:p>
      <w:pPr>
        <w:spacing w:before="94"/>
        <w:ind w:left="505" w:right="0" w:firstLine="0"/>
        <w:jc w:val="left"/>
        <w:rPr>
          <w:b/>
          <w:sz w:val="22"/>
        </w:rPr>
      </w:pPr>
      <w:r>
        <w:rPr/>
        <w:pict>
          <v:group style="position:absolute;margin-left:110.625pt;margin-top:5.019182pt;width:200.25pt;height:156.2pt;mso-position-horizontal-relative:page;mso-position-vertical-relative:paragraph;z-index:-252546048" coordorigin="2213,100" coordsize="4005,3124">
            <v:shape style="position:absolute;left:2235;top:569;width:3975;height:2655" coordorigin="2235,569" coordsize="3975,2655" path="m6165,569l6165,3179,6210,3179m6165,2804l6210,2804m6165,2429l6210,2429m6165,2054l6210,2054m6165,1694l6210,1694m6165,1319l6210,1319m6165,944l6210,944m6165,569l6210,569m2235,3179l6165,3179m2235,3224l2235,3179m3210,3224l3210,3179m4200,3224l4200,3179m5175,3224l5175,3179m6165,3224l6165,3179e" filled="false" stroked="true" strokeweight=".75pt" strokecolor="#000000">
              <v:path arrowok="t"/>
              <v:stroke dashstyle="solid"/>
            </v:shape>
            <v:line style="position:absolute" from="2235,944" to="2475,764" stroked="true" strokeweight="2.25pt" strokecolor="#000080">
              <v:stroke dashstyle="solid"/>
            </v:line>
            <v:line style="position:absolute" from="2475,764" to="2715,2054" stroked="true" strokeweight="2.25pt" strokecolor="#000080">
              <v:stroke dashstyle="solid"/>
            </v:line>
            <v:line style="position:absolute" from="2715,2054" to="2970,1694" stroked="true" strokeweight="2.25pt" strokecolor="#000080">
              <v:stroke dashstyle="solid"/>
            </v:line>
            <v:shape style="position:absolute;left:2970;top:1499;width:1230;height:1125" coordorigin="2970,1499" coordsize="1230,1125" path="m2970,1694l3210,1499m3210,1499l3465,2054m3465,2054l3705,1694m3705,1694l3945,2054m3945,2054l4200,2624e" filled="false" stroked="true" strokeweight="2.25pt" strokecolor="#000080">
              <v:path arrowok="t"/>
              <v:stroke dashstyle="solid"/>
            </v:shape>
            <v:line style="position:absolute" from="4200,2624" to="4440,2984" stroked="true" strokeweight="2.25pt" strokecolor="#000080">
              <v:stroke dashstyle="solid"/>
            </v:line>
            <v:line style="position:absolute" from="4440,2984" to="4695,2804" stroked="true" strokeweight="2.25pt" strokecolor="#000080">
              <v:stroke dashstyle="solid"/>
            </v:line>
            <v:line style="position:absolute" from="4695,2804" to="4935,2984" stroked="true" strokeweight="2.25pt" strokecolor="#000080">
              <v:stroke dashstyle="solid"/>
            </v:line>
            <v:line style="position:absolute" from="4935,2984" to="5175,2804" stroked="true" strokeweight="2.25pt" strokecolor="#000080">
              <v:stroke dashstyle="solid"/>
            </v:line>
            <v:line style="position:absolute" from="5175,2804" to="5430,2984" stroked="true" strokeweight="2.25pt" strokecolor="#000080">
              <v:stroke dashstyle="solid"/>
            </v:line>
            <v:line style="position:absolute" from="5430,2984" to="5670,2804" stroked="true" strokeweight="2.25pt" strokecolor="#000080">
              <v:stroke dashstyle="solid"/>
            </v:line>
            <v:line style="position:absolute" from="5670,2804" to="5910,2624" stroked="true" strokeweight="2.25pt" strokecolor="#000080">
              <v:stroke dashstyle="solid"/>
            </v:line>
            <v:line style="position:absolute" from="5910,2624" to="6165,2624" stroked="true" strokeweight="2.25pt" strokecolor="#000080">
              <v:stroke dashstyle="solid"/>
            </v:line>
            <v:line style="position:absolute" from="2228,2249" to="5918,2249" stroked="true" strokeweight=".75pt" strokecolor="#000000">
              <v:stroke dashstyle="solid"/>
            </v:line>
            <v:line style="position:absolute" from="5910,2249" to="6165,2249" stroked="true" strokeweight=".75pt" strokecolor="#000000">
              <v:stroke dashstyle="solid"/>
            </v:line>
            <v:shape style="position:absolute;left:2306;top:100;width:3389;height:248" type="#_x0000_t202" filled="false" stroked="false">
              <v:textbox inset="0,0,0,0">
                <w:txbxContent>
                  <w:p>
                    <w:pPr>
                      <w:spacing w:line="247" w:lineRule="exact" w:before="0"/>
                      <w:ind w:left="0" w:right="0" w:firstLine="0"/>
                      <w:jc w:val="left"/>
                      <w:rPr>
                        <w:b/>
                        <w:sz w:val="22"/>
                      </w:rPr>
                    </w:pPr>
                    <w:r>
                      <w:rPr>
                        <w:b/>
                        <w:sz w:val="22"/>
                      </w:rPr>
                      <w:t>onsensus Forecast of UK 4 Quarter</w:t>
                    </w:r>
                  </w:p>
                </w:txbxContent>
              </v:textbox>
              <w10:wrap type="none"/>
            </v:shape>
            <v:shape style="position:absolute;left:3150;top:385;width:1565;height:248" type="#_x0000_t202" filled="false" stroked="false">
              <v:textbox inset="0,0,0,0">
                <w:txbxContent>
                  <w:p>
                    <w:pPr>
                      <w:spacing w:line="247" w:lineRule="exact" w:before="0"/>
                      <w:ind w:left="0" w:right="0" w:firstLine="0"/>
                      <w:jc w:val="left"/>
                      <w:rPr>
                        <w:b/>
                        <w:sz w:val="22"/>
                      </w:rPr>
                    </w:pPr>
                    <w:r>
                      <w:rPr>
                        <w:b/>
                        <w:sz w:val="22"/>
                      </w:rPr>
                      <w:t>Ahead Inflation</w:t>
                    </w:r>
                  </w:p>
                </w:txbxContent>
              </v:textbox>
              <w10:wrap type="none"/>
            </v:shape>
            <v:shape style="position:absolute;left:5520;top:565;width:545;height:191" type="#_x0000_t202" filled="false" stroked="false">
              <v:textbox inset="0,0,0,0">
                <w:txbxContent>
                  <w:p>
                    <w:pPr>
                      <w:spacing w:line="190" w:lineRule="exact" w:before="0"/>
                      <w:ind w:left="0" w:right="0" w:firstLine="0"/>
                      <w:jc w:val="left"/>
                      <w:rPr>
                        <w:sz w:val="17"/>
                      </w:rPr>
                    </w:pPr>
                    <w:r>
                      <w:rPr>
                        <w:sz w:val="17"/>
                      </w:rPr>
                      <w:t>Percent</w:t>
                    </w:r>
                  </w:p>
                </w:txbxContent>
              </v:textbox>
              <w10:wrap type="none"/>
            </v:shape>
            <w10:wrap type="none"/>
          </v:group>
        </w:pict>
      </w:r>
      <w:r>
        <w:rPr>
          <w:b/>
          <w:w w:val="101"/>
          <w:sz w:val="22"/>
        </w:rPr>
        <w:t>C</w:t>
      </w:r>
    </w:p>
    <w:p>
      <w:pPr>
        <w:spacing w:before="138"/>
        <w:ind w:left="2970" w:right="2056" w:firstLine="0"/>
        <w:jc w:val="center"/>
        <w:rPr>
          <w:sz w:val="17"/>
        </w:rPr>
      </w:pPr>
      <w:r>
        <w:rPr>
          <w:spacing w:val="3"/>
          <w:sz w:val="17"/>
        </w:rPr>
        <w:t>3.4</w:t>
      </w:r>
    </w:p>
    <w:p>
      <w:pPr>
        <w:pStyle w:val="BodyText"/>
        <w:spacing w:before="4"/>
        <w:rPr>
          <w:sz w:val="14"/>
        </w:rPr>
      </w:pPr>
    </w:p>
    <w:p>
      <w:pPr>
        <w:spacing w:before="0"/>
        <w:ind w:left="2970" w:right="2056" w:firstLine="0"/>
        <w:jc w:val="center"/>
        <w:rPr>
          <w:sz w:val="17"/>
        </w:rPr>
      </w:pPr>
      <w:r>
        <w:rPr>
          <w:spacing w:val="3"/>
          <w:sz w:val="17"/>
        </w:rPr>
        <w:t>3.2</w:t>
      </w:r>
    </w:p>
    <w:p>
      <w:pPr>
        <w:pStyle w:val="BodyText"/>
        <w:spacing w:before="7"/>
        <w:rPr>
          <w:sz w:val="15"/>
        </w:rPr>
      </w:pPr>
    </w:p>
    <w:p>
      <w:pPr>
        <w:spacing w:before="0"/>
        <w:ind w:left="2970" w:right="2056" w:firstLine="0"/>
        <w:jc w:val="center"/>
        <w:rPr>
          <w:sz w:val="17"/>
        </w:rPr>
      </w:pPr>
      <w:r>
        <w:rPr>
          <w:spacing w:val="3"/>
          <w:sz w:val="17"/>
        </w:rPr>
        <w:t>3.0</w:t>
      </w:r>
    </w:p>
    <w:p>
      <w:pPr>
        <w:pStyle w:val="BodyText"/>
        <w:spacing w:before="7"/>
        <w:rPr>
          <w:sz w:val="15"/>
        </w:rPr>
      </w:pPr>
    </w:p>
    <w:p>
      <w:pPr>
        <w:spacing w:before="0"/>
        <w:ind w:left="2970" w:right="2056" w:firstLine="0"/>
        <w:jc w:val="center"/>
        <w:rPr>
          <w:sz w:val="17"/>
        </w:rPr>
      </w:pPr>
      <w:r>
        <w:rPr>
          <w:spacing w:val="3"/>
          <w:sz w:val="17"/>
        </w:rPr>
        <w:t>2.8</w:t>
      </w:r>
    </w:p>
    <w:p>
      <w:pPr>
        <w:pStyle w:val="BodyText"/>
        <w:spacing w:before="7"/>
        <w:rPr>
          <w:sz w:val="15"/>
        </w:rPr>
      </w:pPr>
    </w:p>
    <w:p>
      <w:pPr>
        <w:spacing w:before="0"/>
        <w:ind w:left="2970" w:right="2056" w:firstLine="0"/>
        <w:jc w:val="center"/>
        <w:rPr>
          <w:sz w:val="17"/>
        </w:rPr>
      </w:pPr>
      <w:r>
        <w:rPr>
          <w:spacing w:val="3"/>
          <w:sz w:val="17"/>
        </w:rPr>
        <w:t>2.6</w:t>
      </w:r>
    </w:p>
    <w:p>
      <w:pPr>
        <w:pStyle w:val="BodyText"/>
        <w:spacing w:before="3"/>
        <w:rPr>
          <w:sz w:val="14"/>
        </w:rPr>
      </w:pPr>
    </w:p>
    <w:p>
      <w:pPr>
        <w:spacing w:before="1"/>
        <w:ind w:left="2970" w:right="2056" w:firstLine="0"/>
        <w:jc w:val="center"/>
        <w:rPr>
          <w:sz w:val="17"/>
        </w:rPr>
      </w:pPr>
      <w:r>
        <w:rPr>
          <w:spacing w:val="3"/>
          <w:sz w:val="17"/>
        </w:rPr>
        <w:t>2.4</w:t>
      </w:r>
    </w:p>
    <w:p>
      <w:pPr>
        <w:pStyle w:val="BodyText"/>
        <w:spacing w:before="6"/>
        <w:rPr>
          <w:sz w:val="15"/>
        </w:rPr>
      </w:pPr>
    </w:p>
    <w:p>
      <w:pPr>
        <w:spacing w:before="1"/>
        <w:ind w:left="2970" w:right="2056" w:firstLine="0"/>
        <w:jc w:val="center"/>
        <w:rPr>
          <w:sz w:val="17"/>
        </w:rPr>
      </w:pPr>
      <w:r>
        <w:rPr>
          <w:spacing w:val="3"/>
          <w:sz w:val="17"/>
        </w:rPr>
        <w:t>2.2</w:t>
      </w:r>
    </w:p>
    <w:p>
      <w:pPr>
        <w:pStyle w:val="BodyText"/>
        <w:spacing w:before="6"/>
        <w:rPr>
          <w:sz w:val="15"/>
        </w:rPr>
      </w:pPr>
    </w:p>
    <w:p>
      <w:pPr>
        <w:spacing w:before="1"/>
        <w:ind w:left="2970" w:right="2056" w:firstLine="0"/>
        <w:jc w:val="center"/>
        <w:rPr>
          <w:sz w:val="17"/>
        </w:rPr>
      </w:pPr>
      <w:r>
        <w:rPr>
          <w:spacing w:val="3"/>
          <w:sz w:val="17"/>
        </w:rPr>
        <w:t>2.0</w:t>
      </w:r>
    </w:p>
    <w:p>
      <w:pPr>
        <w:tabs>
          <w:tab w:pos="1389" w:val="left" w:leader="none"/>
          <w:tab w:pos="2379" w:val="left" w:leader="none"/>
          <w:tab w:pos="3369" w:val="left" w:leader="none"/>
          <w:tab w:pos="4344" w:val="left" w:leader="none"/>
        </w:tabs>
        <w:spacing w:before="59"/>
        <w:ind w:left="415" w:right="0" w:firstLine="0"/>
        <w:jc w:val="left"/>
        <w:rPr>
          <w:sz w:val="17"/>
        </w:rPr>
      </w:pPr>
      <w:r>
        <w:rPr>
          <w:spacing w:val="2"/>
          <w:sz w:val="17"/>
        </w:rPr>
        <w:t>1997</w:t>
        <w:tab/>
        <w:t>1998</w:t>
        <w:tab/>
        <w:t>1999</w:t>
        <w:tab/>
      </w:r>
      <w:r>
        <w:rPr>
          <w:sz w:val="17"/>
        </w:rPr>
        <w:t>2000</w:t>
        <w:tab/>
      </w:r>
      <w:r>
        <w:rPr>
          <w:spacing w:val="3"/>
          <w:sz w:val="17"/>
        </w:rPr>
        <w:t>2001</w:t>
      </w:r>
    </w:p>
    <w:p>
      <w:pPr>
        <w:spacing w:before="105"/>
        <w:ind w:left="550" w:right="0" w:firstLine="0"/>
        <w:jc w:val="left"/>
        <w:rPr>
          <w:sz w:val="17"/>
        </w:rPr>
      </w:pPr>
      <w:r>
        <w:rPr>
          <w:sz w:val="17"/>
        </w:rPr>
        <w:t>Source: Consensus Economics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r>
        <w:rPr/>
        <w:pict>
          <v:shape style="position:absolute;margin-left:90pt;margin-top:18.040966pt;width:144pt;height:.1pt;mso-position-horizontal-relative:page;mso-position-vertical-relative:paragraph;z-index:-251651072;mso-wrap-distance-left:0;mso-wrap-distance-right:0" coordorigin="1800,361" coordsize="2880,0" path="m1800,361l4680,361e" filled="false" stroked="true" strokeweight=".75pt" strokecolor="#000000">
            <v:path arrowok="t"/>
            <v:stroke dashstyle="solid"/>
            <w10:wrap type="topAndBottom"/>
          </v:shape>
        </w:pict>
      </w:r>
    </w:p>
    <w:p>
      <w:pPr>
        <w:spacing w:before="29"/>
        <w:ind w:left="160" w:right="0" w:firstLine="0"/>
        <w:jc w:val="left"/>
        <w:rPr>
          <w:sz w:val="19"/>
        </w:rPr>
      </w:pPr>
      <w:r>
        <w:rPr>
          <w:w w:val="105"/>
          <w:position w:val="9"/>
          <w:sz w:val="13"/>
        </w:rPr>
        <w:t>3 </w:t>
      </w:r>
      <w:r>
        <w:rPr>
          <w:w w:val="105"/>
          <w:sz w:val="19"/>
        </w:rPr>
        <w:t>See “Consensus Forecasts”.</w:t>
      </w:r>
    </w:p>
    <w:p>
      <w:pPr>
        <w:spacing w:after="0"/>
        <w:jc w:val="left"/>
        <w:rPr>
          <w:sz w:val="19"/>
        </w:rPr>
        <w:sectPr>
          <w:type w:val="continuous"/>
          <w:pgSz w:w="11920" w:h="16840"/>
          <w:pgMar w:top="1180" w:bottom="280" w:left="1640" w:right="1680"/>
        </w:sectPr>
      </w:pPr>
    </w:p>
    <w:p>
      <w:pPr>
        <w:pStyle w:val="BodyText"/>
        <w:spacing w:line="357" w:lineRule="auto" w:before="61"/>
        <w:ind w:left="160" w:right="236"/>
      </w:pPr>
      <w:r>
        <w:rPr/>
        <w:t>It is interesting to note that UK expectations have fallen by more than US expectations, whether measured in terms of 10 year ahead market expectations or survey based measures (Charts 4 and 5). This suggests that the fall in inflation expectations may be a reflection, at least in part, of the change in the policy framework in the UK. But other factors, such as disinflationary pressures in the global economy or supply side developments may also have helped to keep inflation low.</w:t>
      </w:r>
    </w:p>
    <w:p>
      <w:pPr>
        <w:pStyle w:val="BodyText"/>
        <w:rPr>
          <w:sz w:val="26"/>
        </w:rPr>
      </w:pPr>
    </w:p>
    <w:p>
      <w:pPr>
        <w:pStyle w:val="BodyText"/>
        <w:rPr>
          <w:sz w:val="26"/>
        </w:rPr>
      </w:pPr>
    </w:p>
    <w:p>
      <w:pPr>
        <w:pStyle w:val="BodyText"/>
        <w:spacing w:before="3"/>
        <w:rPr>
          <w:sz w:val="21"/>
        </w:rPr>
      </w:pPr>
    </w:p>
    <w:p>
      <w:pPr>
        <w:tabs>
          <w:tab w:pos="4479" w:val="left" w:leader="none"/>
        </w:tabs>
        <w:spacing w:before="0"/>
        <w:ind w:left="160" w:right="0" w:firstLine="0"/>
        <w:jc w:val="left"/>
        <w:rPr>
          <w:sz w:val="19"/>
        </w:rPr>
      </w:pPr>
      <w:r>
        <w:rPr>
          <w:w w:val="105"/>
          <w:sz w:val="19"/>
        </w:rPr>
        <w:t>Chart</w:t>
      </w:r>
      <w:r>
        <w:rPr>
          <w:spacing w:val="8"/>
          <w:w w:val="105"/>
          <w:sz w:val="19"/>
        </w:rPr>
        <w:t> </w:t>
      </w:r>
      <w:r>
        <w:rPr>
          <w:w w:val="105"/>
          <w:sz w:val="19"/>
        </w:rPr>
        <w:t>4</w:t>
        <w:tab/>
        <w:t>Chart</w:t>
      </w:r>
      <w:r>
        <w:rPr>
          <w:spacing w:val="12"/>
          <w:w w:val="105"/>
          <w:sz w:val="19"/>
        </w:rPr>
        <w:t> </w:t>
      </w:r>
      <w:r>
        <w:rPr>
          <w:w w:val="105"/>
          <w:sz w:val="19"/>
        </w:rPr>
        <w:t>5</w:t>
      </w:r>
    </w:p>
    <w:p>
      <w:pPr>
        <w:pStyle w:val="BodyText"/>
        <w:spacing w:before="3"/>
        <w:rPr>
          <w:sz w:val="17"/>
        </w:rPr>
      </w:pPr>
    </w:p>
    <w:p>
      <w:pPr>
        <w:spacing w:after="0"/>
        <w:rPr>
          <w:sz w:val="17"/>
        </w:rPr>
        <w:sectPr>
          <w:footerReference w:type="default" r:id="rId11"/>
          <w:pgSz w:w="11920" w:h="16840"/>
          <w:pgMar w:footer="739" w:header="0" w:top="1360" w:bottom="920" w:left="1640" w:right="1680"/>
          <w:pgNumType w:start="5"/>
        </w:sectPr>
      </w:pPr>
    </w:p>
    <w:p>
      <w:pPr>
        <w:spacing w:before="163"/>
        <w:ind w:left="280" w:right="0" w:firstLine="0"/>
        <w:jc w:val="left"/>
        <w:rPr>
          <w:b/>
          <w:sz w:val="18"/>
        </w:rPr>
      </w:pPr>
      <w:r>
        <w:rPr>
          <w:b/>
          <w:sz w:val="18"/>
        </w:rPr>
        <w:t>Daily 10-Year Market Inflation Expectations</w:t>
      </w:r>
    </w:p>
    <w:p>
      <w:pPr>
        <w:pStyle w:val="BodyText"/>
        <w:rPr>
          <w:b/>
          <w:sz w:val="16"/>
        </w:rPr>
      </w:pPr>
      <w:r>
        <w:rPr/>
        <w:br w:type="column"/>
      </w:r>
      <w:r>
        <w:rPr>
          <w:b/>
          <w:sz w:val="16"/>
        </w:rPr>
      </w:r>
    </w:p>
    <w:p>
      <w:pPr>
        <w:pStyle w:val="BodyText"/>
        <w:spacing w:before="5"/>
        <w:rPr>
          <w:b/>
          <w:sz w:val="14"/>
        </w:rPr>
      </w:pPr>
    </w:p>
    <w:p>
      <w:pPr>
        <w:spacing w:before="0"/>
        <w:ind w:left="170" w:right="0" w:firstLine="0"/>
        <w:jc w:val="left"/>
        <w:rPr>
          <w:sz w:val="14"/>
        </w:rPr>
      </w:pPr>
      <w:r>
        <w:rPr/>
        <w:pict>
          <v:group style="position:absolute;margin-left:109.125pt;margin-top:1.788809pt;width:168pt;height:137.5pt;mso-position-horizontal-relative:page;mso-position-vertical-relative:paragraph;z-index:251675648" coordorigin="2183,36" coordsize="3360,2750">
            <v:shape style="position:absolute;left:2190;top:55;width:3345;height:2700" coordorigin="2190,56" coordsize="3345,2700" path="m5490,56l5490,2756,5535,2756m5490,2426l5535,2426m5490,2081l5535,2081m5490,1751l5535,1751m5490,1421l5535,1421m5490,1076l5535,1076m5490,731l5535,731m5490,401l5535,401m5490,56l5535,56m2190,2756l5490,2756e" filled="false" stroked="true" strokeweight=".75pt" strokecolor="#000000">
              <v:path arrowok="t"/>
              <v:stroke dashstyle="solid"/>
            </v:shape>
            <v:shape style="position:absolute;left:2182;top:2770;width:3180;height:2" coordorigin="2183,2771" coordsize="3180,0" path="m2183,2771l2198,2771m2963,2771l2978,2771m3758,2771l3773,2771m4553,2771l4568,2771m5348,2771l5363,2771e" filled="false" stroked="true" strokeweight="1.5pt" strokecolor="#000000">
              <v:path arrowok="t"/>
              <v:stroke dashstyle="solid"/>
            </v:shape>
            <v:shape style="position:absolute;left:2182;top:303;width:3315;height:2220" type="#_x0000_t75" stroked="false">
              <v:imagedata r:id="rId12" o:title=""/>
            </v:shape>
            <v:shape style="position:absolute;left:2940;top:35;width:2555;height:936" type="#_x0000_t202" filled="false" stroked="false">
              <v:textbox inset="0,0,0,0">
                <w:txbxContent>
                  <w:p>
                    <w:pPr>
                      <w:spacing w:line="336" w:lineRule="auto" w:before="0"/>
                      <w:ind w:left="0" w:right="0" w:firstLine="2085"/>
                      <w:jc w:val="left"/>
                      <w:rPr>
                        <w:sz w:val="14"/>
                      </w:rPr>
                    </w:pPr>
                    <w:r>
                      <w:rPr>
                        <w:sz w:val="14"/>
                      </w:rPr>
                      <w:t>Percent                  Independent Monetary Policy Announced</w:t>
                    </w:r>
                  </w:p>
                  <w:p>
                    <w:pPr>
                      <w:spacing w:line="240" w:lineRule="auto" w:before="0"/>
                      <w:rPr>
                        <w:sz w:val="16"/>
                      </w:rPr>
                    </w:pPr>
                  </w:p>
                  <w:p>
                    <w:pPr>
                      <w:spacing w:before="139"/>
                      <w:ind w:left="0" w:right="152" w:firstLine="0"/>
                      <w:jc w:val="right"/>
                      <w:rPr>
                        <w:sz w:val="14"/>
                      </w:rPr>
                    </w:pPr>
                    <w:r>
                      <w:rPr>
                        <w:w w:val="95"/>
                        <w:sz w:val="14"/>
                      </w:rPr>
                      <w:t>UK</w:t>
                    </w:r>
                  </w:p>
                </w:txbxContent>
              </v:textbox>
              <w10:wrap type="none"/>
            </v:shape>
            <v:shape style="position:absolute;left:5130;top:2180;width:200;height:156" type="#_x0000_t202" filled="false" stroked="false">
              <v:textbox inset="0,0,0,0">
                <w:txbxContent>
                  <w:p>
                    <w:pPr>
                      <w:spacing w:line="155" w:lineRule="exact" w:before="0"/>
                      <w:ind w:left="0" w:right="0" w:firstLine="0"/>
                      <w:jc w:val="left"/>
                      <w:rPr>
                        <w:sz w:val="14"/>
                      </w:rPr>
                    </w:pPr>
                    <w:r>
                      <w:rPr>
                        <w:sz w:val="14"/>
                      </w:rPr>
                      <w:t>US</w:t>
                    </w:r>
                  </w:p>
                </w:txbxContent>
              </v:textbox>
              <w10:wrap type="none"/>
            </v:shape>
            <w10:wrap type="none"/>
          </v:group>
        </w:pict>
      </w:r>
      <w:r>
        <w:rPr>
          <w:spacing w:val="6"/>
          <w:sz w:val="14"/>
        </w:rPr>
        <w:t>4.5</w:t>
      </w:r>
    </w:p>
    <w:p>
      <w:pPr>
        <w:pStyle w:val="BodyText"/>
        <w:spacing w:before="8"/>
        <w:rPr>
          <w:sz w:val="14"/>
        </w:rPr>
      </w:pPr>
    </w:p>
    <w:p>
      <w:pPr>
        <w:spacing w:before="0"/>
        <w:ind w:left="170" w:right="0" w:firstLine="0"/>
        <w:jc w:val="left"/>
        <w:rPr>
          <w:sz w:val="14"/>
        </w:rPr>
      </w:pPr>
      <w:r>
        <w:rPr>
          <w:spacing w:val="6"/>
          <w:sz w:val="14"/>
        </w:rPr>
        <w:t>4.0</w:t>
      </w:r>
    </w:p>
    <w:p>
      <w:pPr>
        <w:pStyle w:val="BodyText"/>
        <w:rPr>
          <w:sz w:val="16"/>
        </w:rPr>
      </w:pPr>
    </w:p>
    <w:p>
      <w:pPr>
        <w:spacing w:before="0"/>
        <w:ind w:left="170" w:right="0" w:firstLine="0"/>
        <w:jc w:val="left"/>
        <w:rPr>
          <w:sz w:val="14"/>
        </w:rPr>
      </w:pPr>
      <w:r>
        <w:rPr>
          <w:spacing w:val="6"/>
          <w:sz w:val="14"/>
        </w:rPr>
        <w:t>3.5</w:t>
      </w:r>
    </w:p>
    <w:p>
      <w:pPr>
        <w:pStyle w:val="BodyText"/>
        <w:spacing w:before="8"/>
        <w:rPr>
          <w:sz w:val="14"/>
        </w:rPr>
      </w:pPr>
    </w:p>
    <w:p>
      <w:pPr>
        <w:spacing w:before="0"/>
        <w:ind w:left="170" w:right="0" w:firstLine="0"/>
        <w:jc w:val="left"/>
        <w:rPr>
          <w:sz w:val="14"/>
        </w:rPr>
      </w:pPr>
      <w:r>
        <w:rPr>
          <w:spacing w:val="6"/>
          <w:sz w:val="14"/>
        </w:rPr>
        <w:t>3.0</w:t>
      </w:r>
    </w:p>
    <w:p>
      <w:pPr>
        <w:pStyle w:val="BodyText"/>
        <w:rPr>
          <w:sz w:val="16"/>
        </w:rPr>
      </w:pPr>
    </w:p>
    <w:p>
      <w:pPr>
        <w:spacing w:before="0"/>
        <w:ind w:left="170" w:right="0" w:firstLine="0"/>
        <w:jc w:val="left"/>
        <w:rPr>
          <w:sz w:val="14"/>
        </w:rPr>
      </w:pPr>
      <w:r>
        <w:rPr>
          <w:spacing w:val="6"/>
          <w:sz w:val="14"/>
        </w:rPr>
        <w:t>2.5</w:t>
      </w:r>
    </w:p>
    <w:p>
      <w:pPr>
        <w:pStyle w:val="BodyText"/>
        <w:spacing w:before="8"/>
        <w:rPr>
          <w:sz w:val="14"/>
        </w:rPr>
      </w:pPr>
    </w:p>
    <w:p>
      <w:pPr>
        <w:spacing w:before="0"/>
        <w:ind w:left="170" w:right="0" w:firstLine="0"/>
        <w:jc w:val="left"/>
        <w:rPr>
          <w:sz w:val="14"/>
        </w:rPr>
      </w:pPr>
      <w:r>
        <w:rPr>
          <w:spacing w:val="6"/>
          <w:sz w:val="14"/>
        </w:rPr>
        <w:t>2.0</w:t>
      </w:r>
    </w:p>
    <w:p>
      <w:pPr>
        <w:pStyle w:val="BodyText"/>
        <w:spacing w:before="8"/>
        <w:rPr>
          <w:sz w:val="14"/>
        </w:rPr>
      </w:pPr>
    </w:p>
    <w:p>
      <w:pPr>
        <w:spacing w:before="0"/>
        <w:ind w:left="170" w:right="0" w:firstLine="0"/>
        <w:jc w:val="left"/>
        <w:rPr>
          <w:sz w:val="14"/>
        </w:rPr>
      </w:pPr>
      <w:r>
        <w:rPr>
          <w:spacing w:val="6"/>
          <w:sz w:val="14"/>
        </w:rPr>
        <w:t>1.5</w:t>
      </w:r>
    </w:p>
    <w:p>
      <w:pPr>
        <w:pStyle w:val="BodyText"/>
        <w:rPr>
          <w:sz w:val="16"/>
        </w:rPr>
      </w:pPr>
    </w:p>
    <w:p>
      <w:pPr>
        <w:spacing w:before="0"/>
        <w:ind w:left="170" w:right="0" w:firstLine="0"/>
        <w:jc w:val="left"/>
        <w:rPr>
          <w:sz w:val="14"/>
        </w:rPr>
      </w:pPr>
      <w:r>
        <w:rPr>
          <w:spacing w:val="6"/>
          <w:sz w:val="14"/>
        </w:rPr>
        <w:t>1.0</w:t>
      </w:r>
    </w:p>
    <w:p>
      <w:pPr>
        <w:pStyle w:val="BodyText"/>
        <w:spacing w:before="8"/>
        <w:rPr>
          <w:sz w:val="14"/>
        </w:rPr>
      </w:pPr>
    </w:p>
    <w:p>
      <w:pPr>
        <w:spacing w:before="0"/>
        <w:ind w:left="170" w:right="0" w:firstLine="0"/>
        <w:jc w:val="left"/>
        <w:rPr>
          <w:sz w:val="14"/>
        </w:rPr>
      </w:pPr>
      <w:r>
        <w:rPr>
          <w:spacing w:val="6"/>
          <w:sz w:val="14"/>
        </w:rPr>
        <w:t>0.5</w:t>
      </w:r>
    </w:p>
    <w:p>
      <w:pPr>
        <w:spacing w:line="264" w:lineRule="auto" w:before="93"/>
        <w:ind w:left="820" w:right="0" w:hanging="540"/>
        <w:jc w:val="left"/>
        <w:rPr>
          <w:b/>
          <w:sz w:val="19"/>
        </w:rPr>
      </w:pPr>
      <w:r>
        <w:rPr/>
        <w:br w:type="column"/>
      </w:r>
      <w:r>
        <w:rPr>
          <w:b/>
          <w:sz w:val="19"/>
        </w:rPr>
        <w:t>Surveys of 1-Year Ahead US &amp; UK Inflation Expectations</w:t>
      </w:r>
    </w:p>
    <w:p>
      <w:pPr>
        <w:pStyle w:val="BodyText"/>
        <w:rPr>
          <w:b/>
          <w:sz w:val="16"/>
        </w:rPr>
      </w:pPr>
      <w:r>
        <w:rPr/>
        <w:br w:type="column"/>
      </w:r>
      <w:r>
        <w:rPr>
          <w:b/>
          <w:sz w:val="16"/>
        </w:rPr>
      </w:r>
    </w:p>
    <w:p>
      <w:pPr>
        <w:pStyle w:val="BodyText"/>
        <w:rPr>
          <w:b/>
          <w:sz w:val="16"/>
        </w:rPr>
      </w:pPr>
    </w:p>
    <w:p>
      <w:pPr>
        <w:spacing w:before="102"/>
        <w:ind w:left="-4" w:right="0" w:firstLine="0"/>
        <w:jc w:val="left"/>
        <w:rPr>
          <w:sz w:val="14"/>
        </w:rPr>
      </w:pPr>
      <w:r>
        <w:rPr>
          <w:sz w:val="14"/>
        </w:rPr>
        <w:t>Percent</w:t>
      </w:r>
    </w:p>
    <w:p>
      <w:pPr>
        <w:pStyle w:val="BodyText"/>
        <w:rPr>
          <w:sz w:val="16"/>
        </w:rPr>
      </w:pPr>
      <w:r>
        <w:rPr/>
        <w:br w:type="column"/>
      </w:r>
      <w:r>
        <w:rPr>
          <w:sz w:val="16"/>
        </w:rPr>
      </w:r>
    </w:p>
    <w:p>
      <w:pPr>
        <w:pStyle w:val="BodyText"/>
        <w:rPr>
          <w:sz w:val="16"/>
        </w:rPr>
      </w:pPr>
    </w:p>
    <w:p>
      <w:pPr>
        <w:pStyle w:val="BodyText"/>
        <w:rPr>
          <w:sz w:val="18"/>
        </w:rPr>
      </w:pPr>
    </w:p>
    <w:p>
      <w:pPr>
        <w:spacing w:before="0"/>
        <w:ind w:left="125" w:right="0" w:firstLine="0"/>
        <w:jc w:val="left"/>
        <w:rPr>
          <w:sz w:val="14"/>
        </w:rPr>
      </w:pPr>
      <w:r>
        <w:rPr/>
        <w:pict>
          <v:group style="position:absolute;margin-left:313.125pt;margin-top:3.160156pt;width:169.5pt;height:128.65pt;mso-position-horizontal-relative:page;mso-position-vertical-relative:paragraph;z-index:251678720" coordorigin="6263,63" coordsize="3390,2573">
            <v:shape style="position:absolute;left:6270;top:70;width:3375;height:2565" coordorigin="6270,71" coordsize="3375,2565" path="m9615,71l9615,2591,9645,2591m9615,2171l9645,2171m9615,1751l9645,1751m9615,1331l9645,1331m9615,911l9645,911m9615,491l9645,491m9615,71l9645,71m6270,2591l9615,2591m6270,2636l6270,2591m7110,2636l7110,2591m7950,2636l7950,2591m8790,2636l8790,2591m9615,2636l9615,2591e" filled="false" stroked="true" strokeweight=".75pt" strokecolor="#000000">
              <v:path arrowok="t"/>
              <v:stroke dashstyle="solid"/>
            </v:shape>
            <v:shape style="position:absolute;left:6270;top:775;width:3345;height:1485" coordorigin="6270,776" coordsize="3345,1485" path="m6270,776l6480,911,6690,1166,6900,1586,7110,2171,7320,1841,7530,1781,7740,2081,7950,2261,8145,2261,8370,1961,8565,1706,8790,1751,8985,1586,9195,1421,9405,1451,9615,1781e" filled="false" stroked="true" strokeweight=".75pt" strokecolor="#ff00ff">
              <v:path arrowok="t"/>
              <v:stroke dashstyle="solid"/>
            </v:shape>
            <v:line style="position:absolute" from="6270,1421" to="6480,1421" stroked="true" strokeweight="1.5pt" strokecolor="#000080">
              <v:stroke dashstyle="solid"/>
            </v:line>
            <v:line style="position:absolute" from="6480,1421" to="6690,581" stroked="true" strokeweight="1.5pt" strokecolor="#000080">
              <v:stroke dashstyle="solid"/>
            </v:line>
            <v:line style="position:absolute" from="6690,581" to="6900,401" stroked="true" strokeweight="1.5pt" strokecolor="#000080">
              <v:stroke dashstyle="solid"/>
            </v:line>
            <v:line style="position:absolute" from="6900,401" to="7110,1586" stroked="true" strokeweight="1.5pt" strokecolor="#000080">
              <v:stroke dashstyle="solid"/>
            </v:line>
            <v:shape style="position:absolute;left:7110;top:1075;width:1260;height:1005" coordorigin="7110,1076" coordsize="1260,1005" path="m7110,1586l7320,1241m7320,1241l7530,1076m7530,1076l7740,1586m7740,1586l7950,1241m7950,1241l8145,1586m8145,1586l8370,2081e" filled="false" stroked="true" strokeweight="1.5pt" strokecolor="#000080">
              <v:path arrowok="t"/>
              <v:stroke dashstyle="solid"/>
            </v:shape>
            <v:line style="position:absolute" from="8370,2081" to="8565,2426" stroked="true" strokeweight="1.5pt" strokecolor="#000080">
              <v:stroke dashstyle="solid"/>
            </v:line>
            <v:line style="position:absolute" from="8565,2426" to="8790,2261" stroked="true" strokeweight="1.5pt" strokecolor="#000080">
              <v:stroke dashstyle="solid"/>
            </v:line>
            <v:line style="position:absolute" from="8790,2261" to="8985,2426" stroked="true" strokeweight="1.5pt" strokecolor="#000080">
              <v:stroke dashstyle="solid"/>
            </v:line>
            <v:line style="position:absolute" from="8985,2426" to="9195,2261" stroked="true" strokeweight="1.5pt" strokecolor="#000080">
              <v:stroke dashstyle="solid"/>
            </v:line>
            <v:line style="position:absolute" from="9195,2261" to="9405,2426" stroked="true" strokeweight="1.5pt" strokecolor="#000080">
              <v:stroke dashstyle="solid"/>
            </v:line>
            <v:line style="position:absolute" from="9405,2426" to="9615,2261" stroked="true" strokeweight="1.5pt" strokecolor="#000080">
              <v:stroke dashstyle="solid"/>
            </v:line>
            <v:shape style="position:absolute;left:7035;top:650;width:1400;height:156" type="#_x0000_t202" filled="false" stroked="false">
              <v:textbox inset="0,0,0,0">
                <w:txbxContent>
                  <w:p>
                    <w:pPr>
                      <w:spacing w:line="155" w:lineRule="exact" w:before="0"/>
                      <w:ind w:left="0" w:right="0" w:firstLine="0"/>
                      <w:jc w:val="left"/>
                      <w:rPr>
                        <w:sz w:val="14"/>
                      </w:rPr>
                    </w:pPr>
                    <w:r>
                      <w:rPr>
                        <w:sz w:val="14"/>
                      </w:rPr>
                      <w:t>UK Consensus Forecast</w:t>
                    </w:r>
                  </w:p>
                </w:txbxContent>
              </v:textbox>
              <w10:wrap type="none"/>
            </v:shape>
            <v:shape style="position:absolute;left:6270;top:2225;width:1280;height:156" type="#_x0000_t202" filled="false" stroked="false">
              <v:textbox inset="0,0,0,0">
                <w:txbxContent>
                  <w:p>
                    <w:pPr>
                      <w:spacing w:line="155" w:lineRule="exact" w:before="0"/>
                      <w:ind w:left="0" w:right="0" w:firstLine="0"/>
                      <w:jc w:val="left"/>
                      <w:rPr>
                        <w:sz w:val="14"/>
                      </w:rPr>
                    </w:pPr>
                    <w:r>
                      <w:rPr>
                        <w:sz w:val="14"/>
                      </w:rPr>
                      <w:t>Philadelphia Fed (US)</w:t>
                    </w:r>
                  </w:p>
                </w:txbxContent>
              </v:textbox>
              <w10:wrap type="none"/>
            </v:shape>
            <w10:wrap type="none"/>
          </v:group>
        </w:pict>
      </w:r>
      <w:r>
        <w:rPr>
          <w:sz w:val="14"/>
        </w:rPr>
        <w:t>3.50</w:t>
      </w:r>
    </w:p>
    <w:p>
      <w:pPr>
        <w:pStyle w:val="BodyText"/>
        <w:spacing w:before="6"/>
        <w:rPr>
          <w:sz w:val="22"/>
        </w:rPr>
      </w:pPr>
    </w:p>
    <w:p>
      <w:pPr>
        <w:spacing w:before="0"/>
        <w:ind w:left="125" w:right="0" w:firstLine="0"/>
        <w:jc w:val="left"/>
        <w:rPr>
          <w:sz w:val="14"/>
        </w:rPr>
      </w:pPr>
      <w:r>
        <w:rPr>
          <w:sz w:val="14"/>
        </w:rPr>
        <w:t>3.25</w:t>
      </w:r>
    </w:p>
    <w:p>
      <w:pPr>
        <w:pStyle w:val="BodyText"/>
        <w:spacing w:before="6"/>
        <w:rPr>
          <w:sz w:val="22"/>
        </w:rPr>
      </w:pPr>
    </w:p>
    <w:p>
      <w:pPr>
        <w:spacing w:before="0"/>
        <w:ind w:left="125" w:right="0" w:firstLine="0"/>
        <w:jc w:val="left"/>
        <w:rPr>
          <w:sz w:val="14"/>
        </w:rPr>
      </w:pPr>
      <w:r>
        <w:rPr>
          <w:sz w:val="14"/>
        </w:rPr>
        <w:t>3.00</w:t>
      </w:r>
    </w:p>
    <w:p>
      <w:pPr>
        <w:pStyle w:val="BodyText"/>
        <w:spacing w:before="6"/>
        <w:rPr>
          <w:sz w:val="22"/>
        </w:rPr>
      </w:pPr>
    </w:p>
    <w:p>
      <w:pPr>
        <w:spacing w:before="0"/>
        <w:ind w:left="125" w:right="0" w:firstLine="0"/>
        <w:jc w:val="left"/>
        <w:rPr>
          <w:sz w:val="14"/>
        </w:rPr>
      </w:pPr>
      <w:r>
        <w:rPr>
          <w:sz w:val="14"/>
        </w:rPr>
        <w:t>2.75</w:t>
      </w:r>
    </w:p>
    <w:p>
      <w:pPr>
        <w:pStyle w:val="BodyText"/>
        <w:spacing w:before="6"/>
        <w:rPr>
          <w:sz w:val="22"/>
        </w:rPr>
      </w:pPr>
    </w:p>
    <w:p>
      <w:pPr>
        <w:spacing w:before="0"/>
        <w:ind w:left="125" w:right="0" w:firstLine="0"/>
        <w:jc w:val="left"/>
        <w:rPr>
          <w:sz w:val="14"/>
        </w:rPr>
      </w:pPr>
      <w:r>
        <w:rPr>
          <w:sz w:val="14"/>
        </w:rPr>
        <w:t>2.50</w:t>
      </w:r>
    </w:p>
    <w:p>
      <w:pPr>
        <w:pStyle w:val="BodyText"/>
        <w:spacing w:before="6"/>
        <w:rPr>
          <w:sz w:val="22"/>
        </w:rPr>
      </w:pPr>
    </w:p>
    <w:p>
      <w:pPr>
        <w:spacing w:before="0"/>
        <w:ind w:left="125" w:right="0" w:firstLine="0"/>
        <w:jc w:val="left"/>
        <w:rPr>
          <w:sz w:val="14"/>
        </w:rPr>
      </w:pPr>
      <w:r>
        <w:rPr>
          <w:sz w:val="14"/>
        </w:rPr>
        <w:t>2.25</w:t>
      </w:r>
    </w:p>
    <w:p>
      <w:pPr>
        <w:pStyle w:val="BodyText"/>
        <w:spacing w:before="6"/>
        <w:rPr>
          <w:sz w:val="22"/>
        </w:rPr>
      </w:pPr>
    </w:p>
    <w:p>
      <w:pPr>
        <w:spacing w:line="141" w:lineRule="exact" w:before="0"/>
        <w:ind w:left="125" w:right="0" w:firstLine="0"/>
        <w:jc w:val="left"/>
        <w:rPr>
          <w:sz w:val="14"/>
        </w:rPr>
      </w:pPr>
      <w:r>
        <w:rPr>
          <w:sz w:val="14"/>
        </w:rPr>
        <w:t>2.00</w:t>
      </w:r>
    </w:p>
    <w:p>
      <w:pPr>
        <w:spacing w:after="0" w:line="141" w:lineRule="exact"/>
        <w:jc w:val="left"/>
        <w:rPr>
          <w:sz w:val="14"/>
        </w:rPr>
        <w:sectPr>
          <w:type w:val="continuous"/>
          <w:pgSz w:w="11920" w:h="16840"/>
          <w:pgMar w:top="1180" w:bottom="280" w:left="1640" w:right="1680"/>
          <w:cols w:num="5" w:equalWidth="0">
            <w:col w:w="3745" w:space="40"/>
            <w:col w:w="366" w:space="64"/>
            <w:col w:w="3214" w:space="40"/>
            <w:col w:w="447" w:space="39"/>
            <w:col w:w="645"/>
          </w:cols>
        </w:sectPr>
      </w:pPr>
    </w:p>
    <w:p>
      <w:pPr>
        <w:tabs>
          <w:tab w:pos="1134" w:val="left" w:leader="none"/>
          <w:tab w:pos="1914" w:val="left" w:leader="none"/>
          <w:tab w:pos="2709" w:val="left" w:leader="none"/>
          <w:tab w:pos="3519" w:val="left" w:leader="none"/>
        </w:tabs>
        <w:spacing w:line="156" w:lineRule="exact" w:before="0"/>
        <w:ind w:left="340" w:right="0" w:firstLine="0"/>
        <w:jc w:val="left"/>
        <w:rPr>
          <w:sz w:val="14"/>
        </w:rPr>
      </w:pPr>
      <w:r>
        <w:rPr>
          <w:sz w:val="14"/>
        </w:rPr>
        <w:t>Feb-97</w:t>
        <w:tab/>
        <w:t>Feb-98</w:t>
        <w:tab/>
        <w:t>Feb-99</w:t>
        <w:tab/>
        <w:t>Feb-00</w:t>
        <w:tab/>
        <w:t>Feb-01</w:t>
      </w:r>
    </w:p>
    <w:p>
      <w:pPr>
        <w:tabs>
          <w:tab w:pos="1179" w:val="left" w:leader="none"/>
          <w:tab w:pos="2019" w:val="left" w:leader="none"/>
          <w:tab w:pos="2859" w:val="left" w:leader="none"/>
          <w:tab w:pos="3684" w:val="left" w:leader="none"/>
        </w:tabs>
        <w:spacing w:before="70"/>
        <w:ind w:left="340" w:right="0" w:firstLine="0"/>
        <w:jc w:val="left"/>
        <w:rPr>
          <w:sz w:val="14"/>
        </w:rPr>
      </w:pPr>
      <w:r>
        <w:rPr/>
        <w:br w:type="column"/>
      </w:r>
      <w:r>
        <w:rPr>
          <w:spacing w:val="3"/>
          <w:sz w:val="14"/>
        </w:rPr>
        <w:t>Q197</w:t>
        <w:tab/>
        <w:t>Q198</w:t>
        <w:tab/>
      </w:r>
      <w:r>
        <w:rPr>
          <w:spacing w:val="6"/>
          <w:sz w:val="14"/>
        </w:rPr>
        <w:t>Q199</w:t>
        <w:tab/>
      </w:r>
      <w:r>
        <w:rPr>
          <w:spacing w:val="3"/>
          <w:sz w:val="14"/>
        </w:rPr>
        <w:t>Q100</w:t>
        <w:tab/>
      </w:r>
      <w:r>
        <w:rPr>
          <w:spacing w:val="4"/>
          <w:sz w:val="14"/>
        </w:rPr>
        <w:t>Q101</w:t>
      </w:r>
    </w:p>
    <w:p>
      <w:pPr>
        <w:spacing w:after="0"/>
        <w:jc w:val="left"/>
        <w:rPr>
          <w:sz w:val="14"/>
        </w:rPr>
        <w:sectPr>
          <w:type w:val="continuous"/>
          <w:pgSz w:w="11920" w:h="16840"/>
          <w:pgMar w:top="1180" w:bottom="280" w:left="1640" w:right="1680"/>
          <w:cols w:num="2" w:equalWidth="0">
            <w:col w:w="3965" w:space="160"/>
            <w:col w:w="4475"/>
          </w:cols>
        </w:sectPr>
      </w:pPr>
    </w:p>
    <w:p>
      <w:pPr>
        <w:pStyle w:val="BodyText"/>
        <w:rPr>
          <w:sz w:val="20"/>
        </w:rPr>
      </w:pPr>
    </w:p>
    <w:p>
      <w:pPr>
        <w:pStyle w:val="BodyText"/>
        <w:rPr>
          <w:sz w:val="20"/>
        </w:rPr>
      </w:pPr>
    </w:p>
    <w:p>
      <w:pPr>
        <w:pStyle w:val="BodyText"/>
        <w:rPr>
          <w:sz w:val="20"/>
        </w:rPr>
      </w:pPr>
    </w:p>
    <w:p>
      <w:pPr>
        <w:pStyle w:val="BodyText"/>
        <w:spacing w:before="9"/>
      </w:pPr>
    </w:p>
    <w:p>
      <w:pPr>
        <w:pStyle w:val="BodyText"/>
        <w:spacing w:line="360" w:lineRule="auto" w:before="90"/>
        <w:ind w:left="160" w:right="337"/>
      </w:pPr>
      <w:r>
        <w:rPr/>
        <w:t>At the time of the creation of the MPC, there were those who thought that we would act</w:t>
      </w:r>
      <w:r>
        <w:rPr>
          <w:spacing w:val="-4"/>
        </w:rPr>
        <w:t> </w:t>
      </w:r>
      <w:r>
        <w:rPr/>
        <w:t>as</w:t>
      </w:r>
      <w:r>
        <w:rPr>
          <w:spacing w:val="-3"/>
        </w:rPr>
        <w:t> </w:t>
      </w:r>
      <w:r>
        <w:rPr/>
        <w:t>‘inflation</w:t>
      </w:r>
      <w:r>
        <w:rPr>
          <w:spacing w:val="-3"/>
        </w:rPr>
        <w:t> </w:t>
      </w:r>
      <w:r>
        <w:rPr/>
        <w:t>nutters’,</w:t>
      </w:r>
      <w:r>
        <w:rPr>
          <w:spacing w:val="-4"/>
        </w:rPr>
        <w:t> </w:t>
      </w:r>
      <w:r>
        <w:rPr/>
        <w:t>and</w:t>
      </w:r>
      <w:r>
        <w:rPr>
          <w:spacing w:val="-3"/>
        </w:rPr>
        <w:t> </w:t>
      </w:r>
      <w:r>
        <w:rPr/>
        <w:t>that</w:t>
      </w:r>
      <w:r>
        <w:rPr>
          <w:spacing w:val="-3"/>
        </w:rPr>
        <w:t> </w:t>
      </w:r>
      <w:r>
        <w:rPr/>
        <w:t>low</w:t>
      </w:r>
      <w:r>
        <w:rPr>
          <w:spacing w:val="-4"/>
        </w:rPr>
        <w:t> </w:t>
      </w:r>
      <w:r>
        <w:rPr/>
        <w:t>inflation</w:t>
      </w:r>
      <w:r>
        <w:rPr>
          <w:spacing w:val="-3"/>
        </w:rPr>
        <w:t> </w:t>
      </w:r>
      <w:r>
        <w:rPr/>
        <w:t>would</w:t>
      </w:r>
      <w:r>
        <w:rPr>
          <w:spacing w:val="-3"/>
        </w:rPr>
        <w:t> </w:t>
      </w:r>
      <w:r>
        <w:rPr/>
        <w:t>be</w:t>
      </w:r>
      <w:r>
        <w:rPr>
          <w:spacing w:val="-4"/>
        </w:rPr>
        <w:t> </w:t>
      </w:r>
      <w:r>
        <w:rPr/>
        <w:t>achieved</w:t>
      </w:r>
      <w:r>
        <w:rPr>
          <w:spacing w:val="-3"/>
        </w:rPr>
        <w:t> </w:t>
      </w:r>
      <w:r>
        <w:rPr/>
        <w:t>at</w:t>
      </w:r>
      <w:r>
        <w:rPr>
          <w:spacing w:val="-3"/>
        </w:rPr>
        <w:t> </w:t>
      </w:r>
      <w:r>
        <w:rPr/>
        <w:t>the</w:t>
      </w:r>
      <w:r>
        <w:rPr>
          <w:spacing w:val="-4"/>
        </w:rPr>
        <w:t> </w:t>
      </w:r>
      <w:r>
        <w:rPr/>
        <w:t>cost</w:t>
      </w:r>
      <w:r>
        <w:rPr>
          <w:spacing w:val="-3"/>
        </w:rPr>
        <w:t> </w:t>
      </w:r>
      <w:r>
        <w:rPr/>
        <w:t>of</w:t>
      </w:r>
      <w:r>
        <w:rPr>
          <w:spacing w:val="-3"/>
        </w:rPr>
        <w:t> </w:t>
      </w:r>
      <w:r>
        <w:rPr/>
        <w:t>high unemployment.  However, unemployment</w:t>
      </w:r>
      <w:r>
        <w:rPr>
          <w:vertAlign w:val="superscript"/>
        </w:rPr>
        <w:t>4</w:t>
      </w:r>
      <w:r>
        <w:rPr>
          <w:vertAlign w:val="baseline"/>
        </w:rPr>
        <w:t>  has continued </w:t>
      </w:r>
      <w:r>
        <w:rPr>
          <w:spacing w:val="-3"/>
          <w:vertAlign w:val="baseline"/>
        </w:rPr>
        <w:t>falling, from 7.2% in  </w:t>
      </w:r>
      <w:r>
        <w:rPr>
          <w:vertAlign w:val="baseline"/>
        </w:rPr>
        <w:t>May 1997, to around 5.1% now (Chart 6). Output growth has averaged 2.8%</w:t>
      </w:r>
      <w:r>
        <w:rPr>
          <w:spacing w:val="-35"/>
          <w:vertAlign w:val="baseline"/>
        </w:rPr>
        <w:t> </w:t>
      </w:r>
      <w:r>
        <w:rPr>
          <w:vertAlign w:val="baseline"/>
        </w:rPr>
        <w:t>under</w:t>
      </w:r>
    </w:p>
    <w:p>
      <w:pPr>
        <w:pStyle w:val="BodyText"/>
        <w:spacing w:line="352" w:lineRule="auto" w:before="10"/>
        <w:ind w:left="160" w:right="236"/>
      </w:pPr>
      <w:r>
        <w:rPr/>
        <w:t>the new monetary framework, which compares favourably with the 40 year historical average of 2.5%.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shape style="position:absolute;margin-left:90pt;margin-top:10.510752pt;width:144pt;height:.1pt;mso-position-horizontal-relative:page;mso-position-vertical-relative:paragraph;z-index:-251643904;mso-wrap-distance-left:0;mso-wrap-distance-right:0" coordorigin="1800,210" coordsize="2880,0" path="m1800,210l4680,210e" filled="false" stroked="true" strokeweight=".75pt" strokecolor="#000000">
            <v:path arrowok="t"/>
            <v:stroke dashstyle="solid"/>
            <w10:wrap type="topAndBottom"/>
          </v:shape>
        </w:pict>
      </w:r>
    </w:p>
    <w:p>
      <w:pPr>
        <w:spacing w:before="29"/>
        <w:ind w:left="160" w:right="0" w:firstLine="0"/>
        <w:jc w:val="left"/>
        <w:rPr>
          <w:sz w:val="19"/>
        </w:rPr>
      </w:pPr>
      <w:r>
        <w:rPr>
          <w:w w:val="105"/>
          <w:position w:val="9"/>
          <w:sz w:val="13"/>
        </w:rPr>
        <w:t>4 </w:t>
      </w:r>
      <w:r>
        <w:rPr>
          <w:w w:val="105"/>
          <w:sz w:val="19"/>
        </w:rPr>
        <w:t>As per the Labour Force Survey definition.</w:t>
      </w:r>
    </w:p>
    <w:p>
      <w:pPr>
        <w:spacing w:after="0"/>
        <w:jc w:val="left"/>
        <w:rPr>
          <w:sz w:val="19"/>
        </w:rPr>
        <w:sectPr>
          <w:type w:val="continuous"/>
          <w:pgSz w:w="11920" w:h="16840"/>
          <w:pgMar w:top="1180" w:bottom="280" w:left="1640" w:right="1680"/>
        </w:sectPr>
      </w:pPr>
    </w:p>
    <w:p>
      <w:pPr>
        <w:spacing w:before="82"/>
        <w:ind w:left="160" w:right="0" w:firstLine="0"/>
        <w:jc w:val="left"/>
        <w:rPr>
          <w:sz w:val="19"/>
        </w:rPr>
      </w:pPr>
      <w:r>
        <w:rPr>
          <w:w w:val="105"/>
          <w:sz w:val="19"/>
        </w:rPr>
        <w:t>Chart 6</w:t>
      </w:r>
    </w:p>
    <w:p>
      <w:pPr>
        <w:pStyle w:val="BodyText"/>
        <w:spacing w:before="3"/>
        <w:rPr>
          <w:sz w:val="27"/>
        </w:rPr>
      </w:pPr>
    </w:p>
    <w:p>
      <w:pPr>
        <w:spacing w:after="0"/>
        <w:rPr>
          <w:sz w:val="27"/>
        </w:rPr>
        <w:sectPr>
          <w:pgSz w:w="11920" w:h="16840"/>
          <w:pgMar w:header="0" w:footer="739" w:top="1340" w:bottom="920" w:left="1640" w:right="1680"/>
        </w:sectPr>
      </w:pPr>
    </w:p>
    <w:p>
      <w:pPr>
        <w:pStyle w:val="Heading1"/>
        <w:spacing w:before="97"/>
        <w:ind w:left="595"/>
      </w:pPr>
      <w:r>
        <w:rPr>
          <w:w w:val="105"/>
        </w:rPr>
        <w:t>LFS </w:t>
      </w:r>
      <w:r>
        <w:rPr>
          <w:spacing w:val="-2"/>
          <w:w w:val="105"/>
        </w:rPr>
        <w:t>Unemployment</w:t>
      </w:r>
    </w:p>
    <w:p>
      <w:pPr>
        <w:pStyle w:val="BodyText"/>
        <w:rPr>
          <w:b/>
        </w:rPr>
      </w:pPr>
      <w:r>
        <w:rPr/>
        <w:br w:type="column"/>
      </w:r>
      <w:r>
        <w:rPr>
          <w:b/>
        </w:rPr>
      </w:r>
    </w:p>
    <w:p>
      <w:pPr>
        <w:pStyle w:val="BodyText"/>
        <w:spacing w:before="10"/>
        <w:rPr>
          <w:b/>
          <w:sz w:val="20"/>
        </w:rPr>
      </w:pPr>
    </w:p>
    <w:p>
      <w:pPr>
        <w:tabs>
          <w:tab w:pos="1404" w:val="left" w:leader="none"/>
        </w:tabs>
        <w:spacing w:before="0"/>
        <w:ind w:left="595" w:right="0" w:firstLine="0"/>
        <w:jc w:val="left"/>
        <w:rPr>
          <w:sz w:val="16"/>
        </w:rPr>
      </w:pPr>
      <w:r>
        <w:rPr/>
        <w:pict>
          <v:group style="position:absolute;margin-left:115.125pt;margin-top:6.34375pt;width:198.75pt;height:147.4pt;mso-position-horizontal-relative:page;mso-position-vertical-relative:paragraph;z-index:-252537856" coordorigin="2303,127" coordsize="3975,2948">
            <v:shape style="position:absolute;left:2325;top:134;width:3945;height:2940" coordorigin="2325,134" coordsize="3945,2940" path="m6210,134l6210,3029,6270,3029m6210,2669l6270,2669m6210,2309l6270,2309m6210,1949l6270,1949m6210,1589l6270,1589m6210,1229l6270,1229m6210,854l6270,854m6210,494l6270,494m6210,134l6270,134m2325,3029l6210,3029m2325,3074l2325,3029m3060,3074l3060,3029m3795,3074l3795,3029m4530,3074l4530,3029m5265,3074l5265,3029m6000,3074l6000,3029e" filled="false" stroked="true" strokeweight=".75pt" strokecolor="#000000">
              <v:path arrowok="t"/>
              <v:stroke dashstyle="solid"/>
            </v:shape>
            <v:line style="position:absolute" from="2325,899" to="2355,929" stroked="true" strokeweight="2.25pt" strokecolor="#000080">
              <v:stroke dashstyle="solid"/>
            </v:line>
            <v:line style="position:absolute" from="2355,929" to="2400,899" stroked="true" strokeweight="2.25pt" strokecolor="#000080">
              <v:stroke dashstyle="solid"/>
            </v:line>
            <v:line style="position:absolute" from="2400,899" to="2430,854" stroked="true" strokeweight="2.25pt" strokecolor="#000080">
              <v:stroke dashstyle="solid"/>
            </v:line>
            <v:line style="position:absolute" from="2430,854" to="2475,854" stroked="true" strokeweight="2.25pt" strokecolor="#000080">
              <v:stroke dashstyle="solid"/>
            </v:line>
            <v:line style="position:absolute" from="2475,854" to="2505,824" stroked="true" strokeweight="2.25pt" strokecolor="#000080">
              <v:stroke dashstyle="solid"/>
            </v:line>
            <v:line style="position:absolute" from="2505,824" to="2550,749" stroked="true" strokeweight="2.25pt" strokecolor="#000080">
              <v:stroke dashstyle="solid"/>
            </v:line>
            <v:line style="position:absolute" from="2550,749" to="2580,719" stroked="true" strokeweight="2.25pt" strokecolor="#000080">
              <v:stroke dashstyle="solid"/>
            </v:line>
            <v:line style="position:absolute" from="2580,719" to="2610,644" stroked="true" strokeweight="2.25pt" strokecolor="#000080">
              <v:stroke dashstyle="solid"/>
            </v:line>
            <v:line style="position:absolute" from="2610,644" to="2655,614" stroked="true" strokeweight="2.25pt" strokecolor="#000080">
              <v:stroke dashstyle="solid"/>
            </v:line>
            <v:line style="position:absolute" from="2655,614" to="2685,644" stroked="true" strokeweight="2.25pt" strokecolor="#000080">
              <v:stroke dashstyle="solid"/>
            </v:line>
            <v:line style="position:absolute" from="2685,644" to="2730,644" stroked="true" strokeweight="2.25pt" strokecolor="#000080">
              <v:stroke dashstyle="solid"/>
            </v:line>
            <v:line style="position:absolute" from="2730,644" to="2760,674" stroked="true" strokeweight="2.25pt" strokecolor="#000080">
              <v:stroke dashstyle="solid"/>
            </v:line>
            <v:line style="position:absolute" from="2760,674" to="2805,719" stroked="true" strokeweight="2.25pt" strokecolor="#000080">
              <v:stroke dashstyle="solid"/>
            </v:line>
            <v:line style="position:absolute" from="2805,719" to="2835,719" stroked="true" strokeweight="2.25pt" strokecolor="#000080">
              <v:stroke dashstyle="solid"/>
            </v:line>
            <v:line style="position:absolute" from="2835,719" to="2865,749" stroked="true" strokeweight="2.25pt" strokecolor="#000080">
              <v:stroke dashstyle="solid"/>
            </v:line>
            <v:shape style="position:absolute;left:2865;top:749;width:2805;height:1590" coordorigin="2865,749" coordsize="2805,1590" path="m2865,749l2910,749m2910,749l2940,749m2940,749l2985,749m2985,749l3015,749m3015,749l3060,749m3060,749l3090,824m3090,824l3135,854m3135,854l3165,929m3165,929l3210,929m3210,929l3240,974m3240,974l3285,1004m3285,1004l3315,1004m3315,1004l3345,1079m3345,1079l3390,1109m3390,1109l3420,1184m3420,1184l3465,1229m3465,1229l3495,1259m3495,1259l3540,1259m3540,1259l3570,1259m3570,1259l3600,1259m3600,1259l3645,1289m3645,1289l3675,1334m3675,1334l3720,1334m3720,1334l3750,1334m3750,1334l3795,1334m3795,1334l3825,1364m3825,1364l3870,1364m3870,1364l3900,1439m3900,1439l3945,1439m3945,1439l3975,1439m3975,1439l4005,1469m4005,1469l4050,1469m4050,1469l4080,1469m4080,1469l4125,1469m4125,1469l4155,1514m4155,1514l4200,1544m4200,1544l4230,1544m4230,1544l4275,1544m4275,1544l4305,1589m4305,1589l4335,1619m4335,1619l4380,1694m4380,1694l4410,1769m4410,1769l4455,1829m4455,1829l4485,1874m4485,1874l4530,1874m4530,1874l4560,1874m4560,1874l4590,1829m4590,1829l4635,1904m4635,1904l4665,2009m4665,2009l4710,2054m4710,2054l4740,2084m4740,2084l4785,2084m4785,2084l4815,2159m4815,2159l4860,2159m4860,2159l4890,2159m4890,2159l4935,2189m4935,2189l4965,2189m4965,2189l5010,2189m5010,2189l5040,2189m5040,2189l5070,2189m5070,2189l5115,2189m5115,2189l5145,2234m5145,2234l5190,2234m5190,2234l5220,2234m5220,2234l5265,2189m5265,2189l5295,2234m5295,2234l5325,2234m5325,2234l5370,2234m5370,2234l5400,2264m5400,2264l5445,2309m5445,2309l5475,2309m5475,2309l5520,2309m5520,2309l5550,2339m5550,2339l5595,2339m5595,2339l5625,2339m5625,2339l5670,2339e" filled="false" stroked="true" strokeweight="2.25pt" strokecolor="#000080">
              <v:path arrowok="t"/>
              <v:stroke dashstyle="solid"/>
            </v:shape>
            <v:line style="position:absolute" from="5670,2339" to="5700,2339" stroked="true" strokeweight="2.25pt" strokecolor="#000080">
              <v:stroke dashstyle="solid"/>
            </v:line>
            <v:line style="position:absolute" from="5700,2339" to="5730,2369" stroked="true" strokeweight="2.25pt" strokecolor="#000080">
              <v:stroke dashstyle="solid"/>
            </v:line>
            <v:line style="position:absolute" from="5730,2369" to="5775,2369" stroked="true" strokeweight="2.25pt" strokecolor="#000080">
              <v:stroke dashstyle="solid"/>
            </v:line>
            <v:line style="position:absolute" from="5775,2369" to="5805,2414" stroked="true" strokeweight="2.25pt" strokecolor="#000080">
              <v:stroke dashstyle="solid"/>
            </v:line>
            <v:line style="position:absolute" from="5805,2414" to="5850,2444" stroked="true" strokeweight="2.25pt" strokecolor="#000080">
              <v:stroke dashstyle="solid"/>
            </v:line>
            <v:line style="position:absolute" from="5850,2444" to="5880,2489" stroked="true" strokeweight="2.25pt" strokecolor="#000080">
              <v:stroke dashstyle="solid"/>
            </v:line>
            <v:line style="position:absolute" from="5880,2489" to="5925,2564" stroked="true" strokeweight="2.25pt" strokecolor="#000080">
              <v:stroke dashstyle="solid"/>
            </v:line>
            <v:line style="position:absolute" from="5925,2564" to="5955,2564" stroked="true" strokeweight="2.25pt" strokecolor="#000080">
              <v:stroke dashstyle="solid"/>
            </v:line>
            <v:line style="position:absolute" from="5955,2564" to="6000,2519" stroked="true" strokeweight="2.25pt" strokecolor="#000080">
              <v:stroke dashstyle="solid"/>
            </v:line>
            <v:line style="position:absolute" from="6000,2519" to="6030,2519" stroked="true" strokeweight="2.25pt" strokecolor="#000080">
              <v:stroke dashstyle="solid"/>
            </v:line>
            <v:line style="position:absolute" from="6030,2519" to="6060,2564" stroked="true" strokeweight="2.25pt" strokecolor="#000080">
              <v:stroke dashstyle="solid"/>
            </v:line>
            <v:line style="position:absolute" from="6060,2564" to="6105,2564" stroked="true" strokeweight="2.25pt" strokecolor="#000080">
              <v:stroke dashstyle="solid"/>
            </v:line>
            <v:line style="position:absolute" from="6105,2564" to="6135,2594" stroked="true" strokeweight="2.25pt" strokecolor="#000080">
              <v:stroke dashstyle="solid"/>
            </v:line>
            <v:line style="position:absolute" from="6135,2594" to="6180,2594" stroked="true" strokeweight="2.25pt" strokecolor="#000080">
              <v:stroke dashstyle="solid"/>
            </v:line>
            <v:line style="position:absolute" from="6180,2594" to="6210,2624" stroked="true" strokeweight="2.25pt" strokecolor="#000080">
              <v:stroke dashstyle="solid"/>
            </v:line>
            <w10:wrap type="none"/>
          </v:group>
        </w:pict>
      </w:r>
      <w:r>
        <w:rPr>
          <w:w w:val="105"/>
          <w:sz w:val="16"/>
        </w:rPr>
        <w:t>Percent</w:t>
        <w:tab/>
      </w:r>
      <w:r>
        <w:rPr>
          <w:spacing w:val="-8"/>
          <w:w w:val="105"/>
          <w:position w:val="-5"/>
          <w:sz w:val="16"/>
        </w:rPr>
        <w:t>12</w:t>
      </w:r>
    </w:p>
    <w:p>
      <w:pPr>
        <w:spacing w:before="176"/>
        <w:ind w:left="1405" w:right="0" w:firstLine="0"/>
        <w:jc w:val="left"/>
        <w:rPr>
          <w:sz w:val="16"/>
        </w:rPr>
      </w:pPr>
      <w:r>
        <w:rPr>
          <w:spacing w:val="-8"/>
          <w:w w:val="105"/>
          <w:sz w:val="16"/>
        </w:rPr>
        <w:t>11</w:t>
      </w:r>
    </w:p>
    <w:p>
      <w:pPr>
        <w:pStyle w:val="BodyText"/>
        <w:spacing w:before="4"/>
        <w:rPr>
          <w:sz w:val="15"/>
        </w:rPr>
      </w:pPr>
    </w:p>
    <w:p>
      <w:pPr>
        <w:spacing w:before="0"/>
        <w:ind w:left="1405" w:right="0" w:firstLine="0"/>
        <w:jc w:val="left"/>
        <w:rPr>
          <w:sz w:val="16"/>
        </w:rPr>
      </w:pPr>
      <w:r>
        <w:rPr>
          <w:spacing w:val="-8"/>
          <w:w w:val="105"/>
          <w:sz w:val="16"/>
        </w:rPr>
        <w:t>10</w:t>
      </w:r>
    </w:p>
    <w:p>
      <w:pPr>
        <w:pStyle w:val="BodyText"/>
        <w:spacing w:before="3"/>
        <w:rPr>
          <w:sz w:val="15"/>
        </w:rPr>
      </w:pPr>
    </w:p>
    <w:p>
      <w:pPr>
        <w:spacing w:before="0"/>
        <w:ind w:left="1405" w:right="0" w:firstLine="0"/>
        <w:jc w:val="left"/>
        <w:rPr>
          <w:sz w:val="16"/>
        </w:rPr>
      </w:pPr>
      <w:r>
        <w:rPr>
          <w:w w:val="103"/>
          <w:sz w:val="16"/>
        </w:rPr>
        <w:t>9</w:t>
      </w:r>
    </w:p>
    <w:p>
      <w:pPr>
        <w:pStyle w:val="BodyText"/>
        <w:spacing w:before="4"/>
        <w:rPr>
          <w:sz w:val="15"/>
        </w:rPr>
      </w:pPr>
    </w:p>
    <w:p>
      <w:pPr>
        <w:spacing w:before="0"/>
        <w:ind w:left="1405" w:right="0" w:firstLine="0"/>
        <w:jc w:val="left"/>
        <w:rPr>
          <w:sz w:val="16"/>
        </w:rPr>
      </w:pPr>
      <w:r>
        <w:rPr>
          <w:w w:val="103"/>
          <w:sz w:val="16"/>
        </w:rPr>
        <w:t>8</w:t>
      </w:r>
    </w:p>
    <w:p>
      <w:pPr>
        <w:pStyle w:val="BodyText"/>
        <w:spacing w:before="3"/>
        <w:rPr>
          <w:sz w:val="15"/>
        </w:rPr>
      </w:pPr>
    </w:p>
    <w:p>
      <w:pPr>
        <w:spacing w:before="1"/>
        <w:ind w:left="1405" w:right="0" w:firstLine="0"/>
        <w:jc w:val="left"/>
        <w:rPr>
          <w:sz w:val="16"/>
        </w:rPr>
      </w:pPr>
      <w:r>
        <w:rPr>
          <w:w w:val="103"/>
          <w:sz w:val="16"/>
        </w:rPr>
        <w:t>7</w:t>
      </w:r>
    </w:p>
    <w:p>
      <w:pPr>
        <w:pStyle w:val="BodyText"/>
        <w:spacing w:before="3"/>
        <w:rPr>
          <w:sz w:val="15"/>
        </w:rPr>
      </w:pPr>
    </w:p>
    <w:p>
      <w:pPr>
        <w:spacing w:before="0"/>
        <w:ind w:left="1405" w:right="0" w:firstLine="0"/>
        <w:jc w:val="left"/>
        <w:rPr>
          <w:sz w:val="16"/>
        </w:rPr>
      </w:pPr>
      <w:r>
        <w:rPr>
          <w:w w:val="103"/>
          <w:sz w:val="16"/>
        </w:rPr>
        <w:t>6</w:t>
      </w:r>
    </w:p>
    <w:p>
      <w:pPr>
        <w:pStyle w:val="BodyText"/>
        <w:spacing w:before="3"/>
        <w:rPr>
          <w:sz w:val="15"/>
        </w:rPr>
      </w:pPr>
    </w:p>
    <w:p>
      <w:pPr>
        <w:spacing w:before="1"/>
        <w:ind w:left="1405" w:right="0" w:firstLine="0"/>
        <w:jc w:val="left"/>
        <w:rPr>
          <w:sz w:val="16"/>
        </w:rPr>
      </w:pPr>
      <w:r>
        <w:rPr>
          <w:w w:val="103"/>
          <w:sz w:val="16"/>
        </w:rPr>
        <w:t>5</w:t>
      </w:r>
    </w:p>
    <w:p>
      <w:pPr>
        <w:pStyle w:val="BodyText"/>
        <w:spacing w:before="3"/>
        <w:rPr>
          <w:sz w:val="15"/>
        </w:rPr>
      </w:pPr>
    </w:p>
    <w:p>
      <w:pPr>
        <w:spacing w:before="0"/>
        <w:ind w:left="1405" w:right="0" w:firstLine="0"/>
        <w:jc w:val="left"/>
        <w:rPr>
          <w:sz w:val="16"/>
        </w:rPr>
      </w:pPr>
      <w:r>
        <w:rPr>
          <w:w w:val="103"/>
          <w:sz w:val="16"/>
        </w:rPr>
        <w:t>4</w:t>
      </w:r>
    </w:p>
    <w:p>
      <w:pPr>
        <w:spacing w:after="0"/>
        <w:jc w:val="left"/>
        <w:rPr>
          <w:sz w:val="16"/>
        </w:rPr>
        <w:sectPr>
          <w:type w:val="continuous"/>
          <w:pgSz w:w="11920" w:h="16840"/>
          <w:pgMar w:top="1180" w:bottom="280" w:left="1640" w:right="1680"/>
          <w:cols w:num="2" w:equalWidth="0">
            <w:col w:w="2750" w:space="550"/>
            <w:col w:w="5300"/>
          </w:cols>
        </w:sectPr>
      </w:pPr>
    </w:p>
    <w:p>
      <w:pPr>
        <w:tabs>
          <w:tab w:pos="1179" w:val="left" w:leader="none"/>
          <w:tab w:pos="1899" w:val="left" w:leader="none"/>
          <w:tab w:pos="2649" w:val="left" w:leader="none"/>
          <w:tab w:pos="3369" w:val="left" w:leader="none"/>
          <w:tab w:pos="4104" w:val="left" w:leader="none"/>
        </w:tabs>
        <w:spacing w:before="71"/>
        <w:ind w:left="445" w:right="0" w:firstLine="0"/>
        <w:jc w:val="left"/>
        <w:rPr>
          <w:sz w:val="16"/>
        </w:rPr>
      </w:pPr>
      <w:r>
        <w:rPr>
          <w:spacing w:val="-3"/>
          <w:w w:val="105"/>
          <w:sz w:val="16"/>
        </w:rPr>
        <w:t>Apr-92</w:t>
        <w:tab/>
      </w:r>
      <w:r>
        <w:rPr>
          <w:w w:val="105"/>
          <w:sz w:val="16"/>
        </w:rPr>
        <w:t>Dec-93</w:t>
        <w:tab/>
        <w:t>Aug-95</w:t>
        <w:tab/>
        <w:t>Apr-97</w:t>
        <w:tab/>
        <w:t>Dec-98</w:t>
        <w:tab/>
        <w:t>Aug-00</w:t>
      </w:r>
    </w:p>
    <w:p>
      <w:pPr>
        <w:pStyle w:val="BodyText"/>
        <w:spacing w:before="1"/>
        <w:rPr>
          <w:sz w:val="27"/>
        </w:rPr>
      </w:pPr>
    </w:p>
    <w:p>
      <w:pPr>
        <w:pStyle w:val="BodyText"/>
        <w:spacing w:before="90"/>
        <w:ind w:left="160"/>
      </w:pPr>
      <w:r>
        <w:rPr>
          <w:u w:val="single"/>
        </w:rPr>
        <w:t>ARE WE BIASED TOWARDS UNDERSHOOTING THE</w:t>
      </w:r>
      <w:r>
        <w:rPr>
          <w:spacing w:val="-41"/>
          <w:u w:val="single"/>
        </w:rPr>
        <w:t> </w:t>
      </w:r>
      <w:r>
        <w:rPr>
          <w:u w:val="single"/>
        </w:rPr>
        <w:t>TARGET?</w:t>
      </w:r>
    </w:p>
    <w:p>
      <w:pPr>
        <w:pStyle w:val="BodyText"/>
        <w:rPr>
          <w:sz w:val="20"/>
        </w:rPr>
      </w:pPr>
    </w:p>
    <w:p>
      <w:pPr>
        <w:pStyle w:val="BodyText"/>
        <w:spacing w:before="11"/>
        <w:rPr>
          <w:sz w:val="19"/>
        </w:rPr>
      </w:pPr>
    </w:p>
    <w:p>
      <w:pPr>
        <w:pStyle w:val="BodyText"/>
        <w:spacing w:line="360" w:lineRule="auto" w:before="90"/>
        <w:ind w:left="160" w:right="182"/>
      </w:pPr>
      <w:r>
        <w:rPr/>
        <w:t>Although much that has occurred has been encouraging, some have, nevertheless, argued that we have been biased towards undershooting the target. If we focus on </w:t>
      </w:r>
      <w:r>
        <w:rPr>
          <w:spacing w:val="-2"/>
        </w:rPr>
        <w:t>the </w:t>
      </w:r>
      <w:r>
        <w:rPr/>
        <w:t>profile of inflation over the last two years or so, the period over which the MPC has had more influence, there has been a tendency for inflation to undershoot the </w:t>
      </w:r>
      <w:r>
        <w:rPr>
          <w:spacing w:val="-2"/>
        </w:rPr>
        <w:t>target </w:t>
      </w:r>
      <w:r>
        <w:rPr/>
        <w:t>(Chart 1). Moreover, recent forecasts, including those incorporated in the May 2001 Inflation Report, are for RPIX inflation to remain below target for much of the next two years (Chart 7), suggesting an undershoot lasting nearly four</w:t>
      </w:r>
      <w:r>
        <w:rPr>
          <w:spacing w:val="39"/>
        </w:rPr>
        <w:t> </w:t>
      </w:r>
      <w:r>
        <w:rPr>
          <w:spacing w:val="-2"/>
        </w:rPr>
        <w:t>years.</w:t>
      </w:r>
    </w:p>
    <w:p>
      <w:pPr>
        <w:pStyle w:val="BodyText"/>
        <w:spacing w:before="4"/>
        <w:rPr>
          <w:sz w:val="36"/>
        </w:rPr>
      </w:pPr>
    </w:p>
    <w:p>
      <w:pPr>
        <w:spacing w:before="1"/>
        <w:ind w:left="160" w:right="0" w:firstLine="0"/>
        <w:jc w:val="left"/>
        <w:rPr>
          <w:sz w:val="19"/>
        </w:rPr>
      </w:pPr>
      <w:r>
        <w:rPr>
          <w:w w:val="105"/>
          <w:sz w:val="19"/>
        </w:rPr>
        <w:t>Chart 7</w:t>
      </w:r>
    </w:p>
    <w:p>
      <w:pPr>
        <w:pStyle w:val="BodyText"/>
        <w:spacing w:before="11"/>
        <w:rPr>
          <w:sz w:val="25"/>
        </w:rPr>
      </w:pPr>
    </w:p>
    <w:p>
      <w:pPr>
        <w:spacing w:after="0"/>
        <w:rPr>
          <w:sz w:val="25"/>
        </w:rPr>
        <w:sectPr>
          <w:type w:val="continuous"/>
          <w:pgSz w:w="11920" w:h="16840"/>
          <w:pgMar w:top="1180" w:bottom="280" w:left="1640" w:right="1680"/>
        </w:sectPr>
      </w:pPr>
    </w:p>
    <w:p>
      <w:pPr>
        <w:pStyle w:val="Heading1"/>
        <w:spacing w:before="96"/>
        <w:ind w:left="700"/>
      </w:pPr>
      <w:r>
        <w:rPr>
          <w:w w:val="105"/>
        </w:rPr>
        <w:t>RPIX forecast</w:t>
      </w:r>
    </w:p>
    <w:p>
      <w:pPr>
        <w:pStyle w:val="BodyText"/>
        <w:rPr>
          <w:b/>
          <w:sz w:val="18"/>
        </w:rPr>
      </w:pPr>
      <w:r>
        <w:rPr/>
        <w:br w:type="column"/>
      </w:r>
      <w:r>
        <w:rPr>
          <w:b/>
          <w:sz w:val="18"/>
        </w:rPr>
      </w:r>
    </w:p>
    <w:p>
      <w:pPr>
        <w:spacing w:before="144"/>
        <w:ind w:left="700" w:right="0" w:firstLine="0"/>
        <w:jc w:val="left"/>
        <w:rPr>
          <w:sz w:val="16"/>
        </w:rPr>
      </w:pPr>
      <w:r>
        <w:rPr/>
        <w:pict>
          <v:group style="position:absolute;margin-left:110.625pt;margin-top:15.79375pt;width:203.25pt;height:161.65pt;mso-position-horizontal-relative:page;mso-position-vertical-relative:paragraph;z-index:251683840" coordorigin="2213,316" coordsize="4065,3233">
            <v:shape style="position:absolute;left:2235;top:323;width:4035;height:3225" coordorigin="2235,323" coordsize="4035,3225" path="m6225,323l6225,3503,6270,3503m6225,2978l6270,2978m6225,2438l6270,2438m6225,1913l6270,1913m6225,1388l6270,1388m6225,848l6270,848m6225,323l6270,323m2235,3503l6225,3503m2235,3548l2235,3503m3180,3548l3180,3503m4110,3548l4110,3503m5055,3548l5055,3503m5985,3548l5985,3503e" filled="false" stroked="true" strokeweight=".75pt" strokecolor="#000000">
              <v:path arrowok="t"/>
              <v:stroke dashstyle="solid"/>
            </v:shape>
            <v:line style="position:absolute" from="2235,788" to="2475,1388" stroked="true" strokeweight="2.25pt" strokecolor="#000080">
              <v:stroke dashstyle="solid"/>
            </v:line>
            <v:line style="position:absolute" from="2475,1388" to="2715,1718" stroked="true" strokeweight="2.25pt" strokecolor="#000080">
              <v:stroke dashstyle="solid"/>
            </v:line>
            <v:line style="position:absolute" from="2715,1718" to="2940,1763" stroked="true" strokeweight="2.25pt" strokecolor="#000080">
              <v:stroke dashstyle="solid"/>
            </v:line>
            <v:shape style="position:absolute;left:2940;top:1763;width:1170;height:765" coordorigin="2940,1763" coordsize="1170,765" path="m2940,1763l3180,1928m3180,1928l3405,2003m3405,2003l3645,1838m3645,1838l3885,1883m3885,1883l4110,2528e" filled="false" stroked="true" strokeweight="2.25pt" strokecolor="#000080">
              <v:path arrowok="t"/>
              <v:stroke dashstyle="solid"/>
            </v:shape>
            <v:shape style="position:absolute;left:4095;top:818;width:2100;height:1710" coordorigin="4095,818" coordsize="2100,1710" path="m4140,2498l4095,2513,4110,2528,4140,2528,4140,2498m4260,2483l4245,2468,4215,2483,4215,2498,4260,2483m4380,2438l4350,2438,4335,2438,4320,2438,4335,2468,4350,2453,4380,2453,4380,2438m4500,2438l4455,2438,4455,2453,4500,2453,4500,2438m4605,2423l4575,2438,4575,2453,4590,2453,4605,2453,4605,2423m4725,2423l4695,2423,4695,2438,4725,2438,4725,2423m4845,2408l4815,2408,4800,2408,4800,2423,4815,2423,4830,2423,4845,2423,4845,2408m4965,2408l4920,2408,4920,2423,4965,2423,4965,2408m5070,2393l5040,2408,5040,2423,5055,2423,5055,2416,5070,2408,5070,2393m5190,2363l5145,2363,5145,2393,5190,2378,5190,2363m5325,2318l5295,2318,5288,2333,5265,2333,5265,2363,5295,2348,5325,2318m5400,2228l5385,2228,5355,2258,5370,2258,5400,2228m5475,2138l5460,2138,5430,2168,5460,2168,5475,2138m5550,2078l5520,2078,5505,2108,5535,2108,5550,2078m5610,1973l5595,1973,5565,2003,5595,2003,5610,1973m5670,1883l5655,1868,5640,1913,5655,1913,5670,1883m5745,1778l5715,1778,5700,1808,5715,1808,5745,1778m5775,1733l5760,1718,5745,1763,5760,1763,5775,1733m5820,1613l5790,1613,5775,1643,5805,1658,5820,1613m5850,1508l5835,1508,5820,1538,5850,1538,5850,1508m5895,1388l5880,1388,5865,1433,5880,1433,5895,1388m5940,1283l5925,1283,5910,1313,5925,1313,5940,1283m5985,1178l5955,1163,5940,1208,5970,1208,5985,1178m6015,1118l6000,1118,5970,1148,6000,1163,6015,1118m6075,1028l6060,1013,6030,1058,6060,1058,6075,1028m6135,923l6120,923,6090,953,6120,953,6135,923m6195,818l6180,818,6150,848,6180,848,6195,818e" filled="true" fillcolor="#ff00ff" stroked="false">
              <v:path arrowok="t"/>
              <v:fill type="solid"/>
            </v:shape>
            <v:line style="position:absolute" from="2235,848" to="2475,848" stroked="true" strokeweight="2.25pt" strokecolor="#ff0000">
              <v:stroke dashstyle="solid"/>
            </v:line>
            <v:line style="position:absolute" from="2475,848" to="2715,848" stroked="true" strokeweight="2.25pt" strokecolor="#ff0000">
              <v:stroke dashstyle="solid"/>
            </v:line>
            <v:line style="position:absolute" from="2715,848" to="2940,848" stroked="true" strokeweight="2.25pt" strokecolor="#ff0000">
              <v:stroke dashstyle="solid"/>
            </v:line>
            <v:shape style="position:absolute;left:2940;top:848;width:2580;height:2" coordorigin="2940,848" coordsize="2580,0" path="m2940,848l3180,848m3180,848l3405,848m3405,848l3645,848m3645,848l3885,848m3885,848l4110,848m4110,848l4350,848m4350,848l4575,848m4575,848l4815,848m4815,848l5055,848m5055,848l5280,848m5280,848l5520,848e" filled="false" stroked="true" strokeweight="2.25pt" strokecolor="#ff0000">
              <v:path arrowok="t"/>
              <v:stroke dashstyle="solid"/>
            </v:shape>
            <v:line style="position:absolute" from="5520,848" to="5745,848" stroked="true" strokeweight="2.25pt" strokecolor="#ff0000">
              <v:stroke dashstyle="solid"/>
            </v:line>
            <v:line style="position:absolute" from="5745,848" to="5985,848" stroked="true" strokeweight="2.25pt" strokecolor="#ff0000">
              <v:stroke dashstyle="solid"/>
            </v:line>
            <v:line style="position:absolute" from="5985,848" to="6225,848" stroked="true" strokeweight="2.25pt" strokecolor="#ff0000">
              <v:stroke dashstyle="solid"/>
            </v:line>
            <v:shape style="position:absolute;left:5370;top:641;width:455;height:184" type="#_x0000_t202" filled="false" stroked="false">
              <v:textbox inset="0,0,0,0">
                <w:txbxContent>
                  <w:p>
                    <w:pPr>
                      <w:spacing w:line="182" w:lineRule="exact" w:before="0"/>
                      <w:ind w:left="0" w:right="0" w:firstLine="0"/>
                      <w:jc w:val="left"/>
                      <w:rPr>
                        <w:sz w:val="16"/>
                      </w:rPr>
                    </w:pPr>
                    <w:r>
                      <w:rPr>
                        <w:w w:val="105"/>
                        <w:sz w:val="16"/>
                      </w:rPr>
                      <w:t>Target</w:t>
                    </w:r>
                  </w:p>
                </w:txbxContent>
              </v:textbox>
              <w10:wrap type="none"/>
            </v:shape>
            <v:shape style="position:absolute;left:2715;top:1316;width:920;height:184" type="#_x0000_t202" filled="false" stroked="false">
              <v:textbox inset="0,0,0,0">
                <w:txbxContent>
                  <w:p>
                    <w:pPr>
                      <w:spacing w:line="182" w:lineRule="exact" w:before="0"/>
                      <w:ind w:left="0" w:right="0" w:firstLine="0"/>
                      <w:jc w:val="left"/>
                      <w:rPr>
                        <w:sz w:val="16"/>
                      </w:rPr>
                    </w:pPr>
                    <w:r>
                      <w:rPr>
                        <w:w w:val="105"/>
                        <w:sz w:val="16"/>
                      </w:rPr>
                      <w:t>RPIX outturn</w:t>
                    </w:r>
                  </w:p>
                </w:txbxContent>
              </v:textbox>
              <w10:wrap type="none"/>
            </v:shape>
            <v:shape style="position:absolute;left:4275;top:2771;width:1175;height:184" type="#_x0000_t202" filled="false" stroked="false">
              <v:textbox inset="0,0,0,0">
                <w:txbxContent>
                  <w:p>
                    <w:pPr>
                      <w:spacing w:line="182" w:lineRule="exact" w:before="0"/>
                      <w:ind w:left="0" w:right="0" w:firstLine="0"/>
                      <w:jc w:val="left"/>
                      <w:rPr>
                        <w:sz w:val="16"/>
                      </w:rPr>
                    </w:pPr>
                    <w:r>
                      <w:rPr>
                        <w:w w:val="105"/>
                        <w:sz w:val="16"/>
                      </w:rPr>
                      <w:t>May IR</w:t>
                    </w:r>
                    <w:r>
                      <w:rPr>
                        <w:spacing w:val="-32"/>
                        <w:w w:val="105"/>
                        <w:sz w:val="16"/>
                      </w:rPr>
                      <w:t> </w:t>
                    </w:r>
                    <w:r>
                      <w:rPr>
                        <w:w w:val="105"/>
                        <w:sz w:val="16"/>
                      </w:rPr>
                      <w:t>Forecasts</w:t>
                    </w:r>
                  </w:p>
                </w:txbxContent>
              </v:textbox>
              <w10:wrap type="none"/>
            </v:shape>
            <w10:wrap type="none"/>
          </v:group>
        </w:pict>
      </w:r>
      <w:r>
        <w:rPr>
          <w:w w:val="105"/>
          <w:sz w:val="16"/>
        </w:rPr>
        <w:t>% yoy</w:t>
      </w:r>
    </w:p>
    <w:p>
      <w:pPr>
        <w:pStyle w:val="BodyText"/>
        <w:rPr>
          <w:sz w:val="18"/>
        </w:rPr>
      </w:pPr>
      <w:r>
        <w:rPr/>
        <w:br w:type="column"/>
      </w:r>
      <w:r>
        <w:rPr>
          <w:sz w:val="18"/>
        </w:rPr>
      </w:r>
    </w:p>
    <w:p>
      <w:pPr>
        <w:pStyle w:val="BodyText"/>
        <w:spacing w:before="3"/>
        <w:rPr>
          <w:sz w:val="20"/>
        </w:rPr>
      </w:pPr>
    </w:p>
    <w:p>
      <w:pPr>
        <w:spacing w:before="1"/>
        <w:ind w:left="199" w:right="0" w:firstLine="0"/>
        <w:jc w:val="left"/>
        <w:rPr>
          <w:sz w:val="16"/>
        </w:rPr>
      </w:pPr>
      <w:r>
        <w:rPr>
          <w:w w:val="105"/>
          <w:sz w:val="16"/>
        </w:rPr>
        <w:t>2.7</w:t>
      </w:r>
    </w:p>
    <w:p>
      <w:pPr>
        <w:spacing w:after="0"/>
        <w:jc w:val="left"/>
        <w:rPr>
          <w:sz w:val="16"/>
        </w:rPr>
        <w:sectPr>
          <w:type w:val="continuous"/>
          <w:pgSz w:w="11920" w:h="16840"/>
          <w:pgMar w:top="1180" w:bottom="280" w:left="1640" w:right="1680"/>
          <w:cols w:num="3" w:equalWidth="0">
            <w:col w:w="2255" w:space="1075"/>
            <w:col w:w="1136" w:space="40"/>
            <w:col w:w="4094"/>
          </w:cols>
        </w:sectPr>
      </w:pPr>
    </w:p>
    <w:p>
      <w:pPr>
        <w:pStyle w:val="BodyText"/>
        <w:spacing w:before="5"/>
        <w:rPr>
          <w:sz w:val="22"/>
        </w:rPr>
      </w:pPr>
    </w:p>
    <w:p>
      <w:pPr>
        <w:spacing w:before="98"/>
        <w:ind w:left="2970" w:right="1950" w:firstLine="0"/>
        <w:jc w:val="center"/>
        <w:rPr>
          <w:sz w:val="16"/>
        </w:rPr>
      </w:pPr>
      <w:r>
        <w:rPr>
          <w:w w:val="105"/>
          <w:sz w:val="16"/>
        </w:rPr>
        <w:t>2.5</w:t>
      </w:r>
    </w:p>
    <w:p>
      <w:pPr>
        <w:pStyle w:val="BodyText"/>
        <w:spacing w:before="1"/>
        <w:rPr>
          <w:sz w:val="21"/>
        </w:rPr>
      </w:pPr>
    </w:p>
    <w:p>
      <w:pPr>
        <w:spacing w:before="98"/>
        <w:ind w:left="2970" w:right="1950" w:firstLine="0"/>
        <w:jc w:val="center"/>
        <w:rPr>
          <w:sz w:val="16"/>
        </w:rPr>
      </w:pPr>
      <w:r>
        <w:rPr>
          <w:w w:val="105"/>
          <w:sz w:val="16"/>
        </w:rPr>
        <w:t>2.3</w:t>
      </w:r>
    </w:p>
    <w:p>
      <w:pPr>
        <w:pStyle w:val="BodyText"/>
        <w:spacing w:before="2"/>
        <w:rPr>
          <w:sz w:val="21"/>
        </w:rPr>
      </w:pPr>
    </w:p>
    <w:p>
      <w:pPr>
        <w:spacing w:before="98"/>
        <w:ind w:left="2970" w:right="1950" w:firstLine="0"/>
        <w:jc w:val="center"/>
        <w:rPr>
          <w:sz w:val="16"/>
        </w:rPr>
      </w:pPr>
      <w:r>
        <w:rPr>
          <w:w w:val="105"/>
          <w:sz w:val="16"/>
        </w:rPr>
        <w:t>2.1</w:t>
      </w:r>
    </w:p>
    <w:p>
      <w:pPr>
        <w:pStyle w:val="BodyText"/>
        <w:spacing w:before="5"/>
        <w:rPr>
          <w:sz w:val="22"/>
        </w:rPr>
      </w:pPr>
    </w:p>
    <w:p>
      <w:pPr>
        <w:spacing w:before="98"/>
        <w:ind w:left="2970" w:right="1950" w:firstLine="0"/>
        <w:jc w:val="center"/>
        <w:rPr>
          <w:sz w:val="16"/>
        </w:rPr>
      </w:pPr>
      <w:r>
        <w:rPr>
          <w:w w:val="105"/>
          <w:sz w:val="16"/>
        </w:rPr>
        <w:t>1.9</w:t>
      </w:r>
    </w:p>
    <w:p>
      <w:pPr>
        <w:pStyle w:val="BodyText"/>
        <w:rPr>
          <w:sz w:val="18"/>
        </w:rPr>
      </w:pPr>
    </w:p>
    <w:p>
      <w:pPr>
        <w:spacing w:before="134"/>
        <w:ind w:left="2970" w:right="1950" w:firstLine="0"/>
        <w:jc w:val="center"/>
        <w:rPr>
          <w:sz w:val="16"/>
        </w:rPr>
      </w:pPr>
      <w:r>
        <w:rPr>
          <w:w w:val="105"/>
          <w:sz w:val="16"/>
        </w:rPr>
        <w:t>1.7</w:t>
      </w:r>
    </w:p>
    <w:p>
      <w:pPr>
        <w:pStyle w:val="BodyText"/>
        <w:spacing w:before="1"/>
        <w:rPr>
          <w:sz w:val="21"/>
        </w:rPr>
      </w:pPr>
    </w:p>
    <w:p>
      <w:pPr>
        <w:spacing w:before="98"/>
        <w:ind w:left="2970" w:right="1950" w:firstLine="0"/>
        <w:jc w:val="center"/>
        <w:rPr>
          <w:sz w:val="16"/>
        </w:rPr>
      </w:pPr>
      <w:r>
        <w:rPr>
          <w:w w:val="105"/>
          <w:sz w:val="16"/>
        </w:rPr>
        <w:t>1.5</w:t>
      </w:r>
    </w:p>
    <w:p>
      <w:pPr>
        <w:tabs>
          <w:tab w:pos="929" w:val="left" w:leader="none"/>
          <w:tab w:pos="1874" w:val="left" w:leader="none"/>
          <w:tab w:pos="2804" w:val="left" w:leader="none"/>
          <w:tab w:pos="3749" w:val="left" w:leader="none"/>
        </w:tabs>
        <w:spacing w:before="71"/>
        <w:ind w:left="0" w:right="3644" w:firstLine="0"/>
        <w:jc w:val="center"/>
        <w:rPr>
          <w:sz w:val="16"/>
        </w:rPr>
      </w:pPr>
      <w:r>
        <w:rPr>
          <w:w w:val="105"/>
          <w:sz w:val="16"/>
        </w:rPr>
        <w:t>Q199</w:t>
        <w:tab/>
      </w:r>
      <w:r>
        <w:rPr>
          <w:spacing w:val="3"/>
          <w:w w:val="105"/>
          <w:sz w:val="16"/>
        </w:rPr>
        <w:t>Q100</w:t>
        <w:tab/>
      </w:r>
      <w:r>
        <w:rPr>
          <w:w w:val="105"/>
          <w:sz w:val="16"/>
        </w:rPr>
        <w:t>Q101</w:t>
        <w:tab/>
        <w:t>Q102</w:t>
        <w:tab/>
        <w:t>Q103</w:t>
      </w:r>
    </w:p>
    <w:p>
      <w:pPr>
        <w:spacing w:after="0"/>
        <w:jc w:val="center"/>
        <w:rPr>
          <w:sz w:val="16"/>
        </w:rPr>
        <w:sectPr>
          <w:type w:val="continuous"/>
          <w:pgSz w:w="11920" w:h="16840"/>
          <w:pgMar w:top="1180" w:bottom="280" w:left="1640" w:right="1680"/>
        </w:sectPr>
      </w:pPr>
    </w:p>
    <w:p>
      <w:pPr>
        <w:pStyle w:val="BodyText"/>
        <w:spacing w:line="352" w:lineRule="auto" w:before="61"/>
        <w:ind w:left="160" w:right="840"/>
      </w:pPr>
      <w:r>
        <w:rPr/>
        <w:t>Relatedly, if we look at recent two-year ahead forecasts for RPIX inflation, the out-turns for RPIX inflation have </w:t>
      </w:r>
      <w:r>
        <w:rPr>
          <w:b/>
        </w:rPr>
        <w:t>always </w:t>
      </w:r>
      <w:r>
        <w:rPr/>
        <w:t>been lower than the forecast. This is</w:t>
      </w:r>
    </w:p>
    <w:p>
      <w:pPr>
        <w:pStyle w:val="BodyText"/>
        <w:spacing w:line="352" w:lineRule="auto" w:before="13"/>
        <w:ind w:left="160" w:right="435"/>
      </w:pPr>
      <w:r>
        <w:rPr/>
        <w:t>demonstrated in Chart 8 below, which shows actual RPIX annual inflation together with the two-year ahead forecast.</w:t>
      </w:r>
      <w:r>
        <w:rPr>
          <w:vertAlign w:val="superscript"/>
        </w:rPr>
        <w:t>5</w:t>
      </w:r>
    </w:p>
    <w:p>
      <w:pPr>
        <w:pStyle w:val="BodyText"/>
        <w:spacing w:before="10"/>
        <w:rPr>
          <w:sz w:val="37"/>
        </w:rPr>
      </w:pPr>
    </w:p>
    <w:p>
      <w:pPr>
        <w:spacing w:before="0"/>
        <w:ind w:left="160" w:right="0" w:firstLine="0"/>
        <w:jc w:val="left"/>
        <w:rPr>
          <w:sz w:val="19"/>
        </w:rPr>
      </w:pPr>
      <w:r>
        <w:rPr>
          <w:w w:val="105"/>
          <w:sz w:val="19"/>
        </w:rPr>
        <w:t>Chart 8</w:t>
      </w:r>
    </w:p>
    <w:p>
      <w:pPr>
        <w:pStyle w:val="BodyText"/>
        <w:spacing w:before="1"/>
        <w:rPr>
          <w:sz w:val="22"/>
        </w:rPr>
      </w:pPr>
    </w:p>
    <w:p>
      <w:pPr>
        <w:spacing w:after="0"/>
        <w:rPr>
          <w:sz w:val="22"/>
        </w:rPr>
        <w:sectPr>
          <w:pgSz w:w="11920" w:h="16840"/>
          <w:pgMar w:header="0" w:footer="739" w:top="1360" w:bottom="920" w:left="1640" w:right="1680"/>
        </w:sectPr>
      </w:pPr>
    </w:p>
    <w:p>
      <w:pPr>
        <w:pStyle w:val="Heading1"/>
        <w:spacing w:before="96"/>
        <w:ind w:left="310"/>
      </w:pPr>
      <w:r>
        <w:rPr>
          <w:w w:val="105"/>
        </w:rPr>
        <w:t>MPC</w:t>
      </w:r>
      <w:r>
        <w:rPr>
          <w:spacing w:val="-22"/>
          <w:w w:val="105"/>
        </w:rPr>
        <w:t> </w:t>
      </w:r>
      <w:r>
        <w:rPr>
          <w:w w:val="105"/>
        </w:rPr>
        <w:t>Forecasts</w:t>
      </w:r>
      <w:r>
        <w:rPr>
          <w:spacing w:val="-21"/>
          <w:w w:val="105"/>
        </w:rPr>
        <w:t> </w:t>
      </w:r>
      <w:r>
        <w:rPr>
          <w:w w:val="105"/>
        </w:rPr>
        <w:t>of</w:t>
      </w:r>
      <w:r>
        <w:rPr>
          <w:spacing w:val="-21"/>
          <w:w w:val="105"/>
        </w:rPr>
        <w:t> </w:t>
      </w:r>
      <w:r>
        <w:rPr>
          <w:w w:val="105"/>
        </w:rPr>
        <w:t>Inflation</w:t>
      </w:r>
      <w:r>
        <w:rPr>
          <w:spacing w:val="-21"/>
          <w:w w:val="105"/>
        </w:rPr>
        <w:t> </w:t>
      </w:r>
      <w:r>
        <w:rPr>
          <w:w w:val="105"/>
        </w:rPr>
        <w:t>vs</w:t>
      </w:r>
      <w:r>
        <w:rPr>
          <w:spacing w:val="-21"/>
          <w:w w:val="105"/>
        </w:rPr>
        <w:t> </w:t>
      </w:r>
      <w:r>
        <w:rPr>
          <w:w w:val="105"/>
        </w:rPr>
        <w:t>Outturns</w:t>
      </w:r>
    </w:p>
    <w:p>
      <w:pPr>
        <w:pStyle w:val="BodyText"/>
        <w:rPr>
          <w:b/>
          <w:sz w:val="20"/>
        </w:rPr>
      </w:pPr>
      <w:r>
        <w:rPr/>
        <w:br w:type="column"/>
      </w:r>
      <w:r>
        <w:rPr>
          <w:b/>
          <w:sz w:val="20"/>
        </w:rPr>
      </w:r>
    </w:p>
    <w:p>
      <w:pPr>
        <w:pStyle w:val="BodyText"/>
        <w:spacing w:before="2"/>
        <w:rPr>
          <w:b/>
          <w:sz w:val="23"/>
        </w:rPr>
      </w:pPr>
    </w:p>
    <w:p>
      <w:pPr>
        <w:spacing w:before="1"/>
        <w:ind w:left="169" w:right="0" w:firstLine="0"/>
        <w:jc w:val="left"/>
        <w:rPr>
          <w:sz w:val="18"/>
        </w:rPr>
      </w:pPr>
      <w:r>
        <w:rPr/>
        <w:pict>
          <v:group style="position:absolute;margin-left:109.125pt;margin-top:4.327344pt;width:204pt;height:157.15pt;mso-position-horizontal-relative:page;mso-position-vertical-relative:paragraph;z-index:251688960" coordorigin="2183,87" coordsize="4080,3143">
            <v:shape style="position:absolute;left:2205;top:94;width:4050;height:3135" coordorigin="2205,94" coordsize="4050,3135" path="m6210,94l6210,3169,6255,3169m6210,2659l6255,2659m6210,2149l6255,2149m6210,1639l6255,1639m6210,1114l6255,1114m6210,604l6255,604m6210,94l6255,94m2205,3169l6210,3169m2205,3229l2205,3169m2865,3229l2865,3169m3540,3229l3540,3169m4200,3229l4200,3169m4875,3229l4875,3169m5535,3229l5535,3169m6210,3229l6210,3169e" filled="false" stroked="true" strokeweight=".75pt" strokecolor="#000000">
              <v:path arrowok="t"/>
              <v:stroke dashstyle="solid"/>
            </v:shape>
            <v:line style="position:absolute" from="2183,1977" to="2888,1977" stroked="true" strokeweight="4.5pt" strokecolor="#000080">
              <v:stroke dashstyle="solid"/>
            </v:line>
            <v:shape style="position:absolute;left:2865;top:1999;width:2010;height:240" coordorigin="2865,1999" coordsize="2010,240" path="m2865,1999l3540,2164m3540,2164l4200,2239m4200,2239l4875,2074e" filled="false" stroked="true" strokeweight="2.25pt" strokecolor="#000080">
              <v:path arrowok="t"/>
              <v:stroke dashstyle="solid"/>
            </v:shape>
            <v:line style="position:absolute" from="4853,2089" to="5558,2089" stroked="true" strokeweight="3.75pt" strokecolor="#000080">
              <v:stroke dashstyle="solid"/>
            </v:line>
            <v:line style="position:absolute" from="5535,2104" to="6210,2734" stroked="true" strokeweight="2.25pt" strokecolor="#000080">
              <v:stroke dashstyle="solid"/>
            </v:line>
            <v:line style="position:absolute" from="2205,1114" to="2865,1324" stroked="true" strokeweight="2.25pt" strokecolor="#ff00ff">
              <v:stroke dashstyle="solid"/>
            </v:line>
            <v:shape style="position:absolute;left:2865;top:769;width:2010;height:735" coordorigin="2865,769" coordsize="2010,735" path="m2865,1324l3540,769m3540,769l4200,1504m4200,1504l4875,1204e" filled="false" stroked="true" strokeweight="2.25pt" strokecolor="#ff00ff">
              <v:path arrowok="t"/>
              <v:stroke dashstyle="solid"/>
            </v:shape>
            <v:line style="position:absolute" from="4853,1227" to="5558,1227" stroked="true" strokeweight="4.5pt" strokecolor="#ff00ff">
              <v:stroke dashstyle="solid"/>
            </v:line>
            <v:line style="position:absolute" from="5535,1249" to="6210,964" stroked="true" strokeweight="2.25pt" strokecolor="#ff00ff">
              <v:stroke dashstyle="solid"/>
            </v:line>
            <v:shape style="position:absolute;left:5640;top:117;width:470;height:195" type="#_x0000_t202" filled="false" stroked="false">
              <v:textbox inset="0,0,0,0">
                <w:txbxContent>
                  <w:p>
                    <w:pPr>
                      <w:spacing w:line="193" w:lineRule="exact" w:before="0"/>
                      <w:ind w:left="0" w:right="0" w:firstLine="0"/>
                      <w:jc w:val="left"/>
                      <w:rPr>
                        <w:sz w:val="17"/>
                      </w:rPr>
                    </w:pPr>
                    <w:r>
                      <w:rPr>
                        <w:w w:val="105"/>
                        <w:sz w:val="17"/>
                      </w:rPr>
                      <w:t>% yoy</w:t>
                    </w:r>
                  </w:p>
                </w:txbxContent>
              </v:textbox>
              <w10:wrap type="none"/>
            </v:shape>
            <v:shape style="position:absolute;left:3780;top:807;width:1970;height:195" type="#_x0000_t202" filled="false" stroked="false">
              <v:textbox inset="0,0,0,0">
                <w:txbxContent>
                  <w:p>
                    <w:pPr>
                      <w:spacing w:line="193" w:lineRule="exact" w:before="0"/>
                      <w:ind w:left="0" w:right="0" w:firstLine="0"/>
                      <w:jc w:val="left"/>
                      <w:rPr>
                        <w:sz w:val="17"/>
                      </w:rPr>
                    </w:pPr>
                    <w:r>
                      <w:rPr>
                        <w:w w:val="105"/>
                        <w:sz w:val="17"/>
                      </w:rPr>
                      <w:t>Forecasts</w:t>
                    </w:r>
                    <w:r>
                      <w:rPr>
                        <w:spacing w:val="-13"/>
                        <w:w w:val="105"/>
                        <w:sz w:val="17"/>
                      </w:rPr>
                      <w:t> </w:t>
                    </w:r>
                    <w:r>
                      <w:rPr>
                        <w:w w:val="105"/>
                        <w:sz w:val="17"/>
                      </w:rPr>
                      <w:t>9</w:t>
                    </w:r>
                    <w:r>
                      <w:rPr>
                        <w:spacing w:val="-12"/>
                        <w:w w:val="105"/>
                        <w:sz w:val="17"/>
                      </w:rPr>
                      <w:t> </w:t>
                    </w:r>
                    <w:r>
                      <w:rPr>
                        <w:w w:val="105"/>
                        <w:sz w:val="17"/>
                      </w:rPr>
                      <w:t>Quarters</w:t>
                    </w:r>
                    <w:r>
                      <w:rPr>
                        <w:spacing w:val="-13"/>
                        <w:w w:val="105"/>
                        <w:sz w:val="17"/>
                      </w:rPr>
                      <w:t> </w:t>
                    </w:r>
                    <w:r>
                      <w:rPr>
                        <w:w w:val="105"/>
                        <w:sz w:val="17"/>
                      </w:rPr>
                      <w:t>Ahead</w:t>
                    </w:r>
                  </w:p>
                </w:txbxContent>
              </v:textbox>
              <w10:wrap type="none"/>
            </v:shape>
            <v:shape style="position:absolute;left:2850;top:2547;width:2195;height:195" type="#_x0000_t202" filled="false" stroked="false">
              <v:textbox inset="0,0,0,0">
                <w:txbxContent>
                  <w:p>
                    <w:pPr>
                      <w:spacing w:line="193" w:lineRule="exact" w:before="0"/>
                      <w:ind w:left="0" w:right="0" w:firstLine="0"/>
                      <w:jc w:val="left"/>
                      <w:rPr>
                        <w:sz w:val="17"/>
                      </w:rPr>
                    </w:pPr>
                    <w:r>
                      <w:rPr>
                        <w:w w:val="105"/>
                        <w:sz w:val="17"/>
                      </w:rPr>
                      <w:t>Comparable Inflation</w:t>
                    </w:r>
                    <w:r>
                      <w:rPr>
                        <w:spacing w:val="-28"/>
                        <w:w w:val="105"/>
                        <w:sz w:val="17"/>
                      </w:rPr>
                      <w:t> </w:t>
                    </w:r>
                    <w:r>
                      <w:rPr>
                        <w:w w:val="105"/>
                        <w:sz w:val="17"/>
                      </w:rPr>
                      <w:t>Outturns</w:t>
                    </w:r>
                  </w:p>
                </w:txbxContent>
              </v:textbox>
              <w10:wrap type="none"/>
            </v:shape>
            <w10:wrap type="none"/>
          </v:group>
        </w:pict>
      </w:r>
      <w:r>
        <w:rPr>
          <w:sz w:val="18"/>
        </w:rPr>
        <w:t>2.9</w:t>
      </w:r>
    </w:p>
    <w:p>
      <w:pPr>
        <w:spacing w:after="0"/>
        <w:jc w:val="left"/>
        <w:rPr>
          <w:sz w:val="18"/>
        </w:rPr>
        <w:sectPr>
          <w:type w:val="continuous"/>
          <w:pgSz w:w="11920" w:h="16840"/>
          <w:pgMar w:top="1180" w:bottom="280" w:left="1640" w:right="1680"/>
          <w:cols w:num="2" w:equalWidth="0">
            <w:col w:w="4496" w:space="40"/>
            <w:col w:w="4064"/>
          </w:cols>
        </w:sectPr>
      </w:pPr>
    </w:p>
    <w:p>
      <w:pPr>
        <w:pStyle w:val="BodyText"/>
        <w:spacing w:before="3"/>
        <w:rPr>
          <w:sz w:val="18"/>
        </w:rPr>
      </w:pPr>
    </w:p>
    <w:p>
      <w:pPr>
        <w:spacing w:before="93"/>
        <w:ind w:left="2970" w:right="1935" w:firstLine="0"/>
        <w:jc w:val="center"/>
        <w:rPr>
          <w:sz w:val="18"/>
        </w:rPr>
      </w:pPr>
      <w:r>
        <w:rPr>
          <w:sz w:val="18"/>
        </w:rPr>
        <w:t>2.7</w:t>
      </w:r>
    </w:p>
    <w:p>
      <w:pPr>
        <w:pStyle w:val="BodyText"/>
        <w:spacing w:before="3"/>
        <w:rPr>
          <w:sz w:val="18"/>
        </w:rPr>
      </w:pPr>
    </w:p>
    <w:p>
      <w:pPr>
        <w:spacing w:before="93"/>
        <w:ind w:left="2970" w:right="1935" w:firstLine="0"/>
        <w:jc w:val="center"/>
        <w:rPr>
          <w:sz w:val="18"/>
        </w:rPr>
      </w:pPr>
      <w:r>
        <w:rPr>
          <w:sz w:val="18"/>
        </w:rPr>
        <w:t>2.5</w:t>
      </w:r>
    </w:p>
    <w:p>
      <w:pPr>
        <w:pStyle w:val="BodyText"/>
        <w:spacing w:before="3"/>
        <w:rPr>
          <w:sz w:val="18"/>
        </w:rPr>
      </w:pPr>
    </w:p>
    <w:p>
      <w:pPr>
        <w:spacing w:before="93"/>
        <w:ind w:left="2970" w:right="1935" w:firstLine="0"/>
        <w:jc w:val="center"/>
        <w:rPr>
          <w:sz w:val="18"/>
        </w:rPr>
      </w:pPr>
      <w:r>
        <w:rPr>
          <w:sz w:val="18"/>
        </w:rPr>
        <w:t>2.3</w:t>
      </w:r>
    </w:p>
    <w:p>
      <w:pPr>
        <w:pStyle w:val="BodyText"/>
        <w:spacing w:before="3"/>
        <w:rPr>
          <w:sz w:val="18"/>
        </w:rPr>
      </w:pPr>
    </w:p>
    <w:p>
      <w:pPr>
        <w:spacing w:before="93"/>
        <w:ind w:left="2970" w:right="1935" w:firstLine="0"/>
        <w:jc w:val="center"/>
        <w:rPr>
          <w:sz w:val="18"/>
        </w:rPr>
      </w:pPr>
      <w:r>
        <w:rPr>
          <w:sz w:val="18"/>
        </w:rPr>
        <w:t>2.1</w:t>
      </w:r>
    </w:p>
    <w:p>
      <w:pPr>
        <w:pStyle w:val="BodyText"/>
        <w:spacing w:before="6"/>
        <w:rPr>
          <w:sz w:val="19"/>
        </w:rPr>
      </w:pPr>
    </w:p>
    <w:p>
      <w:pPr>
        <w:spacing w:before="93"/>
        <w:ind w:left="2970" w:right="1935" w:firstLine="0"/>
        <w:jc w:val="center"/>
        <w:rPr>
          <w:sz w:val="18"/>
        </w:rPr>
      </w:pPr>
      <w:r>
        <w:rPr>
          <w:sz w:val="18"/>
        </w:rPr>
        <w:t>1.9</w:t>
      </w:r>
    </w:p>
    <w:p>
      <w:pPr>
        <w:pStyle w:val="BodyText"/>
        <w:spacing w:before="3"/>
        <w:rPr>
          <w:sz w:val="18"/>
        </w:rPr>
      </w:pPr>
    </w:p>
    <w:p>
      <w:pPr>
        <w:spacing w:before="93"/>
        <w:ind w:left="2970" w:right="1935" w:firstLine="0"/>
        <w:jc w:val="center"/>
        <w:rPr>
          <w:sz w:val="18"/>
        </w:rPr>
      </w:pPr>
      <w:r>
        <w:rPr>
          <w:sz w:val="18"/>
        </w:rPr>
        <w:t>1.7</w:t>
      </w:r>
    </w:p>
    <w:p>
      <w:pPr>
        <w:tabs>
          <w:tab w:pos="674" w:val="left" w:leader="none"/>
          <w:tab w:pos="1334" w:val="left" w:leader="none"/>
          <w:tab w:pos="2009" w:val="left" w:leader="none"/>
          <w:tab w:pos="2669" w:val="left" w:leader="none"/>
          <w:tab w:pos="3344" w:val="left" w:leader="none"/>
          <w:tab w:pos="4004" w:val="left" w:leader="none"/>
        </w:tabs>
        <w:spacing w:before="63"/>
        <w:ind w:left="0" w:right="3478" w:firstLine="0"/>
        <w:jc w:val="center"/>
        <w:rPr>
          <w:sz w:val="18"/>
        </w:rPr>
      </w:pPr>
      <w:r>
        <w:rPr>
          <w:sz w:val="18"/>
        </w:rPr>
        <w:t>Q399</w:t>
        <w:tab/>
        <w:t>Q499</w:t>
        <w:tab/>
        <w:t>Q100</w:t>
        <w:tab/>
        <w:t>Q200</w:t>
        <w:tab/>
        <w:t>Q300</w:t>
        <w:tab/>
        <w:t>Q400</w:t>
        <w:tab/>
        <w:t>Q101</w:t>
      </w:r>
    </w:p>
    <w:p>
      <w:pPr>
        <w:pStyle w:val="BodyText"/>
        <w:rPr>
          <w:sz w:val="20"/>
        </w:rPr>
      </w:pPr>
    </w:p>
    <w:p>
      <w:pPr>
        <w:pStyle w:val="BodyText"/>
        <w:spacing w:before="10"/>
        <w:rPr>
          <w:sz w:val="28"/>
        </w:rPr>
      </w:pPr>
    </w:p>
    <w:p>
      <w:pPr>
        <w:pStyle w:val="BodyText"/>
        <w:spacing w:line="362" w:lineRule="auto" w:before="90"/>
        <w:ind w:left="160" w:right="157"/>
      </w:pPr>
      <w:r>
        <w:rPr/>
        <w:t>Of course, we have not been alone in making such forecast errors.  Note that economic forecasters have been persistently too gloomy about the UK economy since the departure from the ERM in 1992. Table 1 displays the average (ie </w:t>
      </w:r>
      <w:r>
        <w:rPr>
          <w:spacing w:val="-2"/>
        </w:rPr>
        <w:t>‘consensus’) </w:t>
      </w:r>
      <w:r>
        <w:rPr/>
        <w:t>one-year ahead forecast errors that have been made since 1993.</w:t>
      </w:r>
      <w:r>
        <w:rPr>
          <w:vertAlign w:val="superscript"/>
        </w:rPr>
        <w:t>6</w:t>
      </w:r>
      <w:r>
        <w:rPr>
          <w:vertAlign w:val="baseline"/>
        </w:rPr>
        <w:t> On average, </w:t>
      </w:r>
      <w:r>
        <w:rPr>
          <w:spacing w:val="-2"/>
          <w:vertAlign w:val="baseline"/>
        </w:rPr>
        <w:t>GDP </w:t>
      </w:r>
      <w:r>
        <w:rPr>
          <w:spacing w:val="-3"/>
          <w:vertAlign w:val="baseline"/>
        </w:rPr>
        <w:t>growth </w:t>
      </w:r>
      <w:r>
        <w:rPr>
          <w:vertAlign w:val="baseline"/>
        </w:rPr>
        <w:t>has </w:t>
      </w:r>
      <w:r>
        <w:rPr>
          <w:spacing w:val="-3"/>
          <w:vertAlign w:val="baseline"/>
        </w:rPr>
        <w:t>been </w:t>
      </w:r>
      <w:r>
        <w:rPr>
          <w:u w:val="single"/>
          <w:vertAlign w:val="baseline"/>
        </w:rPr>
        <w:t>underestimated</w:t>
      </w:r>
      <w:r>
        <w:rPr>
          <w:vertAlign w:val="baseline"/>
        </w:rPr>
        <w:t> by about 0.5% pa, which is a large error in relation to the actual average annual growth rate of around 2.9%. Now, if GDP growth were faster than expected over a sustained period of time, then standard economic </w:t>
      </w:r>
      <w:r>
        <w:rPr>
          <w:spacing w:val="-3"/>
          <w:vertAlign w:val="baseline"/>
        </w:rPr>
        <w:t>theory</w:t>
      </w:r>
      <w:r>
        <w:rPr>
          <w:spacing w:val="-3"/>
          <w:vertAlign w:val="superscript"/>
        </w:rPr>
        <w:t>7</w:t>
      </w:r>
      <w:r>
        <w:rPr>
          <w:spacing w:val="-3"/>
          <w:vertAlign w:val="baseline"/>
        </w:rPr>
        <w:t> </w:t>
      </w:r>
      <w:r>
        <w:rPr>
          <w:vertAlign w:val="baseline"/>
        </w:rPr>
        <w:t>would suggest that on average, actual inflation must also be </w:t>
      </w:r>
      <w:r>
        <w:rPr>
          <w:spacing w:val="-3"/>
          <w:u w:val="single"/>
          <w:vertAlign w:val="baseline"/>
        </w:rPr>
        <w:t>higher</w:t>
      </w:r>
      <w:r>
        <w:rPr>
          <w:spacing w:val="-3"/>
          <w:vertAlign w:val="baseline"/>
        </w:rPr>
        <w:t> </w:t>
      </w:r>
      <w:r>
        <w:rPr>
          <w:vertAlign w:val="baseline"/>
        </w:rPr>
        <w:t>than</w:t>
      </w:r>
      <w:r>
        <w:rPr>
          <w:spacing w:val="4"/>
          <w:vertAlign w:val="baseline"/>
        </w:rPr>
        <w:t> </w:t>
      </w:r>
      <w:r>
        <w:rPr>
          <w:vertAlign w:val="baseline"/>
        </w:rPr>
        <w:t>expected.</w:t>
      </w:r>
    </w:p>
    <w:p>
      <w:pPr>
        <w:pStyle w:val="BodyText"/>
        <w:spacing w:line="257" w:lineRule="exact"/>
        <w:ind w:left="160"/>
      </w:pPr>
      <w:r>
        <w:rPr/>
        <w:t>However, the actual inflation out-turn over this period was, on average, 0.5% </w:t>
      </w:r>
      <w:r>
        <w:rPr>
          <w:u w:val="single"/>
        </w:rPr>
        <w:t>lower</w:t>
      </w:r>
    </w:p>
    <w:p>
      <w:pPr>
        <w:pStyle w:val="BodyText"/>
        <w:spacing w:line="357" w:lineRule="auto" w:before="144"/>
        <w:ind w:left="160" w:right="182"/>
      </w:pPr>
      <w:r>
        <w:rPr/>
        <w:t>than the ‘consensus’ inflation forecast and so most economic forecasters (including the Bank of England) appear to have been simultaneously too gloomy about, both, GDP growth and inflation.</w:t>
      </w:r>
    </w:p>
    <w:p>
      <w:pPr>
        <w:pStyle w:val="BodyText"/>
        <w:rPr>
          <w:sz w:val="21"/>
        </w:rPr>
      </w:pPr>
      <w:r>
        <w:rPr/>
        <w:pict>
          <v:shape style="position:absolute;margin-left:90pt;margin-top:14.428906pt;width:144pt;height:.1pt;mso-position-horizontal-relative:page;mso-position-vertical-relative:paragraph;z-index:-251631616;mso-wrap-distance-left:0;mso-wrap-distance-right:0" coordorigin="1800,289" coordsize="2880,0" path="m1800,289l4680,289e" filled="false" stroked="true" strokeweight=".75pt" strokecolor="#000000">
            <v:path arrowok="t"/>
            <v:stroke dashstyle="solid"/>
            <w10:wrap type="topAndBottom"/>
          </v:shape>
        </w:pict>
      </w:r>
    </w:p>
    <w:p>
      <w:pPr>
        <w:spacing w:line="247" w:lineRule="auto" w:before="29"/>
        <w:ind w:left="160" w:right="0" w:firstLine="0"/>
        <w:jc w:val="left"/>
        <w:rPr>
          <w:sz w:val="19"/>
        </w:rPr>
      </w:pPr>
      <w:r>
        <w:rPr>
          <w:w w:val="105"/>
          <w:position w:val="9"/>
          <w:sz w:val="13"/>
        </w:rPr>
        <w:t>5 </w:t>
      </w:r>
      <w:r>
        <w:rPr>
          <w:w w:val="105"/>
          <w:sz w:val="19"/>
        </w:rPr>
        <w:t>Ie, the value shown in Chart 8, for say, 1999 Q3, is the two-year ahead forecast of RPIX inflation that was made in 1997 Q3, plotted against the actual RPIX inflation outturn for 1999 Q3.</w:t>
      </w:r>
    </w:p>
    <w:p>
      <w:pPr>
        <w:spacing w:line="226" w:lineRule="exact" w:before="11"/>
        <w:ind w:left="160" w:right="182" w:firstLine="0"/>
        <w:jc w:val="left"/>
        <w:rPr>
          <w:sz w:val="19"/>
        </w:rPr>
      </w:pPr>
      <w:r>
        <w:rPr>
          <w:w w:val="105"/>
          <w:position w:val="9"/>
          <w:sz w:val="13"/>
        </w:rPr>
        <w:t>6 </w:t>
      </w:r>
      <w:r>
        <w:rPr>
          <w:w w:val="105"/>
          <w:sz w:val="19"/>
        </w:rPr>
        <w:t>These numbers are based on preliminary work by Nick Davey and Jennifer Greenslade of the MPC Unit at the Bank of England, i.e. they are a part of the group of economists who work with the ‘external’ members of the MPC.</w:t>
      </w:r>
    </w:p>
    <w:p>
      <w:pPr>
        <w:spacing w:line="234" w:lineRule="exact" w:before="0"/>
        <w:ind w:left="160" w:right="0" w:firstLine="0"/>
        <w:jc w:val="left"/>
        <w:rPr>
          <w:sz w:val="19"/>
        </w:rPr>
      </w:pPr>
      <w:r>
        <w:rPr>
          <w:w w:val="105"/>
          <w:position w:val="9"/>
          <w:sz w:val="13"/>
        </w:rPr>
        <w:t>7 </w:t>
      </w:r>
      <w:r>
        <w:rPr>
          <w:w w:val="105"/>
          <w:sz w:val="19"/>
        </w:rPr>
        <w:t>Conditional on potential output growth having remained constant.</w:t>
      </w:r>
    </w:p>
    <w:p>
      <w:pPr>
        <w:spacing w:after="0" w:line="234" w:lineRule="exact"/>
        <w:jc w:val="left"/>
        <w:rPr>
          <w:sz w:val="19"/>
        </w:rPr>
        <w:sectPr>
          <w:type w:val="continuous"/>
          <w:pgSz w:w="11920" w:h="16840"/>
          <w:pgMar w:top="1180" w:bottom="280" w:left="1640" w:right="1680"/>
        </w:sectPr>
      </w:pPr>
    </w:p>
    <w:p>
      <w:pPr>
        <w:pStyle w:val="BodyText"/>
        <w:spacing w:before="9"/>
        <w:rPr>
          <w:sz w:val="11"/>
        </w:rPr>
      </w:pPr>
    </w:p>
    <w:p>
      <w:pPr>
        <w:pStyle w:val="Heading1"/>
      </w:pPr>
      <w:r>
        <w:rPr/>
        <w:t>TABLE 1</w:t>
      </w:r>
    </w:p>
    <w:p>
      <w:pPr>
        <w:spacing w:before="144"/>
        <w:ind w:left="160" w:right="0" w:firstLine="0"/>
        <w:jc w:val="left"/>
        <w:rPr>
          <w:b/>
          <w:sz w:val="24"/>
        </w:rPr>
      </w:pPr>
      <w:r>
        <w:rPr>
          <w:b/>
          <w:sz w:val="24"/>
        </w:rPr>
        <w:t>AVERAGE FORECAST ERRORS</w:t>
      </w:r>
      <w:r>
        <w:rPr>
          <w:b/>
          <w:sz w:val="24"/>
          <w:vertAlign w:val="superscript"/>
        </w:rPr>
        <w:t>1</w:t>
      </w:r>
      <w:r>
        <w:rPr>
          <w:b/>
          <w:sz w:val="24"/>
          <w:vertAlign w:val="baseline"/>
        </w:rPr>
        <w:t> IN THE UK, 1993-99</w:t>
      </w:r>
    </w:p>
    <w:p>
      <w:pPr>
        <w:pStyle w:val="BodyText"/>
        <w:rPr>
          <w:b/>
          <w:sz w:val="20"/>
        </w:rPr>
      </w:pPr>
    </w:p>
    <w:p>
      <w:pPr>
        <w:pStyle w:val="BodyText"/>
        <w:spacing w:before="11"/>
        <w:rPr>
          <w:b/>
          <w:sz w:val="17"/>
        </w:rPr>
      </w:pPr>
    </w:p>
    <w:p>
      <w:pPr>
        <w:spacing w:after="0"/>
        <w:rPr>
          <w:sz w:val="17"/>
        </w:rPr>
        <w:sectPr>
          <w:pgSz w:w="11920" w:h="16840"/>
          <w:pgMar w:header="0" w:footer="739" w:top="1600" w:bottom="920" w:left="1640" w:right="1680"/>
        </w:sectPr>
      </w:pPr>
    </w:p>
    <w:p>
      <w:pPr>
        <w:pStyle w:val="BodyText"/>
        <w:spacing w:line="235" w:lineRule="auto" w:before="132"/>
        <w:ind w:left="4420" w:right="-5"/>
      </w:pPr>
      <w:r>
        <w:rPr>
          <w:spacing w:val="-4"/>
        </w:rPr>
        <w:t>AVERAGE</w:t>
      </w:r>
      <w:r>
        <w:rPr>
          <w:spacing w:val="-4"/>
          <w:vertAlign w:val="superscript"/>
        </w:rPr>
        <w:t>3</w:t>
      </w:r>
      <w:r>
        <w:rPr>
          <w:spacing w:val="-4"/>
          <w:vertAlign w:val="baseline"/>
        </w:rPr>
        <w:t> </w:t>
      </w:r>
      <w:r>
        <w:rPr>
          <w:vertAlign w:val="baseline"/>
        </w:rPr>
        <w:t>ERROR</w:t>
      </w:r>
    </w:p>
    <w:p>
      <w:pPr>
        <w:pStyle w:val="BodyText"/>
        <w:spacing w:line="235" w:lineRule="auto" w:before="132"/>
        <w:ind w:left="882" w:right="165"/>
      </w:pPr>
      <w:r>
        <w:rPr/>
        <w:br w:type="column"/>
      </w:r>
      <w:r>
        <w:rPr/>
        <w:t>SIGNIFICANT</w:t>
      </w:r>
      <w:r>
        <w:rPr>
          <w:vertAlign w:val="superscript"/>
        </w:rPr>
        <w:t>4</w:t>
      </w:r>
      <w:r>
        <w:rPr>
          <w:vertAlign w:val="baseline"/>
        </w:rPr>
        <w:t> AT 10% LEVEL</w:t>
      </w:r>
    </w:p>
    <w:p>
      <w:pPr>
        <w:spacing w:after="0" w:line="235" w:lineRule="auto"/>
        <w:sectPr>
          <w:type w:val="continuous"/>
          <w:pgSz w:w="11920" w:h="16840"/>
          <w:pgMar w:top="1180" w:bottom="280" w:left="1640" w:right="1680"/>
          <w:cols w:num="2" w:equalWidth="0">
            <w:col w:w="5628" w:space="40"/>
            <w:col w:w="2932"/>
          </w:cols>
        </w:sectPr>
      </w:pPr>
    </w:p>
    <w:p>
      <w:pPr>
        <w:pStyle w:val="BodyText"/>
        <w:spacing w:before="3"/>
        <w:rPr>
          <w:sz w:val="28"/>
        </w:rPr>
      </w:pPr>
    </w:p>
    <w:p>
      <w:pPr>
        <w:pStyle w:val="BodyText"/>
        <w:spacing w:before="90"/>
        <w:ind w:left="160"/>
      </w:pPr>
      <w:r>
        <w:rPr>
          <w:u w:val="single"/>
        </w:rPr>
        <w:t>GDP GROWTH FORECAST</w:t>
      </w:r>
    </w:p>
    <w:p>
      <w:pPr>
        <w:pStyle w:val="BodyText"/>
        <w:spacing w:before="10"/>
      </w:pPr>
    </w:p>
    <w:p>
      <w:pPr>
        <w:pStyle w:val="BodyText"/>
        <w:tabs>
          <w:tab w:pos="4419" w:val="left" w:leader="none"/>
          <w:tab w:pos="6549" w:val="left" w:leader="none"/>
        </w:tabs>
        <w:spacing w:before="128"/>
        <w:ind w:left="160"/>
      </w:pPr>
      <w:r>
        <w:rPr/>
        <w:t>CONSENSUS</w:t>
      </w:r>
      <w:r>
        <w:rPr>
          <w:vertAlign w:val="superscript"/>
        </w:rPr>
        <w:t>2</w:t>
      </w:r>
      <w:r>
        <w:rPr>
          <w:vertAlign w:val="baseline"/>
        </w:rPr>
        <w:tab/>
        <w:t>+0.48%</w:t>
        <w:tab/>
      </w:r>
      <w:r>
        <w:rPr>
          <w:spacing w:val="-12"/>
          <w:vertAlign w:val="baseline"/>
        </w:rPr>
        <w:t>YES</w:t>
      </w:r>
    </w:p>
    <w:p>
      <w:pPr>
        <w:pStyle w:val="BodyText"/>
        <w:rPr>
          <w:sz w:val="30"/>
        </w:rPr>
      </w:pPr>
    </w:p>
    <w:p>
      <w:pPr>
        <w:pStyle w:val="BodyText"/>
        <w:spacing w:before="219"/>
        <w:ind w:left="160"/>
      </w:pPr>
      <w:r>
        <w:rPr>
          <w:u w:val="single"/>
        </w:rPr>
        <w:t>INFLATION (RPIX) FORECAST</w:t>
      </w:r>
    </w:p>
    <w:p>
      <w:pPr>
        <w:pStyle w:val="BodyText"/>
        <w:rPr>
          <w:sz w:val="20"/>
        </w:rPr>
      </w:pPr>
    </w:p>
    <w:p>
      <w:pPr>
        <w:pStyle w:val="BodyText"/>
        <w:spacing w:before="7"/>
        <w:rPr>
          <w:sz w:val="16"/>
        </w:rPr>
      </w:pPr>
    </w:p>
    <w:p>
      <w:pPr>
        <w:pStyle w:val="BodyText"/>
        <w:tabs>
          <w:tab w:pos="4419" w:val="left" w:leader="none"/>
          <w:tab w:pos="6549" w:val="left" w:leader="none"/>
        </w:tabs>
        <w:spacing w:before="128"/>
        <w:ind w:left="160"/>
      </w:pPr>
      <w:r>
        <w:rPr/>
        <w:t>CONSENSUS</w:t>
      </w:r>
      <w:r>
        <w:rPr>
          <w:vertAlign w:val="superscript"/>
        </w:rPr>
        <w:t>2</w:t>
      </w:r>
      <w:r>
        <w:rPr>
          <w:vertAlign w:val="baseline"/>
        </w:rPr>
        <w:tab/>
        <w:t>-0.53%</w:t>
        <w:tab/>
      </w:r>
      <w:r>
        <w:rPr>
          <w:spacing w:val="-12"/>
          <w:vertAlign w:val="baseline"/>
        </w:rPr>
        <w:t>YES</w:t>
      </w:r>
    </w:p>
    <w:p>
      <w:pPr>
        <w:pStyle w:val="BodyText"/>
        <w:rPr>
          <w:sz w:val="30"/>
        </w:rPr>
      </w:pPr>
    </w:p>
    <w:p>
      <w:pPr>
        <w:pStyle w:val="ListParagraph"/>
        <w:numPr>
          <w:ilvl w:val="0"/>
          <w:numId w:val="2"/>
        </w:numPr>
        <w:tabs>
          <w:tab w:pos="519" w:val="left" w:leader="none"/>
          <w:tab w:pos="520" w:val="left" w:leader="none"/>
        </w:tabs>
        <w:spacing w:line="273" w:lineRule="exact" w:before="204" w:after="0"/>
        <w:ind w:left="520" w:right="0" w:hanging="360"/>
        <w:jc w:val="left"/>
        <w:rPr>
          <w:sz w:val="24"/>
        </w:rPr>
      </w:pPr>
      <w:r>
        <w:rPr>
          <w:sz w:val="24"/>
        </w:rPr>
        <w:t>Four quarter-ahead forecast</w:t>
      </w:r>
      <w:r>
        <w:rPr>
          <w:spacing w:val="10"/>
          <w:sz w:val="24"/>
        </w:rPr>
        <w:t> </w:t>
      </w:r>
      <w:r>
        <w:rPr>
          <w:sz w:val="24"/>
        </w:rPr>
        <w:t>errors.</w:t>
      </w:r>
    </w:p>
    <w:p>
      <w:pPr>
        <w:pStyle w:val="ListParagraph"/>
        <w:numPr>
          <w:ilvl w:val="0"/>
          <w:numId w:val="2"/>
        </w:numPr>
        <w:tabs>
          <w:tab w:pos="519" w:val="left" w:leader="none"/>
          <w:tab w:pos="520" w:val="left" w:leader="none"/>
        </w:tabs>
        <w:spacing w:line="273" w:lineRule="exact" w:before="0" w:after="0"/>
        <w:ind w:left="520" w:right="0" w:hanging="360"/>
        <w:jc w:val="left"/>
        <w:rPr>
          <w:sz w:val="24"/>
        </w:rPr>
      </w:pPr>
      <w:r>
        <w:rPr>
          <w:sz w:val="24"/>
        </w:rPr>
        <w:t>Consensus forecast taken from ‘Consensus</w:t>
      </w:r>
      <w:r>
        <w:rPr>
          <w:spacing w:val="40"/>
          <w:sz w:val="24"/>
        </w:rPr>
        <w:t> </w:t>
      </w:r>
      <w:r>
        <w:rPr>
          <w:sz w:val="24"/>
        </w:rPr>
        <w:t>Economics’.</w:t>
      </w:r>
    </w:p>
    <w:p>
      <w:pPr>
        <w:pStyle w:val="ListParagraph"/>
        <w:numPr>
          <w:ilvl w:val="0"/>
          <w:numId w:val="2"/>
        </w:numPr>
        <w:tabs>
          <w:tab w:pos="519" w:val="left" w:leader="none"/>
          <w:tab w:pos="520" w:val="left" w:leader="none"/>
        </w:tabs>
        <w:spacing w:line="265" w:lineRule="exact" w:before="9" w:after="0"/>
        <w:ind w:left="520" w:right="0" w:hanging="360"/>
        <w:jc w:val="left"/>
        <w:rPr>
          <w:sz w:val="24"/>
        </w:rPr>
      </w:pPr>
      <w:r>
        <w:rPr>
          <w:sz w:val="24"/>
        </w:rPr>
        <w:t>Sample period: 1993 I – 1999</w:t>
      </w:r>
      <w:r>
        <w:rPr>
          <w:spacing w:val="-1"/>
          <w:sz w:val="24"/>
        </w:rPr>
        <w:t> </w:t>
      </w:r>
      <w:r>
        <w:rPr>
          <w:spacing w:val="-2"/>
          <w:sz w:val="24"/>
        </w:rPr>
        <w:t>IV.</w:t>
      </w:r>
    </w:p>
    <w:p>
      <w:pPr>
        <w:pStyle w:val="ListParagraph"/>
        <w:numPr>
          <w:ilvl w:val="0"/>
          <w:numId w:val="2"/>
        </w:numPr>
        <w:tabs>
          <w:tab w:pos="531" w:val="left" w:leader="none"/>
          <w:tab w:pos="532" w:val="left" w:leader="none"/>
        </w:tabs>
        <w:spacing w:line="265" w:lineRule="exact" w:before="0" w:after="0"/>
        <w:ind w:left="532" w:right="0" w:hanging="372"/>
        <w:jc w:val="left"/>
        <w:rPr>
          <w:sz w:val="24"/>
        </w:rPr>
      </w:pPr>
      <w:r>
        <w:rPr>
          <w:sz w:val="24"/>
        </w:rPr>
        <w:t>Using a t-test over this sample period, with Newey-West standard</w:t>
      </w:r>
      <w:r>
        <w:rPr>
          <w:spacing w:val="1"/>
          <w:sz w:val="24"/>
        </w:rPr>
        <w:t> </w:t>
      </w:r>
      <w:r>
        <w:rPr>
          <w:sz w:val="24"/>
        </w:rPr>
        <w:t>errors.</w:t>
      </w:r>
    </w:p>
    <w:p>
      <w:pPr>
        <w:pStyle w:val="BodyText"/>
        <w:rPr>
          <w:sz w:val="26"/>
        </w:rPr>
      </w:pPr>
    </w:p>
    <w:p>
      <w:pPr>
        <w:pStyle w:val="BodyText"/>
        <w:spacing w:before="8"/>
        <w:rPr>
          <w:sz w:val="21"/>
        </w:rPr>
      </w:pPr>
    </w:p>
    <w:p>
      <w:pPr>
        <w:pStyle w:val="BodyText"/>
        <w:spacing w:line="360" w:lineRule="auto" w:before="1"/>
        <w:ind w:left="160" w:right="187"/>
      </w:pPr>
      <w:r>
        <w:rPr/>
        <w:t>There are a variety of possible explanations for this phenomenon. Some point to </w:t>
      </w:r>
      <w:r>
        <w:rPr>
          <w:spacing w:val="-2"/>
        </w:rPr>
        <w:t>the </w:t>
      </w:r>
      <w:r>
        <w:rPr/>
        <w:t>strong exchange rate since 1996. Obviously, this does not explain the forecasting errors in the 1993-96 period, when the exchange rate was weak. As for the post-1997 period, some preliminary work using the Bank’s Medium-Term Macroeconometric Model suggests that even perfect foresight about the exchange rate would not have been sufficient to explain our persistent tendency to predict wage growth and price inflation to be higher than what materialised. An alternative class of hypotheses would envisage a significant change in the structural relationships that underlie </w:t>
      </w:r>
      <w:r>
        <w:rPr>
          <w:spacing w:val="-2"/>
        </w:rPr>
        <w:t>the </w:t>
      </w:r>
      <w:r>
        <w:rPr/>
        <w:t>forecasting processes, perhaps an appropriate characterisation of the ‘New</w:t>
      </w:r>
      <w:r>
        <w:rPr>
          <w:spacing w:val="-44"/>
        </w:rPr>
        <w:t> </w:t>
      </w:r>
      <w:r>
        <w:rPr/>
        <w:t>Economy’. Reasons for such a change in behaviour could include the far-reaching changes in </w:t>
      </w:r>
      <w:r>
        <w:rPr>
          <w:spacing w:val="-2"/>
        </w:rPr>
        <w:t>the </w:t>
      </w:r>
      <w:r>
        <w:rPr/>
        <w:t>labour market over the last two decades, a possible intensification of product market competition (in part, because of globalisation) and advances in the information </w:t>
      </w:r>
      <w:r>
        <w:rPr>
          <w:spacing w:val="-2"/>
        </w:rPr>
        <w:t>and </w:t>
      </w:r>
      <w:r>
        <w:rPr/>
        <w:t>communications technology area (see Wadhwani (2001) for a further discussion</w:t>
      </w:r>
      <w:r>
        <w:rPr>
          <w:spacing w:val="-19"/>
        </w:rPr>
        <w:t> </w:t>
      </w:r>
      <w:r>
        <w:rPr/>
        <w:t>of</w:t>
      </w:r>
    </w:p>
    <w:p>
      <w:pPr>
        <w:spacing w:after="0" w:line="360" w:lineRule="auto"/>
        <w:sectPr>
          <w:type w:val="continuous"/>
          <w:pgSz w:w="11920" w:h="16840"/>
          <w:pgMar w:top="1180" w:bottom="280" w:left="1640" w:right="1680"/>
        </w:sectPr>
      </w:pPr>
    </w:p>
    <w:p>
      <w:pPr>
        <w:pStyle w:val="BodyText"/>
        <w:spacing w:line="352" w:lineRule="auto" w:before="61"/>
        <w:ind w:left="160" w:right="218"/>
      </w:pPr>
      <w:r>
        <w:rPr/>
        <w:t>this issue). Therefore, the MPC has, in its Inflation Forecast, made some allowance for these possibilities,</w:t>
      </w:r>
      <w:r>
        <w:rPr>
          <w:vertAlign w:val="superscript"/>
        </w:rPr>
        <w:t>8</w:t>
      </w:r>
      <w:r>
        <w:rPr>
          <w:vertAlign w:val="baseline"/>
        </w:rPr>
        <w:t> and we continue to monitor developments in this area.</w:t>
      </w:r>
    </w:p>
    <w:p>
      <w:pPr>
        <w:pStyle w:val="BodyText"/>
        <w:spacing w:before="4"/>
        <w:rPr>
          <w:sz w:val="36"/>
        </w:rPr>
      </w:pPr>
    </w:p>
    <w:p>
      <w:pPr>
        <w:pStyle w:val="BodyText"/>
        <w:ind w:left="160"/>
      </w:pPr>
      <w:r>
        <w:rPr/>
        <w:t>A critical part of our monetary policy framework is that it specifies a symmetric target</w:t>
      </w:r>
    </w:p>
    <w:p>
      <w:pPr>
        <w:pStyle w:val="BodyText"/>
        <w:spacing w:line="360" w:lineRule="auto" w:before="144"/>
        <w:ind w:left="160" w:right="218"/>
      </w:pPr>
      <w:r>
        <w:rPr/>
        <w:t>- treating deviations above the target in the same way as those below the target. If for example, the emphasis were on inflation being 2½% or less, then there would be an incentive for us to drive inflation down, so that the likelihood of breaching the target would be reduced, but at the cost of a detrimental effect on output and employment. A symmetric target potentially permits the highest level of growth that is consistent with the 2½% target.</w:t>
      </w:r>
    </w:p>
    <w:p>
      <w:pPr>
        <w:pStyle w:val="BodyText"/>
        <w:spacing w:before="9"/>
        <w:rPr>
          <w:sz w:val="35"/>
        </w:rPr>
      </w:pPr>
    </w:p>
    <w:p>
      <w:pPr>
        <w:pStyle w:val="BodyText"/>
        <w:spacing w:line="360" w:lineRule="auto"/>
        <w:ind w:left="160" w:right="351"/>
      </w:pPr>
      <w:r>
        <w:rPr/>
        <w:t>However, the aforementioned tendency to undershoot the target appears to have led some to believe that the MPC is not operating a symmetric target. Hence, for example, the Treasury Select Committee, in their recent report on the MPC,</w:t>
      </w:r>
      <w:r>
        <w:rPr>
          <w:vertAlign w:val="superscript"/>
        </w:rPr>
        <w:t>9</w:t>
      </w:r>
      <w:r>
        <w:rPr>
          <w:vertAlign w:val="baseline"/>
        </w:rPr>
        <w:t> argued that –</w:t>
      </w:r>
    </w:p>
    <w:p>
      <w:pPr>
        <w:pStyle w:val="BodyText"/>
        <w:rPr>
          <w:sz w:val="36"/>
        </w:rPr>
      </w:pPr>
    </w:p>
    <w:p>
      <w:pPr>
        <w:pStyle w:val="Heading1"/>
        <w:spacing w:line="364" w:lineRule="auto" w:before="0"/>
      </w:pPr>
      <w:r>
        <w:rPr/>
        <w:t>“… we are concerned that in an effort to establish credibility the MPC may have biased policy towards undershooting the target.”</w:t>
      </w:r>
    </w:p>
    <w:p>
      <w:pPr>
        <w:pStyle w:val="BodyText"/>
        <w:spacing w:before="4"/>
        <w:rPr>
          <w:b/>
          <w:sz w:val="35"/>
        </w:rPr>
      </w:pPr>
    </w:p>
    <w:p>
      <w:pPr>
        <w:pStyle w:val="BodyText"/>
        <w:ind w:left="160"/>
      </w:pPr>
      <w:r>
        <w:rPr/>
        <w:t>Others have also argued along similar lines.</w:t>
      </w:r>
      <w:r>
        <w:rPr>
          <w:vertAlign w:val="superscript"/>
        </w:rPr>
        <w:t>10</w:t>
      </w:r>
    </w:p>
    <w:p>
      <w:pPr>
        <w:pStyle w:val="BodyText"/>
        <w:rPr>
          <w:sz w:val="30"/>
        </w:rPr>
      </w:pPr>
    </w:p>
    <w:p>
      <w:pPr>
        <w:pStyle w:val="BodyText"/>
        <w:spacing w:line="364" w:lineRule="auto" w:before="204"/>
        <w:ind w:left="160" w:right="35"/>
      </w:pPr>
      <w:r>
        <w:rPr/>
        <w:t>On our current forecasts, the undershoot is expected to last around four years, so there is a risk that we shall continue to be accused of being biased for some time to come.</w:t>
      </w:r>
    </w:p>
    <w:p>
      <w:pPr>
        <w:pStyle w:val="BodyText"/>
        <w:spacing w:before="3"/>
        <w:rPr>
          <w:sz w:val="35"/>
        </w:rPr>
      </w:pPr>
    </w:p>
    <w:p>
      <w:pPr>
        <w:pStyle w:val="BodyText"/>
        <w:spacing w:line="357" w:lineRule="auto"/>
        <w:ind w:left="160"/>
      </w:pPr>
      <w:r>
        <w:rPr/>
        <w:t>The MPC does, of course, have a symmetric approach to the target. It will, though, remain important for us to make sure that we continue to respond to the possible changes in the structural relationships that underlie our forecasting processes. If we were persistently to undershoot the target for well beyond the current anticipated duration, this might, at some point, come to damage our credibility.</w:t>
      </w:r>
    </w:p>
    <w:p>
      <w:pPr>
        <w:pStyle w:val="BodyText"/>
        <w:rPr>
          <w:sz w:val="20"/>
        </w:rPr>
      </w:pPr>
    </w:p>
    <w:p>
      <w:pPr>
        <w:pStyle w:val="BodyText"/>
        <w:rPr>
          <w:sz w:val="20"/>
        </w:rPr>
      </w:pPr>
    </w:p>
    <w:p>
      <w:pPr>
        <w:pStyle w:val="BodyText"/>
        <w:rPr>
          <w:sz w:val="20"/>
        </w:rPr>
      </w:pPr>
    </w:p>
    <w:p>
      <w:pPr>
        <w:pStyle w:val="BodyText"/>
        <w:spacing w:before="2"/>
        <w:rPr>
          <w:sz w:val="21"/>
        </w:rPr>
      </w:pPr>
      <w:r>
        <w:rPr/>
        <w:pict>
          <v:shape style="position:absolute;margin-left:90pt;margin-top:14.566259pt;width:144pt;height:.1pt;mso-position-horizontal-relative:page;mso-position-vertical-relative:paragraph;z-index:-251626496;mso-wrap-distance-left:0;mso-wrap-distance-right:0" coordorigin="1800,291" coordsize="2880,0" path="m1800,291l4680,291e" filled="false" stroked="true" strokeweight=".75pt" strokecolor="#000000">
            <v:path arrowok="t"/>
            <v:stroke dashstyle="solid"/>
            <w10:wrap type="topAndBottom"/>
          </v:shape>
        </w:pict>
      </w:r>
    </w:p>
    <w:p>
      <w:pPr>
        <w:spacing w:line="239" w:lineRule="exact" w:before="29"/>
        <w:ind w:left="160" w:right="0" w:firstLine="0"/>
        <w:jc w:val="left"/>
        <w:rPr>
          <w:sz w:val="19"/>
        </w:rPr>
      </w:pPr>
      <w:r>
        <w:rPr>
          <w:w w:val="105"/>
          <w:position w:val="9"/>
          <w:sz w:val="13"/>
        </w:rPr>
        <w:t>8 </w:t>
      </w:r>
      <w:r>
        <w:rPr>
          <w:w w:val="105"/>
          <w:sz w:val="19"/>
        </w:rPr>
        <w:t>An explicit adjustment for ‘new economy’ factors was first made in November 1999.</w:t>
      </w:r>
    </w:p>
    <w:p>
      <w:pPr>
        <w:spacing w:line="225" w:lineRule="exact" w:before="0"/>
        <w:ind w:left="160" w:right="0" w:firstLine="0"/>
        <w:jc w:val="left"/>
        <w:rPr>
          <w:sz w:val="19"/>
        </w:rPr>
      </w:pPr>
      <w:r>
        <w:rPr>
          <w:w w:val="105"/>
          <w:position w:val="9"/>
          <w:sz w:val="13"/>
        </w:rPr>
        <w:t>9 </w:t>
      </w:r>
      <w:r>
        <w:rPr>
          <w:w w:val="105"/>
          <w:sz w:val="19"/>
        </w:rPr>
        <w:t>“The MPC – An End of Term Report”.</w:t>
      </w:r>
    </w:p>
    <w:p>
      <w:pPr>
        <w:spacing w:line="240" w:lineRule="exact" w:before="5"/>
        <w:ind w:left="160" w:right="840" w:firstLine="0"/>
        <w:jc w:val="left"/>
        <w:rPr>
          <w:sz w:val="19"/>
        </w:rPr>
      </w:pPr>
      <w:r>
        <w:rPr>
          <w:w w:val="105"/>
          <w:position w:val="9"/>
          <w:sz w:val="13"/>
        </w:rPr>
        <w:t>10 </w:t>
      </w:r>
      <w:r>
        <w:rPr>
          <w:w w:val="105"/>
          <w:sz w:val="19"/>
        </w:rPr>
        <w:t>See, for example, the evidence of Professor Willem Buiter and Mr Roger Bootle to the Treasury Select Committee, or an editorial in “The Times”, 5 April 2001.</w:t>
      </w:r>
    </w:p>
    <w:p>
      <w:pPr>
        <w:spacing w:after="0" w:line="240" w:lineRule="exact"/>
        <w:jc w:val="left"/>
        <w:rPr>
          <w:sz w:val="19"/>
        </w:rPr>
        <w:sectPr>
          <w:pgSz w:w="11920" w:h="16840"/>
          <w:pgMar w:header="0" w:footer="739" w:top="1360" w:bottom="920" w:left="1640" w:right="1680"/>
        </w:sectPr>
      </w:pPr>
    </w:p>
    <w:p>
      <w:pPr>
        <w:pStyle w:val="BodyText"/>
        <w:spacing w:before="61"/>
        <w:ind w:left="160"/>
      </w:pPr>
      <w:r>
        <w:rPr>
          <w:u w:val="single"/>
        </w:rPr>
        <w:t>TRANSPARENCY AND PREDICTABILITY</w:t>
      </w:r>
    </w:p>
    <w:p>
      <w:pPr>
        <w:pStyle w:val="BodyText"/>
        <w:rPr>
          <w:sz w:val="20"/>
        </w:rPr>
      </w:pPr>
    </w:p>
    <w:p>
      <w:pPr>
        <w:pStyle w:val="BodyText"/>
        <w:spacing w:before="10"/>
        <w:rPr>
          <w:sz w:val="19"/>
        </w:rPr>
      </w:pPr>
    </w:p>
    <w:p>
      <w:pPr>
        <w:pStyle w:val="BodyText"/>
        <w:spacing w:line="360" w:lineRule="auto" w:before="90"/>
        <w:ind w:left="160" w:right="173"/>
      </w:pPr>
      <w:r>
        <w:rPr/>
        <w:t>The monetary policy framework that has been in place since 1997 has increased transparency. As already mentioned, the Minutes of the MPC meetings are published after just two weeks. In the US and Japan, the minutes are normally published shortly after the next regular meeting (around a six week interval in the US and slightly less than this in Japan), whereas the ECB do not currently publish minutes.</w:t>
      </w:r>
      <w:r>
        <w:rPr>
          <w:vertAlign w:val="superscript"/>
        </w:rPr>
        <w:t>11</w:t>
      </w:r>
      <w:r>
        <w:rPr>
          <w:vertAlign w:val="baseline"/>
        </w:rPr>
        <w:t> Another example of the high level of transparency in the UK is the publication of the quarterly Inflation Report. This contains a detailed analysis of the forecast, showing the best collective judgement of the Committee (and some discussion of different views, which will arise at times given the difficulties and uncertainty of forecasting future events). Note that not all central banks publish forecasts.</w:t>
      </w:r>
    </w:p>
    <w:p>
      <w:pPr>
        <w:pStyle w:val="BodyText"/>
        <w:spacing w:before="3"/>
        <w:rPr>
          <w:sz w:val="35"/>
        </w:rPr>
      </w:pPr>
    </w:p>
    <w:p>
      <w:pPr>
        <w:pStyle w:val="BodyText"/>
        <w:spacing w:line="362" w:lineRule="auto"/>
        <w:ind w:left="160" w:right="157"/>
      </w:pPr>
      <w:r>
        <w:rPr/>
        <w:t>So, on the surface, the Bank of England appears more transparent. But is it more predictable? To consider this aspect, some preliminary work within the MPC Unit </w:t>
      </w:r>
      <w:r>
        <w:rPr>
          <w:vertAlign w:val="superscript"/>
        </w:rPr>
        <w:t>12</w:t>
      </w:r>
      <w:r>
        <w:rPr>
          <w:vertAlign w:val="baseline"/>
        </w:rPr>
        <w:t> has used the three-month interest rates implied by the nearest-to-maturity short- sterling, euro-dollar or euribor contract.</w:t>
      </w:r>
      <w:r>
        <w:rPr>
          <w:vertAlign w:val="superscript"/>
        </w:rPr>
        <w:t>13</w:t>
      </w:r>
      <w:r>
        <w:rPr>
          <w:vertAlign w:val="baseline"/>
        </w:rPr>
        <w:t> The average absolute change in the relevant contract on the day of policy meetings in that country is calculated using close of business data. This is a measure of the degree to which the markets are surprised by the results of the policy meeting on that day. These numbers have been computed for the period since the inception of the MPC in June 1997.</w:t>
      </w:r>
    </w:p>
    <w:p>
      <w:pPr>
        <w:pStyle w:val="BodyText"/>
        <w:spacing w:before="10"/>
        <w:rPr>
          <w:sz w:val="34"/>
        </w:rPr>
      </w:pPr>
    </w:p>
    <w:p>
      <w:pPr>
        <w:pStyle w:val="BodyText"/>
        <w:spacing w:line="357" w:lineRule="auto"/>
        <w:ind w:left="160" w:right="172"/>
      </w:pPr>
      <w:r>
        <w:rPr/>
        <w:t>The results of this exercise (see Table 2) suggest that the average market ‘surprise’ on the day of an </w:t>
      </w:r>
      <w:r>
        <w:rPr>
          <w:spacing w:val="-3"/>
        </w:rPr>
        <w:t>interest rate decision </w:t>
      </w:r>
      <w:r>
        <w:rPr/>
        <w:t>has </w:t>
      </w:r>
      <w:r>
        <w:rPr>
          <w:spacing w:val="-3"/>
        </w:rPr>
        <w:t>been higher </w:t>
      </w:r>
      <w:r>
        <w:rPr/>
        <w:t>in the UK </w:t>
      </w:r>
      <w:r>
        <w:rPr>
          <w:spacing w:val="-3"/>
        </w:rPr>
        <w:t>compared </w:t>
      </w:r>
      <w:r>
        <w:rPr/>
        <w:t>to the US </w:t>
      </w:r>
      <w:r>
        <w:rPr>
          <w:spacing w:val="-3"/>
        </w:rPr>
        <w:t>or </w:t>
      </w:r>
      <w:r>
        <w:rPr/>
        <w:t>Europe ie, around 6 basis points in the UK, versus around 3 basis points in the US or Europe. Since European and American interest rates have been lower than those in the UK for much of this period, one might want to scale the average market</w:t>
      </w:r>
      <w:r>
        <w:rPr>
          <w:spacing w:val="-29"/>
        </w:rPr>
        <w:t> </w:t>
      </w:r>
      <w:r>
        <w:rPr/>
        <w:t>‘surprise’</w:t>
      </w:r>
    </w:p>
    <w:p>
      <w:pPr>
        <w:pStyle w:val="BodyText"/>
        <w:rPr>
          <w:sz w:val="20"/>
        </w:rPr>
      </w:pPr>
    </w:p>
    <w:p>
      <w:pPr>
        <w:pStyle w:val="BodyText"/>
        <w:rPr>
          <w:sz w:val="20"/>
        </w:rPr>
      </w:pPr>
    </w:p>
    <w:p>
      <w:pPr>
        <w:pStyle w:val="BodyText"/>
        <w:rPr>
          <w:sz w:val="20"/>
        </w:rPr>
      </w:pPr>
    </w:p>
    <w:p>
      <w:pPr>
        <w:pStyle w:val="BodyText"/>
        <w:spacing w:before="4"/>
        <w:rPr>
          <w:sz w:val="13"/>
        </w:rPr>
      </w:pPr>
      <w:r>
        <w:rPr/>
        <w:pict>
          <v:shape style="position:absolute;margin-left:90pt;margin-top:10.060840pt;width:144pt;height:.1pt;mso-position-horizontal-relative:page;mso-position-vertical-relative:paragraph;z-index:-251625472;mso-wrap-distance-left:0;mso-wrap-distance-right:0" coordorigin="1800,201" coordsize="2880,0" path="m1800,201l4680,201e" filled="false" stroked="true" strokeweight=".75pt" strokecolor="#000000">
            <v:path arrowok="t"/>
            <v:stroke dashstyle="solid"/>
            <w10:wrap type="topAndBottom"/>
          </v:shape>
        </w:pict>
      </w:r>
    </w:p>
    <w:p>
      <w:pPr>
        <w:spacing w:line="254" w:lineRule="auto" w:before="14"/>
        <w:ind w:left="160" w:right="113" w:firstLine="0"/>
        <w:jc w:val="both"/>
        <w:rPr>
          <w:sz w:val="19"/>
        </w:rPr>
      </w:pPr>
      <w:r>
        <w:rPr>
          <w:spacing w:val="3"/>
          <w:w w:val="105"/>
          <w:position w:val="9"/>
          <w:sz w:val="13"/>
        </w:rPr>
        <w:t>11</w:t>
      </w:r>
      <w:r>
        <w:rPr>
          <w:spacing w:val="10"/>
          <w:w w:val="105"/>
          <w:position w:val="9"/>
          <w:sz w:val="13"/>
        </w:rPr>
        <w:t> </w:t>
      </w:r>
      <w:r>
        <w:rPr>
          <w:spacing w:val="2"/>
          <w:w w:val="105"/>
          <w:sz w:val="19"/>
        </w:rPr>
        <w:t>Note</w:t>
      </w:r>
      <w:r>
        <w:rPr>
          <w:spacing w:val="-10"/>
          <w:w w:val="105"/>
          <w:sz w:val="19"/>
        </w:rPr>
        <w:t> </w:t>
      </w:r>
      <w:r>
        <w:rPr>
          <w:spacing w:val="2"/>
          <w:w w:val="105"/>
          <w:sz w:val="19"/>
        </w:rPr>
        <w:t>that</w:t>
      </w:r>
      <w:r>
        <w:rPr>
          <w:spacing w:val="-9"/>
          <w:w w:val="105"/>
          <w:sz w:val="19"/>
        </w:rPr>
        <w:t> </w:t>
      </w:r>
      <w:r>
        <w:rPr>
          <w:w w:val="105"/>
          <w:sz w:val="19"/>
        </w:rPr>
        <w:t>the</w:t>
      </w:r>
      <w:r>
        <w:rPr>
          <w:spacing w:val="-9"/>
          <w:w w:val="105"/>
          <w:sz w:val="19"/>
        </w:rPr>
        <w:t> </w:t>
      </w:r>
      <w:r>
        <w:rPr>
          <w:spacing w:val="2"/>
          <w:w w:val="105"/>
          <w:sz w:val="19"/>
        </w:rPr>
        <w:t>Federal</w:t>
      </w:r>
      <w:r>
        <w:rPr>
          <w:spacing w:val="-10"/>
          <w:w w:val="105"/>
          <w:sz w:val="19"/>
        </w:rPr>
        <w:t> </w:t>
      </w:r>
      <w:r>
        <w:rPr>
          <w:spacing w:val="2"/>
          <w:w w:val="105"/>
          <w:sz w:val="19"/>
        </w:rPr>
        <w:t>Reserve</w:t>
      </w:r>
      <w:r>
        <w:rPr>
          <w:spacing w:val="-9"/>
          <w:w w:val="105"/>
          <w:sz w:val="19"/>
        </w:rPr>
        <w:t> </w:t>
      </w:r>
      <w:r>
        <w:rPr>
          <w:spacing w:val="2"/>
          <w:w w:val="105"/>
          <w:sz w:val="19"/>
        </w:rPr>
        <w:t>publishes</w:t>
      </w:r>
      <w:r>
        <w:rPr>
          <w:spacing w:val="-9"/>
          <w:w w:val="105"/>
          <w:sz w:val="19"/>
        </w:rPr>
        <w:t> </w:t>
      </w:r>
      <w:r>
        <w:rPr>
          <w:w w:val="105"/>
          <w:sz w:val="19"/>
        </w:rPr>
        <w:t>a</w:t>
      </w:r>
      <w:r>
        <w:rPr>
          <w:spacing w:val="-10"/>
          <w:w w:val="105"/>
          <w:sz w:val="19"/>
        </w:rPr>
        <w:t> </w:t>
      </w:r>
      <w:r>
        <w:rPr>
          <w:spacing w:val="2"/>
          <w:w w:val="105"/>
          <w:sz w:val="19"/>
        </w:rPr>
        <w:t>statement</w:t>
      </w:r>
      <w:r>
        <w:rPr>
          <w:spacing w:val="-9"/>
          <w:w w:val="105"/>
          <w:sz w:val="19"/>
        </w:rPr>
        <w:t> </w:t>
      </w:r>
      <w:r>
        <w:rPr>
          <w:spacing w:val="2"/>
          <w:w w:val="105"/>
          <w:sz w:val="19"/>
        </w:rPr>
        <w:t>containing</w:t>
      </w:r>
      <w:r>
        <w:rPr>
          <w:spacing w:val="-9"/>
          <w:w w:val="105"/>
          <w:sz w:val="19"/>
        </w:rPr>
        <w:t> </w:t>
      </w:r>
      <w:r>
        <w:rPr>
          <w:w w:val="105"/>
          <w:sz w:val="19"/>
        </w:rPr>
        <w:t>the</w:t>
      </w:r>
      <w:r>
        <w:rPr>
          <w:spacing w:val="-10"/>
          <w:w w:val="105"/>
          <w:sz w:val="19"/>
        </w:rPr>
        <w:t> </w:t>
      </w:r>
      <w:r>
        <w:rPr>
          <w:spacing w:val="2"/>
          <w:w w:val="105"/>
          <w:sz w:val="19"/>
        </w:rPr>
        <w:t>policy</w:t>
      </w:r>
      <w:r>
        <w:rPr>
          <w:spacing w:val="-9"/>
          <w:w w:val="105"/>
          <w:sz w:val="19"/>
        </w:rPr>
        <w:t> </w:t>
      </w:r>
      <w:r>
        <w:rPr>
          <w:spacing w:val="2"/>
          <w:w w:val="105"/>
          <w:sz w:val="19"/>
        </w:rPr>
        <w:t>decision</w:t>
      </w:r>
      <w:r>
        <w:rPr>
          <w:spacing w:val="-9"/>
          <w:w w:val="105"/>
          <w:sz w:val="19"/>
        </w:rPr>
        <w:t> </w:t>
      </w:r>
      <w:r>
        <w:rPr>
          <w:w w:val="105"/>
          <w:sz w:val="19"/>
        </w:rPr>
        <w:t>and</w:t>
      </w:r>
      <w:r>
        <w:rPr>
          <w:spacing w:val="-10"/>
          <w:w w:val="105"/>
          <w:sz w:val="19"/>
        </w:rPr>
        <w:t> </w:t>
      </w:r>
      <w:r>
        <w:rPr>
          <w:w w:val="105"/>
          <w:sz w:val="19"/>
        </w:rPr>
        <w:t>an</w:t>
      </w:r>
      <w:r>
        <w:rPr>
          <w:spacing w:val="-9"/>
          <w:w w:val="105"/>
          <w:sz w:val="19"/>
        </w:rPr>
        <w:t> </w:t>
      </w:r>
      <w:r>
        <w:rPr>
          <w:spacing w:val="3"/>
          <w:w w:val="105"/>
          <w:sz w:val="19"/>
        </w:rPr>
        <w:t>assessment </w:t>
      </w:r>
      <w:r>
        <w:rPr>
          <w:w w:val="105"/>
          <w:sz w:val="19"/>
        </w:rPr>
        <w:t>of the short-term risks to the attainment of its long-run goals of price stability and sustainable economic </w:t>
      </w:r>
      <w:r>
        <w:rPr>
          <w:spacing w:val="2"/>
          <w:w w:val="105"/>
          <w:sz w:val="19"/>
        </w:rPr>
        <w:t>growth</w:t>
      </w:r>
      <w:r>
        <w:rPr>
          <w:spacing w:val="-6"/>
          <w:w w:val="105"/>
          <w:sz w:val="19"/>
        </w:rPr>
        <w:t> </w:t>
      </w:r>
      <w:r>
        <w:rPr>
          <w:spacing w:val="2"/>
          <w:w w:val="105"/>
          <w:sz w:val="19"/>
        </w:rPr>
        <w:t>shortly</w:t>
      </w:r>
      <w:r>
        <w:rPr>
          <w:spacing w:val="-5"/>
          <w:w w:val="105"/>
          <w:sz w:val="19"/>
        </w:rPr>
        <w:t> </w:t>
      </w:r>
      <w:r>
        <w:rPr>
          <w:spacing w:val="2"/>
          <w:w w:val="105"/>
          <w:sz w:val="19"/>
        </w:rPr>
        <w:t>after</w:t>
      </w:r>
      <w:r>
        <w:rPr>
          <w:spacing w:val="-5"/>
          <w:w w:val="105"/>
          <w:sz w:val="19"/>
        </w:rPr>
        <w:t> </w:t>
      </w:r>
      <w:r>
        <w:rPr>
          <w:spacing w:val="2"/>
          <w:w w:val="105"/>
          <w:sz w:val="19"/>
        </w:rPr>
        <w:t>each</w:t>
      </w:r>
      <w:r>
        <w:rPr>
          <w:spacing w:val="-5"/>
          <w:w w:val="105"/>
          <w:sz w:val="19"/>
        </w:rPr>
        <w:t> </w:t>
      </w:r>
      <w:r>
        <w:rPr>
          <w:spacing w:val="2"/>
          <w:w w:val="105"/>
          <w:sz w:val="19"/>
        </w:rPr>
        <w:t>meeting.</w:t>
      </w:r>
      <w:r>
        <w:rPr>
          <w:spacing w:val="37"/>
          <w:w w:val="105"/>
          <w:sz w:val="19"/>
        </w:rPr>
        <w:t> </w:t>
      </w:r>
      <w:r>
        <w:rPr>
          <w:spacing w:val="2"/>
          <w:w w:val="105"/>
          <w:sz w:val="19"/>
        </w:rPr>
        <w:t>Some</w:t>
      </w:r>
      <w:r>
        <w:rPr>
          <w:spacing w:val="-5"/>
          <w:w w:val="105"/>
          <w:sz w:val="19"/>
        </w:rPr>
        <w:t> </w:t>
      </w:r>
      <w:r>
        <w:rPr>
          <w:spacing w:val="2"/>
          <w:w w:val="105"/>
          <w:sz w:val="19"/>
        </w:rPr>
        <w:t>details</w:t>
      </w:r>
      <w:r>
        <w:rPr>
          <w:spacing w:val="-5"/>
          <w:w w:val="105"/>
          <w:sz w:val="19"/>
        </w:rPr>
        <w:t> </w:t>
      </w:r>
      <w:r>
        <w:rPr>
          <w:w w:val="105"/>
          <w:sz w:val="19"/>
        </w:rPr>
        <w:t>of</w:t>
      </w:r>
      <w:r>
        <w:rPr>
          <w:spacing w:val="-5"/>
          <w:w w:val="105"/>
          <w:sz w:val="19"/>
        </w:rPr>
        <w:t> </w:t>
      </w:r>
      <w:r>
        <w:rPr>
          <w:w w:val="105"/>
          <w:sz w:val="19"/>
        </w:rPr>
        <w:t>the</w:t>
      </w:r>
      <w:r>
        <w:rPr>
          <w:spacing w:val="-6"/>
          <w:w w:val="105"/>
          <w:sz w:val="19"/>
        </w:rPr>
        <w:t> </w:t>
      </w:r>
      <w:r>
        <w:rPr>
          <w:spacing w:val="2"/>
          <w:w w:val="105"/>
          <w:sz w:val="19"/>
        </w:rPr>
        <w:t>vote</w:t>
      </w:r>
      <w:r>
        <w:rPr>
          <w:spacing w:val="-5"/>
          <w:w w:val="105"/>
          <w:sz w:val="19"/>
        </w:rPr>
        <w:t> </w:t>
      </w:r>
      <w:r>
        <w:rPr>
          <w:w w:val="105"/>
          <w:sz w:val="19"/>
        </w:rPr>
        <w:t>are</w:t>
      </w:r>
      <w:r>
        <w:rPr>
          <w:spacing w:val="-5"/>
          <w:w w:val="105"/>
          <w:sz w:val="19"/>
        </w:rPr>
        <w:t> </w:t>
      </w:r>
      <w:r>
        <w:rPr>
          <w:spacing w:val="2"/>
          <w:w w:val="105"/>
          <w:sz w:val="19"/>
        </w:rPr>
        <w:t>also</w:t>
      </w:r>
      <w:r>
        <w:rPr>
          <w:spacing w:val="-5"/>
          <w:w w:val="105"/>
          <w:sz w:val="19"/>
        </w:rPr>
        <w:t> </w:t>
      </w:r>
      <w:r>
        <w:rPr>
          <w:spacing w:val="2"/>
          <w:w w:val="105"/>
          <w:sz w:val="19"/>
        </w:rPr>
        <w:t>given</w:t>
      </w:r>
      <w:r>
        <w:rPr>
          <w:spacing w:val="-6"/>
          <w:w w:val="105"/>
          <w:sz w:val="19"/>
        </w:rPr>
        <w:t> </w:t>
      </w:r>
      <w:r>
        <w:rPr>
          <w:w w:val="105"/>
          <w:sz w:val="19"/>
        </w:rPr>
        <w:t>in</w:t>
      </w:r>
      <w:r>
        <w:rPr>
          <w:spacing w:val="-5"/>
          <w:w w:val="105"/>
          <w:sz w:val="19"/>
        </w:rPr>
        <w:t> </w:t>
      </w:r>
      <w:r>
        <w:rPr>
          <w:spacing w:val="2"/>
          <w:w w:val="105"/>
          <w:sz w:val="19"/>
        </w:rPr>
        <w:t>this</w:t>
      </w:r>
      <w:r>
        <w:rPr>
          <w:spacing w:val="-5"/>
          <w:w w:val="105"/>
          <w:sz w:val="19"/>
        </w:rPr>
        <w:t> </w:t>
      </w:r>
      <w:r>
        <w:rPr>
          <w:spacing w:val="3"/>
          <w:w w:val="105"/>
          <w:sz w:val="19"/>
        </w:rPr>
        <w:t>statement.</w:t>
      </w:r>
    </w:p>
    <w:p>
      <w:pPr>
        <w:spacing w:line="214" w:lineRule="exact" w:before="0"/>
        <w:ind w:left="160" w:right="0" w:firstLine="0"/>
        <w:jc w:val="left"/>
        <w:rPr>
          <w:sz w:val="19"/>
        </w:rPr>
      </w:pPr>
      <w:r>
        <w:rPr>
          <w:spacing w:val="3"/>
          <w:w w:val="105"/>
          <w:position w:val="9"/>
          <w:sz w:val="13"/>
        </w:rPr>
        <w:t>12</w:t>
      </w:r>
      <w:r>
        <w:rPr>
          <w:spacing w:val="13"/>
          <w:w w:val="105"/>
          <w:position w:val="9"/>
          <w:sz w:val="13"/>
        </w:rPr>
        <w:t> </w:t>
      </w:r>
      <w:r>
        <w:rPr>
          <w:w w:val="105"/>
          <w:sz w:val="19"/>
        </w:rPr>
        <w:t>I</w:t>
      </w:r>
      <w:r>
        <w:rPr>
          <w:spacing w:val="-6"/>
          <w:w w:val="105"/>
          <w:sz w:val="19"/>
        </w:rPr>
        <w:t> </w:t>
      </w:r>
      <w:r>
        <w:rPr>
          <w:w w:val="105"/>
          <w:sz w:val="19"/>
        </w:rPr>
        <w:t>am</w:t>
      </w:r>
      <w:r>
        <w:rPr>
          <w:spacing w:val="-5"/>
          <w:w w:val="105"/>
          <w:sz w:val="19"/>
        </w:rPr>
        <w:t> </w:t>
      </w:r>
      <w:r>
        <w:rPr>
          <w:spacing w:val="2"/>
          <w:w w:val="105"/>
          <w:sz w:val="19"/>
        </w:rPr>
        <w:t>grateful</w:t>
      </w:r>
      <w:r>
        <w:rPr>
          <w:spacing w:val="-6"/>
          <w:w w:val="105"/>
          <w:sz w:val="19"/>
        </w:rPr>
        <w:t> </w:t>
      </w:r>
      <w:r>
        <w:rPr>
          <w:w w:val="105"/>
          <w:sz w:val="19"/>
        </w:rPr>
        <w:t>to</w:t>
      </w:r>
      <w:r>
        <w:rPr>
          <w:spacing w:val="-5"/>
          <w:w w:val="105"/>
          <w:sz w:val="19"/>
        </w:rPr>
        <w:t> </w:t>
      </w:r>
      <w:r>
        <w:rPr>
          <w:spacing w:val="2"/>
          <w:w w:val="105"/>
          <w:sz w:val="19"/>
        </w:rPr>
        <w:t>Nick</w:t>
      </w:r>
      <w:r>
        <w:rPr>
          <w:spacing w:val="-6"/>
          <w:w w:val="105"/>
          <w:sz w:val="19"/>
        </w:rPr>
        <w:t> </w:t>
      </w:r>
      <w:r>
        <w:rPr>
          <w:spacing w:val="2"/>
          <w:w w:val="105"/>
          <w:sz w:val="19"/>
        </w:rPr>
        <w:t>Davey</w:t>
      </w:r>
      <w:r>
        <w:rPr>
          <w:spacing w:val="-5"/>
          <w:w w:val="105"/>
          <w:sz w:val="19"/>
        </w:rPr>
        <w:t> </w:t>
      </w:r>
      <w:r>
        <w:rPr>
          <w:w w:val="105"/>
          <w:sz w:val="19"/>
        </w:rPr>
        <w:t>and</w:t>
      </w:r>
      <w:r>
        <w:rPr>
          <w:spacing w:val="-6"/>
          <w:w w:val="105"/>
          <w:sz w:val="19"/>
        </w:rPr>
        <w:t> </w:t>
      </w:r>
      <w:r>
        <w:rPr>
          <w:spacing w:val="2"/>
          <w:w w:val="105"/>
          <w:sz w:val="19"/>
        </w:rPr>
        <w:t>Jennifer</w:t>
      </w:r>
      <w:r>
        <w:rPr>
          <w:spacing w:val="-5"/>
          <w:w w:val="105"/>
          <w:sz w:val="19"/>
        </w:rPr>
        <w:t> </w:t>
      </w:r>
      <w:r>
        <w:rPr>
          <w:spacing w:val="2"/>
          <w:w w:val="105"/>
          <w:sz w:val="19"/>
        </w:rPr>
        <w:t>Greenslade</w:t>
      </w:r>
      <w:r>
        <w:rPr>
          <w:spacing w:val="-6"/>
          <w:w w:val="105"/>
          <w:sz w:val="19"/>
        </w:rPr>
        <w:t> </w:t>
      </w:r>
      <w:r>
        <w:rPr>
          <w:w w:val="105"/>
          <w:sz w:val="19"/>
        </w:rPr>
        <w:t>of</w:t>
      </w:r>
      <w:r>
        <w:rPr>
          <w:spacing w:val="-5"/>
          <w:w w:val="105"/>
          <w:sz w:val="19"/>
        </w:rPr>
        <w:t> </w:t>
      </w:r>
      <w:r>
        <w:rPr>
          <w:w w:val="105"/>
          <w:sz w:val="19"/>
        </w:rPr>
        <w:t>the</w:t>
      </w:r>
      <w:r>
        <w:rPr>
          <w:spacing w:val="-6"/>
          <w:w w:val="105"/>
          <w:sz w:val="19"/>
        </w:rPr>
        <w:t> </w:t>
      </w:r>
      <w:r>
        <w:rPr>
          <w:w w:val="105"/>
          <w:sz w:val="19"/>
        </w:rPr>
        <w:t>MPC</w:t>
      </w:r>
      <w:r>
        <w:rPr>
          <w:spacing w:val="-6"/>
          <w:w w:val="105"/>
          <w:sz w:val="19"/>
        </w:rPr>
        <w:t> </w:t>
      </w:r>
      <w:r>
        <w:rPr>
          <w:spacing w:val="2"/>
          <w:w w:val="105"/>
          <w:sz w:val="19"/>
        </w:rPr>
        <w:t>Unit</w:t>
      </w:r>
      <w:r>
        <w:rPr>
          <w:spacing w:val="-5"/>
          <w:w w:val="105"/>
          <w:sz w:val="19"/>
        </w:rPr>
        <w:t> </w:t>
      </w:r>
      <w:r>
        <w:rPr>
          <w:w w:val="105"/>
          <w:sz w:val="19"/>
        </w:rPr>
        <w:t>for</w:t>
      </w:r>
      <w:r>
        <w:rPr>
          <w:spacing w:val="-6"/>
          <w:w w:val="105"/>
          <w:sz w:val="19"/>
        </w:rPr>
        <w:t> </w:t>
      </w:r>
      <w:r>
        <w:rPr>
          <w:spacing w:val="2"/>
          <w:w w:val="105"/>
          <w:sz w:val="19"/>
        </w:rPr>
        <w:t>help</w:t>
      </w:r>
      <w:r>
        <w:rPr>
          <w:spacing w:val="-5"/>
          <w:w w:val="105"/>
          <w:sz w:val="19"/>
        </w:rPr>
        <w:t> </w:t>
      </w:r>
      <w:r>
        <w:rPr>
          <w:spacing w:val="2"/>
          <w:w w:val="105"/>
          <w:sz w:val="19"/>
        </w:rPr>
        <w:t>with</w:t>
      </w:r>
      <w:r>
        <w:rPr>
          <w:spacing w:val="-6"/>
          <w:w w:val="105"/>
          <w:sz w:val="19"/>
        </w:rPr>
        <w:t> </w:t>
      </w:r>
      <w:r>
        <w:rPr>
          <w:spacing w:val="3"/>
          <w:w w:val="105"/>
          <w:sz w:val="19"/>
        </w:rPr>
        <w:t>these</w:t>
      </w:r>
    </w:p>
    <w:p>
      <w:pPr>
        <w:spacing w:line="205" w:lineRule="exact" w:before="21"/>
        <w:ind w:left="160" w:right="0" w:firstLine="0"/>
        <w:jc w:val="left"/>
        <w:rPr>
          <w:sz w:val="19"/>
        </w:rPr>
      </w:pPr>
      <w:r>
        <w:rPr>
          <w:w w:val="105"/>
          <w:sz w:val="19"/>
        </w:rPr>
        <w:t>computations.</w:t>
      </w:r>
    </w:p>
    <w:p>
      <w:pPr>
        <w:spacing w:line="226" w:lineRule="exact" w:before="17"/>
        <w:ind w:left="160" w:right="0" w:firstLine="0"/>
        <w:jc w:val="left"/>
        <w:rPr>
          <w:sz w:val="19"/>
        </w:rPr>
      </w:pPr>
      <w:r>
        <w:rPr>
          <w:w w:val="105"/>
          <w:position w:val="9"/>
          <w:sz w:val="13"/>
        </w:rPr>
        <w:t>13 </w:t>
      </w:r>
      <w:r>
        <w:rPr>
          <w:w w:val="105"/>
          <w:sz w:val="19"/>
        </w:rPr>
        <w:t>The contracts mature during March, June, September and December. We switch contracts at the beginning of the final month because contracts tend to lose liquidity just before they mature. So, we</w:t>
      </w:r>
    </w:p>
    <w:p>
      <w:pPr>
        <w:spacing w:before="17"/>
        <w:ind w:left="160" w:right="0" w:firstLine="0"/>
        <w:jc w:val="left"/>
        <w:rPr>
          <w:sz w:val="19"/>
        </w:rPr>
      </w:pPr>
      <w:r>
        <w:rPr>
          <w:sz w:val="19"/>
        </w:rPr>
        <w:t>take the June contract as the ‘nearest’ from 1</w:t>
      </w:r>
      <w:r>
        <w:rPr>
          <w:sz w:val="19"/>
          <w:vertAlign w:val="superscript"/>
        </w:rPr>
        <w:t>st</w:t>
      </w:r>
      <w:r>
        <w:rPr>
          <w:sz w:val="19"/>
          <w:vertAlign w:val="baseline"/>
        </w:rPr>
        <w:t> March.</w:t>
      </w:r>
    </w:p>
    <w:p>
      <w:pPr>
        <w:spacing w:after="0"/>
        <w:jc w:val="left"/>
        <w:rPr>
          <w:sz w:val="19"/>
        </w:rPr>
        <w:sectPr>
          <w:pgSz w:w="11920" w:h="16840"/>
          <w:pgMar w:header="0" w:footer="739" w:top="1360" w:bottom="920" w:left="1640" w:right="1680"/>
        </w:sectPr>
      </w:pPr>
    </w:p>
    <w:p>
      <w:pPr>
        <w:pStyle w:val="BodyText"/>
        <w:spacing w:line="357" w:lineRule="auto" w:before="61"/>
        <w:ind w:left="160" w:right="182"/>
      </w:pPr>
      <w:r>
        <w:rPr/>
        <w:t>by the level of the interest rate. The results of doing so are also to be found in Table</w:t>
      </w:r>
      <w:r>
        <w:rPr>
          <w:spacing w:val="-38"/>
        </w:rPr>
        <w:t> </w:t>
      </w:r>
      <w:r>
        <w:rPr/>
        <w:t>2 (under the heading ‘average scaled change’). They also suggest that the average ‘surprise’ associated with monetary policy decisions in the UK has been higher than in the US or Europe. Note that Clare and Courtenay (2001) found that if </w:t>
      </w:r>
      <w:r>
        <w:rPr>
          <w:spacing w:val="-2"/>
        </w:rPr>
        <w:t>one </w:t>
      </w:r>
      <w:r>
        <w:rPr/>
        <w:t>considered the top ten market-moving events for the short-sterling contract (over</w:t>
      </w:r>
      <w:r>
        <w:rPr>
          <w:spacing w:val="-1"/>
        </w:rPr>
        <w:t> </w:t>
      </w:r>
      <w:r>
        <w:rPr/>
        <w:t>a</w:t>
      </w:r>
    </w:p>
    <w:p>
      <w:pPr>
        <w:pStyle w:val="ListParagraph"/>
        <w:numPr>
          <w:ilvl w:val="0"/>
          <w:numId w:val="2"/>
        </w:numPr>
        <w:tabs>
          <w:tab w:pos="344" w:val="left" w:leader="none"/>
        </w:tabs>
        <w:spacing w:line="357" w:lineRule="auto" w:before="14" w:after="0"/>
        <w:ind w:left="160" w:right="143" w:firstLine="0"/>
        <w:jc w:val="left"/>
        <w:rPr>
          <w:sz w:val="24"/>
        </w:rPr>
      </w:pPr>
      <w:r>
        <w:rPr>
          <w:sz w:val="24"/>
        </w:rPr>
        <w:t>minute period) during the 1997-99 period, then seven of these were associated with announcements of MPC decisions, so the notion that the MPC has surprised in </w:t>
      </w:r>
      <w:r>
        <w:rPr>
          <w:spacing w:val="-2"/>
          <w:sz w:val="24"/>
        </w:rPr>
        <w:t>the </w:t>
      </w:r>
      <w:r>
        <w:rPr>
          <w:sz w:val="24"/>
        </w:rPr>
        <w:t>past is familiar. What is less familiar about these results is that the MPC has</w:t>
      </w:r>
      <w:r>
        <w:rPr>
          <w:spacing w:val="-32"/>
          <w:sz w:val="24"/>
        </w:rPr>
        <w:t> </w:t>
      </w:r>
      <w:r>
        <w:rPr>
          <w:sz w:val="24"/>
        </w:rPr>
        <w:t>surprised the markets by more than other central</w:t>
      </w:r>
      <w:r>
        <w:rPr>
          <w:spacing w:val="22"/>
          <w:sz w:val="24"/>
        </w:rPr>
        <w:t> </w:t>
      </w:r>
      <w:r>
        <w:rPr>
          <w:spacing w:val="-2"/>
          <w:sz w:val="24"/>
        </w:rPr>
        <w:t>banks.</w:t>
      </w:r>
    </w:p>
    <w:p>
      <w:pPr>
        <w:pStyle w:val="BodyText"/>
        <w:spacing w:before="11"/>
        <w:rPr>
          <w:sz w:val="36"/>
        </w:rPr>
      </w:pPr>
    </w:p>
    <w:p>
      <w:pPr>
        <w:pStyle w:val="BodyText"/>
        <w:spacing w:line="352" w:lineRule="auto"/>
        <w:ind w:left="160" w:right="147"/>
      </w:pPr>
      <w:r>
        <w:rPr/>
        <w:t>Given that the MPC has strived to be transparent, it might, at first sight, seem odd that we have been less predictable. There are various possible explanations.</w:t>
      </w:r>
    </w:p>
    <w:p>
      <w:pPr>
        <w:pStyle w:val="BodyText"/>
        <w:spacing w:before="4"/>
        <w:rPr>
          <w:sz w:val="36"/>
        </w:rPr>
      </w:pPr>
    </w:p>
    <w:p>
      <w:pPr>
        <w:pStyle w:val="BodyText"/>
        <w:spacing w:line="360" w:lineRule="auto"/>
        <w:ind w:left="160" w:right="175"/>
      </w:pPr>
      <w:r>
        <w:rPr/>
        <w:t>First, it is possible that the markets receive greater ‘guidance’ about future interest rate changes from speeches made by central bankers from other countries. It is more difficult for such hints to be offered under the system of individual accountability that operates in the UK. It is plausible that, on average, a system of individual accountability would contribute to better decision-making over time than, say, a system which depended on a single individual or on ‘consensus’ decision-making.</w:t>
      </w:r>
    </w:p>
    <w:p>
      <w:pPr>
        <w:pStyle w:val="BodyText"/>
        <w:spacing w:line="364" w:lineRule="auto" w:before="7"/>
        <w:ind w:left="160"/>
      </w:pPr>
      <w:r>
        <w:rPr/>
        <w:t>However, a cost of such a system may be that one occasionally surprises the markets a little more.</w:t>
      </w:r>
    </w:p>
    <w:p>
      <w:pPr>
        <w:pStyle w:val="BodyText"/>
        <w:spacing w:before="3"/>
        <w:rPr>
          <w:sz w:val="35"/>
        </w:rPr>
      </w:pPr>
    </w:p>
    <w:p>
      <w:pPr>
        <w:pStyle w:val="BodyText"/>
        <w:tabs>
          <w:tab w:pos="4709" w:val="left" w:leader="none"/>
        </w:tabs>
        <w:spacing w:line="357" w:lineRule="auto"/>
        <w:ind w:left="160" w:right="277"/>
      </w:pPr>
      <w:r>
        <w:rPr/>
        <w:t>Second, the empirical results presented above should be thought of as a preliminary exercise that deserves further</w:t>
      </w:r>
      <w:r>
        <w:rPr>
          <w:spacing w:val="-11"/>
        </w:rPr>
        <w:t> </w:t>
      </w:r>
      <w:r>
        <w:rPr/>
        <w:t>investigation.</w:t>
      </w:r>
      <w:r>
        <w:rPr>
          <w:spacing w:val="-37"/>
        </w:rPr>
        <w:t> </w:t>
      </w:r>
      <w:r>
        <w:rPr>
          <w:spacing w:val="3"/>
          <w:vertAlign w:val="superscript"/>
        </w:rPr>
        <w:t>14</w:t>
      </w:r>
      <w:r>
        <w:rPr>
          <w:spacing w:val="3"/>
          <w:vertAlign w:val="baseline"/>
        </w:rPr>
        <w:tab/>
      </w:r>
      <w:r>
        <w:rPr>
          <w:spacing w:val="-3"/>
          <w:vertAlign w:val="baseline"/>
        </w:rPr>
        <w:t>Third, </w:t>
      </w:r>
      <w:r>
        <w:rPr>
          <w:vertAlign w:val="baseline"/>
        </w:rPr>
        <w:t>it is </w:t>
      </w:r>
      <w:r>
        <w:rPr>
          <w:spacing w:val="-3"/>
          <w:vertAlign w:val="baseline"/>
        </w:rPr>
        <w:t>important </w:t>
      </w:r>
      <w:r>
        <w:rPr>
          <w:vertAlign w:val="baseline"/>
        </w:rPr>
        <w:t>to </w:t>
      </w:r>
      <w:r>
        <w:rPr>
          <w:spacing w:val="-3"/>
          <w:vertAlign w:val="baseline"/>
        </w:rPr>
        <w:t>recognise that </w:t>
      </w:r>
      <w:r>
        <w:rPr>
          <w:vertAlign w:val="baseline"/>
        </w:rPr>
        <w:t>the results in Table 2 may have been importantly distorted by some ‘surprises’ in </w:t>
      </w:r>
      <w:r>
        <w:rPr>
          <w:spacing w:val="-2"/>
          <w:vertAlign w:val="baseline"/>
        </w:rPr>
        <w:t>the </w:t>
      </w:r>
      <w:r>
        <w:rPr>
          <w:spacing w:val="-3"/>
          <w:vertAlign w:val="baseline"/>
        </w:rPr>
        <w:t>early years </w:t>
      </w:r>
      <w:r>
        <w:rPr>
          <w:vertAlign w:val="baseline"/>
        </w:rPr>
        <w:t>of the </w:t>
      </w:r>
      <w:r>
        <w:rPr>
          <w:spacing w:val="-3"/>
          <w:vertAlign w:val="baseline"/>
        </w:rPr>
        <w:t>MPC, when </w:t>
      </w:r>
      <w:r>
        <w:rPr>
          <w:vertAlign w:val="baseline"/>
        </w:rPr>
        <w:t>the </w:t>
      </w:r>
      <w:r>
        <w:rPr>
          <w:spacing w:val="-3"/>
          <w:vertAlign w:val="baseline"/>
        </w:rPr>
        <w:t>markets were still trying </w:t>
      </w:r>
      <w:r>
        <w:rPr>
          <w:vertAlign w:val="baseline"/>
        </w:rPr>
        <w:t>to </w:t>
      </w:r>
      <w:r>
        <w:rPr>
          <w:spacing w:val="-3"/>
          <w:vertAlign w:val="baseline"/>
        </w:rPr>
        <w:t>learn more about the </w:t>
      </w:r>
      <w:r>
        <w:rPr>
          <w:vertAlign w:val="baseline"/>
        </w:rPr>
        <w:t>reaction function of the newly-created MPC. Table 3 contains a comparison of</w:t>
      </w:r>
      <w:r>
        <w:rPr>
          <w:spacing w:val="-27"/>
          <w:vertAlign w:val="baseline"/>
        </w:rPr>
        <w:t> </w:t>
      </w:r>
      <w:r>
        <w:rPr>
          <w:spacing w:val="-2"/>
          <w:vertAlign w:val="baseline"/>
        </w:rPr>
        <w:t>the</w:t>
      </w:r>
    </w:p>
    <w:p>
      <w:pPr>
        <w:pStyle w:val="BodyText"/>
        <w:spacing w:before="4"/>
        <w:rPr>
          <w:sz w:val="13"/>
        </w:rPr>
      </w:pPr>
      <w:r>
        <w:rPr/>
        <w:pict>
          <v:shape style="position:absolute;margin-left:90pt;margin-top:10.055224pt;width:144pt;height:.1pt;mso-position-horizontal-relative:page;mso-position-vertical-relative:paragraph;z-index:-251624448;mso-wrap-distance-left:0;mso-wrap-distance-right:0" coordorigin="1800,201" coordsize="2880,0" path="m1800,201l4680,201e" filled="false" stroked="true" strokeweight=".75pt" strokecolor="#000000">
            <v:path arrowok="t"/>
            <v:stroke dashstyle="solid"/>
            <w10:wrap type="topAndBottom"/>
          </v:shape>
        </w:pict>
      </w:r>
    </w:p>
    <w:p>
      <w:pPr>
        <w:spacing w:line="254" w:lineRule="auto" w:before="14"/>
        <w:ind w:left="160" w:right="161" w:firstLine="0"/>
        <w:jc w:val="left"/>
        <w:rPr>
          <w:sz w:val="19"/>
        </w:rPr>
      </w:pPr>
      <w:r>
        <w:rPr>
          <w:spacing w:val="3"/>
          <w:w w:val="105"/>
          <w:position w:val="9"/>
          <w:sz w:val="13"/>
        </w:rPr>
        <w:t>14 </w:t>
      </w:r>
      <w:r>
        <w:rPr>
          <w:w w:val="105"/>
          <w:sz w:val="19"/>
        </w:rPr>
        <w:t>For </w:t>
      </w:r>
      <w:r>
        <w:rPr>
          <w:spacing w:val="2"/>
          <w:w w:val="105"/>
          <w:sz w:val="19"/>
        </w:rPr>
        <w:t>example, note that </w:t>
      </w:r>
      <w:r>
        <w:rPr>
          <w:w w:val="105"/>
          <w:sz w:val="19"/>
        </w:rPr>
        <w:t>we </w:t>
      </w:r>
      <w:r>
        <w:rPr>
          <w:spacing w:val="2"/>
          <w:w w:val="105"/>
          <w:sz w:val="19"/>
        </w:rPr>
        <w:t>have computed </w:t>
      </w:r>
      <w:r>
        <w:rPr>
          <w:w w:val="105"/>
          <w:sz w:val="19"/>
        </w:rPr>
        <w:t>the </w:t>
      </w:r>
      <w:r>
        <w:rPr>
          <w:spacing w:val="2"/>
          <w:w w:val="105"/>
          <w:sz w:val="19"/>
        </w:rPr>
        <w:t>‘surprise’ over </w:t>
      </w:r>
      <w:r>
        <w:rPr>
          <w:w w:val="105"/>
          <w:sz w:val="19"/>
        </w:rPr>
        <w:t>the </w:t>
      </w:r>
      <w:r>
        <w:rPr>
          <w:spacing w:val="2"/>
          <w:w w:val="105"/>
          <w:sz w:val="19"/>
        </w:rPr>
        <w:t>entire trading </w:t>
      </w:r>
      <w:r>
        <w:rPr>
          <w:w w:val="105"/>
          <w:sz w:val="19"/>
        </w:rPr>
        <w:t>day – </w:t>
      </w:r>
      <w:r>
        <w:rPr>
          <w:spacing w:val="2"/>
          <w:w w:val="105"/>
          <w:sz w:val="19"/>
        </w:rPr>
        <w:t>yet, </w:t>
      </w:r>
      <w:r>
        <w:rPr>
          <w:spacing w:val="3"/>
          <w:w w:val="105"/>
          <w:sz w:val="19"/>
        </w:rPr>
        <w:t>usually, </w:t>
      </w:r>
      <w:r>
        <w:rPr>
          <w:spacing w:val="2"/>
          <w:w w:val="105"/>
          <w:sz w:val="19"/>
        </w:rPr>
        <w:t>there</w:t>
      </w:r>
      <w:r>
        <w:rPr>
          <w:spacing w:val="-9"/>
          <w:w w:val="105"/>
          <w:sz w:val="19"/>
        </w:rPr>
        <w:t> </w:t>
      </w:r>
      <w:r>
        <w:rPr>
          <w:spacing w:val="2"/>
          <w:w w:val="105"/>
          <w:sz w:val="19"/>
        </w:rPr>
        <w:t>will</w:t>
      </w:r>
      <w:r>
        <w:rPr>
          <w:spacing w:val="-9"/>
          <w:w w:val="105"/>
          <w:sz w:val="19"/>
        </w:rPr>
        <w:t> </w:t>
      </w:r>
      <w:r>
        <w:rPr>
          <w:w w:val="105"/>
          <w:sz w:val="19"/>
        </w:rPr>
        <w:t>be</w:t>
      </w:r>
      <w:r>
        <w:rPr>
          <w:spacing w:val="-9"/>
          <w:w w:val="105"/>
          <w:sz w:val="19"/>
        </w:rPr>
        <w:t> </w:t>
      </w:r>
      <w:r>
        <w:rPr>
          <w:spacing w:val="2"/>
          <w:w w:val="105"/>
          <w:sz w:val="19"/>
        </w:rPr>
        <w:t>factors</w:t>
      </w:r>
      <w:r>
        <w:rPr>
          <w:spacing w:val="-9"/>
          <w:w w:val="105"/>
          <w:sz w:val="19"/>
        </w:rPr>
        <w:t> </w:t>
      </w:r>
      <w:r>
        <w:rPr>
          <w:spacing w:val="2"/>
          <w:w w:val="105"/>
          <w:sz w:val="19"/>
        </w:rPr>
        <w:t>other</w:t>
      </w:r>
      <w:r>
        <w:rPr>
          <w:spacing w:val="-9"/>
          <w:w w:val="105"/>
          <w:sz w:val="19"/>
        </w:rPr>
        <w:t> </w:t>
      </w:r>
      <w:r>
        <w:rPr>
          <w:spacing w:val="2"/>
          <w:w w:val="105"/>
          <w:sz w:val="19"/>
        </w:rPr>
        <w:t>than</w:t>
      </w:r>
      <w:r>
        <w:rPr>
          <w:spacing w:val="-9"/>
          <w:w w:val="105"/>
          <w:sz w:val="19"/>
        </w:rPr>
        <w:t> </w:t>
      </w:r>
      <w:r>
        <w:rPr>
          <w:w w:val="105"/>
          <w:sz w:val="19"/>
        </w:rPr>
        <w:t>our</w:t>
      </w:r>
      <w:r>
        <w:rPr>
          <w:spacing w:val="-9"/>
          <w:w w:val="105"/>
          <w:sz w:val="19"/>
        </w:rPr>
        <w:t> </w:t>
      </w:r>
      <w:r>
        <w:rPr>
          <w:spacing w:val="2"/>
          <w:w w:val="105"/>
          <w:sz w:val="19"/>
        </w:rPr>
        <w:t>policy</w:t>
      </w:r>
      <w:r>
        <w:rPr>
          <w:spacing w:val="-9"/>
          <w:w w:val="105"/>
          <w:sz w:val="19"/>
        </w:rPr>
        <w:t> </w:t>
      </w:r>
      <w:r>
        <w:rPr>
          <w:spacing w:val="2"/>
          <w:w w:val="105"/>
          <w:sz w:val="19"/>
        </w:rPr>
        <w:t>announcement</w:t>
      </w:r>
      <w:r>
        <w:rPr>
          <w:spacing w:val="-9"/>
          <w:w w:val="105"/>
          <w:sz w:val="19"/>
        </w:rPr>
        <w:t> </w:t>
      </w:r>
      <w:r>
        <w:rPr>
          <w:spacing w:val="2"/>
          <w:w w:val="105"/>
          <w:sz w:val="19"/>
        </w:rPr>
        <w:t>that</w:t>
      </w:r>
      <w:r>
        <w:rPr>
          <w:spacing w:val="-8"/>
          <w:w w:val="105"/>
          <w:sz w:val="19"/>
        </w:rPr>
        <w:t> </w:t>
      </w:r>
      <w:r>
        <w:rPr>
          <w:spacing w:val="2"/>
          <w:w w:val="105"/>
          <w:sz w:val="19"/>
        </w:rPr>
        <w:t>will</w:t>
      </w:r>
      <w:r>
        <w:rPr>
          <w:spacing w:val="-9"/>
          <w:w w:val="105"/>
          <w:sz w:val="19"/>
        </w:rPr>
        <w:t> </w:t>
      </w:r>
      <w:r>
        <w:rPr>
          <w:spacing w:val="2"/>
          <w:w w:val="105"/>
          <w:sz w:val="19"/>
        </w:rPr>
        <w:t>also</w:t>
      </w:r>
      <w:r>
        <w:rPr>
          <w:spacing w:val="-9"/>
          <w:w w:val="105"/>
          <w:sz w:val="19"/>
        </w:rPr>
        <w:t> </w:t>
      </w:r>
      <w:r>
        <w:rPr>
          <w:spacing w:val="2"/>
          <w:w w:val="105"/>
          <w:sz w:val="19"/>
        </w:rPr>
        <w:t>move</w:t>
      </w:r>
      <w:r>
        <w:rPr>
          <w:spacing w:val="-9"/>
          <w:w w:val="105"/>
          <w:sz w:val="19"/>
        </w:rPr>
        <w:t> </w:t>
      </w:r>
      <w:r>
        <w:rPr>
          <w:w w:val="105"/>
          <w:sz w:val="19"/>
        </w:rPr>
        <w:t>the</w:t>
      </w:r>
      <w:r>
        <w:rPr>
          <w:spacing w:val="-9"/>
          <w:w w:val="105"/>
          <w:sz w:val="19"/>
        </w:rPr>
        <w:t> </w:t>
      </w:r>
      <w:r>
        <w:rPr>
          <w:spacing w:val="2"/>
          <w:w w:val="105"/>
          <w:sz w:val="19"/>
        </w:rPr>
        <w:t>prices</w:t>
      </w:r>
      <w:r>
        <w:rPr>
          <w:spacing w:val="-9"/>
          <w:w w:val="105"/>
          <w:sz w:val="19"/>
        </w:rPr>
        <w:t> </w:t>
      </w:r>
      <w:r>
        <w:rPr>
          <w:w w:val="105"/>
          <w:sz w:val="19"/>
        </w:rPr>
        <w:t>of</w:t>
      </w:r>
      <w:r>
        <w:rPr>
          <w:spacing w:val="-9"/>
          <w:w w:val="105"/>
          <w:sz w:val="19"/>
        </w:rPr>
        <w:t> </w:t>
      </w:r>
      <w:r>
        <w:rPr>
          <w:spacing w:val="2"/>
          <w:w w:val="105"/>
          <w:sz w:val="19"/>
        </w:rPr>
        <w:t>these</w:t>
      </w:r>
      <w:r>
        <w:rPr>
          <w:spacing w:val="-9"/>
          <w:w w:val="105"/>
          <w:sz w:val="19"/>
        </w:rPr>
        <w:t> </w:t>
      </w:r>
      <w:r>
        <w:rPr>
          <w:spacing w:val="3"/>
          <w:w w:val="105"/>
          <w:sz w:val="19"/>
        </w:rPr>
        <w:t>interest </w:t>
      </w:r>
      <w:r>
        <w:rPr>
          <w:spacing w:val="2"/>
          <w:w w:val="105"/>
          <w:sz w:val="19"/>
        </w:rPr>
        <w:t>rate contracts. Therefore, </w:t>
      </w:r>
      <w:r>
        <w:rPr>
          <w:w w:val="105"/>
          <w:sz w:val="19"/>
        </w:rPr>
        <w:t>we </w:t>
      </w:r>
      <w:r>
        <w:rPr>
          <w:spacing w:val="2"/>
          <w:w w:val="105"/>
          <w:sz w:val="19"/>
        </w:rPr>
        <w:t>also used intra-day data </w:t>
      </w:r>
      <w:r>
        <w:rPr>
          <w:w w:val="105"/>
          <w:sz w:val="19"/>
        </w:rPr>
        <w:t>for the </w:t>
      </w:r>
      <w:r>
        <w:rPr>
          <w:spacing w:val="2"/>
          <w:w w:val="105"/>
          <w:sz w:val="19"/>
        </w:rPr>
        <w:t>short sterling contract. </w:t>
      </w:r>
      <w:r>
        <w:rPr>
          <w:spacing w:val="3"/>
          <w:w w:val="105"/>
          <w:sz w:val="19"/>
        </w:rPr>
        <w:t>Rather </w:t>
      </w:r>
      <w:r>
        <w:rPr>
          <w:w w:val="105"/>
          <w:sz w:val="19"/>
        </w:rPr>
        <w:t>reassuringly, we found that the average absolute change computed over the 1145 – 1245 (GMT) time period (the monetary policy decision is announced at 1200 GMT) was around 80% of the average </w:t>
      </w:r>
      <w:r>
        <w:rPr>
          <w:spacing w:val="2"/>
          <w:w w:val="105"/>
          <w:sz w:val="19"/>
        </w:rPr>
        <w:t>absolute</w:t>
      </w:r>
      <w:r>
        <w:rPr>
          <w:spacing w:val="-9"/>
          <w:w w:val="105"/>
          <w:sz w:val="19"/>
        </w:rPr>
        <w:t> </w:t>
      </w:r>
      <w:r>
        <w:rPr>
          <w:spacing w:val="2"/>
          <w:w w:val="105"/>
          <w:sz w:val="19"/>
        </w:rPr>
        <w:t>change</w:t>
      </w:r>
      <w:r>
        <w:rPr>
          <w:spacing w:val="-9"/>
          <w:w w:val="105"/>
          <w:sz w:val="19"/>
        </w:rPr>
        <w:t> </w:t>
      </w:r>
      <w:r>
        <w:rPr>
          <w:spacing w:val="2"/>
          <w:w w:val="105"/>
          <w:sz w:val="19"/>
        </w:rPr>
        <w:t>computed</w:t>
      </w:r>
      <w:r>
        <w:rPr>
          <w:spacing w:val="-9"/>
          <w:w w:val="105"/>
          <w:sz w:val="19"/>
        </w:rPr>
        <w:t> </w:t>
      </w:r>
      <w:r>
        <w:rPr>
          <w:spacing w:val="2"/>
          <w:w w:val="105"/>
          <w:sz w:val="19"/>
        </w:rPr>
        <w:t>over</w:t>
      </w:r>
      <w:r>
        <w:rPr>
          <w:spacing w:val="-8"/>
          <w:w w:val="105"/>
          <w:sz w:val="19"/>
        </w:rPr>
        <w:t> </w:t>
      </w:r>
      <w:r>
        <w:rPr>
          <w:w w:val="105"/>
          <w:sz w:val="19"/>
        </w:rPr>
        <w:t>the</w:t>
      </w:r>
      <w:r>
        <w:rPr>
          <w:spacing w:val="-9"/>
          <w:w w:val="105"/>
          <w:sz w:val="19"/>
        </w:rPr>
        <w:t> </w:t>
      </w:r>
      <w:r>
        <w:rPr>
          <w:spacing w:val="2"/>
          <w:w w:val="105"/>
          <w:sz w:val="19"/>
        </w:rPr>
        <w:t>whole</w:t>
      </w:r>
      <w:r>
        <w:rPr>
          <w:spacing w:val="-9"/>
          <w:w w:val="105"/>
          <w:sz w:val="19"/>
        </w:rPr>
        <w:t> </w:t>
      </w:r>
      <w:r>
        <w:rPr>
          <w:spacing w:val="2"/>
          <w:w w:val="105"/>
          <w:sz w:val="19"/>
        </w:rPr>
        <w:t>day.</w:t>
      </w:r>
      <w:r>
        <w:rPr>
          <w:spacing w:val="31"/>
          <w:w w:val="105"/>
          <w:sz w:val="19"/>
        </w:rPr>
        <w:t> </w:t>
      </w:r>
      <w:r>
        <w:rPr>
          <w:spacing w:val="2"/>
          <w:w w:val="105"/>
          <w:sz w:val="19"/>
        </w:rPr>
        <w:t>This</w:t>
      </w:r>
      <w:r>
        <w:rPr>
          <w:spacing w:val="-9"/>
          <w:w w:val="105"/>
          <w:sz w:val="19"/>
        </w:rPr>
        <w:t> </w:t>
      </w:r>
      <w:r>
        <w:rPr>
          <w:w w:val="105"/>
          <w:sz w:val="19"/>
        </w:rPr>
        <w:t>is</w:t>
      </w:r>
      <w:r>
        <w:rPr>
          <w:spacing w:val="-9"/>
          <w:w w:val="105"/>
          <w:sz w:val="19"/>
        </w:rPr>
        <w:t> </w:t>
      </w:r>
      <w:r>
        <w:rPr>
          <w:spacing w:val="2"/>
          <w:w w:val="105"/>
          <w:sz w:val="19"/>
        </w:rPr>
        <w:t>also</w:t>
      </w:r>
      <w:r>
        <w:rPr>
          <w:spacing w:val="-9"/>
          <w:w w:val="105"/>
          <w:sz w:val="19"/>
        </w:rPr>
        <w:t> </w:t>
      </w:r>
      <w:r>
        <w:rPr>
          <w:spacing w:val="2"/>
          <w:w w:val="105"/>
          <w:sz w:val="19"/>
        </w:rPr>
        <w:t>consistent</w:t>
      </w:r>
      <w:r>
        <w:rPr>
          <w:spacing w:val="-8"/>
          <w:w w:val="105"/>
          <w:sz w:val="19"/>
        </w:rPr>
        <w:t> </w:t>
      </w:r>
      <w:r>
        <w:rPr>
          <w:spacing w:val="2"/>
          <w:w w:val="105"/>
          <w:sz w:val="19"/>
        </w:rPr>
        <w:t>with</w:t>
      </w:r>
      <w:r>
        <w:rPr>
          <w:spacing w:val="-9"/>
          <w:w w:val="105"/>
          <w:sz w:val="19"/>
        </w:rPr>
        <w:t> </w:t>
      </w:r>
      <w:r>
        <w:rPr>
          <w:w w:val="105"/>
          <w:sz w:val="19"/>
        </w:rPr>
        <w:t>the</w:t>
      </w:r>
      <w:r>
        <w:rPr>
          <w:spacing w:val="-9"/>
          <w:w w:val="105"/>
          <w:sz w:val="19"/>
        </w:rPr>
        <w:t> </w:t>
      </w:r>
      <w:r>
        <w:rPr>
          <w:spacing w:val="2"/>
          <w:w w:val="105"/>
          <w:sz w:val="19"/>
        </w:rPr>
        <w:t>previously</w:t>
      </w:r>
      <w:r>
        <w:rPr>
          <w:spacing w:val="-9"/>
          <w:w w:val="105"/>
          <w:sz w:val="19"/>
        </w:rPr>
        <w:t> </w:t>
      </w:r>
      <w:r>
        <w:rPr>
          <w:spacing w:val="2"/>
          <w:w w:val="105"/>
          <w:sz w:val="19"/>
        </w:rPr>
        <w:t>cited</w:t>
      </w:r>
      <w:r>
        <w:rPr>
          <w:spacing w:val="-8"/>
          <w:w w:val="105"/>
          <w:sz w:val="19"/>
        </w:rPr>
        <w:t> </w:t>
      </w:r>
      <w:r>
        <w:rPr>
          <w:spacing w:val="3"/>
          <w:w w:val="105"/>
          <w:sz w:val="19"/>
        </w:rPr>
        <w:t>Clare- </w:t>
      </w:r>
      <w:r>
        <w:rPr>
          <w:w w:val="105"/>
          <w:sz w:val="19"/>
        </w:rPr>
        <w:t>Courtenay result that interest rate decisions account for a majority of the top market moving </w:t>
      </w:r>
      <w:r>
        <w:rPr>
          <w:spacing w:val="2"/>
          <w:w w:val="105"/>
          <w:sz w:val="19"/>
        </w:rPr>
        <w:t>events </w:t>
      </w:r>
      <w:r>
        <w:rPr>
          <w:w w:val="105"/>
          <w:sz w:val="19"/>
        </w:rPr>
        <w:t>over a 5 minute interval. This suggests that we are, indeed, largely measuring the effect of </w:t>
      </w:r>
      <w:r>
        <w:rPr>
          <w:spacing w:val="2"/>
          <w:w w:val="105"/>
          <w:sz w:val="19"/>
        </w:rPr>
        <w:t>the monetary policy decision. Further, note that using </w:t>
      </w:r>
      <w:r>
        <w:rPr>
          <w:w w:val="105"/>
          <w:sz w:val="19"/>
        </w:rPr>
        <w:t>the </w:t>
      </w:r>
      <w:r>
        <w:rPr>
          <w:spacing w:val="2"/>
          <w:w w:val="105"/>
          <w:sz w:val="19"/>
        </w:rPr>
        <w:t>daily change does not, </w:t>
      </w:r>
      <w:r>
        <w:rPr>
          <w:w w:val="105"/>
          <w:sz w:val="19"/>
        </w:rPr>
        <w:t>of </w:t>
      </w:r>
      <w:r>
        <w:rPr>
          <w:spacing w:val="2"/>
          <w:w w:val="105"/>
          <w:sz w:val="19"/>
        </w:rPr>
        <w:t>course, impart </w:t>
      </w:r>
      <w:r>
        <w:rPr>
          <w:spacing w:val="3"/>
          <w:w w:val="105"/>
          <w:sz w:val="19"/>
        </w:rPr>
        <w:t>any </w:t>
      </w:r>
      <w:r>
        <w:rPr>
          <w:w w:val="105"/>
          <w:sz w:val="19"/>
        </w:rPr>
        <w:t>systematic bias to our cross-country comparisons. Nevertheless, further work using intra-day data across countries would be</w:t>
      </w:r>
      <w:r>
        <w:rPr>
          <w:spacing w:val="-14"/>
          <w:w w:val="105"/>
          <w:sz w:val="19"/>
        </w:rPr>
        <w:t> </w:t>
      </w:r>
      <w:r>
        <w:rPr>
          <w:w w:val="105"/>
          <w:sz w:val="19"/>
        </w:rPr>
        <w:t>desirable.</w:t>
      </w:r>
    </w:p>
    <w:p>
      <w:pPr>
        <w:spacing w:after="0" w:line="254" w:lineRule="auto"/>
        <w:jc w:val="left"/>
        <w:rPr>
          <w:sz w:val="19"/>
        </w:rPr>
        <w:sectPr>
          <w:pgSz w:w="11920" w:h="16840"/>
          <w:pgMar w:header="0" w:footer="739" w:top="1360" w:bottom="920" w:left="1640" w:right="1680"/>
        </w:sectPr>
      </w:pPr>
    </w:p>
    <w:p>
      <w:pPr>
        <w:pStyle w:val="BodyText"/>
        <w:spacing w:line="357" w:lineRule="auto" w:before="61"/>
        <w:ind w:left="160"/>
      </w:pPr>
      <w:r>
        <w:rPr/>
        <w:t>average market ‘surprise’ in the first two years of the MPC with the subsequent two year period. Rather reassuringly, the average market surprise associated with Bank of England decisions in the 1999-2001 period is broadly in line with other central banks. This is consistent with the markets having taken time to learn how we would react to developments in the economy.</w:t>
      </w:r>
    </w:p>
    <w:p>
      <w:pPr>
        <w:pStyle w:val="BodyText"/>
        <w:spacing w:before="4"/>
        <w:rPr>
          <w:sz w:val="36"/>
        </w:rPr>
      </w:pPr>
    </w:p>
    <w:p>
      <w:pPr>
        <w:pStyle w:val="Heading1"/>
        <w:spacing w:before="1"/>
      </w:pPr>
      <w:r>
        <w:rPr/>
        <w:t>TABLE 2</w:t>
      </w:r>
    </w:p>
    <w:p>
      <w:pPr>
        <w:spacing w:line="235" w:lineRule="auto" w:before="163"/>
        <w:ind w:left="160" w:right="1005" w:firstLine="0"/>
        <w:jc w:val="left"/>
        <w:rPr>
          <w:b/>
          <w:sz w:val="24"/>
        </w:rPr>
      </w:pPr>
      <w:r>
        <w:rPr>
          <w:b/>
          <w:sz w:val="24"/>
        </w:rPr>
        <w:t>AVERAGE CHANGE IN IMPLIED INTEREST RATES ON DAYS OF POLICY ANNOUNCEMENTS, 3 JUNE 1997 – 18 APRIL 2001</w:t>
      </w:r>
    </w:p>
    <w:p>
      <w:pPr>
        <w:pStyle w:val="BodyText"/>
        <w:rPr>
          <w:b/>
          <w:sz w:val="20"/>
        </w:rPr>
      </w:pPr>
    </w:p>
    <w:p>
      <w:pPr>
        <w:pStyle w:val="BodyText"/>
        <w:spacing w:before="11"/>
        <w:rPr>
          <w:b/>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2572"/>
        <w:gridCol w:w="1905"/>
        <w:gridCol w:w="1610"/>
      </w:tblGrid>
      <w:tr>
        <w:trPr>
          <w:trHeight w:val="822" w:hRule="atLeast"/>
        </w:trPr>
        <w:tc>
          <w:tcPr>
            <w:tcW w:w="1527" w:type="dxa"/>
          </w:tcPr>
          <w:p>
            <w:pPr>
              <w:pStyle w:val="TableParagraph"/>
              <w:spacing w:line="266" w:lineRule="exact"/>
              <w:ind w:left="50"/>
              <w:rPr>
                <w:sz w:val="24"/>
              </w:rPr>
            </w:pPr>
            <w:r>
              <w:rPr>
                <w:sz w:val="24"/>
              </w:rPr>
              <w:t>COUNTRY</w:t>
            </w:r>
          </w:p>
        </w:tc>
        <w:tc>
          <w:tcPr>
            <w:tcW w:w="2572" w:type="dxa"/>
          </w:tcPr>
          <w:p>
            <w:pPr>
              <w:pStyle w:val="TableParagraph"/>
              <w:spacing w:line="266" w:lineRule="exact"/>
              <w:ind w:left="338"/>
              <w:rPr>
                <w:sz w:val="24"/>
              </w:rPr>
            </w:pPr>
            <w:r>
              <w:rPr>
                <w:sz w:val="24"/>
              </w:rPr>
              <w:t>RATE</w:t>
            </w:r>
          </w:p>
        </w:tc>
        <w:tc>
          <w:tcPr>
            <w:tcW w:w="1905" w:type="dxa"/>
          </w:tcPr>
          <w:p>
            <w:pPr>
              <w:pStyle w:val="TableParagraph"/>
              <w:spacing w:line="235" w:lineRule="auto"/>
              <w:ind w:left="211" w:right="420"/>
              <w:rPr>
                <w:sz w:val="24"/>
              </w:rPr>
            </w:pPr>
            <w:r>
              <w:rPr>
                <w:sz w:val="24"/>
              </w:rPr>
              <w:t>AVERAGE ABSOLUTE</w:t>
            </w:r>
          </w:p>
          <w:p>
            <w:pPr>
              <w:pStyle w:val="TableParagraph"/>
              <w:spacing w:line="258" w:lineRule="exact" w:before="4"/>
              <w:ind w:left="211"/>
              <w:rPr>
                <w:sz w:val="24"/>
              </w:rPr>
            </w:pPr>
            <w:r>
              <w:rPr>
                <w:sz w:val="24"/>
              </w:rPr>
              <w:t>CHANGE</w:t>
            </w:r>
          </w:p>
        </w:tc>
        <w:tc>
          <w:tcPr>
            <w:tcW w:w="1610" w:type="dxa"/>
          </w:tcPr>
          <w:p>
            <w:pPr>
              <w:pStyle w:val="TableParagraph"/>
              <w:spacing w:line="235" w:lineRule="auto"/>
              <w:ind w:left="436" w:right="7"/>
              <w:rPr>
                <w:sz w:val="24"/>
              </w:rPr>
            </w:pPr>
            <w:r>
              <w:rPr>
                <w:sz w:val="24"/>
              </w:rPr>
              <w:t>AVERAGE SCALED</w:t>
            </w:r>
          </w:p>
          <w:p>
            <w:pPr>
              <w:pStyle w:val="TableParagraph"/>
              <w:spacing w:line="258" w:lineRule="exact" w:before="4"/>
              <w:ind w:left="436"/>
              <w:rPr>
                <w:sz w:val="24"/>
              </w:rPr>
            </w:pPr>
            <w:r>
              <w:rPr>
                <w:sz w:val="24"/>
              </w:rPr>
              <w:t>CHANGE</w:t>
            </w:r>
            <w:r>
              <w:rPr>
                <w:sz w:val="24"/>
                <w:vertAlign w:val="superscript"/>
              </w:rPr>
              <w:t>1</w:t>
            </w:r>
          </w:p>
        </w:tc>
      </w:tr>
      <w:tr>
        <w:trPr>
          <w:trHeight w:val="480" w:hRule="atLeast"/>
        </w:trPr>
        <w:tc>
          <w:tcPr>
            <w:tcW w:w="1527" w:type="dxa"/>
          </w:tcPr>
          <w:p>
            <w:pPr>
              <w:pStyle w:val="TableParagraph"/>
              <w:rPr>
                <w:sz w:val="22"/>
              </w:rPr>
            </w:pPr>
          </w:p>
        </w:tc>
        <w:tc>
          <w:tcPr>
            <w:tcW w:w="2572" w:type="dxa"/>
          </w:tcPr>
          <w:p>
            <w:pPr>
              <w:pStyle w:val="TableParagraph"/>
              <w:rPr>
                <w:sz w:val="22"/>
              </w:rPr>
            </w:pPr>
          </w:p>
        </w:tc>
        <w:tc>
          <w:tcPr>
            <w:tcW w:w="1905" w:type="dxa"/>
          </w:tcPr>
          <w:p>
            <w:pPr>
              <w:pStyle w:val="TableParagraph"/>
              <w:spacing w:line="268" w:lineRule="exact"/>
              <w:ind w:left="451"/>
              <w:rPr>
                <w:sz w:val="24"/>
              </w:rPr>
            </w:pPr>
            <w:r>
              <w:rPr>
                <w:sz w:val="24"/>
              </w:rPr>
              <w:t>(b.p.)</w:t>
            </w:r>
          </w:p>
        </w:tc>
        <w:tc>
          <w:tcPr>
            <w:tcW w:w="1610" w:type="dxa"/>
          </w:tcPr>
          <w:p>
            <w:pPr>
              <w:pStyle w:val="TableParagraph"/>
              <w:rPr>
                <w:sz w:val="22"/>
              </w:rPr>
            </w:pPr>
          </w:p>
        </w:tc>
      </w:tr>
      <w:tr>
        <w:trPr>
          <w:trHeight w:val="555" w:hRule="atLeast"/>
        </w:trPr>
        <w:tc>
          <w:tcPr>
            <w:tcW w:w="1527" w:type="dxa"/>
          </w:tcPr>
          <w:p>
            <w:pPr>
              <w:pStyle w:val="TableParagraph"/>
              <w:spacing w:before="202"/>
              <w:ind w:left="50"/>
              <w:rPr>
                <w:sz w:val="24"/>
              </w:rPr>
            </w:pPr>
            <w:r>
              <w:rPr>
                <w:sz w:val="24"/>
              </w:rPr>
              <w:t>UK</w:t>
            </w:r>
          </w:p>
        </w:tc>
        <w:tc>
          <w:tcPr>
            <w:tcW w:w="2572" w:type="dxa"/>
          </w:tcPr>
          <w:p>
            <w:pPr>
              <w:pStyle w:val="TableParagraph"/>
              <w:spacing w:before="202"/>
              <w:ind w:left="338"/>
              <w:rPr>
                <w:sz w:val="24"/>
              </w:rPr>
            </w:pPr>
            <w:r>
              <w:rPr>
                <w:sz w:val="24"/>
              </w:rPr>
              <w:t>SHORT-STERLING</w:t>
            </w:r>
          </w:p>
        </w:tc>
        <w:tc>
          <w:tcPr>
            <w:tcW w:w="1905" w:type="dxa"/>
          </w:tcPr>
          <w:p>
            <w:pPr>
              <w:pStyle w:val="TableParagraph"/>
              <w:spacing w:before="202"/>
              <w:ind w:left="211"/>
              <w:rPr>
                <w:sz w:val="24"/>
              </w:rPr>
            </w:pPr>
            <w:r>
              <w:rPr>
                <w:sz w:val="24"/>
              </w:rPr>
              <w:t>6.2</w:t>
            </w:r>
          </w:p>
        </w:tc>
        <w:tc>
          <w:tcPr>
            <w:tcW w:w="1610" w:type="dxa"/>
          </w:tcPr>
          <w:p>
            <w:pPr>
              <w:pStyle w:val="TableParagraph"/>
              <w:spacing w:before="202"/>
              <w:ind w:left="436"/>
              <w:rPr>
                <w:sz w:val="24"/>
              </w:rPr>
            </w:pPr>
            <w:r>
              <w:rPr>
                <w:sz w:val="24"/>
              </w:rPr>
              <w:t>0.97</w:t>
            </w:r>
          </w:p>
        </w:tc>
      </w:tr>
      <w:tr>
        <w:trPr>
          <w:trHeight w:val="400" w:hRule="atLeast"/>
        </w:trPr>
        <w:tc>
          <w:tcPr>
            <w:tcW w:w="1527" w:type="dxa"/>
          </w:tcPr>
          <w:p>
            <w:pPr>
              <w:pStyle w:val="TableParagraph"/>
              <w:spacing w:before="67"/>
              <w:ind w:left="50"/>
              <w:rPr>
                <w:sz w:val="24"/>
              </w:rPr>
            </w:pPr>
            <w:r>
              <w:rPr>
                <w:sz w:val="24"/>
              </w:rPr>
              <w:t>US</w:t>
            </w:r>
          </w:p>
        </w:tc>
        <w:tc>
          <w:tcPr>
            <w:tcW w:w="2572" w:type="dxa"/>
          </w:tcPr>
          <w:p>
            <w:pPr>
              <w:pStyle w:val="TableParagraph"/>
              <w:spacing w:before="67"/>
              <w:ind w:left="338"/>
              <w:rPr>
                <w:sz w:val="24"/>
              </w:rPr>
            </w:pPr>
            <w:r>
              <w:rPr>
                <w:sz w:val="24"/>
              </w:rPr>
              <w:t>EURO-DOLLAR</w:t>
            </w:r>
          </w:p>
        </w:tc>
        <w:tc>
          <w:tcPr>
            <w:tcW w:w="1905" w:type="dxa"/>
          </w:tcPr>
          <w:p>
            <w:pPr>
              <w:pStyle w:val="TableParagraph"/>
              <w:spacing w:before="67"/>
              <w:ind w:left="211"/>
              <w:rPr>
                <w:sz w:val="24"/>
              </w:rPr>
            </w:pPr>
            <w:r>
              <w:rPr>
                <w:sz w:val="24"/>
              </w:rPr>
              <w:t>3.4</w:t>
            </w:r>
          </w:p>
        </w:tc>
        <w:tc>
          <w:tcPr>
            <w:tcW w:w="1610" w:type="dxa"/>
          </w:tcPr>
          <w:p>
            <w:pPr>
              <w:pStyle w:val="TableParagraph"/>
              <w:spacing w:before="67"/>
              <w:ind w:left="436"/>
              <w:rPr>
                <w:sz w:val="24"/>
              </w:rPr>
            </w:pPr>
            <w:r>
              <w:rPr>
                <w:sz w:val="24"/>
              </w:rPr>
              <w:t>0.67</w:t>
            </w:r>
          </w:p>
        </w:tc>
      </w:tr>
      <w:tr>
        <w:trPr>
          <w:trHeight w:val="361" w:hRule="atLeast"/>
        </w:trPr>
        <w:tc>
          <w:tcPr>
            <w:tcW w:w="1527" w:type="dxa"/>
          </w:tcPr>
          <w:p>
            <w:pPr>
              <w:pStyle w:val="TableParagraph"/>
              <w:spacing w:line="256" w:lineRule="exact" w:before="86"/>
              <w:ind w:left="50"/>
              <w:rPr>
                <w:b/>
                <w:sz w:val="24"/>
              </w:rPr>
            </w:pPr>
            <w:r>
              <w:rPr>
                <w:sz w:val="24"/>
              </w:rPr>
              <w:t>EU-11</w:t>
            </w:r>
            <w:r>
              <w:rPr>
                <w:b/>
                <w:sz w:val="24"/>
                <w:vertAlign w:val="superscript"/>
              </w:rPr>
              <w:t>2</w:t>
            </w:r>
          </w:p>
        </w:tc>
        <w:tc>
          <w:tcPr>
            <w:tcW w:w="2572" w:type="dxa"/>
          </w:tcPr>
          <w:p>
            <w:pPr>
              <w:pStyle w:val="TableParagraph"/>
              <w:spacing w:line="256" w:lineRule="exact" w:before="86"/>
              <w:ind w:left="338"/>
              <w:rPr>
                <w:sz w:val="24"/>
              </w:rPr>
            </w:pPr>
            <w:r>
              <w:rPr>
                <w:sz w:val="24"/>
              </w:rPr>
              <w:t>EURIBOR</w:t>
            </w:r>
          </w:p>
        </w:tc>
        <w:tc>
          <w:tcPr>
            <w:tcW w:w="1905" w:type="dxa"/>
          </w:tcPr>
          <w:p>
            <w:pPr>
              <w:pStyle w:val="TableParagraph"/>
              <w:spacing w:line="256" w:lineRule="exact" w:before="86"/>
              <w:ind w:left="211"/>
              <w:rPr>
                <w:sz w:val="24"/>
              </w:rPr>
            </w:pPr>
            <w:r>
              <w:rPr>
                <w:sz w:val="24"/>
              </w:rPr>
              <w:t>3.3</w:t>
            </w:r>
          </w:p>
        </w:tc>
        <w:tc>
          <w:tcPr>
            <w:tcW w:w="1610" w:type="dxa"/>
          </w:tcPr>
          <w:p>
            <w:pPr>
              <w:pStyle w:val="TableParagraph"/>
              <w:spacing w:line="256" w:lineRule="exact" w:before="86"/>
              <w:ind w:left="436"/>
              <w:rPr>
                <w:sz w:val="24"/>
              </w:rPr>
            </w:pPr>
            <w:r>
              <w:rPr>
                <w:sz w:val="24"/>
              </w:rPr>
              <w:t>0.85</w:t>
            </w:r>
          </w:p>
        </w:tc>
      </w:tr>
    </w:tbl>
    <w:p>
      <w:pPr>
        <w:pStyle w:val="ListParagraph"/>
        <w:numPr>
          <w:ilvl w:val="0"/>
          <w:numId w:val="3"/>
        </w:numPr>
        <w:tabs>
          <w:tab w:pos="519" w:val="left" w:leader="none"/>
          <w:tab w:pos="520" w:val="left" w:leader="none"/>
        </w:tabs>
        <w:spacing w:line="273" w:lineRule="exact" w:before="129" w:after="0"/>
        <w:ind w:left="520" w:right="0" w:hanging="360"/>
        <w:jc w:val="left"/>
        <w:rPr>
          <w:sz w:val="24"/>
        </w:rPr>
      </w:pPr>
      <w:r>
        <w:rPr>
          <w:spacing w:val="-3"/>
          <w:sz w:val="24"/>
        </w:rPr>
        <w:t>Rescaled </w:t>
      </w:r>
      <w:r>
        <w:rPr>
          <w:sz w:val="24"/>
        </w:rPr>
        <w:t>by </w:t>
      </w:r>
      <w:r>
        <w:rPr>
          <w:spacing w:val="-3"/>
          <w:sz w:val="24"/>
        </w:rPr>
        <w:t>implied market interest rates.</w:t>
      </w:r>
    </w:p>
    <w:p>
      <w:pPr>
        <w:pStyle w:val="ListParagraph"/>
        <w:numPr>
          <w:ilvl w:val="0"/>
          <w:numId w:val="3"/>
        </w:numPr>
        <w:tabs>
          <w:tab w:pos="519" w:val="left" w:leader="none"/>
          <w:tab w:pos="520" w:val="left" w:leader="none"/>
        </w:tabs>
        <w:spacing w:line="273" w:lineRule="exact" w:before="0" w:after="0"/>
        <w:ind w:left="520" w:right="0" w:hanging="360"/>
        <w:jc w:val="left"/>
        <w:rPr>
          <w:sz w:val="24"/>
        </w:rPr>
      </w:pPr>
      <w:r>
        <w:rPr>
          <w:sz w:val="24"/>
        </w:rPr>
        <w:t>Using Bundesbank and DM data until </w:t>
      </w:r>
      <w:r>
        <w:rPr>
          <w:spacing w:val="2"/>
          <w:sz w:val="24"/>
        </w:rPr>
        <w:t>8</w:t>
      </w:r>
      <w:r>
        <w:rPr>
          <w:spacing w:val="2"/>
          <w:sz w:val="24"/>
          <w:vertAlign w:val="superscript"/>
        </w:rPr>
        <w:t>th</w:t>
      </w:r>
      <w:r>
        <w:rPr>
          <w:spacing w:val="2"/>
          <w:sz w:val="24"/>
          <w:vertAlign w:val="baseline"/>
        </w:rPr>
        <w:t> </w:t>
      </w:r>
      <w:r>
        <w:rPr>
          <w:sz w:val="24"/>
          <w:vertAlign w:val="baseline"/>
        </w:rPr>
        <w:t>December 1999 and Euribor</w:t>
      </w:r>
      <w:r>
        <w:rPr>
          <w:spacing w:val="-22"/>
          <w:sz w:val="24"/>
          <w:vertAlign w:val="baseline"/>
        </w:rPr>
        <w:t> </w:t>
      </w:r>
      <w:r>
        <w:rPr>
          <w:sz w:val="24"/>
          <w:vertAlign w:val="baseline"/>
        </w:rPr>
        <w:t>thereafter.</w:t>
      </w:r>
    </w:p>
    <w:p>
      <w:pPr>
        <w:pStyle w:val="BodyText"/>
        <w:rPr>
          <w:sz w:val="30"/>
        </w:rPr>
      </w:pPr>
    </w:p>
    <w:p>
      <w:pPr>
        <w:pStyle w:val="Heading1"/>
        <w:spacing w:before="204"/>
      </w:pPr>
      <w:r>
        <w:rPr/>
        <w:t>TABLE 3</w:t>
      </w:r>
    </w:p>
    <w:p>
      <w:pPr>
        <w:spacing w:line="247" w:lineRule="auto" w:before="144"/>
        <w:ind w:left="160" w:right="1005" w:firstLine="0"/>
        <w:jc w:val="left"/>
        <w:rPr>
          <w:b/>
          <w:sz w:val="24"/>
        </w:rPr>
      </w:pPr>
      <w:r>
        <w:rPr>
          <w:b/>
          <w:sz w:val="24"/>
        </w:rPr>
        <w:t>AVERAGE CHANGE IN IMPLIED INTEREST RATES ON DAYS OF POLICY ANNOUNCEMENTS 1997-99 VS 1999-2001</w:t>
      </w:r>
    </w:p>
    <w:p>
      <w:pPr>
        <w:pStyle w:val="BodyText"/>
        <w:spacing w:before="4"/>
        <w:rPr>
          <w:b/>
          <w:sz w:val="35"/>
        </w:rPr>
      </w:pPr>
    </w:p>
    <w:p>
      <w:pPr>
        <w:pStyle w:val="BodyText"/>
        <w:tabs>
          <w:tab w:pos="2994" w:val="left" w:leader="none"/>
        </w:tabs>
        <w:spacing w:line="273" w:lineRule="exact"/>
        <w:ind w:left="160"/>
      </w:pPr>
      <w:r>
        <w:rPr>
          <w:spacing w:val="-3"/>
        </w:rPr>
        <w:t>COUNTRY</w:t>
        <w:tab/>
      </w:r>
      <w:r>
        <w:rPr/>
        <w:t>AVERAGE ABSOLUTE</w:t>
      </w:r>
      <w:r>
        <w:rPr>
          <w:spacing w:val="12"/>
        </w:rPr>
        <w:t> </w:t>
      </w:r>
      <w:r>
        <w:rPr/>
        <w:t>CHANGE</w:t>
      </w:r>
    </w:p>
    <w:p>
      <w:pPr>
        <w:pStyle w:val="BodyText"/>
        <w:spacing w:line="273" w:lineRule="exact"/>
        <w:ind w:left="1514" w:right="3613"/>
        <w:jc w:val="center"/>
      </w:pPr>
      <w:r>
        <w:rPr/>
        <w:t>(b.p.)</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4068"/>
        <w:gridCol w:w="2090"/>
      </w:tblGrid>
      <w:tr>
        <w:trPr>
          <w:trHeight w:val="583" w:hRule="atLeast"/>
        </w:trPr>
        <w:tc>
          <w:tcPr>
            <w:tcW w:w="760" w:type="dxa"/>
          </w:tcPr>
          <w:p>
            <w:pPr>
              <w:pStyle w:val="TableParagraph"/>
              <w:rPr>
                <w:sz w:val="22"/>
              </w:rPr>
            </w:pPr>
          </w:p>
        </w:tc>
        <w:tc>
          <w:tcPr>
            <w:tcW w:w="4068" w:type="dxa"/>
          </w:tcPr>
          <w:p>
            <w:pPr>
              <w:pStyle w:val="TableParagraph"/>
              <w:spacing w:before="9"/>
              <w:ind w:left="2125"/>
              <w:rPr>
                <w:sz w:val="24"/>
              </w:rPr>
            </w:pPr>
            <w:r>
              <w:rPr>
                <w:sz w:val="24"/>
              </w:rPr>
              <w:t>1997-99</w:t>
            </w:r>
            <w:r>
              <w:rPr>
                <w:sz w:val="24"/>
                <w:vertAlign w:val="superscript"/>
              </w:rPr>
              <w:t>1</w:t>
            </w:r>
          </w:p>
        </w:tc>
        <w:tc>
          <w:tcPr>
            <w:tcW w:w="2090" w:type="dxa"/>
          </w:tcPr>
          <w:p>
            <w:pPr>
              <w:pStyle w:val="TableParagraph"/>
              <w:spacing w:before="9"/>
              <w:ind w:left="907"/>
              <w:rPr>
                <w:sz w:val="24"/>
              </w:rPr>
            </w:pPr>
            <w:r>
              <w:rPr>
                <w:sz w:val="24"/>
              </w:rPr>
              <w:t>1999-2001</w:t>
            </w:r>
            <w:r>
              <w:rPr>
                <w:sz w:val="24"/>
                <w:vertAlign w:val="superscript"/>
              </w:rPr>
              <w:t>2</w:t>
            </w:r>
          </w:p>
        </w:tc>
      </w:tr>
      <w:tr>
        <w:trPr>
          <w:trHeight w:val="615" w:hRule="atLeast"/>
        </w:trPr>
        <w:tc>
          <w:tcPr>
            <w:tcW w:w="760" w:type="dxa"/>
          </w:tcPr>
          <w:p>
            <w:pPr>
              <w:pStyle w:val="TableParagraph"/>
              <w:spacing w:before="9"/>
              <w:rPr>
                <w:sz w:val="21"/>
              </w:rPr>
            </w:pPr>
          </w:p>
          <w:p>
            <w:pPr>
              <w:pStyle w:val="TableParagraph"/>
              <w:ind w:left="50"/>
              <w:rPr>
                <w:sz w:val="24"/>
              </w:rPr>
            </w:pPr>
            <w:r>
              <w:rPr>
                <w:sz w:val="24"/>
              </w:rPr>
              <w:t>UK</w:t>
            </w:r>
          </w:p>
        </w:tc>
        <w:tc>
          <w:tcPr>
            <w:tcW w:w="4068" w:type="dxa"/>
          </w:tcPr>
          <w:p>
            <w:pPr>
              <w:pStyle w:val="TableParagraph"/>
              <w:spacing w:before="9"/>
              <w:rPr>
                <w:sz w:val="21"/>
              </w:rPr>
            </w:pPr>
          </w:p>
          <w:p>
            <w:pPr>
              <w:pStyle w:val="TableParagraph"/>
              <w:ind w:left="2105" w:right="1623"/>
              <w:jc w:val="center"/>
              <w:rPr>
                <w:sz w:val="24"/>
              </w:rPr>
            </w:pPr>
            <w:r>
              <w:rPr>
                <w:sz w:val="24"/>
              </w:rPr>
              <w:t>8.3</w:t>
            </w:r>
          </w:p>
        </w:tc>
        <w:tc>
          <w:tcPr>
            <w:tcW w:w="2090" w:type="dxa"/>
          </w:tcPr>
          <w:p>
            <w:pPr>
              <w:pStyle w:val="TableParagraph"/>
              <w:spacing w:before="9"/>
              <w:rPr>
                <w:sz w:val="21"/>
              </w:rPr>
            </w:pPr>
          </w:p>
          <w:p>
            <w:pPr>
              <w:pStyle w:val="TableParagraph"/>
              <w:ind w:left="907"/>
              <w:rPr>
                <w:sz w:val="24"/>
              </w:rPr>
            </w:pPr>
            <w:r>
              <w:rPr>
                <w:sz w:val="24"/>
              </w:rPr>
              <w:t>4.1</w:t>
            </w:r>
          </w:p>
        </w:tc>
      </w:tr>
      <w:tr>
        <w:trPr>
          <w:trHeight w:val="412" w:hRule="atLeast"/>
        </w:trPr>
        <w:tc>
          <w:tcPr>
            <w:tcW w:w="760" w:type="dxa"/>
          </w:tcPr>
          <w:p>
            <w:pPr>
              <w:pStyle w:val="TableParagraph"/>
              <w:spacing w:before="40"/>
              <w:ind w:left="50"/>
              <w:rPr>
                <w:sz w:val="24"/>
              </w:rPr>
            </w:pPr>
            <w:r>
              <w:rPr>
                <w:sz w:val="24"/>
              </w:rPr>
              <w:t>US</w:t>
            </w:r>
          </w:p>
        </w:tc>
        <w:tc>
          <w:tcPr>
            <w:tcW w:w="4068" w:type="dxa"/>
          </w:tcPr>
          <w:p>
            <w:pPr>
              <w:pStyle w:val="TableParagraph"/>
              <w:spacing w:before="40"/>
              <w:ind w:left="2105" w:right="1623"/>
              <w:jc w:val="center"/>
              <w:rPr>
                <w:sz w:val="24"/>
              </w:rPr>
            </w:pPr>
            <w:r>
              <w:rPr>
                <w:sz w:val="24"/>
              </w:rPr>
              <w:t>1.6</w:t>
            </w:r>
          </w:p>
        </w:tc>
        <w:tc>
          <w:tcPr>
            <w:tcW w:w="2090" w:type="dxa"/>
          </w:tcPr>
          <w:p>
            <w:pPr>
              <w:pStyle w:val="TableParagraph"/>
              <w:spacing w:before="40"/>
              <w:ind w:left="907"/>
              <w:rPr>
                <w:sz w:val="24"/>
              </w:rPr>
            </w:pPr>
            <w:r>
              <w:rPr>
                <w:sz w:val="24"/>
              </w:rPr>
              <w:t>5.0</w:t>
            </w:r>
          </w:p>
        </w:tc>
      </w:tr>
      <w:tr>
        <w:trPr>
          <w:trHeight w:val="615" w:hRule="atLeast"/>
        </w:trPr>
        <w:tc>
          <w:tcPr>
            <w:tcW w:w="760" w:type="dxa"/>
          </w:tcPr>
          <w:p>
            <w:pPr>
              <w:pStyle w:val="TableParagraph"/>
              <w:spacing w:before="48"/>
              <w:ind w:left="50"/>
              <w:rPr>
                <w:sz w:val="24"/>
              </w:rPr>
            </w:pPr>
            <w:r>
              <w:rPr>
                <w:sz w:val="24"/>
              </w:rPr>
              <w:t>EU-11</w:t>
            </w:r>
          </w:p>
        </w:tc>
        <w:tc>
          <w:tcPr>
            <w:tcW w:w="4068" w:type="dxa"/>
          </w:tcPr>
          <w:p>
            <w:pPr>
              <w:pStyle w:val="TableParagraph"/>
              <w:spacing w:before="48"/>
              <w:ind w:left="2105" w:right="1623"/>
              <w:jc w:val="center"/>
              <w:rPr>
                <w:sz w:val="24"/>
              </w:rPr>
            </w:pPr>
            <w:r>
              <w:rPr>
                <w:sz w:val="24"/>
              </w:rPr>
              <w:t>2.5</w:t>
            </w:r>
          </w:p>
        </w:tc>
        <w:tc>
          <w:tcPr>
            <w:tcW w:w="2090" w:type="dxa"/>
          </w:tcPr>
          <w:p>
            <w:pPr>
              <w:pStyle w:val="TableParagraph"/>
              <w:spacing w:before="48"/>
              <w:ind w:left="907"/>
              <w:rPr>
                <w:sz w:val="24"/>
              </w:rPr>
            </w:pPr>
            <w:r>
              <w:rPr>
                <w:sz w:val="24"/>
              </w:rPr>
              <w:t>4.2</w:t>
            </w:r>
          </w:p>
        </w:tc>
      </w:tr>
      <w:tr>
        <w:trPr>
          <w:trHeight w:val="615" w:hRule="atLeast"/>
        </w:trPr>
        <w:tc>
          <w:tcPr>
            <w:tcW w:w="760" w:type="dxa"/>
          </w:tcPr>
          <w:p>
            <w:pPr>
              <w:pStyle w:val="TableParagraph"/>
              <w:spacing w:before="1"/>
              <w:rPr>
                <w:sz w:val="21"/>
              </w:rPr>
            </w:pPr>
          </w:p>
          <w:p>
            <w:pPr>
              <w:pStyle w:val="TableParagraph"/>
              <w:ind w:left="50"/>
              <w:rPr>
                <w:sz w:val="24"/>
              </w:rPr>
            </w:pPr>
            <w:r>
              <w:rPr>
                <w:sz w:val="24"/>
              </w:rPr>
              <w:t>Notes:</w:t>
            </w:r>
          </w:p>
        </w:tc>
        <w:tc>
          <w:tcPr>
            <w:tcW w:w="4068" w:type="dxa"/>
          </w:tcPr>
          <w:p>
            <w:pPr>
              <w:pStyle w:val="TableParagraph"/>
              <w:spacing w:before="1"/>
              <w:rPr>
                <w:sz w:val="21"/>
              </w:rPr>
            </w:pPr>
          </w:p>
          <w:p>
            <w:pPr>
              <w:pStyle w:val="TableParagraph"/>
              <w:ind w:left="93"/>
              <w:rPr>
                <w:sz w:val="24"/>
              </w:rPr>
            </w:pPr>
            <w:r>
              <w:rPr>
                <w:sz w:val="24"/>
              </w:rPr>
              <w:t>1 3 June 1997- 12 May 1999</w:t>
            </w:r>
          </w:p>
        </w:tc>
        <w:tc>
          <w:tcPr>
            <w:tcW w:w="2090" w:type="dxa"/>
          </w:tcPr>
          <w:p>
            <w:pPr>
              <w:pStyle w:val="TableParagraph"/>
              <w:rPr>
                <w:sz w:val="22"/>
              </w:rPr>
            </w:pPr>
          </w:p>
        </w:tc>
      </w:tr>
      <w:tr>
        <w:trPr>
          <w:trHeight w:val="342" w:hRule="atLeast"/>
        </w:trPr>
        <w:tc>
          <w:tcPr>
            <w:tcW w:w="760" w:type="dxa"/>
          </w:tcPr>
          <w:p>
            <w:pPr>
              <w:pStyle w:val="TableParagraph"/>
              <w:rPr>
                <w:sz w:val="22"/>
              </w:rPr>
            </w:pPr>
          </w:p>
        </w:tc>
        <w:tc>
          <w:tcPr>
            <w:tcW w:w="4068" w:type="dxa"/>
          </w:tcPr>
          <w:p>
            <w:pPr>
              <w:pStyle w:val="TableParagraph"/>
              <w:spacing w:line="275" w:lineRule="exact" w:before="48"/>
              <w:ind w:left="79"/>
              <w:rPr>
                <w:sz w:val="24"/>
              </w:rPr>
            </w:pPr>
            <w:r>
              <w:rPr>
                <w:sz w:val="24"/>
              </w:rPr>
              <w:t>2 13 May 1999 – 18 April 2001</w:t>
            </w:r>
          </w:p>
        </w:tc>
        <w:tc>
          <w:tcPr>
            <w:tcW w:w="2090" w:type="dxa"/>
          </w:tcPr>
          <w:p>
            <w:pPr>
              <w:pStyle w:val="TableParagraph"/>
              <w:rPr>
                <w:sz w:val="22"/>
              </w:rPr>
            </w:pPr>
          </w:p>
        </w:tc>
      </w:tr>
    </w:tbl>
    <w:p>
      <w:pPr>
        <w:spacing w:after="0"/>
        <w:rPr>
          <w:sz w:val="22"/>
        </w:rPr>
        <w:sectPr>
          <w:pgSz w:w="11920" w:h="16840"/>
          <w:pgMar w:header="0" w:footer="739" w:top="1360" w:bottom="920" w:left="1640" w:right="1680"/>
        </w:sectPr>
      </w:pPr>
    </w:p>
    <w:p>
      <w:pPr>
        <w:pStyle w:val="BodyText"/>
        <w:spacing w:line="352" w:lineRule="auto" w:before="61"/>
        <w:ind w:left="160" w:right="629"/>
      </w:pPr>
      <w:r>
        <w:rPr/>
        <w:t>Of course, we should always endeavour to explain our actions better, and for that reason, the MPC will continue to review alternative communication</w:t>
      </w:r>
      <w:r>
        <w:rPr>
          <w:spacing w:val="-4"/>
        </w:rPr>
        <w:t> </w:t>
      </w:r>
      <w:r>
        <w:rPr/>
        <w:t>strategies.</w:t>
      </w:r>
    </w:p>
    <w:p>
      <w:pPr>
        <w:pStyle w:val="BodyText"/>
        <w:spacing w:before="4"/>
        <w:rPr>
          <w:sz w:val="36"/>
        </w:rPr>
      </w:pPr>
    </w:p>
    <w:p>
      <w:pPr>
        <w:pStyle w:val="BodyText"/>
        <w:spacing w:line="360" w:lineRule="auto"/>
        <w:ind w:left="160" w:right="182"/>
      </w:pPr>
      <w:r>
        <w:rPr/>
        <w:t>For example, many market participants have told me that the Inflation Report would be more useful for them if it contained more information on the distribution of individual forecasts among different members of the Committee, so although we currently provide some information on the heterogeneity of forecasts, we might</w:t>
      </w:r>
      <w:r>
        <w:rPr>
          <w:spacing w:val="-40"/>
        </w:rPr>
        <w:t> </w:t>
      </w:r>
      <w:r>
        <w:rPr/>
        <w:t>need to go further. This, along with the broader issue of the link between the individual forecasts and the policy decision, is something that we might need to review.</w:t>
      </w:r>
      <w:r>
        <w:rPr>
          <w:spacing w:val="-45"/>
        </w:rPr>
        <w:t> </w:t>
      </w:r>
      <w:r>
        <w:rPr>
          <w:spacing w:val="7"/>
          <w:vertAlign w:val="superscript"/>
        </w:rPr>
        <w:t>15</w:t>
      </w:r>
    </w:p>
    <w:p>
      <w:pPr>
        <w:pStyle w:val="BodyText"/>
        <w:spacing w:before="1"/>
        <w:rPr>
          <w:sz w:val="37"/>
        </w:rPr>
      </w:pPr>
    </w:p>
    <w:p>
      <w:pPr>
        <w:pStyle w:val="BodyText"/>
        <w:ind w:left="160"/>
      </w:pPr>
      <w:r>
        <w:rPr>
          <w:u w:val="single"/>
        </w:rPr>
        <w:t>CONCLUSIONS</w:t>
      </w:r>
    </w:p>
    <w:p>
      <w:pPr>
        <w:pStyle w:val="BodyText"/>
        <w:rPr>
          <w:sz w:val="20"/>
        </w:rPr>
      </w:pPr>
    </w:p>
    <w:p>
      <w:pPr>
        <w:pStyle w:val="BodyText"/>
        <w:spacing w:before="11"/>
        <w:rPr>
          <w:sz w:val="19"/>
        </w:rPr>
      </w:pPr>
    </w:p>
    <w:p>
      <w:pPr>
        <w:pStyle w:val="BodyText"/>
        <w:spacing w:line="357" w:lineRule="auto" w:before="90"/>
        <w:ind w:left="160"/>
      </w:pPr>
      <w:r>
        <w:rPr/>
        <w:t>The new monetary framework in the UK has made an encouraging start, with inflation expectations having come down at a time when unemployment has also continued to fall. However, we have undershot the inflation target for the last two years, and only expect to return to target in around two years. Were we to continue to undershoot beyond the current two-year forecast horizon, this could damage our credibility.</w:t>
      </w:r>
    </w:p>
    <w:p>
      <w:pPr>
        <w:pStyle w:val="BodyText"/>
        <w:spacing w:line="357" w:lineRule="auto" w:before="14"/>
        <w:ind w:left="160"/>
      </w:pPr>
      <w:r>
        <w:rPr/>
        <w:t>Therefore, it will remain important for us to make sure that we continue to respond to the possible changes in the structural relationships that underlie our forecasting processes.</w:t>
      </w:r>
    </w:p>
    <w:p>
      <w:pPr>
        <w:pStyle w:val="BodyText"/>
        <w:spacing w:before="2"/>
        <w:rPr>
          <w:sz w:val="36"/>
        </w:rPr>
      </w:pPr>
    </w:p>
    <w:p>
      <w:pPr>
        <w:pStyle w:val="BodyText"/>
        <w:spacing w:line="362" w:lineRule="auto"/>
        <w:ind w:left="160"/>
      </w:pPr>
      <w:r>
        <w:rPr/>
        <w:t>I also argued today that although the Bank of England is more transparent than most central banks, our interest rate decisions did, in the early years, appear to surprise the markets by more than the corresponding decisions by other central banks. More reassuringly, our performance in this regard is now in line with other central banks, though we shall continue to endeavour to explain our actions better.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r>
        <w:rPr/>
        <w:pict>
          <v:shape style="position:absolute;margin-left:90pt;margin-top:17.922949pt;width:144pt;height:.1pt;mso-position-horizontal-relative:page;mso-position-vertical-relative:paragraph;z-index:-251623424;mso-wrap-distance-left:0;mso-wrap-distance-right:0" coordorigin="1800,358" coordsize="2880,0" path="m1800,358l4680,358e" filled="false" stroked="true" strokeweight=".75pt" strokecolor="#000000">
            <v:path arrowok="t"/>
            <v:stroke dashstyle="solid"/>
            <w10:wrap type="topAndBottom"/>
          </v:shape>
        </w:pict>
      </w:r>
    </w:p>
    <w:p>
      <w:pPr>
        <w:spacing w:before="29"/>
        <w:ind w:left="160" w:right="0" w:firstLine="0"/>
        <w:jc w:val="left"/>
        <w:rPr>
          <w:sz w:val="19"/>
        </w:rPr>
      </w:pPr>
      <w:r>
        <w:rPr>
          <w:w w:val="105"/>
          <w:position w:val="9"/>
          <w:sz w:val="13"/>
        </w:rPr>
        <w:t>15 </w:t>
      </w:r>
      <w:r>
        <w:rPr>
          <w:w w:val="105"/>
          <w:sz w:val="19"/>
        </w:rPr>
        <w:t>See Kohn (2000) for a discussion of some of the issues in this area.</w:t>
      </w:r>
    </w:p>
    <w:p>
      <w:pPr>
        <w:spacing w:after="0"/>
        <w:jc w:val="left"/>
        <w:rPr>
          <w:sz w:val="19"/>
        </w:rPr>
        <w:sectPr>
          <w:pgSz w:w="11920" w:h="16840"/>
          <w:pgMar w:header="0" w:footer="739" w:top="1360" w:bottom="920" w:left="1640" w:right="1680"/>
        </w:sectPr>
      </w:pPr>
    </w:p>
    <w:p>
      <w:pPr>
        <w:pStyle w:val="BodyText"/>
        <w:spacing w:before="9"/>
        <w:rPr>
          <w:sz w:val="11"/>
        </w:rPr>
      </w:pPr>
    </w:p>
    <w:p>
      <w:pPr>
        <w:pStyle w:val="Heading1"/>
      </w:pPr>
      <w:r>
        <w:rPr/>
        <w:t>BIBLIOGRAPHY</w:t>
      </w:r>
    </w:p>
    <w:p>
      <w:pPr>
        <w:pStyle w:val="BodyText"/>
        <w:spacing w:before="4"/>
        <w:rPr>
          <w:b/>
          <w:sz w:val="37"/>
        </w:rPr>
      </w:pPr>
    </w:p>
    <w:p>
      <w:pPr>
        <w:pStyle w:val="BodyText"/>
        <w:spacing w:line="242" w:lineRule="auto"/>
        <w:ind w:left="160" w:right="182"/>
      </w:pPr>
      <w:r>
        <w:rPr/>
        <w:t>Clare, A and R Courtenay (2001), “Assessing the Impact of Macroeconomic News Announcements on Securities Prices under Different Monetary Policy Regimes”, Bank of England Working Paper No 125.</w:t>
      </w:r>
    </w:p>
    <w:p>
      <w:pPr>
        <w:pStyle w:val="BodyText"/>
        <w:spacing w:before="9"/>
        <w:rPr>
          <w:sz w:val="23"/>
        </w:rPr>
      </w:pPr>
    </w:p>
    <w:p>
      <w:pPr>
        <w:pStyle w:val="BodyText"/>
        <w:ind w:left="160"/>
      </w:pPr>
      <w:r>
        <w:rPr/>
        <w:t>HM Treasury (1999),“The New Monetary Policy Framework”.</w:t>
      </w:r>
    </w:p>
    <w:p>
      <w:pPr>
        <w:pStyle w:val="BodyText"/>
        <w:spacing w:before="11"/>
        <w:rPr>
          <w:sz w:val="22"/>
        </w:rPr>
      </w:pPr>
    </w:p>
    <w:p>
      <w:pPr>
        <w:pStyle w:val="BodyText"/>
        <w:spacing w:line="242" w:lineRule="auto"/>
        <w:ind w:left="160" w:right="182"/>
      </w:pPr>
      <w:r>
        <w:rPr/>
        <w:t>House of Commons Treasury Select Committee (2001), “The Monetary Policy Committee – An End of Term Report”, Ninth Report of the Treasury Select Committee (HC 42).</w:t>
      </w:r>
    </w:p>
    <w:p>
      <w:pPr>
        <w:pStyle w:val="BodyText"/>
        <w:spacing w:before="2"/>
      </w:pPr>
    </w:p>
    <w:p>
      <w:pPr>
        <w:pStyle w:val="BodyText"/>
        <w:spacing w:line="235" w:lineRule="auto"/>
        <w:ind w:left="160" w:right="288"/>
      </w:pPr>
      <w:r>
        <w:rPr/>
        <w:t>Kohn, D (2000), “Report to the Non-Executive Directors of the Court of the Bank of England on Monetary Policy Processes and the Work of Monetary Analysis”.</w:t>
      </w:r>
    </w:p>
    <w:p>
      <w:pPr>
        <w:pStyle w:val="BodyText"/>
        <w:spacing w:before="4"/>
      </w:pPr>
    </w:p>
    <w:p>
      <w:pPr>
        <w:pStyle w:val="BodyText"/>
        <w:spacing w:line="247" w:lineRule="auto"/>
        <w:ind w:left="160"/>
      </w:pPr>
      <w:r>
        <w:rPr/>
        <w:t>Wadhwani, Sushil B (2001) “The New Economy: Myths and Realities”, Bank of England Quarterly Bulletin, June (forthcoming).</w:t>
      </w:r>
    </w:p>
    <w:sectPr>
      <w:pgSz w:w="11920" w:h="16840"/>
      <w:pgMar w:header="0" w:footer="739" w:top="1600" w:bottom="920" w:left="16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5pt;margin-top:794.061646pt;width:10.9pt;height:12.8pt;mso-position-horizontal-relative:page;mso-position-vertical-relative:page;z-index:-252559360"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pt;margin-top:794.061646pt;width:15pt;height:12.8pt;mso-position-horizontal-relative:page;mso-position-vertical-relative:page;z-index:-252558336"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0" w:hanging="36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328" w:hanging="360"/>
      </w:pPr>
      <w:rPr>
        <w:rFonts w:hint="default"/>
      </w:rPr>
    </w:lvl>
    <w:lvl w:ilvl="2">
      <w:start w:val="0"/>
      <w:numFmt w:val="bullet"/>
      <w:lvlText w:val="•"/>
      <w:lvlJc w:val="left"/>
      <w:pPr>
        <w:ind w:left="2136" w:hanging="360"/>
      </w:pPr>
      <w:rPr>
        <w:rFonts w:hint="default"/>
      </w:rPr>
    </w:lvl>
    <w:lvl w:ilvl="3">
      <w:start w:val="0"/>
      <w:numFmt w:val="bullet"/>
      <w:lvlText w:val="•"/>
      <w:lvlJc w:val="left"/>
      <w:pPr>
        <w:ind w:left="294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60"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176" w:hanging="360"/>
      </w:pPr>
      <w:rPr>
        <w:rFonts w:hint="default"/>
      </w:rPr>
    </w:lvl>
    <w:lvl w:ilvl="8">
      <w:start w:val="0"/>
      <w:numFmt w:val="bullet"/>
      <w:lvlText w:val="•"/>
      <w:lvlJc w:val="left"/>
      <w:pPr>
        <w:ind w:left="6984" w:hanging="360"/>
      </w:pPr>
      <w:rPr>
        <w:rFonts w:hint="default"/>
      </w:rPr>
    </w:lvl>
  </w:abstractNum>
  <w:abstractNum w:abstractNumId="1">
    <w:multiLevelType w:val="hybridMultilevel"/>
    <w:lvl w:ilvl="0">
      <w:start w:val="1"/>
      <w:numFmt w:val="decimal"/>
      <w:lvlText w:val="%1"/>
      <w:lvlJc w:val="left"/>
      <w:pPr>
        <w:ind w:left="520"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28" w:hanging="360"/>
      </w:pPr>
      <w:rPr>
        <w:rFonts w:hint="default"/>
      </w:rPr>
    </w:lvl>
    <w:lvl w:ilvl="2">
      <w:start w:val="0"/>
      <w:numFmt w:val="bullet"/>
      <w:lvlText w:val="•"/>
      <w:lvlJc w:val="left"/>
      <w:pPr>
        <w:ind w:left="2136" w:hanging="360"/>
      </w:pPr>
      <w:rPr>
        <w:rFonts w:hint="default"/>
      </w:rPr>
    </w:lvl>
    <w:lvl w:ilvl="3">
      <w:start w:val="0"/>
      <w:numFmt w:val="bullet"/>
      <w:lvlText w:val="•"/>
      <w:lvlJc w:val="left"/>
      <w:pPr>
        <w:ind w:left="294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60"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176" w:hanging="360"/>
      </w:pPr>
      <w:rPr>
        <w:rFonts w:hint="default"/>
      </w:rPr>
    </w:lvl>
    <w:lvl w:ilvl="8">
      <w:start w:val="0"/>
      <w:numFmt w:val="bullet"/>
      <w:lvlText w:val="•"/>
      <w:lvlJc w:val="left"/>
      <w:pPr>
        <w:ind w:left="6984" w:hanging="360"/>
      </w:pPr>
      <w:rPr>
        <w:rFonts w:hint="default"/>
      </w:rPr>
    </w:lvl>
  </w:abstractNum>
  <w:abstractNum w:abstractNumId="0">
    <w:multiLevelType w:val="hybridMultilevel"/>
    <w:lvl w:ilvl="0">
      <w:start w:val="1"/>
      <w:numFmt w:val="decimal"/>
      <w:lvlText w:val="%1."/>
      <w:lvlJc w:val="left"/>
      <w:pPr>
        <w:ind w:left="52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28" w:hanging="360"/>
      </w:pPr>
      <w:rPr>
        <w:rFonts w:hint="default"/>
      </w:rPr>
    </w:lvl>
    <w:lvl w:ilvl="2">
      <w:start w:val="0"/>
      <w:numFmt w:val="bullet"/>
      <w:lvlText w:val="•"/>
      <w:lvlJc w:val="left"/>
      <w:pPr>
        <w:ind w:left="2136" w:hanging="360"/>
      </w:pPr>
      <w:rPr>
        <w:rFonts w:hint="default"/>
      </w:rPr>
    </w:lvl>
    <w:lvl w:ilvl="3">
      <w:start w:val="0"/>
      <w:numFmt w:val="bullet"/>
      <w:lvlText w:val="•"/>
      <w:lvlJc w:val="left"/>
      <w:pPr>
        <w:ind w:left="294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60"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176" w:hanging="360"/>
      </w:pPr>
      <w:rPr>
        <w:rFonts w:hint="default"/>
      </w:rPr>
    </w:lvl>
    <w:lvl w:ilvl="8">
      <w:start w:val="0"/>
      <w:numFmt w:val="bullet"/>
      <w:lvlText w:val="•"/>
      <w:lvlJc w:val="left"/>
      <w:pPr>
        <w:ind w:left="698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3" w:lineRule="exact"/>
      <w:ind w:left="52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Some Reflections on the MPC - speech by Susil Wadhwani</dc:title>
  <dcterms:created xsi:type="dcterms:W3CDTF">2020-06-02T18:26:51Z</dcterms:created>
  <dcterms:modified xsi:type="dcterms:W3CDTF">2020-06-02T18:26:51Z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2001-05-18T00:00:00Z</vt:filetime>
  </property>
  <property fmtid="{D5CDD505-2E9C-101B-9397-08002B2CF9AE}" pid="3" name="Creator">
    <vt:lpwstr>Microsoft Word - 140901_1</vt:lpwstr>
  </property>
  <property fmtid="{D5CDD505-2E9C-101B-9397-08002B2CF9AE}" pid="4" name="LastSaved">
    <vt:filetime>2020-06-02T00:00:00Z</vt:filetime>
  </property>
</Properties>
</file>