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spacing w:before="89"/>
        <w:ind w:left="826" w:right="805" w:firstLine="0"/>
        <w:jc w:val="center"/>
        <w:rPr>
          <w:sz w:val="28"/>
        </w:rPr>
      </w:pPr>
      <w:r>
        <w:rPr>
          <w:sz w:val="28"/>
        </w:rPr>
        <w:t>Speech by</w:t>
      </w:r>
    </w:p>
    <w:p>
      <w:pPr>
        <w:pStyle w:val="BodyText"/>
        <w:rPr>
          <w:sz w:val="30"/>
        </w:rPr>
      </w:pPr>
    </w:p>
    <w:p>
      <w:pPr>
        <w:pStyle w:val="BodyText"/>
        <w:rPr>
          <w:sz w:val="30"/>
        </w:rPr>
      </w:pPr>
    </w:p>
    <w:p>
      <w:pPr>
        <w:pStyle w:val="BodyText"/>
        <w:spacing w:before="3"/>
        <w:rPr>
          <w:sz w:val="38"/>
        </w:rPr>
      </w:pPr>
    </w:p>
    <w:p>
      <w:pPr>
        <w:spacing w:before="0"/>
        <w:ind w:left="821" w:right="805" w:firstLine="0"/>
        <w:jc w:val="center"/>
        <w:rPr>
          <w:b/>
          <w:sz w:val="28"/>
        </w:rPr>
      </w:pPr>
      <w:r>
        <w:rPr>
          <w:b/>
          <w:sz w:val="28"/>
        </w:rPr>
        <w:t>ANDREW SENTANCE</w:t>
      </w:r>
    </w:p>
    <w:p>
      <w:pPr>
        <w:spacing w:line="360" w:lineRule="auto" w:before="163"/>
        <w:ind w:left="828" w:right="805" w:firstLine="0"/>
        <w:jc w:val="center"/>
        <w:rPr>
          <w:b/>
          <w:sz w:val="28"/>
        </w:rPr>
      </w:pPr>
      <w:r>
        <w:rPr>
          <w:b/>
          <w:sz w:val="28"/>
        </w:rPr>
        <w:t>MEMBER OF THE MONETARY POLICY COMMITTEE BANK OF ENGLAND</w:t>
      </w:r>
    </w:p>
    <w:p>
      <w:pPr>
        <w:pStyle w:val="BodyText"/>
        <w:rPr>
          <w:b/>
          <w:sz w:val="30"/>
        </w:rPr>
      </w:pPr>
    </w:p>
    <w:p>
      <w:pPr>
        <w:pStyle w:val="BodyText"/>
        <w:rPr>
          <w:b/>
          <w:sz w:val="30"/>
        </w:rPr>
      </w:pPr>
    </w:p>
    <w:p>
      <w:pPr>
        <w:pStyle w:val="BodyText"/>
        <w:spacing w:before="11"/>
        <w:rPr>
          <w:b/>
          <w:sz w:val="37"/>
        </w:rPr>
      </w:pPr>
    </w:p>
    <w:p>
      <w:pPr>
        <w:spacing w:before="0"/>
        <w:ind w:left="823" w:right="805" w:firstLine="0"/>
        <w:jc w:val="center"/>
        <w:rPr>
          <w:b/>
          <w:sz w:val="28"/>
        </w:rPr>
      </w:pPr>
      <w:r>
        <w:rPr>
          <w:b/>
          <w:sz w:val="28"/>
        </w:rPr>
        <w:t>SUSTAINING THE RECOVERY</w:t>
      </w:r>
    </w:p>
    <w:p>
      <w:pPr>
        <w:pStyle w:val="BodyText"/>
        <w:rPr>
          <w:b/>
          <w:sz w:val="30"/>
        </w:rPr>
      </w:pPr>
    </w:p>
    <w:p>
      <w:pPr>
        <w:pStyle w:val="BodyText"/>
        <w:spacing w:before="6"/>
        <w:rPr>
          <w:b/>
          <w:sz w:val="41"/>
        </w:rPr>
      </w:pPr>
    </w:p>
    <w:p>
      <w:pPr>
        <w:spacing w:line="360" w:lineRule="auto" w:before="1"/>
        <w:ind w:left="828" w:right="805" w:firstLine="0"/>
        <w:jc w:val="center"/>
        <w:rPr>
          <w:sz w:val="28"/>
        </w:rPr>
      </w:pPr>
      <w:r>
        <w:rPr>
          <w:sz w:val="28"/>
        </w:rPr>
        <w:t>British American Business Council in association with RSM Tenon, Church House, Westminster, London</w:t>
      </w:r>
    </w:p>
    <w:p>
      <w:pPr>
        <w:pStyle w:val="BodyText"/>
        <w:rPr>
          <w:sz w:val="42"/>
        </w:rPr>
      </w:pPr>
    </w:p>
    <w:p>
      <w:pPr>
        <w:spacing w:before="0"/>
        <w:ind w:left="824" w:right="805" w:firstLine="0"/>
        <w:jc w:val="center"/>
        <w:rPr>
          <w:sz w:val="28"/>
        </w:rPr>
      </w:pPr>
      <w:r>
        <w:rPr>
          <w:sz w:val="28"/>
        </w:rPr>
        <w:t>13 October 2010</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8"/>
        </w:rPr>
      </w:pPr>
    </w:p>
    <w:p>
      <w:pPr>
        <w:spacing w:before="0"/>
        <w:ind w:left="118" w:right="94" w:firstLine="0"/>
        <w:jc w:val="left"/>
        <w:rPr>
          <w:sz w:val="20"/>
        </w:rPr>
      </w:pPr>
      <w:r>
        <w:rPr>
          <w:sz w:val="20"/>
        </w:rPr>
        <w:t>I would like to thank Tomasz Wieladek and Abi Hughes for research assistance and I am also grateful for helpful comments from other colleagues. The views expressed are my own and do not necessarily reflect those of the Bank of England or other members of the Monetary Policy Committee.</w:t>
      </w:r>
    </w:p>
    <w:p>
      <w:pPr>
        <w:spacing w:after="0"/>
        <w:jc w:val="left"/>
        <w:rPr>
          <w:sz w:val="20"/>
        </w:rPr>
        <w:sectPr>
          <w:type w:val="continuous"/>
          <w:pgSz w:w="11910" w:h="16840"/>
          <w:pgMar w:top="1580" w:bottom="280" w:left="1300" w:right="1320"/>
        </w:sectPr>
      </w:pPr>
    </w:p>
    <w:p>
      <w:pPr>
        <w:pStyle w:val="BodyText"/>
        <w:spacing w:line="360" w:lineRule="auto" w:before="74"/>
        <w:ind w:left="118" w:right="106"/>
      </w:pPr>
      <w:r>
        <w:rPr/>
        <w:t>I am delighted to be giving this speech this evening here in the heart of Westminster and I am grateful to the British American Business Council for hosting this event and to RSM Tenon for sponsoring it.  As an active member of the Church of England, I am also very pleased to be giving this speech at its headquarters in Church House. The Church of England plays a vital role in supporting the spiritual health of our nation, just as the Bank of England has a key responsibility in underpinning its economic and financial</w:t>
      </w:r>
      <w:r>
        <w:rPr>
          <w:spacing w:val="-11"/>
        </w:rPr>
        <w:t> </w:t>
      </w:r>
      <w:r>
        <w:rPr/>
        <w:t>health.</w:t>
      </w:r>
    </w:p>
    <w:p>
      <w:pPr>
        <w:pStyle w:val="BodyText"/>
        <w:spacing w:before="10"/>
        <w:rPr>
          <w:sz w:val="35"/>
        </w:rPr>
      </w:pPr>
    </w:p>
    <w:p>
      <w:pPr>
        <w:pStyle w:val="BodyText"/>
        <w:spacing w:line="360" w:lineRule="auto" w:before="1"/>
        <w:ind w:left="118" w:right="94"/>
      </w:pPr>
      <w:r>
        <w:rPr/>
        <w:t>A healthy economy is normally a growing economy. So ensuring the right conditions for a sound and sustained recovery is a key challenge for UK monetary policy at present. And it is that challenge that I want to discuss in my speech to you this evening.</w:t>
      </w:r>
    </w:p>
    <w:p>
      <w:pPr>
        <w:pStyle w:val="BodyText"/>
        <w:spacing w:before="4"/>
        <w:rPr>
          <w:sz w:val="36"/>
        </w:rPr>
      </w:pPr>
    </w:p>
    <w:p>
      <w:pPr>
        <w:pStyle w:val="Heading1"/>
        <w:spacing w:before="1"/>
      </w:pPr>
      <w:r>
        <w:rPr/>
        <w:t>The current recovery in context</w:t>
      </w:r>
    </w:p>
    <w:p>
      <w:pPr>
        <w:pStyle w:val="BodyText"/>
        <w:rPr>
          <w:b/>
          <w:sz w:val="26"/>
        </w:rPr>
      </w:pPr>
    </w:p>
    <w:p>
      <w:pPr>
        <w:pStyle w:val="BodyText"/>
        <w:spacing w:before="6"/>
        <w:rPr>
          <w:b/>
          <w:sz w:val="21"/>
        </w:rPr>
      </w:pPr>
    </w:p>
    <w:p>
      <w:pPr>
        <w:pStyle w:val="BodyText"/>
        <w:spacing w:line="360" w:lineRule="auto"/>
        <w:ind w:left="118" w:right="94"/>
      </w:pPr>
      <w:r>
        <w:rPr/>
        <w:pict>
          <v:group style="position:absolute;margin-left:125.609047pt;margin-top:142.258652pt;width:300.350pt;height:148.85pt;mso-position-horizontal-relative:page;mso-position-vertical-relative:paragraph;z-index:-254242816" coordorigin="2512,2845" coordsize="6007,2977">
            <v:line style="position:absolute" from="8434,3734" to="8434,4030" stroked="true" strokeweight="4.951502pt" strokecolor="#558ed5">
              <v:stroke dashstyle="solid"/>
            </v:line>
            <v:shape style="position:absolute;left:0;top:10044;width:60;height:4200" coordorigin="0,10045" coordsize="60,4200" path="m8476,5814l8476,2852m8476,5814l8519,5814m8476,5222l8519,5222m8476,4629l8519,4629m8476,4037l8519,4037m8476,3445l8519,3445m8476,2852l8519,2852e" filled="false" stroked="true" strokeweight=".706345pt" strokecolor="#000000">
              <v:path arrowok="t"/>
              <v:stroke dashstyle="solid"/>
            </v:shape>
            <v:line style="position:absolute" from="6828,4030" to="6828,5426" stroked="true" strokeweight="4.244751pt" strokecolor="#333399">
              <v:stroke dashstyle="solid"/>
            </v:line>
            <v:line style="position:absolute" from="6559,4030" to="6559,5271" stroked="true" strokeweight="4.244751pt" strokecolor="#333399">
              <v:stroke dashstyle="solid"/>
            </v:line>
            <v:line style="position:absolute" from="6297,4030" to="6297,4566" stroked="true" strokeweight="4.952209pt" strokecolor="#333399">
              <v:stroke dashstyle="solid"/>
            </v:line>
            <v:line style="position:absolute" from="7097,4030" to="7097,4495" stroked="true" strokeweight="4.244751pt" strokecolor="#333399">
              <v:stroke dashstyle="solid"/>
            </v:line>
            <v:line style="position:absolute" from="7365,4030" to="7365,4213" stroked="true" strokeweight="4.244751pt" strokecolor="#333399">
              <v:stroke dashstyle="solid"/>
            </v:line>
            <v:line style="position:absolute" from="6028,4030" to="6028,4199" stroked="true" strokeweight="4.951502pt" strokecolor="#333399">
              <v:stroke dashstyle="solid"/>
            </v:line>
            <v:line style="position:absolute" from="8165,3339" to="8165,4030" stroked="true" strokeweight="4.952209pt" strokecolor="#333399">
              <v:stroke dashstyle="solid"/>
            </v:line>
            <v:shape style="position:absolute;left:7634;top:3761;width:269;height:268" coordorigin="7634,3762" coordsize="269,268" path="m7903,3762l7903,4030m7634,3818l7634,4030e" filled="false" stroked="true" strokeweight="4.244751pt" strokecolor="#333399">
              <v:path arrowok="t"/>
              <v:stroke dashstyle="solid"/>
            </v:shape>
            <v:line style="position:absolute" from="5766,3734" to="5766,4030" stroked="true" strokeweight="4.244043pt" strokecolor="#333399">
              <v:stroke dashstyle="solid"/>
            </v:line>
            <v:line style="position:absolute" from="5498,3875" to="5498,4030" stroked="true" strokeweight="4.244043pt" strokecolor="#333399">
              <v:stroke dashstyle="solid"/>
            </v:line>
            <v:shape style="position:absolute;left:4691;top:3465;width:538;height:565" coordorigin="4691,3466" coordsize="538,565" path="m5229,3720l5229,4030m4960,3706l4960,4030m4691,3466l4691,4030e" filled="false" stroked="true" strokeweight="4.244751pt" strokecolor="#333399">
              <v:path arrowok="t"/>
              <v:stroke dashstyle="solid"/>
            </v:shape>
            <v:shape style="position:absolute;left:4160;top:3550;width:269;height:480" coordorigin="4161,3550" coordsize="269,480" path="m4429,3550l4429,4030m4161,3734l4161,4030e" filled="false" stroked="true" strokeweight="4.952209pt" strokecolor="#333399">
              <v:path arrowok="t"/>
              <v:stroke dashstyle="solid"/>
            </v:shape>
            <v:line style="position:absolute" from="3899,3861" to="3899,4030" stroked="true" strokeweight="4.244751pt" strokecolor="#333399">
              <v:stroke dashstyle="solid"/>
            </v:line>
            <v:line style="position:absolute" from="3630,3395" to="3630,4030" stroked="true" strokeweight="4.244751pt" strokecolor="#333399">
              <v:stroke dashstyle="solid"/>
            </v:line>
            <v:line style="position:absolute" from="3361,3607" to="3361,4030" stroked="true" strokeweight="4.244043pt" strokecolor="#333399">
              <v:stroke dashstyle="solid"/>
            </v:line>
            <v:line style="position:absolute" from="3092,3663" to="3092,4030" stroked="true" strokeweight="4.244043pt" strokecolor="#333399">
              <v:stroke dashstyle="solid"/>
            </v:line>
            <v:line style="position:absolute" from="2823,3607" to="2823,4030" stroked="true" strokeweight="4.244043pt" strokecolor="#333399">
              <v:stroke dashstyle="solid"/>
            </v:line>
            <v:line style="position:absolute" from="2562,3832" to="2562,4030" stroked="true" strokeweight="4.951502pt" strokecolor="#333399">
              <v:stroke dashstyle="solid"/>
            </v:line>
            <v:shape style="position:absolute;left:0;top:9984;width:8420;height:60" coordorigin="0,9985" coordsize="8420,60" path="m2519,4037l8476,4037m2519,4037l2519,4079m3580,4037l3580,4079m4656,4037l4656,4079m5717,4037l5717,4079m6792,4037l6792,4079m7853,4037l7853,4079e" filled="false" stroked="true" strokeweight=".706345pt" strokecolor="#000000">
              <v:path arrowok="t"/>
              <v:stroke dashstyle="solid"/>
            </v:shape>
            <w10:wrap type="none"/>
          </v:group>
        </w:pict>
      </w:r>
      <w:r>
        <w:rPr/>
        <w:t>The UK economy has been recovering for about a year now. So it is relatively early days to pass judgement on how the current recovery is proceeding. However, the performance of the British economy over the first year of this recovery does provide some grounds for encouragement.</w:t>
      </w:r>
    </w:p>
    <w:p>
      <w:pPr>
        <w:pStyle w:val="BodyText"/>
        <w:rPr>
          <w:sz w:val="20"/>
        </w:rPr>
      </w:pPr>
    </w:p>
    <w:p>
      <w:pPr>
        <w:pStyle w:val="BodyText"/>
        <w:spacing w:before="7"/>
        <w:rPr>
          <w:sz w:val="16"/>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9"/>
        <w:gridCol w:w="1067"/>
        <w:gridCol w:w="1067"/>
        <w:gridCol w:w="1067"/>
        <w:gridCol w:w="1067"/>
        <w:gridCol w:w="992"/>
        <w:gridCol w:w="1482"/>
      </w:tblGrid>
      <w:tr>
        <w:trPr>
          <w:trHeight w:val="551" w:hRule="atLeast"/>
        </w:trPr>
        <w:tc>
          <w:tcPr>
            <w:tcW w:w="8411" w:type="dxa"/>
            <w:gridSpan w:val="7"/>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7"/>
              <w:rPr>
                <w:b/>
                <w:sz w:val="24"/>
              </w:rPr>
            </w:pPr>
            <w:r>
              <w:rPr>
                <w:b/>
                <w:sz w:val="24"/>
              </w:rPr>
              <w:t>Chart 1: Uneven UK recovery</w:t>
            </w:r>
          </w:p>
          <w:p>
            <w:pPr>
              <w:pStyle w:val="TableParagraph"/>
              <w:spacing w:line="261" w:lineRule="exact"/>
              <w:ind w:left="107"/>
              <w:rPr>
                <w:sz w:val="24"/>
              </w:rPr>
            </w:pPr>
            <w:r>
              <w:rPr>
                <w:sz w:val="24"/>
              </w:rPr>
              <w:t>GDP growth, percentage change on previous quarter</w:t>
            </w:r>
          </w:p>
        </w:tc>
      </w:tr>
      <w:tr>
        <w:trPr>
          <w:trHeight w:val="501" w:hRule="atLeast"/>
        </w:trPr>
        <w:tc>
          <w:tcPr>
            <w:tcW w:w="1669" w:type="dxa"/>
            <w:tcBorders>
              <w:top w:val="single" w:sz="4" w:space="0" w:color="000000"/>
              <w:left w:val="single" w:sz="4" w:space="0" w:color="000000"/>
            </w:tcBorders>
          </w:tcPr>
          <w:p>
            <w:pPr>
              <w:pStyle w:val="TableParagraph"/>
              <w:rPr>
                <w:sz w:val="22"/>
              </w:rPr>
            </w:pPr>
          </w:p>
        </w:tc>
        <w:tc>
          <w:tcPr>
            <w:tcW w:w="1067" w:type="dxa"/>
            <w:tcBorders>
              <w:top w:val="single" w:sz="4" w:space="0" w:color="000000"/>
            </w:tcBorders>
          </w:tcPr>
          <w:p>
            <w:pPr>
              <w:pStyle w:val="TableParagraph"/>
              <w:rPr>
                <w:sz w:val="22"/>
              </w:rPr>
            </w:pPr>
          </w:p>
        </w:tc>
        <w:tc>
          <w:tcPr>
            <w:tcW w:w="1067" w:type="dxa"/>
            <w:tcBorders>
              <w:top w:val="single" w:sz="4" w:space="0" w:color="000000"/>
            </w:tcBorders>
          </w:tcPr>
          <w:p>
            <w:pPr>
              <w:pStyle w:val="TableParagraph"/>
              <w:rPr>
                <w:sz w:val="22"/>
              </w:rPr>
            </w:pPr>
          </w:p>
        </w:tc>
        <w:tc>
          <w:tcPr>
            <w:tcW w:w="1067" w:type="dxa"/>
            <w:tcBorders>
              <w:top w:val="single" w:sz="4" w:space="0" w:color="000000"/>
            </w:tcBorders>
          </w:tcPr>
          <w:p>
            <w:pPr>
              <w:pStyle w:val="TableParagraph"/>
              <w:rPr>
                <w:sz w:val="22"/>
              </w:rPr>
            </w:pPr>
          </w:p>
        </w:tc>
        <w:tc>
          <w:tcPr>
            <w:tcW w:w="1067" w:type="dxa"/>
            <w:tcBorders>
              <w:top w:val="single" w:sz="4" w:space="0" w:color="000000"/>
            </w:tcBorders>
          </w:tcPr>
          <w:p>
            <w:pPr>
              <w:pStyle w:val="TableParagraph"/>
              <w:rPr>
                <w:sz w:val="22"/>
              </w:rPr>
            </w:pPr>
          </w:p>
        </w:tc>
        <w:tc>
          <w:tcPr>
            <w:tcW w:w="992" w:type="dxa"/>
            <w:tcBorders>
              <w:top w:val="single" w:sz="4" w:space="0" w:color="000000"/>
            </w:tcBorders>
          </w:tcPr>
          <w:p>
            <w:pPr>
              <w:pStyle w:val="TableParagraph"/>
              <w:rPr>
                <w:sz w:val="22"/>
              </w:rPr>
            </w:pPr>
          </w:p>
        </w:tc>
        <w:tc>
          <w:tcPr>
            <w:tcW w:w="1482" w:type="dxa"/>
            <w:tcBorders>
              <w:top w:val="single" w:sz="4" w:space="0" w:color="000000"/>
              <w:right w:val="single" w:sz="4" w:space="0" w:color="000000"/>
            </w:tcBorders>
          </w:tcPr>
          <w:p>
            <w:pPr>
              <w:pStyle w:val="TableParagraph"/>
              <w:spacing w:before="117"/>
              <w:ind w:left="297"/>
              <w:rPr>
                <w:rFonts w:ascii="Arial"/>
                <w:b/>
                <w:sz w:val="15"/>
              </w:rPr>
            </w:pPr>
            <w:r>
              <w:rPr>
                <w:rFonts w:ascii="Arial"/>
                <w:b/>
                <w:w w:val="103"/>
                <w:sz w:val="15"/>
              </w:rPr>
              <w:t>2</w:t>
            </w:r>
          </w:p>
        </w:tc>
      </w:tr>
      <w:tr>
        <w:trPr>
          <w:trHeight w:val="593" w:hRule="atLeast"/>
        </w:trPr>
        <w:tc>
          <w:tcPr>
            <w:tcW w:w="1669" w:type="dxa"/>
            <w:tcBorders>
              <w:left w:val="single" w:sz="4" w:space="0" w:color="000000"/>
            </w:tcBorders>
          </w:tcPr>
          <w:p>
            <w:pPr>
              <w:pStyle w:val="TableParagraph"/>
              <w:rPr>
                <w:sz w:val="22"/>
              </w:rPr>
            </w:pPr>
          </w:p>
        </w:tc>
        <w:tc>
          <w:tcPr>
            <w:tcW w:w="1067" w:type="dxa"/>
          </w:tcPr>
          <w:p>
            <w:pPr>
              <w:pStyle w:val="TableParagraph"/>
              <w:rPr>
                <w:sz w:val="22"/>
              </w:rPr>
            </w:pPr>
          </w:p>
        </w:tc>
        <w:tc>
          <w:tcPr>
            <w:tcW w:w="1067" w:type="dxa"/>
          </w:tcPr>
          <w:p>
            <w:pPr>
              <w:pStyle w:val="TableParagraph"/>
              <w:rPr>
                <w:sz w:val="22"/>
              </w:rPr>
            </w:pPr>
          </w:p>
        </w:tc>
        <w:tc>
          <w:tcPr>
            <w:tcW w:w="1067" w:type="dxa"/>
          </w:tcPr>
          <w:p>
            <w:pPr>
              <w:pStyle w:val="TableParagraph"/>
              <w:rPr>
                <w:sz w:val="22"/>
              </w:rPr>
            </w:pPr>
          </w:p>
        </w:tc>
        <w:tc>
          <w:tcPr>
            <w:tcW w:w="1067" w:type="dxa"/>
          </w:tcPr>
          <w:p>
            <w:pPr>
              <w:pStyle w:val="TableParagraph"/>
              <w:rPr>
                <w:sz w:val="22"/>
              </w:rPr>
            </w:pPr>
          </w:p>
        </w:tc>
        <w:tc>
          <w:tcPr>
            <w:tcW w:w="992" w:type="dxa"/>
          </w:tcPr>
          <w:p>
            <w:pPr>
              <w:pStyle w:val="TableParagraph"/>
              <w:rPr>
                <w:sz w:val="22"/>
              </w:rPr>
            </w:pPr>
          </w:p>
        </w:tc>
        <w:tc>
          <w:tcPr>
            <w:tcW w:w="1482" w:type="dxa"/>
            <w:tcBorders>
              <w:right w:val="single" w:sz="4" w:space="0" w:color="000000"/>
            </w:tcBorders>
          </w:tcPr>
          <w:p>
            <w:pPr>
              <w:pStyle w:val="TableParagraph"/>
              <w:spacing w:before="2"/>
              <w:rPr>
                <w:sz w:val="18"/>
              </w:rPr>
            </w:pPr>
          </w:p>
          <w:p>
            <w:pPr>
              <w:pStyle w:val="TableParagraph"/>
              <w:spacing w:before="1"/>
              <w:ind w:left="297"/>
              <w:rPr>
                <w:rFonts w:ascii="Arial"/>
                <w:b/>
                <w:sz w:val="15"/>
              </w:rPr>
            </w:pPr>
            <w:r>
              <w:rPr>
                <w:rFonts w:ascii="Arial"/>
                <w:b/>
                <w:w w:val="103"/>
                <w:sz w:val="15"/>
              </w:rPr>
              <w:t>1</w:t>
            </w:r>
          </w:p>
        </w:tc>
      </w:tr>
      <w:tr>
        <w:trPr>
          <w:trHeight w:val="593" w:hRule="atLeast"/>
        </w:trPr>
        <w:tc>
          <w:tcPr>
            <w:tcW w:w="1669" w:type="dxa"/>
            <w:tcBorders>
              <w:left w:val="single" w:sz="4" w:space="0" w:color="000000"/>
            </w:tcBorders>
          </w:tcPr>
          <w:p>
            <w:pPr>
              <w:pStyle w:val="TableParagraph"/>
              <w:rPr>
                <w:sz w:val="22"/>
              </w:rPr>
            </w:pPr>
          </w:p>
        </w:tc>
        <w:tc>
          <w:tcPr>
            <w:tcW w:w="1067" w:type="dxa"/>
          </w:tcPr>
          <w:p>
            <w:pPr>
              <w:pStyle w:val="TableParagraph"/>
              <w:rPr>
                <w:sz w:val="22"/>
              </w:rPr>
            </w:pPr>
          </w:p>
        </w:tc>
        <w:tc>
          <w:tcPr>
            <w:tcW w:w="1067" w:type="dxa"/>
          </w:tcPr>
          <w:p>
            <w:pPr>
              <w:pStyle w:val="TableParagraph"/>
              <w:rPr>
                <w:sz w:val="22"/>
              </w:rPr>
            </w:pPr>
          </w:p>
        </w:tc>
        <w:tc>
          <w:tcPr>
            <w:tcW w:w="1067" w:type="dxa"/>
          </w:tcPr>
          <w:p>
            <w:pPr>
              <w:pStyle w:val="TableParagraph"/>
              <w:rPr>
                <w:sz w:val="22"/>
              </w:rPr>
            </w:pPr>
          </w:p>
        </w:tc>
        <w:tc>
          <w:tcPr>
            <w:tcW w:w="1067" w:type="dxa"/>
          </w:tcPr>
          <w:p>
            <w:pPr>
              <w:pStyle w:val="TableParagraph"/>
              <w:rPr>
                <w:sz w:val="22"/>
              </w:rPr>
            </w:pPr>
          </w:p>
        </w:tc>
        <w:tc>
          <w:tcPr>
            <w:tcW w:w="992" w:type="dxa"/>
          </w:tcPr>
          <w:p>
            <w:pPr>
              <w:pStyle w:val="TableParagraph"/>
              <w:rPr>
                <w:sz w:val="22"/>
              </w:rPr>
            </w:pPr>
          </w:p>
        </w:tc>
        <w:tc>
          <w:tcPr>
            <w:tcW w:w="1482" w:type="dxa"/>
            <w:tcBorders>
              <w:right w:val="single" w:sz="4" w:space="0" w:color="000000"/>
            </w:tcBorders>
          </w:tcPr>
          <w:p>
            <w:pPr>
              <w:pStyle w:val="TableParagraph"/>
              <w:spacing w:before="2"/>
              <w:rPr>
                <w:sz w:val="18"/>
              </w:rPr>
            </w:pPr>
          </w:p>
          <w:p>
            <w:pPr>
              <w:pStyle w:val="TableParagraph"/>
              <w:spacing w:before="1"/>
              <w:ind w:left="297"/>
              <w:rPr>
                <w:rFonts w:ascii="Arial"/>
                <w:b/>
                <w:sz w:val="15"/>
              </w:rPr>
            </w:pPr>
            <w:r>
              <w:rPr>
                <w:rFonts w:ascii="Arial"/>
                <w:b/>
                <w:w w:val="103"/>
                <w:sz w:val="15"/>
              </w:rPr>
              <w:t>0</w:t>
            </w:r>
          </w:p>
        </w:tc>
      </w:tr>
      <w:tr>
        <w:trPr>
          <w:trHeight w:val="593" w:hRule="atLeast"/>
        </w:trPr>
        <w:tc>
          <w:tcPr>
            <w:tcW w:w="1669" w:type="dxa"/>
            <w:tcBorders>
              <w:left w:val="single" w:sz="4" w:space="0" w:color="000000"/>
            </w:tcBorders>
          </w:tcPr>
          <w:p>
            <w:pPr>
              <w:pStyle w:val="TableParagraph"/>
              <w:rPr>
                <w:sz w:val="22"/>
              </w:rPr>
            </w:pPr>
          </w:p>
        </w:tc>
        <w:tc>
          <w:tcPr>
            <w:tcW w:w="1067" w:type="dxa"/>
          </w:tcPr>
          <w:p>
            <w:pPr>
              <w:pStyle w:val="TableParagraph"/>
              <w:rPr>
                <w:sz w:val="22"/>
              </w:rPr>
            </w:pPr>
          </w:p>
        </w:tc>
        <w:tc>
          <w:tcPr>
            <w:tcW w:w="1067" w:type="dxa"/>
          </w:tcPr>
          <w:p>
            <w:pPr>
              <w:pStyle w:val="TableParagraph"/>
              <w:rPr>
                <w:sz w:val="22"/>
              </w:rPr>
            </w:pPr>
          </w:p>
        </w:tc>
        <w:tc>
          <w:tcPr>
            <w:tcW w:w="1067" w:type="dxa"/>
          </w:tcPr>
          <w:p>
            <w:pPr>
              <w:pStyle w:val="TableParagraph"/>
              <w:rPr>
                <w:sz w:val="22"/>
              </w:rPr>
            </w:pPr>
          </w:p>
        </w:tc>
        <w:tc>
          <w:tcPr>
            <w:tcW w:w="1067" w:type="dxa"/>
          </w:tcPr>
          <w:p>
            <w:pPr>
              <w:pStyle w:val="TableParagraph"/>
              <w:rPr>
                <w:sz w:val="22"/>
              </w:rPr>
            </w:pPr>
          </w:p>
        </w:tc>
        <w:tc>
          <w:tcPr>
            <w:tcW w:w="992" w:type="dxa"/>
          </w:tcPr>
          <w:p>
            <w:pPr>
              <w:pStyle w:val="TableParagraph"/>
              <w:rPr>
                <w:sz w:val="22"/>
              </w:rPr>
            </w:pPr>
          </w:p>
        </w:tc>
        <w:tc>
          <w:tcPr>
            <w:tcW w:w="1482" w:type="dxa"/>
            <w:tcBorders>
              <w:right w:val="single" w:sz="4" w:space="0" w:color="000000"/>
            </w:tcBorders>
          </w:tcPr>
          <w:p>
            <w:pPr>
              <w:pStyle w:val="TableParagraph"/>
              <w:spacing w:before="2"/>
              <w:rPr>
                <w:sz w:val="18"/>
              </w:rPr>
            </w:pPr>
          </w:p>
          <w:p>
            <w:pPr>
              <w:pStyle w:val="TableParagraph"/>
              <w:spacing w:before="1"/>
              <w:ind w:left="295"/>
              <w:rPr>
                <w:rFonts w:ascii="Arial"/>
                <w:b/>
                <w:sz w:val="15"/>
              </w:rPr>
            </w:pPr>
            <w:r>
              <w:rPr>
                <w:rFonts w:ascii="Arial"/>
                <w:b/>
                <w:w w:val="105"/>
                <w:sz w:val="15"/>
              </w:rPr>
              <w:t>-1</w:t>
            </w:r>
          </w:p>
        </w:tc>
      </w:tr>
      <w:tr>
        <w:trPr>
          <w:trHeight w:val="593" w:hRule="atLeast"/>
        </w:trPr>
        <w:tc>
          <w:tcPr>
            <w:tcW w:w="1669" w:type="dxa"/>
            <w:tcBorders>
              <w:left w:val="single" w:sz="4" w:space="0" w:color="000000"/>
            </w:tcBorders>
          </w:tcPr>
          <w:p>
            <w:pPr>
              <w:pStyle w:val="TableParagraph"/>
              <w:rPr>
                <w:sz w:val="22"/>
              </w:rPr>
            </w:pPr>
          </w:p>
        </w:tc>
        <w:tc>
          <w:tcPr>
            <w:tcW w:w="1067" w:type="dxa"/>
          </w:tcPr>
          <w:p>
            <w:pPr>
              <w:pStyle w:val="TableParagraph"/>
              <w:rPr>
                <w:sz w:val="22"/>
              </w:rPr>
            </w:pPr>
          </w:p>
        </w:tc>
        <w:tc>
          <w:tcPr>
            <w:tcW w:w="1067" w:type="dxa"/>
          </w:tcPr>
          <w:p>
            <w:pPr>
              <w:pStyle w:val="TableParagraph"/>
              <w:rPr>
                <w:sz w:val="22"/>
              </w:rPr>
            </w:pPr>
          </w:p>
        </w:tc>
        <w:tc>
          <w:tcPr>
            <w:tcW w:w="1067" w:type="dxa"/>
          </w:tcPr>
          <w:p>
            <w:pPr>
              <w:pStyle w:val="TableParagraph"/>
              <w:rPr>
                <w:sz w:val="22"/>
              </w:rPr>
            </w:pPr>
          </w:p>
        </w:tc>
        <w:tc>
          <w:tcPr>
            <w:tcW w:w="1067" w:type="dxa"/>
          </w:tcPr>
          <w:p>
            <w:pPr>
              <w:pStyle w:val="TableParagraph"/>
              <w:rPr>
                <w:sz w:val="22"/>
              </w:rPr>
            </w:pPr>
          </w:p>
        </w:tc>
        <w:tc>
          <w:tcPr>
            <w:tcW w:w="992" w:type="dxa"/>
          </w:tcPr>
          <w:p>
            <w:pPr>
              <w:pStyle w:val="TableParagraph"/>
              <w:rPr>
                <w:sz w:val="22"/>
              </w:rPr>
            </w:pPr>
          </w:p>
        </w:tc>
        <w:tc>
          <w:tcPr>
            <w:tcW w:w="1482" w:type="dxa"/>
            <w:tcBorders>
              <w:right w:val="single" w:sz="4" w:space="0" w:color="000000"/>
            </w:tcBorders>
          </w:tcPr>
          <w:p>
            <w:pPr>
              <w:pStyle w:val="TableParagraph"/>
              <w:spacing w:before="2"/>
              <w:rPr>
                <w:sz w:val="18"/>
              </w:rPr>
            </w:pPr>
          </w:p>
          <w:p>
            <w:pPr>
              <w:pStyle w:val="TableParagraph"/>
              <w:spacing w:before="1"/>
              <w:ind w:left="295"/>
              <w:rPr>
                <w:rFonts w:ascii="Arial"/>
                <w:b/>
                <w:sz w:val="15"/>
              </w:rPr>
            </w:pPr>
            <w:r>
              <w:rPr>
                <w:rFonts w:ascii="Arial"/>
                <w:b/>
                <w:w w:val="105"/>
                <w:sz w:val="15"/>
              </w:rPr>
              <w:t>-2</w:t>
            </w:r>
          </w:p>
        </w:tc>
      </w:tr>
      <w:tr>
        <w:trPr>
          <w:trHeight w:val="425" w:hRule="atLeast"/>
        </w:trPr>
        <w:tc>
          <w:tcPr>
            <w:tcW w:w="1669" w:type="dxa"/>
            <w:tcBorders>
              <w:left w:val="single" w:sz="4" w:space="0" w:color="000000"/>
            </w:tcBorders>
          </w:tcPr>
          <w:p>
            <w:pPr>
              <w:pStyle w:val="TableParagraph"/>
              <w:rPr>
                <w:sz w:val="22"/>
              </w:rPr>
            </w:pPr>
          </w:p>
        </w:tc>
        <w:tc>
          <w:tcPr>
            <w:tcW w:w="1067" w:type="dxa"/>
          </w:tcPr>
          <w:p>
            <w:pPr>
              <w:pStyle w:val="TableParagraph"/>
              <w:rPr>
                <w:sz w:val="22"/>
              </w:rPr>
            </w:pPr>
          </w:p>
        </w:tc>
        <w:tc>
          <w:tcPr>
            <w:tcW w:w="1067" w:type="dxa"/>
          </w:tcPr>
          <w:p>
            <w:pPr>
              <w:pStyle w:val="TableParagraph"/>
              <w:rPr>
                <w:sz w:val="22"/>
              </w:rPr>
            </w:pPr>
          </w:p>
        </w:tc>
        <w:tc>
          <w:tcPr>
            <w:tcW w:w="1067" w:type="dxa"/>
          </w:tcPr>
          <w:p>
            <w:pPr>
              <w:pStyle w:val="TableParagraph"/>
              <w:rPr>
                <w:sz w:val="22"/>
              </w:rPr>
            </w:pPr>
          </w:p>
        </w:tc>
        <w:tc>
          <w:tcPr>
            <w:tcW w:w="1067" w:type="dxa"/>
          </w:tcPr>
          <w:p>
            <w:pPr>
              <w:pStyle w:val="TableParagraph"/>
              <w:rPr>
                <w:sz w:val="22"/>
              </w:rPr>
            </w:pPr>
          </w:p>
        </w:tc>
        <w:tc>
          <w:tcPr>
            <w:tcW w:w="992" w:type="dxa"/>
          </w:tcPr>
          <w:p>
            <w:pPr>
              <w:pStyle w:val="TableParagraph"/>
              <w:rPr>
                <w:sz w:val="22"/>
              </w:rPr>
            </w:pPr>
          </w:p>
        </w:tc>
        <w:tc>
          <w:tcPr>
            <w:tcW w:w="1482" w:type="dxa"/>
            <w:tcBorders>
              <w:right w:val="single" w:sz="4" w:space="0" w:color="000000"/>
            </w:tcBorders>
          </w:tcPr>
          <w:p>
            <w:pPr>
              <w:pStyle w:val="TableParagraph"/>
              <w:spacing w:before="2"/>
              <w:rPr>
                <w:sz w:val="18"/>
              </w:rPr>
            </w:pPr>
          </w:p>
          <w:p>
            <w:pPr>
              <w:pStyle w:val="TableParagraph"/>
              <w:spacing w:before="1"/>
              <w:ind w:left="295"/>
              <w:rPr>
                <w:rFonts w:ascii="Arial"/>
                <w:b/>
                <w:sz w:val="15"/>
              </w:rPr>
            </w:pPr>
            <w:r>
              <w:rPr>
                <w:rFonts w:ascii="Arial"/>
                <w:b/>
                <w:w w:val="105"/>
                <w:sz w:val="15"/>
              </w:rPr>
              <w:t>-3</w:t>
            </w:r>
          </w:p>
        </w:tc>
      </w:tr>
      <w:tr>
        <w:trPr>
          <w:trHeight w:val="479" w:hRule="atLeast"/>
        </w:trPr>
        <w:tc>
          <w:tcPr>
            <w:tcW w:w="1669" w:type="dxa"/>
            <w:tcBorders>
              <w:left w:val="single" w:sz="4" w:space="0" w:color="000000"/>
              <w:bottom w:val="single" w:sz="4" w:space="0" w:color="000000"/>
            </w:tcBorders>
          </w:tcPr>
          <w:p>
            <w:pPr>
              <w:pStyle w:val="TableParagraph"/>
              <w:spacing w:before="42"/>
              <w:ind w:left="964"/>
              <w:rPr>
                <w:rFonts w:ascii="Arial"/>
                <w:b/>
                <w:sz w:val="15"/>
              </w:rPr>
            </w:pPr>
            <w:r>
              <w:rPr>
                <w:rFonts w:ascii="Arial"/>
                <w:b/>
                <w:w w:val="105"/>
                <w:sz w:val="15"/>
              </w:rPr>
              <w:t>2005</w:t>
            </w:r>
          </w:p>
        </w:tc>
        <w:tc>
          <w:tcPr>
            <w:tcW w:w="1067" w:type="dxa"/>
            <w:tcBorders>
              <w:bottom w:val="single" w:sz="4" w:space="0" w:color="000000"/>
            </w:tcBorders>
          </w:tcPr>
          <w:p>
            <w:pPr>
              <w:pStyle w:val="TableParagraph"/>
              <w:spacing w:before="42"/>
              <w:ind w:left="341" w:right="333"/>
              <w:jc w:val="center"/>
              <w:rPr>
                <w:rFonts w:ascii="Arial"/>
                <w:b/>
                <w:sz w:val="15"/>
              </w:rPr>
            </w:pPr>
            <w:r>
              <w:rPr>
                <w:rFonts w:ascii="Arial"/>
                <w:b/>
                <w:w w:val="105"/>
                <w:sz w:val="15"/>
              </w:rPr>
              <w:t>2006</w:t>
            </w:r>
          </w:p>
        </w:tc>
        <w:tc>
          <w:tcPr>
            <w:tcW w:w="1067" w:type="dxa"/>
            <w:tcBorders>
              <w:bottom w:val="single" w:sz="4" w:space="0" w:color="000000"/>
            </w:tcBorders>
          </w:tcPr>
          <w:p>
            <w:pPr>
              <w:pStyle w:val="TableParagraph"/>
              <w:spacing w:before="42"/>
              <w:ind w:left="342" w:right="333"/>
              <w:jc w:val="center"/>
              <w:rPr>
                <w:rFonts w:ascii="Arial"/>
                <w:b/>
                <w:sz w:val="15"/>
              </w:rPr>
            </w:pPr>
            <w:r>
              <w:rPr>
                <w:rFonts w:ascii="Arial"/>
                <w:b/>
                <w:w w:val="105"/>
                <w:sz w:val="15"/>
              </w:rPr>
              <w:t>2007</w:t>
            </w:r>
          </w:p>
        </w:tc>
        <w:tc>
          <w:tcPr>
            <w:tcW w:w="1067" w:type="dxa"/>
            <w:tcBorders>
              <w:bottom w:val="single" w:sz="4" w:space="0" w:color="000000"/>
            </w:tcBorders>
          </w:tcPr>
          <w:p>
            <w:pPr>
              <w:pStyle w:val="TableParagraph"/>
              <w:spacing w:before="42"/>
              <w:ind w:left="342" w:right="332"/>
              <w:jc w:val="center"/>
              <w:rPr>
                <w:rFonts w:ascii="Arial"/>
                <w:b/>
                <w:sz w:val="15"/>
              </w:rPr>
            </w:pPr>
            <w:r>
              <w:rPr>
                <w:rFonts w:ascii="Arial"/>
                <w:b/>
                <w:w w:val="105"/>
                <w:sz w:val="15"/>
              </w:rPr>
              <w:t>2008</w:t>
            </w:r>
          </w:p>
        </w:tc>
        <w:tc>
          <w:tcPr>
            <w:tcW w:w="1067" w:type="dxa"/>
            <w:tcBorders>
              <w:bottom w:val="single" w:sz="4" w:space="0" w:color="000000"/>
            </w:tcBorders>
          </w:tcPr>
          <w:p>
            <w:pPr>
              <w:pStyle w:val="TableParagraph"/>
              <w:spacing w:before="42"/>
              <w:ind w:left="342" w:right="332"/>
              <w:jc w:val="center"/>
              <w:rPr>
                <w:rFonts w:ascii="Arial"/>
                <w:b/>
                <w:sz w:val="15"/>
              </w:rPr>
            </w:pPr>
            <w:r>
              <w:rPr>
                <w:rFonts w:ascii="Arial"/>
                <w:b/>
                <w:w w:val="105"/>
                <w:sz w:val="15"/>
              </w:rPr>
              <w:t>2009</w:t>
            </w:r>
          </w:p>
        </w:tc>
        <w:tc>
          <w:tcPr>
            <w:tcW w:w="992" w:type="dxa"/>
            <w:tcBorders>
              <w:bottom w:val="single" w:sz="4" w:space="0" w:color="000000"/>
            </w:tcBorders>
          </w:tcPr>
          <w:p>
            <w:pPr>
              <w:pStyle w:val="TableParagraph"/>
              <w:spacing w:before="42"/>
              <w:ind w:left="369"/>
              <w:rPr>
                <w:rFonts w:ascii="Arial"/>
                <w:b/>
                <w:sz w:val="15"/>
              </w:rPr>
            </w:pPr>
            <w:r>
              <w:rPr>
                <w:rFonts w:ascii="Arial"/>
                <w:b/>
                <w:w w:val="105"/>
                <w:sz w:val="15"/>
              </w:rPr>
              <w:t>2010</w:t>
            </w:r>
          </w:p>
        </w:tc>
        <w:tc>
          <w:tcPr>
            <w:tcW w:w="1482" w:type="dxa"/>
            <w:tcBorders>
              <w:bottom w:val="single" w:sz="4" w:space="0" w:color="000000"/>
              <w:right w:val="single" w:sz="4" w:space="0" w:color="000000"/>
            </w:tcBorders>
          </w:tcPr>
          <w:p>
            <w:pPr>
              <w:pStyle w:val="TableParagraph"/>
              <w:rPr>
                <w:sz w:val="22"/>
              </w:rPr>
            </w:pPr>
          </w:p>
        </w:tc>
      </w:tr>
      <w:tr>
        <w:trPr>
          <w:trHeight w:val="350" w:hRule="atLeast"/>
        </w:trPr>
        <w:tc>
          <w:tcPr>
            <w:tcW w:w="8411" w:type="dxa"/>
            <w:gridSpan w:val="7"/>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7"/>
              <w:rPr>
                <w:sz w:val="20"/>
              </w:rPr>
            </w:pPr>
            <w:r>
              <w:rPr>
                <w:sz w:val="20"/>
              </w:rPr>
              <w:t>Source: Office for National Statistics and NIESR estimate for 2010 Q3</w:t>
            </w:r>
          </w:p>
        </w:tc>
      </w:tr>
    </w:tbl>
    <w:p>
      <w:pPr>
        <w:pStyle w:val="BodyText"/>
        <w:spacing w:before="9"/>
        <w:rPr>
          <w:sz w:val="27"/>
        </w:rPr>
      </w:pPr>
    </w:p>
    <w:p>
      <w:pPr>
        <w:pStyle w:val="BodyText"/>
        <w:spacing w:line="360" w:lineRule="auto" w:before="90"/>
        <w:ind w:left="118" w:right="354"/>
      </w:pPr>
      <w:r>
        <w:rPr/>
        <w:t>The recovery has been somewhat uneven. As Chart 1 shows, after a couple of quarters of rather subdued growth at the end of last year and early this year, GDP picked up strongly in the second quarter – producing the largest quarterly rise in GDP for nearly a decade.</w:t>
      </w:r>
    </w:p>
    <w:p>
      <w:pPr>
        <w:spacing w:after="0" w:line="360" w:lineRule="auto"/>
        <w:sectPr>
          <w:footerReference w:type="default" r:id="rId5"/>
          <w:pgSz w:w="11910" w:h="16840"/>
          <w:pgMar w:footer="1060" w:header="0" w:top="1320" w:bottom="1260" w:left="1300" w:right="1320"/>
          <w:pgNumType w:start="2"/>
        </w:sectPr>
      </w:pPr>
    </w:p>
    <w:p>
      <w:pPr>
        <w:pStyle w:val="BodyText"/>
        <w:spacing w:line="360" w:lineRule="auto" w:before="74"/>
        <w:ind w:left="118" w:right="135" w:firstLine="60"/>
      </w:pPr>
      <w:r>
        <w:rPr/>
        <w:t>We do not yet have an official estimate of growth for the third quarter, but the National Institute of Economic and Social Research estimates that GDP rose by 0.5% in this period. That would produce an annual growth rate of 2.5% for the first year of the economic recovery</w:t>
      </w:r>
    </w:p>
    <w:p>
      <w:pPr>
        <w:pStyle w:val="BodyText"/>
        <w:spacing w:line="360" w:lineRule="auto"/>
        <w:ind w:left="118" w:right="174"/>
      </w:pPr>
      <w:r>
        <w:rPr/>
        <w:t>– in line with the historical average growth trend and somewhat stronger than the rebound we saw in the early stages of the previous two economic recoveries, in the early 1980s and early 1990s.</w:t>
      </w:r>
      <w:hyperlink w:history="true" w:anchor="_bookmark0">
        <w:r>
          <w:rPr>
            <w:vertAlign w:val="superscript"/>
          </w:rPr>
          <w:t>1</w:t>
        </w:r>
        <w:r>
          <w:rPr>
            <w:vertAlign w:val="baseline"/>
          </w:rPr>
          <w:t> </w:t>
        </w:r>
      </w:hyperlink>
      <w:r>
        <w:rPr>
          <w:vertAlign w:val="baseline"/>
        </w:rPr>
        <w:t>The fact that growth has been uneven from quarter to quarter should not be a great surprise as uneven growth is not unusual as an economy begins to recover from recession.</w:t>
      </w:r>
    </w:p>
    <w:p>
      <w:pPr>
        <w:pStyle w:val="BodyText"/>
        <w:rPr>
          <w:sz w:val="36"/>
        </w:rPr>
      </w:pPr>
    </w:p>
    <w:p>
      <w:pPr>
        <w:pStyle w:val="BodyText"/>
        <w:spacing w:line="360" w:lineRule="auto"/>
        <w:ind w:left="118" w:right="127"/>
      </w:pPr>
      <w:r>
        <w:rPr/>
        <w:pict>
          <v:group style="position:absolute;margin-left:118.093826pt;margin-top:184.191742pt;width:314pt;height:157.7pt;mso-position-horizontal-relative:page;mso-position-vertical-relative:paragraph;z-index:-254240768" coordorigin="2362,3684" coordsize="6280,3154">
            <v:shape style="position:absolute;left:0;top:12113;width:60;height:4200" coordorigin="0,12114" coordsize="60,4200" path="m8596,6830l8596,3691m8596,6830l8641,6830m8596,6516l8641,6516m8596,6202l8641,6202m8596,5888l8641,5888m8596,5574l8641,5574m8596,5260l8641,5260m8596,4947l8641,4947m8596,4633l8641,4633m8596,4319l8641,4319m8596,4005l8641,4005m8596,3691l8641,3691e" filled="false" stroked="true" strokeweight=".747818pt" strokecolor="#000000">
              <v:path arrowok="t"/>
              <v:stroke dashstyle="solid"/>
            </v:shape>
            <v:shape style="position:absolute;left:0;top:12053;width:8320;height:60" coordorigin="0,12054" coordsize="8320,60" path="m2369,4319l8596,4319m2369,4319l2369,4364m2639,4319l2639,4364m2893,4319l2893,4364m3148,4319l3148,4364m3402,4319l3402,4364m3672,4319l3672,4364m3926,4319l3926,4364m4181,4319l4181,4364m4450,4319l4450,4364m4704,4319l4704,4364m4959,4319l4959,4364m5228,4319l5228,4364m5483,4319l5483,4364m5737,4319l5737,4364m5992,4319l5992,4364m6261,4319l6261,4364m6516,4319l6516,4364m6770,4319l6770,4364m7040,4319l7040,4364m7294,4319l7294,4364m7548,4319l7548,4364m7818,4319l7818,4364m8072,4319l8072,4364m8327,4319l8327,4364m8596,4319l8596,4364e" filled="false" stroked="true" strokeweight=".747818pt" strokecolor="#000000">
              <v:path arrowok="t"/>
              <v:stroke dashstyle="solid"/>
            </v:shape>
            <v:shape style="position:absolute;left:2376;top:4311;width:6212;height:2033" coordorigin="2377,4311" coordsize="6212,2033" path="m2377,4879l2631,4835,2886,4790,3155,4730,3410,4595,3664,4521,3934,4461,4188,4371,4443,4311,4697,4356,4966,4431,5221,4595,5475,4849,5745,5089,5999,5298,6254,5462,6523,5642,6778,5761,7032,5881,7287,6030,7556,6209,7810,6344,8065,6344,8334,6150,8589,5911e" filled="false" stroked="true" strokeweight="1.494651pt" strokecolor="#333399">
              <v:path arrowok="t"/>
              <v:stroke dashstyle="solid"/>
            </v:shape>
            <v:shape style="position:absolute;left:2376;top:4311;width:6212;height:1928" coordorigin="2377,4311" coordsize="6212,1928" path="m2377,5447l2631,5223,2886,4999,3155,4715,3410,4551,3664,4476,3934,4386,4188,4356,4443,4311,4697,4356,4966,4536,5221,4790,5475,5089,5745,5373,5999,5612,6254,5746,6523,5866,6778,5985,7032,6180,7287,6239,7556,6224,7810,6209,8065,6194,8334,6105,8589,6045e" filled="false" stroked="true" strokeweight="1.49463pt" strokecolor="#993300">
              <v:path arrowok="t"/>
              <v:stroke dashstyle="solid"/>
            </v:shape>
            <v:line style="position:absolute" from="6523,4849" to="6778,4715" stroked="true" strokeweight="1.494948pt" strokecolor="#99cc00">
              <v:stroke dashstyle="dash"/>
            </v:line>
            <v:shape style="position:absolute;left:2376;top:4311;width:4147;height:733" coordorigin="2377,4311" coordsize="4147,733" path="m2377,4879l2631,4805,2886,4790,3155,4820,3410,4685,3664,4595,3934,4461,4188,4341,4443,4311,4697,4461,4966,4521,5221,4685,5475,4969,5745,4984,5999,4984,6254,5044,6523,4849e" filled="false" stroked="true" strokeweight="1.494489pt" strokecolor="#99cc00">
              <v:path arrowok="t"/>
              <v:stroke dashstyle="solid"/>
            </v:shape>
            <v:line style="position:absolute" from="3006,5761" to="3395,5761" stroked="true" strokeweight="1.494415pt" strokecolor="#333399">
              <v:stroke dashstyle="solid"/>
            </v:line>
            <v:line style="position:absolute" from="3006,5985" to="3395,5985" stroked="true" strokeweight="1.494415pt" strokecolor="#993300">
              <v:stroke dashstyle="solid"/>
            </v:line>
            <v:line style="position:absolute" from="3006,6209" to="3395,6209" stroked="true" strokeweight="1.494415pt" strokecolor="#99cc00">
              <v:stroke dashstyle="solid"/>
            </v:line>
            <w10:wrap type="none"/>
          </v:group>
        </w:pict>
      </w:r>
      <w:r>
        <w:rPr/>
        <w:t>This return to economic growth must be seen against the background of a sharper fall in output than we experienced in previous post-war recessions. But two more positive aspects of the early stages of this recovery are worth highlighting. First, employment has been more resilient than in past recessions and appears to have turned around more quickly than in the previous recoveries. The total number of people in employment in the UK has increased </w:t>
      </w:r>
      <w:r>
        <w:rPr>
          <w:spacing w:val="2"/>
        </w:rPr>
        <w:t>by </w:t>
      </w:r>
      <w:r>
        <w:rPr/>
        <w:t>over 300,000 since last winter, according to the official Labour Force</w:t>
      </w:r>
      <w:r>
        <w:rPr>
          <w:spacing w:val="-5"/>
        </w:rPr>
        <w:t> </w:t>
      </w:r>
      <w:r>
        <w:rPr/>
        <w:t>Survey.</w:t>
      </w:r>
      <w:hyperlink w:history="true" w:anchor="_bookmark1">
        <w:r>
          <w:rPr>
            <w:vertAlign w:val="superscript"/>
          </w:rPr>
          <w:t>2</w:t>
        </w:r>
      </w:hyperlink>
    </w:p>
    <w:p>
      <w:pPr>
        <w:pStyle w:val="BodyText"/>
        <w:rPr>
          <w:sz w:val="20"/>
        </w:rPr>
      </w:pPr>
    </w:p>
    <w:p>
      <w:pPr>
        <w:pStyle w:val="BodyText"/>
        <w:spacing w:before="5"/>
        <w:rPr>
          <w:sz w:val="16"/>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551" w:hRule="atLeast"/>
        </w:trPr>
        <w:tc>
          <w:tcPr>
            <w:tcW w:w="8414" w:type="dxa"/>
          </w:tcPr>
          <w:p>
            <w:pPr>
              <w:pStyle w:val="TableParagraph"/>
              <w:spacing w:line="270" w:lineRule="exact"/>
              <w:ind w:left="107"/>
              <w:rPr>
                <w:b/>
                <w:sz w:val="24"/>
              </w:rPr>
            </w:pPr>
            <w:r>
              <w:rPr>
                <w:b/>
                <w:sz w:val="24"/>
              </w:rPr>
              <w:t>Chart 2: Employment has been resilient</w:t>
            </w:r>
          </w:p>
          <w:p>
            <w:pPr>
              <w:pStyle w:val="TableParagraph"/>
              <w:spacing w:line="261" w:lineRule="exact"/>
              <w:ind w:left="107"/>
              <w:rPr>
                <w:sz w:val="24"/>
              </w:rPr>
            </w:pPr>
            <w:r>
              <w:rPr>
                <w:sz w:val="24"/>
              </w:rPr>
              <w:t>Index relative to peak</w:t>
            </w:r>
          </w:p>
        </w:tc>
      </w:tr>
      <w:tr>
        <w:trPr>
          <w:trHeight w:val="375" w:hRule="atLeast"/>
        </w:trPr>
        <w:tc>
          <w:tcPr>
            <w:tcW w:w="8414" w:type="dxa"/>
            <w:tcBorders>
              <w:bottom w:val="nil"/>
            </w:tcBorders>
          </w:tcPr>
          <w:p>
            <w:pPr>
              <w:pStyle w:val="TableParagraph"/>
              <w:spacing w:before="124"/>
              <w:ind w:right="788"/>
              <w:jc w:val="right"/>
              <w:rPr>
                <w:rFonts w:ascii="Arial"/>
                <w:b/>
                <w:sz w:val="16"/>
              </w:rPr>
            </w:pPr>
            <w:r>
              <w:rPr>
                <w:rFonts w:ascii="Arial"/>
                <w:b/>
                <w:sz w:val="16"/>
              </w:rPr>
              <w:t>102</w:t>
            </w:r>
          </w:p>
        </w:tc>
      </w:tr>
      <w:tr>
        <w:trPr>
          <w:trHeight w:val="314" w:hRule="atLeast"/>
        </w:trPr>
        <w:tc>
          <w:tcPr>
            <w:tcW w:w="8414" w:type="dxa"/>
            <w:tcBorders>
              <w:top w:val="nil"/>
              <w:bottom w:val="nil"/>
            </w:tcBorders>
          </w:tcPr>
          <w:p>
            <w:pPr>
              <w:pStyle w:val="TableParagraph"/>
              <w:spacing w:before="64"/>
              <w:ind w:right="788"/>
              <w:jc w:val="right"/>
              <w:rPr>
                <w:rFonts w:ascii="Arial"/>
                <w:b/>
                <w:sz w:val="16"/>
              </w:rPr>
            </w:pPr>
            <w:r>
              <w:rPr>
                <w:rFonts w:ascii="Arial"/>
                <w:b/>
                <w:sz w:val="16"/>
              </w:rPr>
              <w:t>101</w:t>
            </w:r>
          </w:p>
        </w:tc>
      </w:tr>
      <w:tr>
        <w:trPr>
          <w:trHeight w:val="314" w:hRule="atLeast"/>
        </w:trPr>
        <w:tc>
          <w:tcPr>
            <w:tcW w:w="8414" w:type="dxa"/>
            <w:tcBorders>
              <w:top w:val="nil"/>
              <w:bottom w:val="nil"/>
            </w:tcBorders>
          </w:tcPr>
          <w:p>
            <w:pPr>
              <w:pStyle w:val="TableParagraph"/>
              <w:spacing w:before="64"/>
              <w:ind w:right="788"/>
              <w:jc w:val="right"/>
              <w:rPr>
                <w:rFonts w:ascii="Arial"/>
                <w:b/>
                <w:sz w:val="16"/>
              </w:rPr>
            </w:pPr>
            <w:r>
              <w:rPr>
                <w:rFonts w:ascii="Arial"/>
                <w:b/>
                <w:sz w:val="16"/>
              </w:rPr>
              <w:t>100</w:t>
            </w:r>
          </w:p>
        </w:tc>
      </w:tr>
      <w:tr>
        <w:trPr>
          <w:trHeight w:val="314" w:hRule="atLeast"/>
        </w:trPr>
        <w:tc>
          <w:tcPr>
            <w:tcW w:w="8414" w:type="dxa"/>
            <w:tcBorders>
              <w:top w:val="nil"/>
              <w:bottom w:val="nil"/>
            </w:tcBorders>
          </w:tcPr>
          <w:p>
            <w:pPr>
              <w:pStyle w:val="TableParagraph"/>
              <w:spacing w:before="64"/>
              <w:ind w:right="880"/>
              <w:jc w:val="right"/>
              <w:rPr>
                <w:rFonts w:ascii="Arial"/>
                <w:b/>
                <w:sz w:val="16"/>
              </w:rPr>
            </w:pPr>
            <w:r>
              <w:rPr>
                <w:rFonts w:ascii="Arial"/>
                <w:b/>
                <w:sz w:val="16"/>
              </w:rPr>
              <w:t>99</w:t>
            </w:r>
          </w:p>
        </w:tc>
      </w:tr>
      <w:tr>
        <w:trPr>
          <w:trHeight w:val="314" w:hRule="atLeast"/>
        </w:trPr>
        <w:tc>
          <w:tcPr>
            <w:tcW w:w="8414" w:type="dxa"/>
            <w:tcBorders>
              <w:top w:val="nil"/>
              <w:bottom w:val="nil"/>
            </w:tcBorders>
          </w:tcPr>
          <w:p>
            <w:pPr>
              <w:pStyle w:val="TableParagraph"/>
              <w:spacing w:before="64"/>
              <w:ind w:right="880"/>
              <w:jc w:val="right"/>
              <w:rPr>
                <w:rFonts w:ascii="Arial"/>
                <w:b/>
                <w:sz w:val="16"/>
              </w:rPr>
            </w:pPr>
            <w:r>
              <w:rPr>
                <w:rFonts w:ascii="Arial"/>
                <w:b/>
                <w:sz w:val="16"/>
              </w:rPr>
              <w:t>98</w:t>
            </w:r>
          </w:p>
        </w:tc>
      </w:tr>
      <w:tr>
        <w:trPr>
          <w:trHeight w:val="314" w:hRule="atLeast"/>
        </w:trPr>
        <w:tc>
          <w:tcPr>
            <w:tcW w:w="8414" w:type="dxa"/>
            <w:tcBorders>
              <w:top w:val="nil"/>
              <w:bottom w:val="nil"/>
            </w:tcBorders>
          </w:tcPr>
          <w:p>
            <w:pPr>
              <w:pStyle w:val="TableParagraph"/>
              <w:spacing w:before="64"/>
              <w:ind w:right="880"/>
              <w:jc w:val="right"/>
              <w:rPr>
                <w:rFonts w:ascii="Arial"/>
                <w:b/>
                <w:sz w:val="16"/>
              </w:rPr>
            </w:pPr>
            <w:r>
              <w:rPr>
                <w:rFonts w:ascii="Arial"/>
                <w:b/>
                <w:sz w:val="16"/>
              </w:rPr>
              <w:t>97</w:t>
            </w:r>
          </w:p>
        </w:tc>
      </w:tr>
      <w:tr>
        <w:trPr>
          <w:trHeight w:val="245" w:hRule="atLeast"/>
        </w:trPr>
        <w:tc>
          <w:tcPr>
            <w:tcW w:w="8414" w:type="dxa"/>
            <w:tcBorders>
              <w:top w:val="nil"/>
              <w:bottom w:val="nil"/>
            </w:tcBorders>
          </w:tcPr>
          <w:p>
            <w:pPr>
              <w:pStyle w:val="TableParagraph"/>
              <w:spacing w:line="162" w:lineRule="exact" w:before="64"/>
              <w:ind w:right="880"/>
              <w:jc w:val="right"/>
              <w:rPr>
                <w:rFonts w:ascii="Arial"/>
                <w:b/>
                <w:sz w:val="16"/>
              </w:rPr>
            </w:pPr>
            <w:r>
              <w:rPr>
                <w:rFonts w:ascii="Arial"/>
                <w:b/>
                <w:sz w:val="16"/>
              </w:rPr>
              <w:t>96</w:t>
            </w:r>
          </w:p>
        </w:tc>
      </w:tr>
      <w:tr>
        <w:trPr>
          <w:trHeight w:val="203" w:hRule="atLeast"/>
        </w:trPr>
        <w:tc>
          <w:tcPr>
            <w:tcW w:w="8414" w:type="dxa"/>
            <w:tcBorders>
              <w:top w:val="nil"/>
              <w:bottom w:val="nil"/>
            </w:tcBorders>
          </w:tcPr>
          <w:p>
            <w:pPr>
              <w:pStyle w:val="TableParagraph"/>
              <w:spacing w:line="179" w:lineRule="exact"/>
              <w:ind w:left="2009"/>
              <w:rPr>
                <w:rFonts w:ascii="Arial"/>
                <w:b/>
                <w:sz w:val="16"/>
              </w:rPr>
            </w:pPr>
            <w:r>
              <w:rPr>
                <w:rFonts w:ascii="Arial"/>
                <w:b/>
                <w:w w:val="105"/>
                <w:sz w:val="16"/>
              </w:rPr>
              <w:t>1979 Q4 - 1987 Q3</w:t>
            </w:r>
          </w:p>
        </w:tc>
      </w:tr>
      <w:tr>
        <w:trPr>
          <w:trHeight w:val="225" w:hRule="atLeast"/>
        </w:trPr>
        <w:tc>
          <w:tcPr>
            <w:tcW w:w="8414" w:type="dxa"/>
            <w:tcBorders>
              <w:top w:val="nil"/>
              <w:bottom w:val="nil"/>
            </w:tcBorders>
          </w:tcPr>
          <w:p>
            <w:pPr>
              <w:pStyle w:val="TableParagraph"/>
              <w:tabs>
                <w:tab w:pos="5512" w:val="right" w:leader="none"/>
              </w:tabs>
              <w:spacing w:line="206" w:lineRule="exact"/>
              <w:ind w:right="880"/>
              <w:jc w:val="right"/>
              <w:rPr>
                <w:rFonts w:ascii="Arial"/>
                <w:b/>
                <w:sz w:val="16"/>
              </w:rPr>
            </w:pPr>
            <w:r>
              <w:rPr>
                <w:rFonts w:ascii="Arial"/>
                <w:b/>
                <w:w w:val="105"/>
                <w:sz w:val="16"/>
              </w:rPr>
              <w:t>1990</w:t>
            </w:r>
            <w:r>
              <w:rPr>
                <w:rFonts w:ascii="Arial"/>
                <w:b/>
                <w:spacing w:val="-20"/>
                <w:w w:val="105"/>
                <w:sz w:val="16"/>
              </w:rPr>
              <w:t> </w:t>
            </w:r>
            <w:r>
              <w:rPr>
                <w:rFonts w:ascii="Arial"/>
                <w:b/>
                <w:spacing w:val="3"/>
                <w:w w:val="105"/>
                <w:sz w:val="16"/>
              </w:rPr>
              <w:t>Q2</w:t>
            </w:r>
            <w:r>
              <w:rPr>
                <w:rFonts w:ascii="Arial"/>
                <w:b/>
                <w:spacing w:val="-19"/>
                <w:w w:val="105"/>
                <w:sz w:val="16"/>
              </w:rPr>
              <w:t> </w:t>
            </w:r>
            <w:r>
              <w:rPr>
                <w:rFonts w:ascii="Arial"/>
                <w:b/>
                <w:w w:val="105"/>
                <w:sz w:val="16"/>
              </w:rPr>
              <w:t>-</w:t>
            </w:r>
            <w:r>
              <w:rPr>
                <w:rFonts w:ascii="Arial"/>
                <w:b/>
                <w:spacing w:val="-12"/>
                <w:w w:val="105"/>
                <w:sz w:val="16"/>
              </w:rPr>
              <w:t> </w:t>
            </w:r>
            <w:r>
              <w:rPr>
                <w:rFonts w:ascii="Arial"/>
                <w:b/>
                <w:w w:val="105"/>
                <w:sz w:val="16"/>
              </w:rPr>
              <w:t>1998</w:t>
            </w:r>
            <w:r>
              <w:rPr>
                <w:rFonts w:ascii="Arial"/>
                <w:b/>
                <w:spacing w:val="-5"/>
                <w:w w:val="105"/>
                <w:sz w:val="16"/>
              </w:rPr>
              <w:t> </w:t>
            </w:r>
            <w:r>
              <w:rPr>
                <w:rFonts w:ascii="Arial"/>
                <w:b/>
                <w:spacing w:val="3"/>
                <w:w w:val="105"/>
                <w:sz w:val="16"/>
              </w:rPr>
              <w:t>Q4</w:t>
              <w:tab/>
            </w:r>
            <w:r>
              <w:rPr>
                <w:rFonts w:ascii="Arial"/>
                <w:b/>
                <w:w w:val="105"/>
                <w:position w:val="9"/>
                <w:sz w:val="16"/>
              </w:rPr>
              <w:t>95</w:t>
            </w:r>
          </w:p>
        </w:tc>
      </w:tr>
      <w:tr>
        <w:trPr>
          <w:trHeight w:val="271" w:hRule="atLeast"/>
        </w:trPr>
        <w:tc>
          <w:tcPr>
            <w:tcW w:w="8414" w:type="dxa"/>
            <w:tcBorders>
              <w:top w:val="nil"/>
              <w:bottom w:val="nil"/>
            </w:tcBorders>
          </w:tcPr>
          <w:p>
            <w:pPr>
              <w:pStyle w:val="TableParagraph"/>
              <w:tabs>
                <w:tab w:pos="5512" w:val="right" w:leader="none"/>
              </w:tabs>
              <w:spacing w:before="15"/>
              <w:ind w:right="880"/>
              <w:jc w:val="right"/>
              <w:rPr>
                <w:rFonts w:ascii="Arial"/>
                <w:b/>
                <w:sz w:val="16"/>
              </w:rPr>
            </w:pPr>
            <w:r>
              <w:rPr>
                <w:rFonts w:ascii="Arial"/>
                <w:b/>
                <w:w w:val="105"/>
                <w:sz w:val="16"/>
              </w:rPr>
              <w:t>2008</w:t>
            </w:r>
            <w:r>
              <w:rPr>
                <w:rFonts w:ascii="Arial"/>
                <w:b/>
                <w:spacing w:val="-20"/>
                <w:w w:val="105"/>
                <w:sz w:val="16"/>
              </w:rPr>
              <w:t> </w:t>
            </w:r>
            <w:r>
              <w:rPr>
                <w:rFonts w:ascii="Arial"/>
                <w:b/>
                <w:spacing w:val="3"/>
                <w:w w:val="105"/>
                <w:sz w:val="16"/>
              </w:rPr>
              <w:t>Q2</w:t>
            </w:r>
            <w:r>
              <w:rPr>
                <w:rFonts w:ascii="Arial"/>
                <w:b/>
                <w:spacing w:val="-19"/>
                <w:w w:val="105"/>
                <w:sz w:val="16"/>
              </w:rPr>
              <w:t> </w:t>
            </w:r>
            <w:r>
              <w:rPr>
                <w:rFonts w:ascii="Arial"/>
                <w:b/>
                <w:w w:val="105"/>
                <w:sz w:val="16"/>
              </w:rPr>
              <w:t>-</w:t>
            </w:r>
            <w:r>
              <w:rPr>
                <w:rFonts w:ascii="Arial"/>
                <w:b/>
                <w:spacing w:val="-12"/>
                <w:w w:val="105"/>
                <w:sz w:val="16"/>
              </w:rPr>
              <w:t> </w:t>
            </w:r>
            <w:r>
              <w:rPr>
                <w:rFonts w:ascii="Arial"/>
                <w:b/>
                <w:w w:val="105"/>
                <w:sz w:val="16"/>
              </w:rPr>
              <w:t>2010</w:t>
            </w:r>
            <w:r>
              <w:rPr>
                <w:rFonts w:ascii="Arial"/>
                <w:b/>
                <w:spacing w:val="-5"/>
                <w:w w:val="105"/>
                <w:sz w:val="16"/>
              </w:rPr>
              <w:t> </w:t>
            </w:r>
            <w:r>
              <w:rPr>
                <w:rFonts w:ascii="Arial"/>
                <w:b/>
                <w:w w:val="105"/>
                <w:sz w:val="16"/>
              </w:rPr>
              <w:t>Q3*</w:t>
              <w:tab/>
            </w:r>
            <w:r>
              <w:rPr>
                <w:rFonts w:ascii="Arial"/>
                <w:b/>
                <w:w w:val="105"/>
                <w:position w:val="1"/>
                <w:sz w:val="16"/>
              </w:rPr>
              <w:t>94</w:t>
            </w:r>
          </w:p>
        </w:tc>
      </w:tr>
      <w:tr>
        <w:trPr>
          <w:trHeight w:val="310" w:hRule="atLeast"/>
        </w:trPr>
        <w:tc>
          <w:tcPr>
            <w:tcW w:w="8414" w:type="dxa"/>
            <w:tcBorders>
              <w:top w:val="nil"/>
              <w:bottom w:val="nil"/>
            </w:tcBorders>
          </w:tcPr>
          <w:p>
            <w:pPr>
              <w:pStyle w:val="TableParagraph"/>
              <w:spacing w:before="60"/>
              <w:ind w:right="880"/>
              <w:jc w:val="right"/>
              <w:rPr>
                <w:rFonts w:ascii="Arial"/>
                <w:b/>
                <w:sz w:val="16"/>
              </w:rPr>
            </w:pPr>
            <w:r>
              <w:rPr>
                <w:rFonts w:ascii="Arial"/>
                <w:b/>
                <w:sz w:val="16"/>
              </w:rPr>
              <w:t>93</w:t>
            </w:r>
          </w:p>
        </w:tc>
      </w:tr>
      <w:tr>
        <w:trPr>
          <w:trHeight w:val="293" w:hRule="atLeast"/>
        </w:trPr>
        <w:tc>
          <w:tcPr>
            <w:tcW w:w="8414" w:type="dxa"/>
            <w:tcBorders>
              <w:top w:val="nil"/>
              <w:bottom w:val="nil"/>
            </w:tcBorders>
          </w:tcPr>
          <w:p>
            <w:pPr>
              <w:pStyle w:val="TableParagraph"/>
              <w:spacing w:before="64"/>
              <w:ind w:right="880"/>
              <w:jc w:val="right"/>
              <w:rPr>
                <w:rFonts w:ascii="Arial"/>
                <w:b/>
                <w:sz w:val="16"/>
              </w:rPr>
            </w:pPr>
            <w:r>
              <w:rPr>
                <w:rFonts w:ascii="Arial"/>
                <w:b/>
                <w:sz w:val="16"/>
              </w:rPr>
              <w:t>92</w:t>
            </w:r>
          </w:p>
        </w:tc>
      </w:tr>
      <w:tr>
        <w:trPr>
          <w:trHeight w:val="507" w:hRule="atLeast"/>
        </w:trPr>
        <w:tc>
          <w:tcPr>
            <w:tcW w:w="8414" w:type="dxa"/>
            <w:tcBorders>
              <w:top w:val="nil"/>
            </w:tcBorders>
          </w:tcPr>
          <w:p>
            <w:pPr>
              <w:pStyle w:val="TableParagraph"/>
              <w:spacing w:before="43"/>
              <w:ind w:left="870"/>
              <w:rPr>
                <w:rFonts w:ascii="Arial"/>
                <w:b/>
                <w:sz w:val="16"/>
              </w:rPr>
            </w:pPr>
            <w:r>
              <w:rPr>
                <w:rFonts w:ascii="Arial"/>
                <w:b/>
                <w:w w:val="105"/>
                <w:sz w:val="16"/>
              </w:rPr>
              <w:t>-8 -7 -6 -5 -4 -3 -2 -1 0 1 2 3 4 5 6 7 8 9 10 11 12 13 14 15 16</w:t>
            </w:r>
          </w:p>
        </w:tc>
      </w:tr>
      <w:tr>
        <w:trPr>
          <w:trHeight w:val="700" w:hRule="atLeast"/>
        </w:trPr>
        <w:tc>
          <w:tcPr>
            <w:tcW w:w="8414" w:type="dxa"/>
          </w:tcPr>
          <w:p>
            <w:pPr>
              <w:pStyle w:val="TableParagraph"/>
              <w:spacing w:line="223" w:lineRule="exact"/>
              <w:ind w:left="107"/>
              <w:rPr>
                <w:sz w:val="20"/>
              </w:rPr>
            </w:pPr>
            <w:r>
              <w:rPr>
                <w:sz w:val="20"/>
              </w:rPr>
              <w:t>Note: 100 = cyclical peak in employment. * 2010 Q3 is based on average June to August 2010 data.</w:t>
            </w:r>
          </w:p>
          <w:p>
            <w:pPr>
              <w:pStyle w:val="TableParagraph"/>
              <w:spacing w:before="120"/>
              <w:ind w:left="107"/>
              <w:rPr>
                <w:sz w:val="20"/>
              </w:rPr>
            </w:pPr>
            <w:r>
              <w:rPr>
                <w:sz w:val="20"/>
              </w:rPr>
              <w:t>Source: Office for National Statistics and Bank calculations</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r>
        <w:rPr/>
        <w:pict>
          <v:shape style="position:absolute;margin-left:70.919998pt;margin-top:15.503906pt;width:144pt;height:.1pt;mso-position-horizontal-relative:page;mso-position-vertical-relative:paragraph;z-index:-251657216;mso-wrap-distance-left:0;mso-wrap-distance-right:0" coordorigin="1418,310" coordsize="2880,0" path="m1418,310l4298,310e" filled="false" stroked="true" strokeweight=".6pt" strokecolor="#000000">
            <v:path arrowok="t"/>
            <v:stroke dashstyle="solid"/>
            <w10:wrap type="topAndBottom"/>
          </v:shape>
        </w:pict>
      </w:r>
    </w:p>
    <w:p>
      <w:pPr>
        <w:spacing w:before="50"/>
        <w:ind w:left="118" w:right="94" w:firstLine="0"/>
        <w:jc w:val="left"/>
        <w:rPr>
          <w:sz w:val="20"/>
        </w:rPr>
      </w:pPr>
      <w:bookmarkStart w:name="_bookmark0" w:id="1"/>
      <w:bookmarkEnd w:id="1"/>
      <w:r>
        <w:rPr/>
      </w:r>
      <w:r>
        <w:rPr>
          <w:position w:val="9"/>
          <w:sz w:val="13"/>
        </w:rPr>
        <w:t>1 </w:t>
      </w:r>
      <w:r>
        <w:rPr>
          <w:sz w:val="20"/>
        </w:rPr>
        <w:t>UK economic growth averaged 2.5% in the sixty years 1948 to 2008. In the year to 1982Q1, GDP in the United Kingdom grew by 2% and in the year to 1993Q2, it grew by 2.1%. However, if growth is measured from the trough of output in 1991Q3, growth in the first year of the 1990s “recovery” would be just 0.5%.</w:t>
      </w:r>
    </w:p>
    <w:p>
      <w:pPr>
        <w:spacing w:line="230" w:lineRule="exact" w:before="1"/>
        <w:ind w:left="118" w:right="94" w:hanging="1"/>
        <w:jc w:val="left"/>
        <w:rPr>
          <w:sz w:val="20"/>
        </w:rPr>
      </w:pPr>
      <w:bookmarkStart w:name="_bookmark1" w:id="2"/>
      <w:bookmarkEnd w:id="2"/>
      <w:r>
        <w:rPr/>
      </w:r>
      <w:r>
        <w:rPr>
          <w:position w:val="9"/>
          <w:sz w:val="13"/>
        </w:rPr>
        <w:t>2 </w:t>
      </w:r>
      <w:r>
        <w:rPr>
          <w:sz w:val="20"/>
        </w:rPr>
        <w:t>Between the three months Dec 2009 to Feb 2010 and the period June to August 2010, total employment increased by 315,000 according to the Labour Force Survey.</w:t>
      </w:r>
    </w:p>
    <w:p>
      <w:pPr>
        <w:spacing w:after="0" w:line="230" w:lineRule="exact"/>
        <w:jc w:val="left"/>
        <w:rPr>
          <w:sz w:val="20"/>
        </w:rPr>
        <w:sectPr>
          <w:pgSz w:w="11910" w:h="16840"/>
          <w:pgMar w:header="0" w:footer="1060" w:top="1320" w:bottom="1260" w:left="1300" w:right="1320"/>
        </w:sectPr>
      </w:pPr>
    </w:p>
    <w:p>
      <w:pPr>
        <w:pStyle w:val="BodyText"/>
        <w:spacing w:line="360" w:lineRule="auto" w:before="74"/>
        <w:ind w:left="118" w:right="94"/>
      </w:pPr>
      <w:r>
        <w:rPr/>
        <w:t>Chart 2 shows this contrast with previous economic cycles very clearly. Employment is down by not much more than 1% on its level at the peak of the cycle in 2008, compared with a decline of around 5% at the equivalent phase of the early 1980s and early 1990s cycles. This employment picture points to a rather mild recession in terms of the labour market, which contrasts with the much larger fall in GDP relative to previous UK downturns.</w:t>
      </w:r>
    </w:p>
    <w:p>
      <w:pPr>
        <w:pStyle w:val="BodyText"/>
        <w:rPr>
          <w:sz w:val="36"/>
        </w:rPr>
      </w:pPr>
    </w:p>
    <w:p>
      <w:pPr>
        <w:pStyle w:val="BodyText"/>
        <w:spacing w:line="360" w:lineRule="auto"/>
        <w:ind w:left="118" w:right="148"/>
      </w:pPr>
      <w:r>
        <w:rPr/>
        <w:pict>
          <v:group style="position:absolute;margin-left:122.114258pt;margin-top:204.304947pt;width:303.9pt;height:148.85pt;mso-position-horizontal-relative:page;mso-position-vertical-relative:paragraph;z-index:-254239744" coordorigin="2442,4086" coordsize="6078,2977">
            <v:shape style="position:absolute;left:0;top:12941;width:60;height:4200" coordorigin="0,12942" coordsize="60,4200" path="m8477,7055l8477,4093m8477,7055l8519,7055m8477,6463l8519,6463m8477,5870l8519,5870m8477,5278l8519,5278m8477,4686l8519,4686m8477,4093l8519,4093e" filled="false" stroked="true" strokeweight=".706345pt" strokecolor="#000000">
              <v:path arrowok="t"/>
              <v:stroke dashstyle="solid"/>
            </v:shape>
            <v:shape style="position:absolute;left:0;top:12881;width:8520;height:60" coordorigin="0,12882" coordsize="8520,60" path="m2449,5278l8477,5278m2449,5278l2449,5320m3044,5278l3044,5320m3624,5278l3624,5320m4204,5278l4204,5320m4784,5278l4784,5320m5364,5278l5364,5320m5958,5278l5958,5320m6538,5278l6538,5320m7119,5278l7119,5320m7699,5278l7699,5320m8279,5278l8279,5320e" filled="false" stroked="true" strokeweight=".706345pt" strokecolor="#000000">
              <v:path arrowok="t"/>
              <v:stroke dashstyle="solid"/>
            </v:shape>
            <v:shape style="position:absolute;left:2470;top:4481;width:6000;height:2426" coordorigin="2471,4481" coordsize="6000,2426" path="m2471,5158l2499,5229,2513,5229,2541,5214,2570,5158,2584,5158,2612,5144,2640,5186,2669,5299,2683,5341,2711,5412,2739,5468,2754,5525,2782,5595,2810,5722,2838,5877,2853,5948,2881,5990,2909,5976,2923,6033,2952,5990,2980,5962,3008,5849,3022,5765,3051,5722,3079,5624,3093,5497,3121,5341,3150,5370,3178,5285,3192,5243,3220,5116,3249,5116,3263,5116,3291,5186,3320,5229,3348,5229,3362,5130,3390,5088,3419,5073,3433,5031,3461,5102,3489,5144,3518,5229,3532,5158,3560,5172,3588,5130,3617,5059,3631,4961,3659,4989,3687,5003,3702,4975,3730,4862,3758,4763,3786,4693,3801,4650,3829,4622,3857,4537,3871,4495,3900,4481,3928,4650,3956,4777,3970,4932,3999,4961,4027,5045,4041,5031,4069,5059,4098,5059,4126,5116,4140,5158,4168,5229,4197,5285,4211,5243,4239,5186,4268,5059,4296,5130,4310,5200,4338,5285,4367,5299,4381,5285,4409,5243,4437,5200,4466,5172,4480,5144,4508,5102,4536,5059,4551,5073,4579,5059,4607,5045,4635,5003,4650,4946,4678,4989,4706,5017,4720,5088,4749,5116,4777,5144,4805,5186,4819,5186,4848,5144,4876,5102,4890,5116,4918,5144,4947,5186,4975,5186,4989,5200,5017,5229,5046,5257,5060,5285,5088,5285,5116,5341,5145,5356,5159,5398,5187,5327,5216,5285,5230,5229,5258,5144,5286,5045,5315,4961,5329,4918,5357,4918,5385,4932,5399,4918,5428,4904,5456,4876,5484,4918,5499,4932,5527,4975,5555,5017,5569,5130,5598,5144,5626,5144,5654,5073,5668,5031,5697,5073,5725,5144,5753,5257,5767,5327,5796,5398,5824,5440,5838,5426,5866,5426,5895,5482,5923,5624,5937,5750,5965,5821,5994,5765,6008,5680,6036,5539,6064,5440,6093,5581,6107,5609,6135,5666,6164,5482,6178,5497,6206,5440,6234,5384,6263,5356,6277,5384,6305,5454,6333,5468,6347,5497,6376,5285,6404,5229,6432,5214,6447,5384,6475,5313,6503,5200,6517,5102,6546,5031,6574,4961,6602,4918,6616,4932,6645,4890,6673,4932,6687,5017,6715,5088,6744,5102,6772,5102,6786,5088,6814,5116,6843,5130,6857,5186,6885,5299,6913,5341,6942,5370,6956,5299,6984,5200,7012,5144,7027,5186,7055,5313,7083,5412,7112,5398,7126,5356,7154,5299,7182,5214,7196,5172,7225,5144,7253,5158,7281,5158,7295,5130,7324,5059,7352,4932,7366,4890,7394,4918,7423,4989,7451,5088,7465,5130,7494,5200,7522,5158,7536,5186,7564,5214,7593,5243,7621,5271,7635,5285,7663,5285,7692,5271,7706,5243,7734,5172,7762,5158,7791,5186,7805,5341,7833,5412,7861,5511,7890,5567,7904,5624,7932,5750,7960,5976,7975,6258,8003,6583,8031,6794,8060,6907,8074,6865,8102,6794,8130,6738,8144,6695,8173,6667,8201,6597,8229,6470,8243,6216,8272,5934,8300,5624,8314,5356,8342,5088,8371,4946,8399,4848,8413,4848,8442,4763,8470,4678e" filled="false" stroked="true" strokeweight="1.411088pt" strokecolor="#002060">
              <v:path arrowok="t"/>
              <v:stroke dashstyle="solid"/>
            </v:shape>
            <w10:wrap type="none"/>
          </v:group>
        </w:pict>
      </w:r>
      <w:r>
        <w:rPr/>
        <w:t>The resilience of employment through the recession should help to sustain consumer confidence. It is also a positive indicator about medium-term economic prospects – as companies would not be retaining and taking on workers if they were not reasonably optimistic about their future business prospects. The recent growth of employment has been driven by the private sector and that should also give us encouragement that the private sector can generate job growth that will more than offset the public employment cuts that may be in prospect following the spending review. I will come back to this point later.</w:t>
      </w:r>
    </w:p>
    <w:p>
      <w:pPr>
        <w:pStyle w:val="BodyText"/>
        <w:rPr>
          <w:sz w:val="20"/>
        </w:rPr>
      </w:pPr>
    </w:p>
    <w:p>
      <w:pPr>
        <w:pStyle w:val="BodyText"/>
        <w:spacing w:before="6"/>
        <w:rPr>
          <w:sz w:val="16"/>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6"/>
        <w:gridCol w:w="583"/>
        <w:gridCol w:w="583"/>
        <w:gridCol w:w="583"/>
        <w:gridCol w:w="583"/>
        <w:gridCol w:w="583"/>
        <w:gridCol w:w="583"/>
        <w:gridCol w:w="583"/>
        <w:gridCol w:w="583"/>
        <w:gridCol w:w="583"/>
        <w:gridCol w:w="545"/>
        <w:gridCol w:w="1280"/>
      </w:tblGrid>
      <w:tr>
        <w:trPr>
          <w:trHeight w:val="551" w:hRule="atLeast"/>
        </w:trPr>
        <w:tc>
          <w:tcPr>
            <w:tcW w:w="841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7"/>
              <w:rPr>
                <w:b/>
                <w:sz w:val="24"/>
              </w:rPr>
            </w:pPr>
            <w:r>
              <w:rPr>
                <w:b/>
                <w:sz w:val="24"/>
              </w:rPr>
              <w:t>Chart 3: Manufacturing rebounding strongly</w:t>
            </w:r>
          </w:p>
          <w:p>
            <w:pPr>
              <w:pStyle w:val="TableParagraph"/>
              <w:spacing w:line="261" w:lineRule="exact"/>
              <w:ind w:left="107"/>
              <w:rPr>
                <w:sz w:val="24"/>
              </w:rPr>
            </w:pPr>
            <w:r>
              <w:rPr>
                <w:sz w:val="24"/>
              </w:rPr>
              <w:t>Annual growth rate, percent</w:t>
            </w:r>
          </w:p>
        </w:tc>
      </w:tr>
      <w:tr>
        <w:trPr>
          <w:trHeight w:val="501" w:hRule="atLeast"/>
        </w:trPr>
        <w:tc>
          <w:tcPr>
            <w:tcW w:w="1346" w:type="dxa"/>
            <w:tcBorders>
              <w:top w:val="single" w:sz="4" w:space="0" w:color="000000"/>
              <w:left w:val="single" w:sz="4" w:space="0" w:color="000000"/>
            </w:tcBorders>
          </w:tcPr>
          <w:p>
            <w:pPr>
              <w:pStyle w:val="TableParagraph"/>
              <w:rPr>
                <w:sz w:val="22"/>
              </w:rPr>
            </w:pPr>
          </w:p>
        </w:tc>
        <w:tc>
          <w:tcPr>
            <w:tcW w:w="583" w:type="dxa"/>
            <w:tcBorders>
              <w:top w:val="single" w:sz="4" w:space="0" w:color="000000"/>
            </w:tcBorders>
          </w:tcPr>
          <w:p>
            <w:pPr>
              <w:pStyle w:val="TableParagraph"/>
              <w:rPr>
                <w:sz w:val="22"/>
              </w:rPr>
            </w:pPr>
          </w:p>
        </w:tc>
        <w:tc>
          <w:tcPr>
            <w:tcW w:w="583" w:type="dxa"/>
            <w:tcBorders>
              <w:top w:val="single" w:sz="4" w:space="0" w:color="000000"/>
            </w:tcBorders>
          </w:tcPr>
          <w:p>
            <w:pPr>
              <w:pStyle w:val="TableParagraph"/>
              <w:rPr>
                <w:sz w:val="22"/>
              </w:rPr>
            </w:pPr>
          </w:p>
        </w:tc>
        <w:tc>
          <w:tcPr>
            <w:tcW w:w="583" w:type="dxa"/>
            <w:tcBorders>
              <w:top w:val="single" w:sz="4" w:space="0" w:color="000000"/>
            </w:tcBorders>
          </w:tcPr>
          <w:p>
            <w:pPr>
              <w:pStyle w:val="TableParagraph"/>
              <w:rPr>
                <w:sz w:val="22"/>
              </w:rPr>
            </w:pPr>
          </w:p>
        </w:tc>
        <w:tc>
          <w:tcPr>
            <w:tcW w:w="583" w:type="dxa"/>
            <w:tcBorders>
              <w:top w:val="single" w:sz="4" w:space="0" w:color="000000"/>
            </w:tcBorders>
          </w:tcPr>
          <w:p>
            <w:pPr>
              <w:pStyle w:val="TableParagraph"/>
              <w:rPr>
                <w:sz w:val="22"/>
              </w:rPr>
            </w:pPr>
          </w:p>
        </w:tc>
        <w:tc>
          <w:tcPr>
            <w:tcW w:w="583" w:type="dxa"/>
            <w:tcBorders>
              <w:top w:val="single" w:sz="4" w:space="0" w:color="000000"/>
            </w:tcBorders>
          </w:tcPr>
          <w:p>
            <w:pPr>
              <w:pStyle w:val="TableParagraph"/>
              <w:rPr>
                <w:sz w:val="22"/>
              </w:rPr>
            </w:pPr>
          </w:p>
        </w:tc>
        <w:tc>
          <w:tcPr>
            <w:tcW w:w="583" w:type="dxa"/>
            <w:tcBorders>
              <w:top w:val="single" w:sz="4" w:space="0" w:color="000000"/>
            </w:tcBorders>
          </w:tcPr>
          <w:p>
            <w:pPr>
              <w:pStyle w:val="TableParagraph"/>
              <w:rPr>
                <w:sz w:val="22"/>
              </w:rPr>
            </w:pPr>
          </w:p>
        </w:tc>
        <w:tc>
          <w:tcPr>
            <w:tcW w:w="583" w:type="dxa"/>
            <w:tcBorders>
              <w:top w:val="single" w:sz="4" w:space="0" w:color="000000"/>
            </w:tcBorders>
          </w:tcPr>
          <w:p>
            <w:pPr>
              <w:pStyle w:val="TableParagraph"/>
              <w:rPr>
                <w:sz w:val="22"/>
              </w:rPr>
            </w:pPr>
          </w:p>
        </w:tc>
        <w:tc>
          <w:tcPr>
            <w:tcW w:w="583" w:type="dxa"/>
            <w:tcBorders>
              <w:top w:val="single" w:sz="4" w:space="0" w:color="000000"/>
            </w:tcBorders>
          </w:tcPr>
          <w:p>
            <w:pPr>
              <w:pStyle w:val="TableParagraph"/>
              <w:rPr>
                <w:sz w:val="22"/>
              </w:rPr>
            </w:pPr>
          </w:p>
        </w:tc>
        <w:tc>
          <w:tcPr>
            <w:tcW w:w="583" w:type="dxa"/>
            <w:tcBorders>
              <w:top w:val="single" w:sz="4" w:space="0" w:color="000000"/>
            </w:tcBorders>
          </w:tcPr>
          <w:p>
            <w:pPr>
              <w:pStyle w:val="TableParagraph"/>
              <w:rPr>
                <w:sz w:val="22"/>
              </w:rPr>
            </w:pPr>
          </w:p>
        </w:tc>
        <w:tc>
          <w:tcPr>
            <w:tcW w:w="545" w:type="dxa"/>
            <w:tcBorders>
              <w:top w:val="single" w:sz="4" w:space="0" w:color="000000"/>
            </w:tcBorders>
          </w:tcPr>
          <w:p>
            <w:pPr>
              <w:pStyle w:val="TableParagraph"/>
              <w:rPr>
                <w:sz w:val="22"/>
              </w:rPr>
            </w:pPr>
          </w:p>
        </w:tc>
        <w:tc>
          <w:tcPr>
            <w:tcW w:w="1280" w:type="dxa"/>
            <w:tcBorders>
              <w:top w:val="single" w:sz="4" w:space="0" w:color="000000"/>
              <w:right w:val="single" w:sz="4" w:space="0" w:color="000000"/>
            </w:tcBorders>
          </w:tcPr>
          <w:p>
            <w:pPr>
              <w:pStyle w:val="TableParagraph"/>
              <w:spacing w:before="117"/>
              <w:ind w:left="88"/>
              <w:rPr>
                <w:rFonts w:ascii="Arial"/>
                <w:b/>
                <w:sz w:val="15"/>
              </w:rPr>
            </w:pPr>
            <w:r>
              <w:rPr>
                <w:rFonts w:ascii="Arial"/>
                <w:b/>
                <w:w w:val="105"/>
                <w:sz w:val="15"/>
              </w:rPr>
              <w:t>10</w:t>
            </w:r>
          </w:p>
        </w:tc>
      </w:tr>
      <w:tr>
        <w:trPr>
          <w:trHeight w:val="593" w:hRule="atLeast"/>
        </w:trPr>
        <w:tc>
          <w:tcPr>
            <w:tcW w:w="1346" w:type="dxa"/>
            <w:tcBorders>
              <w:left w:val="single" w:sz="4" w:space="0" w:color="000000"/>
            </w:tcBorders>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45" w:type="dxa"/>
          </w:tcPr>
          <w:p>
            <w:pPr>
              <w:pStyle w:val="TableParagraph"/>
              <w:rPr>
                <w:sz w:val="22"/>
              </w:rPr>
            </w:pPr>
          </w:p>
        </w:tc>
        <w:tc>
          <w:tcPr>
            <w:tcW w:w="1280" w:type="dxa"/>
            <w:tcBorders>
              <w:right w:val="single" w:sz="4" w:space="0" w:color="000000"/>
            </w:tcBorders>
          </w:tcPr>
          <w:p>
            <w:pPr>
              <w:pStyle w:val="TableParagraph"/>
              <w:spacing w:before="2"/>
              <w:rPr>
                <w:sz w:val="18"/>
              </w:rPr>
            </w:pPr>
          </w:p>
          <w:p>
            <w:pPr>
              <w:pStyle w:val="TableParagraph"/>
              <w:spacing w:before="1"/>
              <w:ind w:left="86"/>
              <w:rPr>
                <w:rFonts w:ascii="Arial"/>
                <w:b/>
                <w:sz w:val="15"/>
              </w:rPr>
            </w:pPr>
            <w:r>
              <w:rPr>
                <w:rFonts w:ascii="Arial"/>
                <w:b/>
                <w:w w:val="103"/>
                <w:sz w:val="15"/>
              </w:rPr>
              <w:t>5</w:t>
            </w:r>
          </w:p>
        </w:tc>
      </w:tr>
      <w:tr>
        <w:trPr>
          <w:trHeight w:val="593" w:hRule="atLeast"/>
        </w:trPr>
        <w:tc>
          <w:tcPr>
            <w:tcW w:w="1346" w:type="dxa"/>
            <w:tcBorders>
              <w:left w:val="single" w:sz="4" w:space="0" w:color="000000"/>
            </w:tcBorders>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45" w:type="dxa"/>
          </w:tcPr>
          <w:p>
            <w:pPr>
              <w:pStyle w:val="TableParagraph"/>
              <w:rPr>
                <w:sz w:val="22"/>
              </w:rPr>
            </w:pPr>
          </w:p>
        </w:tc>
        <w:tc>
          <w:tcPr>
            <w:tcW w:w="1280" w:type="dxa"/>
            <w:tcBorders>
              <w:right w:val="single" w:sz="4" w:space="0" w:color="000000"/>
            </w:tcBorders>
          </w:tcPr>
          <w:p>
            <w:pPr>
              <w:pStyle w:val="TableParagraph"/>
              <w:spacing w:before="2"/>
              <w:rPr>
                <w:sz w:val="18"/>
              </w:rPr>
            </w:pPr>
          </w:p>
          <w:p>
            <w:pPr>
              <w:pStyle w:val="TableParagraph"/>
              <w:spacing w:before="1"/>
              <w:ind w:left="86"/>
              <w:rPr>
                <w:rFonts w:ascii="Arial"/>
                <w:b/>
                <w:sz w:val="15"/>
              </w:rPr>
            </w:pPr>
            <w:r>
              <w:rPr>
                <w:rFonts w:ascii="Arial"/>
                <w:b/>
                <w:w w:val="103"/>
                <w:sz w:val="15"/>
              </w:rPr>
              <w:t>0</w:t>
            </w:r>
          </w:p>
        </w:tc>
      </w:tr>
      <w:tr>
        <w:trPr>
          <w:trHeight w:val="593" w:hRule="atLeast"/>
        </w:trPr>
        <w:tc>
          <w:tcPr>
            <w:tcW w:w="1346" w:type="dxa"/>
            <w:tcBorders>
              <w:left w:val="single" w:sz="4" w:space="0" w:color="000000"/>
            </w:tcBorders>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45" w:type="dxa"/>
          </w:tcPr>
          <w:p>
            <w:pPr>
              <w:pStyle w:val="TableParagraph"/>
              <w:rPr>
                <w:sz w:val="22"/>
              </w:rPr>
            </w:pPr>
          </w:p>
        </w:tc>
        <w:tc>
          <w:tcPr>
            <w:tcW w:w="1280" w:type="dxa"/>
            <w:tcBorders>
              <w:right w:val="single" w:sz="4" w:space="0" w:color="000000"/>
            </w:tcBorders>
          </w:tcPr>
          <w:p>
            <w:pPr>
              <w:pStyle w:val="TableParagraph"/>
              <w:spacing w:before="2"/>
              <w:rPr>
                <w:sz w:val="18"/>
              </w:rPr>
            </w:pPr>
          </w:p>
          <w:p>
            <w:pPr>
              <w:pStyle w:val="TableParagraph"/>
              <w:spacing w:before="1"/>
              <w:ind w:left="84"/>
              <w:rPr>
                <w:rFonts w:ascii="Arial"/>
                <w:b/>
                <w:sz w:val="15"/>
              </w:rPr>
            </w:pPr>
            <w:r>
              <w:rPr>
                <w:rFonts w:ascii="Arial"/>
                <w:b/>
                <w:w w:val="105"/>
                <w:sz w:val="15"/>
              </w:rPr>
              <w:t>-5</w:t>
            </w:r>
          </w:p>
        </w:tc>
      </w:tr>
      <w:tr>
        <w:trPr>
          <w:trHeight w:val="593" w:hRule="atLeast"/>
        </w:trPr>
        <w:tc>
          <w:tcPr>
            <w:tcW w:w="1346" w:type="dxa"/>
            <w:tcBorders>
              <w:left w:val="single" w:sz="4" w:space="0" w:color="000000"/>
            </w:tcBorders>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45" w:type="dxa"/>
          </w:tcPr>
          <w:p>
            <w:pPr>
              <w:pStyle w:val="TableParagraph"/>
              <w:rPr>
                <w:sz w:val="22"/>
              </w:rPr>
            </w:pPr>
          </w:p>
        </w:tc>
        <w:tc>
          <w:tcPr>
            <w:tcW w:w="1280" w:type="dxa"/>
            <w:tcBorders>
              <w:right w:val="single" w:sz="4" w:space="0" w:color="000000"/>
            </w:tcBorders>
          </w:tcPr>
          <w:p>
            <w:pPr>
              <w:pStyle w:val="TableParagraph"/>
              <w:spacing w:before="2"/>
              <w:rPr>
                <w:sz w:val="18"/>
              </w:rPr>
            </w:pPr>
          </w:p>
          <w:p>
            <w:pPr>
              <w:pStyle w:val="TableParagraph"/>
              <w:spacing w:before="1"/>
              <w:ind w:left="86"/>
              <w:rPr>
                <w:rFonts w:ascii="Arial"/>
                <w:b/>
                <w:sz w:val="15"/>
              </w:rPr>
            </w:pPr>
            <w:r>
              <w:rPr>
                <w:rFonts w:ascii="Arial"/>
                <w:b/>
                <w:w w:val="105"/>
                <w:sz w:val="15"/>
              </w:rPr>
              <w:t>-10</w:t>
            </w:r>
          </w:p>
        </w:tc>
      </w:tr>
      <w:tr>
        <w:trPr>
          <w:trHeight w:val="425" w:hRule="atLeast"/>
        </w:trPr>
        <w:tc>
          <w:tcPr>
            <w:tcW w:w="1346" w:type="dxa"/>
            <w:tcBorders>
              <w:left w:val="single" w:sz="4" w:space="0" w:color="000000"/>
            </w:tcBorders>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83" w:type="dxa"/>
          </w:tcPr>
          <w:p>
            <w:pPr>
              <w:pStyle w:val="TableParagraph"/>
              <w:rPr>
                <w:sz w:val="22"/>
              </w:rPr>
            </w:pPr>
          </w:p>
        </w:tc>
        <w:tc>
          <w:tcPr>
            <w:tcW w:w="545" w:type="dxa"/>
          </w:tcPr>
          <w:p>
            <w:pPr>
              <w:pStyle w:val="TableParagraph"/>
              <w:rPr>
                <w:sz w:val="22"/>
              </w:rPr>
            </w:pPr>
          </w:p>
        </w:tc>
        <w:tc>
          <w:tcPr>
            <w:tcW w:w="1280" w:type="dxa"/>
            <w:tcBorders>
              <w:right w:val="single" w:sz="4" w:space="0" w:color="000000"/>
            </w:tcBorders>
          </w:tcPr>
          <w:p>
            <w:pPr>
              <w:pStyle w:val="TableParagraph"/>
              <w:spacing w:before="2"/>
              <w:rPr>
                <w:sz w:val="18"/>
              </w:rPr>
            </w:pPr>
          </w:p>
          <w:p>
            <w:pPr>
              <w:pStyle w:val="TableParagraph"/>
              <w:spacing w:before="1"/>
              <w:ind w:left="86"/>
              <w:rPr>
                <w:rFonts w:ascii="Arial"/>
                <w:b/>
                <w:sz w:val="15"/>
              </w:rPr>
            </w:pPr>
            <w:r>
              <w:rPr>
                <w:rFonts w:ascii="Arial"/>
                <w:b/>
                <w:w w:val="105"/>
                <w:sz w:val="15"/>
              </w:rPr>
              <w:t>-15</w:t>
            </w:r>
          </w:p>
        </w:tc>
      </w:tr>
      <w:tr>
        <w:trPr>
          <w:trHeight w:val="479" w:hRule="atLeast"/>
        </w:trPr>
        <w:tc>
          <w:tcPr>
            <w:tcW w:w="1346" w:type="dxa"/>
            <w:tcBorders>
              <w:left w:val="single" w:sz="4" w:space="0" w:color="000000"/>
              <w:bottom w:val="single" w:sz="4" w:space="0" w:color="000000"/>
            </w:tcBorders>
          </w:tcPr>
          <w:p>
            <w:pPr>
              <w:pStyle w:val="TableParagraph"/>
              <w:spacing w:before="42"/>
              <w:ind w:left="883"/>
              <w:rPr>
                <w:rFonts w:ascii="Arial"/>
                <w:b/>
                <w:sz w:val="15"/>
              </w:rPr>
            </w:pPr>
            <w:r>
              <w:rPr>
                <w:rFonts w:ascii="Arial"/>
                <w:b/>
                <w:w w:val="105"/>
                <w:sz w:val="15"/>
              </w:rPr>
              <w:t>1990</w:t>
            </w:r>
          </w:p>
        </w:tc>
        <w:tc>
          <w:tcPr>
            <w:tcW w:w="583" w:type="dxa"/>
            <w:tcBorders>
              <w:bottom w:val="single" w:sz="4" w:space="0" w:color="000000"/>
            </w:tcBorders>
          </w:tcPr>
          <w:p>
            <w:pPr>
              <w:pStyle w:val="TableParagraph"/>
              <w:spacing w:before="42"/>
              <w:ind w:left="125"/>
              <w:rPr>
                <w:rFonts w:ascii="Arial"/>
                <w:b/>
                <w:sz w:val="15"/>
              </w:rPr>
            </w:pPr>
            <w:r>
              <w:rPr>
                <w:rFonts w:ascii="Arial"/>
                <w:b/>
                <w:w w:val="105"/>
                <w:sz w:val="15"/>
              </w:rPr>
              <w:t>1992</w:t>
            </w:r>
          </w:p>
        </w:tc>
        <w:tc>
          <w:tcPr>
            <w:tcW w:w="583" w:type="dxa"/>
            <w:tcBorders>
              <w:bottom w:val="single" w:sz="4" w:space="0" w:color="000000"/>
            </w:tcBorders>
          </w:tcPr>
          <w:p>
            <w:pPr>
              <w:pStyle w:val="TableParagraph"/>
              <w:spacing w:before="42"/>
              <w:ind w:left="124"/>
              <w:rPr>
                <w:rFonts w:ascii="Arial"/>
                <w:b/>
                <w:sz w:val="15"/>
              </w:rPr>
            </w:pPr>
            <w:r>
              <w:rPr>
                <w:rFonts w:ascii="Arial"/>
                <w:b/>
                <w:w w:val="105"/>
                <w:sz w:val="15"/>
              </w:rPr>
              <w:t>1994</w:t>
            </w:r>
          </w:p>
        </w:tc>
        <w:tc>
          <w:tcPr>
            <w:tcW w:w="583" w:type="dxa"/>
            <w:tcBorders>
              <w:bottom w:val="single" w:sz="4" w:space="0" w:color="000000"/>
            </w:tcBorders>
          </w:tcPr>
          <w:p>
            <w:pPr>
              <w:pStyle w:val="TableParagraph"/>
              <w:spacing w:before="42"/>
              <w:ind w:left="124"/>
              <w:rPr>
                <w:rFonts w:ascii="Arial"/>
                <w:b/>
                <w:sz w:val="15"/>
              </w:rPr>
            </w:pPr>
            <w:r>
              <w:rPr>
                <w:rFonts w:ascii="Arial"/>
                <w:b/>
                <w:w w:val="105"/>
                <w:sz w:val="15"/>
              </w:rPr>
              <w:t>1996</w:t>
            </w:r>
          </w:p>
        </w:tc>
        <w:tc>
          <w:tcPr>
            <w:tcW w:w="583" w:type="dxa"/>
            <w:tcBorders>
              <w:bottom w:val="single" w:sz="4" w:space="0" w:color="000000"/>
            </w:tcBorders>
          </w:tcPr>
          <w:p>
            <w:pPr>
              <w:pStyle w:val="TableParagraph"/>
              <w:spacing w:before="42"/>
              <w:ind w:left="124"/>
              <w:rPr>
                <w:rFonts w:ascii="Arial"/>
                <w:b/>
                <w:sz w:val="15"/>
              </w:rPr>
            </w:pPr>
            <w:r>
              <w:rPr>
                <w:rFonts w:ascii="Arial"/>
                <w:b/>
                <w:w w:val="105"/>
                <w:sz w:val="15"/>
              </w:rPr>
              <w:t>1998</w:t>
            </w:r>
          </w:p>
        </w:tc>
        <w:tc>
          <w:tcPr>
            <w:tcW w:w="583" w:type="dxa"/>
            <w:tcBorders>
              <w:bottom w:val="single" w:sz="4" w:space="0" w:color="000000"/>
            </w:tcBorders>
          </w:tcPr>
          <w:p>
            <w:pPr>
              <w:pStyle w:val="TableParagraph"/>
              <w:spacing w:before="42"/>
              <w:ind w:left="123"/>
              <w:rPr>
                <w:rFonts w:ascii="Arial"/>
                <w:b/>
                <w:sz w:val="15"/>
              </w:rPr>
            </w:pPr>
            <w:r>
              <w:rPr>
                <w:rFonts w:ascii="Arial"/>
                <w:b/>
                <w:w w:val="105"/>
                <w:sz w:val="15"/>
              </w:rPr>
              <w:t>2000</w:t>
            </w:r>
          </w:p>
        </w:tc>
        <w:tc>
          <w:tcPr>
            <w:tcW w:w="583" w:type="dxa"/>
            <w:tcBorders>
              <w:bottom w:val="single" w:sz="4" w:space="0" w:color="000000"/>
            </w:tcBorders>
          </w:tcPr>
          <w:p>
            <w:pPr>
              <w:pStyle w:val="TableParagraph"/>
              <w:spacing w:before="42"/>
              <w:ind w:left="123"/>
              <w:rPr>
                <w:rFonts w:ascii="Arial"/>
                <w:b/>
                <w:sz w:val="15"/>
              </w:rPr>
            </w:pPr>
            <w:r>
              <w:rPr>
                <w:rFonts w:ascii="Arial"/>
                <w:b/>
                <w:w w:val="105"/>
                <w:sz w:val="15"/>
              </w:rPr>
              <w:t>2002</w:t>
            </w:r>
          </w:p>
        </w:tc>
        <w:tc>
          <w:tcPr>
            <w:tcW w:w="583" w:type="dxa"/>
            <w:tcBorders>
              <w:bottom w:val="single" w:sz="4" w:space="0" w:color="000000"/>
            </w:tcBorders>
          </w:tcPr>
          <w:p>
            <w:pPr>
              <w:pStyle w:val="TableParagraph"/>
              <w:spacing w:before="42"/>
              <w:ind w:left="123"/>
              <w:rPr>
                <w:rFonts w:ascii="Arial"/>
                <w:b/>
                <w:sz w:val="15"/>
              </w:rPr>
            </w:pPr>
            <w:r>
              <w:rPr>
                <w:rFonts w:ascii="Arial"/>
                <w:b/>
                <w:w w:val="105"/>
                <w:sz w:val="15"/>
              </w:rPr>
              <w:t>2004</w:t>
            </w:r>
          </w:p>
        </w:tc>
        <w:tc>
          <w:tcPr>
            <w:tcW w:w="583" w:type="dxa"/>
            <w:tcBorders>
              <w:bottom w:val="single" w:sz="4" w:space="0" w:color="000000"/>
            </w:tcBorders>
          </w:tcPr>
          <w:p>
            <w:pPr>
              <w:pStyle w:val="TableParagraph"/>
              <w:spacing w:before="42"/>
              <w:ind w:left="122"/>
              <w:rPr>
                <w:rFonts w:ascii="Arial"/>
                <w:b/>
                <w:sz w:val="15"/>
              </w:rPr>
            </w:pPr>
            <w:r>
              <w:rPr>
                <w:rFonts w:ascii="Arial"/>
                <w:b/>
                <w:w w:val="105"/>
                <w:sz w:val="15"/>
              </w:rPr>
              <w:t>2006</w:t>
            </w:r>
          </w:p>
        </w:tc>
        <w:tc>
          <w:tcPr>
            <w:tcW w:w="583" w:type="dxa"/>
            <w:tcBorders>
              <w:bottom w:val="single" w:sz="4" w:space="0" w:color="000000"/>
            </w:tcBorders>
          </w:tcPr>
          <w:p>
            <w:pPr>
              <w:pStyle w:val="TableParagraph"/>
              <w:spacing w:before="42"/>
              <w:ind w:left="122"/>
              <w:rPr>
                <w:rFonts w:ascii="Arial"/>
                <w:b/>
                <w:sz w:val="15"/>
              </w:rPr>
            </w:pPr>
            <w:r>
              <w:rPr>
                <w:rFonts w:ascii="Arial"/>
                <w:b/>
                <w:w w:val="105"/>
                <w:sz w:val="15"/>
              </w:rPr>
              <w:t>2008</w:t>
            </w:r>
          </w:p>
        </w:tc>
        <w:tc>
          <w:tcPr>
            <w:tcW w:w="545" w:type="dxa"/>
            <w:tcBorders>
              <w:bottom w:val="single" w:sz="4" w:space="0" w:color="000000"/>
            </w:tcBorders>
          </w:tcPr>
          <w:p>
            <w:pPr>
              <w:pStyle w:val="TableParagraph"/>
              <w:spacing w:before="42"/>
              <w:ind w:left="122"/>
              <w:rPr>
                <w:rFonts w:ascii="Arial"/>
                <w:b/>
                <w:sz w:val="15"/>
              </w:rPr>
            </w:pPr>
            <w:r>
              <w:rPr>
                <w:rFonts w:ascii="Arial"/>
                <w:b/>
                <w:w w:val="105"/>
                <w:sz w:val="15"/>
              </w:rPr>
              <w:t>2010</w:t>
            </w:r>
          </w:p>
        </w:tc>
        <w:tc>
          <w:tcPr>
            <w:tcW w:w="1280" w:type="dxa"/>
            <w:tcBorders>
              <w:bottom w:val="single" w:sz="4" w:space="0" w:color="000000"/>
              <w:right w:val="single" w:sz="4" w:space="0" w:color="000000"/>
            </w:tcBorders>
          </w:tcPr>
          <w:p>
            <w:pPr>
              <w:pStyle w:val="TableParagraph"/>
              <w:rPr>
                <w:sz w:val="22"/>
              </w:rPr>
            </w:pPr>
          </w:p>
        </w:tc>
      </w:tr>
      <w:tr>
        <w:trPr>
          <w:trHeight w:val="350" w:hRule="atLeast"/>
        </w:trPr>
        <w:tc>
          <w:tcPr>
            <w:tcW w:w="841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7"/>
              <w:rPr>
                <w:sz w:val="20"/>
              </w:rPr>
            </w:pPr>
            <w:r>
              <w:rPr>
                <w:sz w:val="20"/>
              </w:rPr>
              <w:t>Source: Office for National Statistics</w:t>
            </w:r>
          </w:p>
        </w:tc>
      </w:tr>
    </w:tbl>
    <w:p>
      <w:pPr>
        <w:pStyle w:val="BodyText"/>
        <w:spacing w:before="9"/>
        <w:rPr>
          <w:sz w:val="27"/>
        </w:rPr>
      </w:pPr>
    </w:p>
    <w:p>
      <w:pPr>
        <w:pStyle w:val="BodyText"/>
        <w:spacing w:line="360" w:lineRule="auto" w:before="90"/>
        <w:ind w:left="118" w:right="155"/>
      </w:pPr>
      <w:r>
        <w:rPr/>
        <w:t>A second positive feature of the early stages of this recovery is that we have seen some evidence of rebalancing in the UK economy. Manufacturing output is growing much more strongly than the services sector, reversing the pattern of services-led growth that prevailed in the decade before the financial crisis. Over the last year, we have seen the strongest rate of growth of manufacturing output that the UK has experienced in over 15 years – as Chart 3</w:t>
      </w:r>
    </w:p>
    <w:p>
      <w:pPr>
        <w:spacing w:after="0" w:line="360" w:lineRule="auto"/>
        <w:sectPr>
          <w:pgSz w:w="11910" w:h="16840"/>
          <w:pgMar w:header="0" w:footer="1060" w:top="1320" w:bottom="1260" w:left="1300" w:right="1320"/>
        </w:sectPr>
      </w:pPr>
    </w:p>
    <w:p>
      <w:pPr>
        <w:pStyle w:val="BodyText"/>
        <w:spacing w:line="360" w:lineRule="auto" w:before="74"/>
        <w:ind w:left="118" w:right="94"/>
      </w:pPr>
      <w:r>
        <w:rPr/>
        <w:t>shows. According to the latest data, manufacturing production is 5% up on a year ago compared with growth of just 1.5% in the services sector over the same period.</w:t>
      </w:r>
      <w:hyperlink w:history="true" w:anchor="_bookmark2">
        <w:r>
          <w:rPr>
            <w:vertAlign w:val="superscript"/>
          </w:rPr>
          <w:t>3</w:t>
        </w:r>
      </w:hyperlink>
    </w:p>
    <w:p>
      <w:pPr>
        <w:pStyle w:val="BodyText"/>
        <w:spacing w:before="10"/>
        <w:rPr>
          <w:sz w:val="35"/>
        </w:rPr>
      </w:pPr>
    </w:p>
    <w:p>
      <w:pPr>
        <w:pStyle w:val="BodyText"/>
        <w:spacing w:line="360" w:lineRule="auto"/>
        <w:ind w:left="118" w:right="208"/>
      </w:pPr>
      <w:r>
        <w:rPr/>
        <w:t>While some of this rebound in the manufacturing sector may reflect temporary factors – such as the turnaround in the global stock cycle – it also shows that British industry is able to take advantage of the recovery in the global economy with the additional support of a competitive exchange rate. The ability of British manufacturing industry to provide strong impetus to private sector growth will be an important offset to the drag to domestic demand from the rebalancing of public finances over the next few years. There is also evidence that strong growth in the global economy is benefiting parts of the services sector. Earlier this week, the airport operator BAA reported a 7.6% annual rise in traffic volumes at Heathrow Airport in September – driven by strong business travel growth to Asia and other emerging markets.</w:t>
      </w:r>
    </w:p>
    <w:p>
      <w:pPr>
        <w:pStyle w:val="BodyText"/>
        <w:spacing w:before="1"/>
        <w:rPr>
          <w:sz w:val="36"/>
        </w:rPr>
      </w:pPr>
    </w:p>
    <w:p>
      <w:pPr>
        <w:pStyle w:val="BodyText"/>
        <w:spacing w:line="360" w:lineRule="auto"/>
        <w:ind w:left="118" w:right="94"/>
      </w:pPr>
      <w:r>
        <w:rPr/>
        <w:t>From the position a year ago – when demand had fallen sharply at home and abroad in the wake of the financial crisis – this turnaround is impressive. So my verdict on the recovery would be “so far, so good”. But we have to recognise that we are still at an early phase of the upswing. It is not surprising, therefore, that growth is uneven across sectors and from quarter to quarter, and that confidence is still somewhat fragile.</w:t>
      </w:r>
    </w:p>
    <w:p>
      <w:pPr>
        <w:pStyle w:val="BodyText"/>
        <w:rPr>
          <w:sz w:val="36"/>
        </w:rPr>
      </w:pPr>
    </w:p>
    <w:p>
      <w:pPr>
        <w:pStyle w:val="BodyText"/>
        <w:spacing w:line="360" w:lineRule="auto"/>
        <w:ind w:left="118" w:right="94"/>
      </w:pPr>
      <w:r>
        <w:rPr/>
        <w:t>The state of confidence is not helped by the negative tone of much of the economic commentary at present – which seems to reflect a high degree of nervousness about the progress of the recovery. But this raises the obvious question: if things are so good, why do they feel so bad – to some people at least?</w:t>
      </w:r>
    </w:p>
    <w:p>
      <w:pPr>
        <w:pStyle w:val="BodyText"/>
        <w:spacing w:before="10"/>
        <w:rPr>
          <w:sz w:val="35"/>
        </w:rPr>
      </w:pPr>
    </w:p>
    <w:p>
      <w:pPr>
        <w:pStyle w:val="BodyText"/>
        <w:spacing w:line="360" w:lineRule="auto"/>
        <w:ind w:left="118" w:right="241"/>
      </w:pPr>
      <w:r>
        <w:rPr/>
        <w:t>There are three elements which appear to be underpinning these concerns about the sustainability of growth in the current economic climate: the prospects for the global economy; the prospective impact of the government’s fiscal tightening; and the legacy of the financial crisis. I will discuss these three issues in turn before coming back to the crucial issue of how the Bank of England’s monetary policy can best support the recovery.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r>
        <w:rPr/>
        <w:pict>
          <v:shape style="position:absolute;margin-left:70.919998pt;margin-top:13.875762pt;width:144pt;height:.1pt;mso-position-horizontal-relative:page;mso-position-vertical-relative:paragraph;z-index:-251654144;mso-wrap-distance-left:0;mso-wrap-distance-right:0" coordorigin="1418,278" coordsize="2880,0" path="m1418,278l4298,278e" filled="false" stroked="true" strokeweight=".6pt" strokecolor="#000000">
            <v:path arrowok="t"/>
            <v:stroke dashstyle="solid"/>
            <w10:wrap type="topAndBottom"/>
          </v:shape>
        </w:pict>
      </w:r>
    </w:p>
    <w:p>
      <w:pPr>
        <w:spacing w:before="50"/>
        <w:ind w:left="118" w:right="94" w:hanging="1"/>
        <w:jc w:val="left"/>
        <w:rPr>
          <w:sz w:val="20"/>
        </w:rPr>
      </w:pPr>
      <w:bookmarkStart w:name="_bookmark2" w:id="3"/>
      <w:bookmarkEnd w:id="3"/>
      <w:r>
        <w:rPr/>
      </w:r>
      <w:r>
        <w:rPr>
          <w:position w:val="9"/>
          <w:sz w:val="13"/>
        </w:rPr>
        <w:t>3 </w:t>
      </w:r>
      <w:r>
        <w:rPr>
          <w:sz w:val="20"/>
        </w:rPr>
        <w:t>Data is latest available: for manufacturing it relates to the three months to August and for services to the three months to July.</w:t>
      </w:r>
    </w:p>
    <w:p>
      <w:pPr>
        <w:spacing w:after="0"/>
        <w:jc w:val="left"/>
        <w:rPr>
          <w:sz w:val="20"/>
        </w:rPr>
        <w:sectPr>
          <w:pgSz w:w="11910" w:h="16840"/>
          <w:pgMar w:header="0" w:footer="1060" w:top="1320" w:bottom="1260" w:left="1300" w:right="1320"/>
        </w:sectPr>
      </w:pPr>
    </w:p>
    <w:p>
      <w:pPr>
        <w:pStyle w:val="Heading1"/>
        <w:spacing w:before="79"/>
      </w:pPr>
      <w:r>
        <w:rPr/>
        <w:t>The global economic outlook</w:t>
      </w:r>
    </w:p>
    <w:p>
      <w:pPr>
        <w:pStyle w:val="BodyText"/>
        <w:rPr>
          <w:b/>
          <w:sz w:val="26"/>
        </w:rPr>
      </w:pPr>
    </w:p>
    <w:p>
      <w:pPr>
        <w:pStyle w:val="BodyText"/>
        <w:spacing w:before="6"/>
        <w:rPr>
          <w:b/>
          <w:sz w:val="21"/>
        </w:rPr>
      </w:pPr>
    </w:p>
    <w:p>
      <w:pPr>
        <w:pStyle w:val="BodyText"/>
        <w:spacing w:line="360" w:lineRule="auto" w:before="1"/>
        <w:ind w:left="118" w:right="241"/>
      </w:pPr>
      <w:r>
        <w:rPr/>
        <w:pict>
          <v:group style="position:absolute;margin-left:118.534462pt;margin-top:224.354355pt;width:311.650pt;height:150.25pt;mso-position-horizontal-relative:page;mso-position-vertical-relative:paragraph;z-index:-254237696" coordorigin="2371,4487" coordsize="6233,3005">
            <v:shape style="position:absolute;left:7676;top:5023;width:722;height:2032" coordorigin="7677,5023" coordsize="722,2032" path="m7889,5023l7677,5023,7677,7054,7889,7054,7889,5023m8398,5263l8200,5263,8200,7054,8398,7054,8398,5263e" filled="true" fillcolor="#c00000" stroked="false">
              <v:path arrowok="t"/>
              <v:fill type="solid"/>
            </v:shape>
            <v:shape style="position:absolute;left:2526;top:4783;width:4840;height:2525" coordorigin="2526,4783" coordsize="4840,2525" path="m2739,5023l2526,5023,2526,7054,2739,7054,2739,5023m3248,6081l3036,6081,3036,7054,3248,7054,3248,6081m3757,5827l3559,5827,3559,7054,3757,7054,3757,5827m4281,5517l4069,5517,4069,7054,4281,7054,4281,5517m4790,4953l4592,4953,4592,7054,4790,7054,4790,4953m5314,5122l5101,5122,5101,7054,5314,7054,5314,5122m5823,4840l5625,4840,5625,7054,5823,7054,5823,4840m6347,4783l6134,4783,6134,7054,6347,7054,6347,4783m6856,5855l6644,5855,6644,7054,6856,7054,6856,5855m7365,7054l7167,7054,7167,7308,7365,7308,7365,7054e" filled="true" fillcolor="#002060" stroked="false">
              <v:path arrowok="t"/>
              <v:fill type="solid"/>
            </v:shape>
            <v:shape style="position:absolute;left:0;top:14598;width:60;height:4240" coordorigin="0,14599" coordsize="60,4240" path="m8561,7484l8561,4494m8561,7484l8603,7484m8561,7061l8603,7061m8561,6638l8603,6638m8561,6201l8603,6201m8561,5778l8603,5778m8561,5355l8603,5355m8561,4931l8603,4931m8561,4494l8603,4494e" filled="false" stroked="true" strokeweight=".706345pt" strokecolor="#000000">
              <v:path arrowok="t"/>
              <v:stroke dashstyle="solid"/>
            </v:shape>
            <v:shape style="position:absolute;left:0;top:14538;width:8740;height:60" coordorigin="0,14539" coordsize="8740,60" path="m2378,7061l8561,7061m2378,7061l2378,7103m2887,7061l2887,7103m3397,7061l3397,7103m3920,7061l3920,7103m4429,7061l4429,7103m4953,7061l4953,7103m5462,7061l5462,7103m5986,7061l5986,7103m6495,7061l6495,7103m7005,7061l7005,7103m7528,7061l7528,7103m8037,7061l8037,7103m8561,7061l8561,7103e" filled="false" stroked="true" strokeweight=".706345pt" strokecolor="#000000">
              <v:path arrowok="t"/>
              <v:stroke dashstyle="solid"/>
            </v:shape>
            <v:line style="position:absolute" from="2611,5333" to="8313,5333" stroked="true" strokeweight="1.410461pt" strokecolor="#002060">
              <v:stroke dashstyle="dash"/>
            </v:line>
            <w10:wrap type="none"/>
          </v:group>
        </w:pict>
      </w:r>
      <w:r>
        <w:rPr/>
        <w:t>A serious setback for the global economy would have major repercussions for the growth of the UK economy. Our economy has a very international focus, and exports, international business activity and the financial sector all play a part in creating strong linkages from the UK to other major economies elsewhere in the world. The sharp drop in business and financial sentiment across international markets in late 2008 and early 2009 – and the ensuing downturn in the global economy – played a major part in tipping the UK into recession two years ago. Similarly, the rebound in the global economy has helped to support our recovery over the last year or so.</w:t>
      </w:r>
    </w:p>
    <w:p>
      <w:pPr>
        <w:pStyle w:val="BodyText"/>
        <w:rPr>
          <w:sz w:val="20"/>
        </w:rPr>
      </w:pPr>
    </w:p>
    <w:p>
      <w:pPr>
        <w:pStyle w:val="BodyText"/>
        <w:spacing w:before="4"/>
        <w:rPr>
          <w:sz w:val="16"/>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1"/>
        <w:gridCol w:w="1244"/>
      </w:tblGrid>
      <w:tr>
        <w:trPr>
          <w:trHeight w:val="551" w:hRule="atLeast"/>
        </w:trPr>
        <w:tc>
          <w:tcPr>
            <w:tcW w:w="8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7"/>
              <w:rPr>
                <w:b/>
                <w:sz w:val="24"/>
              </w:rPr>
            </w:pPr>
            <w:r>
              <w:rPr>
                <w:b/>
                <w:sz w:val="24"/>
              </w:rPr>
              <w:t>Chart 4: World economic growth since 2000</w:t>
            </w:r>
          </w:p>
          <w:p>
            <w:pPr>
              <w:pStyle w:val="TableParagraph"/>
              <w:spacing w:line="261" w:lineRule="exact"/>
              <w:ind w:left="107"/>
              <w:rPr>
                <w:sz w:val="24"/>
              </w:rPr>
            </w:pPr>
            <w:r>
              <w:rPr>
                <w:sz w:val="24"/>
              </w:rPr>
              <w:t>Annual GDP growth, percent</w:t>
            </w:r>
          </w:p>
        </w:tc>
      </w:tr>
      <w:tr>
        <w:trPr>
          <w:trHeight w:val="304" w:hRule="atLeast"/>
        </w:trPr>
        <w:tc>
          <w:tcPr>
            <w:tcW w:w="7171" w:type="dxa"/>
            <w:tcBorders>
              <w:top w:val="single" w:sz="4" w:space="0" w:color="000000"/>
              <w:left w:val="single" w:sz="4" w:space="0" w:color="000000"/>
            </w:tcBorders>
          </w:tcPr>
          <w:p>
            <w:pPr>
              <w:pStyle w:val="TableParagraph"/>
              <w:rPr>
                <w:sz w:val="22"/>
              </w:rPr>
            </w:pPr>
          </w:p>
        </w:tc>
        <w:tc>
          <w:tcPr>
            <w:tcW w:w="1244" w:type="dxa"/>
            <w:tcBorders>
              <w:top w:val="single" w:sz="4" w:space="0" w:color="000000"/>
              <w:right w:val="single" w:sz="4" w:space="0" w:color="000000"/>
            </w:tcBorders>
          </w:tcPr>
          <w:p>
            <w:pPr>
              <w:pStyle w:val="TableParagraph"/>
              <w:spacing w:before="105"/>
              <w:ind w:left="129"/>
              <w:rPr>
                <w:rFonts w:ascii="Arial"/>
                <w:b/>
                <w:sz w:val="15"/>
              </w:rPr>
            </w:pPr>
            <w:r>
              <w:rPr>
                <w:rFonts w:ascii="Arial"/>
                <w:b/>
                <w:w w:val="103"/>
                <w:sz w:val="15"/>
              </w:rPr>
              <w:t>6</w:t>
            </w:r>
          </w:p>
        </w:tc>
      </w:tr>
      <w:tr>
        <w:trPr>
          <w:trHeight w:val="213" w:hRule="atLeast"/>
        </w:trPr>
        <w:tc>
          <w:tcPr>
            <w:tcW w:w="7171" w:type="dxa"/>
            <w:tcBorders>
              <w:left w:val="single" w:sz="4" w:space="0" w:color="000000"/>
            </w:tcBorders>
          </w:tcPr>
          <w:p>
            <w:pPr>
              <w:pStyle w:val="TableParagraph"/>
              <w:tabs>
                <w:tab w:pos="1730" w:val="left" w:leader="none"/>
              </w:tabs>
              <w:spacing w:line="168" w:lineRule="exact" w:before="25"/>
              <w:ind w:left="1263"/>
              <w:rPr>
                <w:rFonts w:ascii="Arial"/>
                <w:b/>
                <w:sz w:val="15"/>
              </w:rPr>
            </w:pPr>
            <w:r>
              <w:rPr>
                <w:rFonts w:ascii="Arial"/>
                <w:b/>
                <w:w w:val="103"/>
                <w:sz w:val="15"/>
                <w:u w:val="thick" w:color="002060"/>
              </w:rPr>
              <w:t> </w:t>
            </w:r>
            <w:r>
              <w:rPr>
                <w:rFonts w:ascii="Arial"/>
                <w:b/>
                <w:sz w:val="15"/>
                <w:u w:val="thick" w:color="002060"/>
              </w:rPr>
              <w:tab/>
            </w:r>
            <w:r>
              <w:rPr>
                <w:rFonts w:ascii="Arial"/>
                <w:b/>
                <w:spacing w:val="16"/>
                <w:sz w:val="15"/>
              </w:rPr>
              <w:t> </w:t>
            </w:r>
            <w:r>
              <w:rPr>
                <w:rFonts w:ascii="Arial"/>
                <w:b/>
                <w:w w:val="105"/>
                <w:sz w:val="15"/>
              </w:rPr>
              <w:t>Average</w:t>
            </w:r>
            <w:r>
              <w:rPr>
                <w:rFonts w:ascii="Arial"/>
                <w:b/>
                <w:spacing w:val="-19"/>
                <w:w w:val="105"/>
                <w:sz w:val="15"/>
              </w:rPr>
              <w:t> </w:t>
            </w:r>
            <w:r>
              <w:rPr>
                <w:rFonts w:ascii="Arial"/>
                <w:b/>
                <w:w w:val="105"/>
                <w:sz w:val="15"/>
              </w:rPr>
              <w:t>(2000-08)</w:t>
            </w:r>
          </w:p>
        </w:tc>
        <w:tc>
          <w:tcPr>
            <w:tcW w:w="1244" w:type="dxa"/>
            <w:tcBorders>
              <w:right w:val="single" w:sz="4" w:space="0" w:color="000000"/>
            </w:tcBorders>
          </w:tcPr>
          <w:p>
            <w:pPr>
              <w:pStyle w:val="TableParagraph"/>
              <w:rPr>
                <w:sz w:val="14"/>
              </w:rPr>
            </w:pPr>
          </w:p>
        </w:tc>
      </w:tr>
      <w:tr>
        <w:trPr>
          <w:trHeight w:val="314" w:hRule="atLeast"/>
        </w:trPr>
        <w:tc>
          <w:tcPr>
            <w:tcW w:w="7171" w:type="dxa"/>
            <w:tcBorders>
              <w:left w:val="single" w:sz="4" w:space="0" w:color="000000"/>
            </w:tcBorders>
          </w:tcPr>
          <w:p>
            <w:pPr>
              <w:pStyle w:val="TableParagraph"/>
              <w:rPr>
                <w:sz w:val="22"/>
              </w:rPr>
            </w:pPr>
          </w:p>
        </w:tc>
        <w:tc>
          <w:tcPr>
            <w:tcW w:w="1244" w:type="dxa"/>
            <w:tcBorders>
              <w:right w:val="single" w:sz="4" w:space="0" w:color="000000"/>
            </w:tcBorders>
          </w:tcPr>
          <w:p>
            <w:pPr>
              <w:pStyle w:val="TableParagraph"/>
              <w:spacing w:before="14"/>
              <w:ind w:left="129"/>
              <w:rPr>
                <w:rFonts w:ascii="Arial"/>
                <w:b/>
                <w:sz w:val="15"/>
              </w:rPr>
            </w:pPr>
            <w:r>
              <w:rPr>
                <w:rFonts w:ascii="Arial"/>
                <w:b/>
                <w:w w:val="103"/>
                <w:sz w:val="15"/>
              </w:rPr>
              <w:t>5</w:t>
            </w:r>
          </w:p>
        </w:tc>
      </w:tr>
      <w:tr>
        <w:trPr>
          <w:trHeight w:val="426" w:hRule="atLeast"/>
        </w:trPr>
        <w:tc>
          <w:tcPr>
            <w:tcW w:w="7171" w:type="dxa"/>
            <w:tcBorders>
              <w:left w:val="single" w:sz="4" w:space="0" w:color="000000"/>
            </w:tcBorders>
          </w:tcPr>
          <w:p>
            <w:pPr>
              <w:pStyle w:val="TableParagraph"/>
              <w:rPr>
                <w:sz w:val="22"/>
              </w:rPr>
            </w:pPr>
          </w:p>
        </w:tc>
        <w:tc>
          <w:tcPr>
            <w:tcW w:w="1244" w:type="dxa"/>
            <w:tcBorders>
              <w:right w:val="single" w:sz="4" w:space="0" w:color="000000"/>
            </w:tcBorders>
          </w:tcPr>
          <w:p>
            <w:pPr>
              <w:pStyle w:val="TableParagraph"/>
              <w:spacing w:before="126"/>
              <w:ind w:left="129"/>
              <w:rPr>
                <w:rFonts w:ascii="Arial"/>
                <w:b/>
                <w:sz w:val="15"/>
              </w:rPr>
            </w:pPr>
            <w:r>
              <w:rPr>
                <w:rFonts w:ascii="Arial"/>
                <w:b/>
                <w:w w:val="103"/>
                <w:sz w:val="15"/>
              </w:rPr>
              <w:t>4</w:t>
            </w:r>
          </w:p>
        </w:tc>
      </w:tr>
      <w:tr>
        <w:trPr>
          <w:trHeight w:val="426" w:hRule="atLeast"/>
        </w:trPr>
        <w:tc>
          <w:tcPr>
            <w:tcW w:w="7171" w:type="dxa"/>
            <w:tcBorders>
              <w:left w:val="single" w:sz="4" w:space="0" w:color="000000"/>
            </w:tcBorders>
          </w:tcPr>
          <w:p>
            <w:pPr>
              <w:pStyle w:val="TableParagraph"/>
              <w:rPr>
                <w:sz w:val="22"/>
              </w:rPr>
            </w:pPr>
          </w:p>
        </w:tc>
        <w:tc>
          <w:tcPr>
            <w:tcW w:w="1244" w:type="dxa"/>
            <w:tcBorders>
              <w:right w:val="single" w:sz="4" w:space="0" w:color="000000"/>
            </w:tcBorders>
          </w:tcPr>
          <w:p>
            <w:pPr>
              <w:pStyle w:val="TableParagraph"/>
              <w:spacing w:before="126"/>
              <w:ind w:left="129"/>
              <w:rPr>
                <w:rFonts w:ascii="Arial"/>
                <w:b/>
                <w:sz w:val="15"/>
              </w:rPr>
            </w:pPr>
            <w:r>
              <w:rPr>
                <w:rFonts w:ascii="Arial"/>
                <w:b/>
                <w:w w:val="103"/>
                <w:sz w:val="15"/>
              </w:rPr>
              <w:t>3</w:t>
            </w:r>
          </w:p>
        </w:tc>
      </w:tr>
      <w:tr>
        <w:trPr>
          <w:trHeight w:val="426" w:hRule="atLeast"/>
        </w:trPr>
        <w:tc>
          <w:tcPr>
            <w:tcW w:w="7171" w:type="dxa"/>
            <w:tcBorders>
              <w:left w:val="single" w:sz="4" w:space="0" w:color="000000"/>
            </w:tcBorders>
          </w:tcPr>
          <w:p>
            <w:pPr>
              <w:pStyle w:val="TableParagraph"/>
              <w:rPr>
                <w:sz w:val="22"/>
              </w:rPr>
            </w:pPr>
          </w:p>
        </w:tc>
        <w:tc>
          <w:tcPr>
            <w:tcW w:w="1244" w:type="dxa"/>
            <w:tcBorders>
              <w:right w:val="single" w:sz="4" w:space="0" w:color="000000"/>
            </w:tcBorders>
          </w:tcPr>
          <w:p>
            <w:pPr>
              <w:pStyle w:val="TableParagraph"/>
              <w:spacing w:before="126"/>
              <w:ind w:left="129"/>
              <w:rPr>
                <w:rFonts w:ascii="Arial"/>
                <w:b/>
                <w:sz w:val="15"/>
              </w:rPr>
            </w:pPr>
            <w:r>
              <w:rPr>
                <w:rFonts w:ascii="Arial"/>
                <w:b/>
                <w:w w:val="103"/>
                <w:sz w:val="15"/>
              </w:rPr>
              <w:t>2</w:t>
            </w:r>
          </w:p>
        </w:tc>
      </w:tr>
      <w:tr>
        <w:trPr>
          <w:trHeight w:val="426" w:hRule="atLeast"/>
        </w:trPr>
        <w:tc>
          <w:tcPr>
            <w:tcW w:w="7171" w:type="dxa"/>
            <w:tcBorders>
              <w:left w:val="single" w:sz="4" w:space="0" w:color="000000"/>
            </w:tcBorders>
          </w:tcPr>
          <w:p>
            <w:pPr>
              <w:pStyle w:val="TableParagraph"/>
              <w:rPr>
                <w:sz w:val="22"/>
              </w:rPr>
            </w:pPr>
          </w:p>
        </w:tc>
        <w:tc>
          <w:tcPr>
            <w:tcW w:w="1244" w:type="dxa"/>
            <w:tcBorders>
              <w:right w:val="single" w:sz="4" w:space="0" w:color="000000"/>
            </w:tcBorders>
          </w:tcPr>
          <w:p>
            <w:pPr>
              <w:pStyle w:val="TableParagraph"/>
              <w:spacing w:before="126"/>
              <w:ind w:left="129"/>
              <w:rPr>
                <w:rFonts w:ascii="Arial"/>
                <w:b/>
                <w:sz w:val="15"/>
              </w:rPr>
            </w:pPr>
            <w:r>
              <w:rPr>
                <w:rFonts w:ascii="Arial"/>
                <w:b/>
                <w:w w:val="103"/>
                <w:sz w:val="15"/>
              </w:rPr>
              <w:t>1</w:t>
            </w:r>
          </w:p>
        </w:tc>
      </w:tr>
      <w:tr>
        <w:trPr>
          <w:trHeight w:val="426" w:hRule="atLeast"/>
        </w:trPr>
        <w:tc>
          <w:tcPr>
            <w:tcW w:w="7171" w:type="dxa"/>
            <w:tcBorders>
              <w:left w:val="single" w:sz="4" w:space="0" w:color="000000"/>
            </w:tcBorders>
          </w:tcPr>
          <w:p>
            <w:pPr>
              <w:pStyle w:val="TableParagraph"/>
              <w:rPr>
                <w:sz w:val="22"/>
              </w:rPr>
            </w:pPr>
          </w:p>
        </w:tc>
        <w:tc>
          <w:tcPr>
            <w:tcW w:w="1244" w:type="dxa"/>
            <w:tcBorders>
              <w:right w:val="single" w:sz="4" w:space="0" w:color="000000"/>
            </w:tcBorders>
          </w:tcPr>
          <w:p>
            <w:pPr>
              <w:pStyle w:val="TableParagraph"/>
              <w:spacing w:before="126"/>
              <w:ind w:left="129"/>
              <w:rPr>
                <w:rFonts w:ascii="Arial"/>
                <w:b/>
                <w:sz w:val="15"/>
              </w:rPr>
            </w:pPr>
            <w:r>
              <w:rPr>
                <w:rFonts w:ascii="Arial"/>
                <w:b/>
                <w:w w:val="103"/>
                <w:sz w:val="15"/>
              </w:rPr>
              <w:t>0</w:t>
            </w:r>
          </w:p>
        </w:tc>
      </w:tr>
      <w:tr>
        <w:trPr>
          <w:trHeight w:val="337" w:hRule="atLeast"/>
        </w:trPr>
        <w:tc>
          <w:tcPr>
            <w:tcW w:w="7171" w:type="dxa"/>
            <w:tcBorders>
              <w:left w:val="single" w:sz="4" w:space="0" w:color="000000"/>
            </w:tcBorders>
          </w:tcPr>
          <w:p>
            <w:pPr>
              <w:pStyle w:val="TableParagraph"/>
              <w:rPr>
                <w:sz w:val="22"/>
              </w:rPr>
            </w:pPr>
          </w:p>
        </w:tc>
        <w:tc>
          <w:tcPr>
            <w:tcW w:w="1244" w:type="dxa"/>
            <w:tcBorders>
              <w:right w:val="single" w:sz="4" w:space="0" w:color="000000"/>
            </w:tcBorders>
          </w:tcPr>
          <w:p>
            <w:pPr>
              <w:pStyle w:val="TableParagraph"/>
              <w:spacing w:before="126"/>
              <w:ind w:left="126"/>
              <w:rPr>
                <w:rFonts w:ascii="Arial"/>
                <w:b/>
                <w:sz w:val="15"/>
              </w:rPr>
            </w:pPr>
            <w:r>
              <w:rPr>
                <w:rFonts w:ascii="Arial"/>
                <w:b/>
                <w:w w:val="105"/>
                <w:sz w:val="15"/>
              </w:rPr>
              <w:t>-1</w:t>
            </w:r>
          </w:p>
        </w:tc>
      </w:tr>
      <w:tr>
        <w:trPr>
          <w:trHeight w:val="475" w:hRule="atLeast"/>
        </w:trPr>
        <w:tc>
          <w:tcPr>
            <w:tcW w:w="7171" w:type="dxa"/>
            <w:tcBorders>
              <w:left w:val="single" w:sz="4" w:space="0" w:color="000000"/>
              <w:bottom w:val="single" w:sz="4" w:space="0" w:color="000000"/>
            </w:tcBorders>
          </w:tcPr>
          <w:p>
            <w:pPr>
              <w:pStyle w:val="TableParagraph"/>
              <w:spacing w:before="37"/>
              <w:ind w:left="1038"/>
              <w:rPr>
                <w:rFonts w:ascii="Arial"/>
                <w:b/>
                <w:sz w:val="15"/>
              </w:rPr>
            </w:pPr>
            <w:r>
              <w:rPr>
                <w:rFonts w:ascii="Arial"/>
                <w:b/>
                <w:w w:val="105"/>
                <w:sz w:val="15"/>
              </w:rPr>
              <w:t>2000 2001 2002 2003 2004 2005 2006 2007 2008 2009 2010 2011</w:t>
            </w:r>
          </w:p>
        </w:tc>
        <w:tc>
          <w:tcPr>
            <w:tcW w:w="1244" w:type="dxa"/>
            <w:tcBorders>
              <w:bottom w:val="single" w:sz="4" w:space="0" w:color="000000"/>
              <w:right w:val="single" w:sz="4" w:space="0" w:color="000000"/>
            </w:tcBorders>
          </w:tcPr>
          <w:p>
            <w:pPr>
              <w:pStyle w:val="TableParagraph"/>
              <w:rPr>
                <w:sz w:val="22"/>
              </w:rPr>
            </w:pPr>
          </w:p>
        </w:tc>
      </w:tr>
      <w:tr>
        <w:trPr>
          <w:trHeight w:val="700" w:hRule="atLeast"/>
        </w:trPr>
        <w:tc>
          <w:tcPr>
            <w:tcW w:w="8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7"/>
              <w:rPr>
                <w:sz w:val="20"/>
              </w:rPr>
            </w:pPr>
            <w:r>
              <w:rPr>
                <w:sz w:val="20"/>
              </w:rPr>
              <w:t>Note: 2010 and 2011 growth rate are IMF forecasts</w:t>
            </w:r>
          </w:p>
          <w:p>
            <w:pPr>
              <w:pStyle w:val="TableParagraph"/>
              <w:spacing w:before="118"/>
              <w:ind w:left="107"/>
              <w:rPr>
                <w:sz w:val="20"/>
              </w:rPr>
            </w:pPr>
            <w:r>
              <w:rPr>
                <w:sz w:val="20"/>
              </w:rPr>
              <w:t>Source: IMF World Economic Outlook, Oct 2010</w:t>
            </w:r>
          </w:p>
        </w:tc>
      </w:tr>
    </w:tbl>
    <w:p>
      <w:pPr>
        <w:pStyle w:val="BodyText"/>
        <w:rPr>
          <w:sz w:val="20"/>
        </w:rPr>
      </w:pPr>
    </w:p>
    <w:p>
      <w:pPr>
        <w:pStyle w:val="BodyText"/>
        <w:rPr>
          <w:sz w:val="20"/>
        </w:rPr>
      </w:pPr>
    </w:p>
    <w:p>
      <w:pPr>
        <w:pStyle w:val="BodyText"/>
        <w:spacing w:line="360" w:lineRule="auto" w:before="225"/>
        <w:ind w:left="118" w:right="180"/>
      </w:pPr>
      <w:r>
        <w:rPr/>
        <w:t>However, a serious downturn in global growth does not seem very likely at the moment. According to the IMF, global growth this year is now projected to be nearly 5%, compared to</w:t>
      </w:r>
    </w:p>
    <w:p>
      <w:pPr>
        <w:spacing w:after="0" w:line="360" w:lineRule="auto"/>
        <w:sectPr>
          <w:footerReference w:type="default" r:id="rId6"/>
          <w:pgSz w:w="11910" w:h="16840"/>
          <w:pgMar w:footer="1146" w:header="0" w:top="1320" w:bottom="1340" w:left="1300" w:right="1320"/>
          <w:pgNumType w:start="6"/>
        </w:sectPr>
      </w:pPr>
    </w:p>
    <w:p>
      <w:pPr>
        <w:pStyle w:val="BodyText"/>
        <w:ind w:left="118"/>
      </w:pPr>
      <w:r>
        <w:rPr/>
        <w:t>a projected growth rate of less than 2% just eighteen months ago.</w:t>
      </w:r>
      <w:hyperlink w:history="true" w:anchor="_bookmark3">
        <w:r>
          <w:rPr>
            <w:vertAlign w:val="superscript"/>
          </w:rPr>
          <w:t>4</w:t>
        </w:r>
      </w:hyperlink>
    </w:p>
    <w:p>
      <w:pPr>
        <w:pStyle w:val="BodyText"/>
        <w:ind w:left="81"/>
      </w:pPr>
      <w:r>
        <w:rPr/>
        <w:br w:type="column"/>
      </w:r>
      <w:r>
        <w:rPr/>
        <w:t>As Chart 4 shows, this is a</w:t>
      </w:r>
    </w:p>
    <w:p>
      <w:pPr>
        <w:spacing w:after="0"/>
        <w:sectPr>
          <w:type w:val="continuous"/>
          <w:pgSz w:w="11910" w:h="16840"/>
          <w:pgMar w:top="1580" w:bottom="280" w:left="1300" w:right="1320"/>
          <w:cols w:num="2" w:equalWidth="0">
            <w:col w:w="6478" w:space="40"/>
            <w:col w:w="2772"/>
          </w:cols>
        </w:sectPr>
      </w:pPr>
    </w:p>
    <w:p>
      <w:pPr>
        <w:pStyle w:val="BodyText"/>
        <w:spacing w:line="360" w:lineRule="auto" w:before="137"/>
        <w:ind w:left="118" w:right="369"/>
        <w:jc w:val="both"/>
      </w:pPr>
      <w:r>
        <w:rPr/>
        <w:t>return to the strong growth rates seen in the mid-2000s, which was regarded at the time as a period of robust growth across the world economy. Though the IMF expects growth to slip back to 4.2% in 2011, this is still above the average global growth rate in the 2000s prior to the recession.</w:t>
      </w:r>
    </w:p>
    <w:p>
      <w:pPr>
        <w:pStyle w:val="BodyText"/>
        <w:spacing w:before="1"/>
        <w:rPr>
          <w:sz w:val="18"/>
        </w:rPr>
      </w:pPr>
    </w:p>
    <w:p>
      <w:pPr>
        <w:spacing w:before="95"/>
        <w:ind w:left="118" w:right="94" w:firstLine="0"/>
        <w:jc w:val="left"/>
        <w:rPr>
          <w:sz w:val="20"/>
        </w:rPr>
      </w:pPr>
      <w:bookmarkStart w:name="_bookmark3" w:id="4"/>
      <w:bookmarkEnd w:id="4"/>
      <w:r>
        <w:rPr/>
      </w:r>
      <w:r>
        <w:rPr>
          <w:position w:val="9"/>
          <w:sz w:val="13"/>
        </w:rPr>
        <w:t>4 </w:t>
      </w:r>
      <w:r>
        <w:rPr>
          <w:sz w:val="20"/>
        </w:rPr>
        <w:t>The IMF </w:t>
      </w:r>
      <w:r>
        <w:rPr>
          <w:i/>
          <w:sz w:val="20"/>
        </w:rPr>
        <w:t>World Economic Outlook </w:t>
      </w:r>
      <w:r>
        <w:rPr>
          <w:sz w:val="20"/>
        </w:rPr>
        <w:t>forecast projected world GDP growth of 1.9% in April 2009. This forecast was uprated to 2.5% in July 2009.</w:t>
      </w:r>
    </w:p>
    <w:p>
      <w:pPr>
        <w:spacing w:after="0"/>
        <w:jc w:val="left"/>
        <w:rPr>
          <w:sz w:val="20"/>
        </w:rPr>
        <w:sectPr>
          <w:type w:val="continuous"/>
          <w:pgSz w:w="11910" w:h="16840"/>
          <w:pgMar w:top="1580" w:bottom="280" w:left="1300" w:right="1320"/>
        </w:sectPr>
      </w:pPr>
    </w:p>
    <w:p>
      <w:pPr>
        <w:pStyle w:val="BodyText"/>
        <w:spacing w:before="10"/>
        <w:rPr>
          <w:sz w:val="11"/>
        </w:rPr>
      </w:pPr>
    </w:p>
    <w:p>
      <w:pPr>
        <w:pStyle w:val="BodyText"/>
        <w:spacing w:line="360" w:lineRule="auto" w:before="90"/>
        <w:ind w:left="118" w:right="141"/>
      </w:pPr>
      <w:r>
        <w:rPr/>
        <w:pict>
          <v:group style="position:absolute;margin-left:121.083626pt;margin-top:271.558563pt;width:313.25pt;height:157.75pt;mso-position-horizontal-relative:page;mso-position-vertical-relative:paragraph;z-index:-254236672" coordorigin="2422,5431" coordsize="6265,3155">
            <v:shape style="position:absolute;left:0;top:15102;width:60;height:4200" coordorigin="0,15103" coordsize="60,4200" path="m8641,8578l8641,5439m8641,8578l8686,8578m8641,8189l8686,8189m8641,7786l8686,7786m8641,7397l8686,7397m8641,7008l8686,7008m8641,6620l8686,6620m8641,6216l8686,6216m8641,5827l8686,5827m8641,5439l8686,5439e" filled="false" stroked="true" strokeweight=".747932pt" strokecolor="#000000">
              <v:path arrowok="t"/>
              <v:stroke dashstyle="solid"/>
            </v:shape>
            <v:shape style="position:absolute;left:0;top:15022;width:8280;height:80" coordorigin="0,15023" coordsize="8280,80" path="m2444,7397l8641,7397m2444,7397l2444,7457m3672,7397l3672,7457m4914,7397l4914,7457m6156,7397l6156,7457m7399,7397l7399,7457m8641,7397l8641,7457e" filled="false" stroked="true" strokeweight=".747932pt" strokecolor="#000000">
              <v:path arrowok="t"/>
              <v:stroke dashstyle="solid"/>
            </v:shape>
            <v:shape style="position:absolute;left:2436;top:5819;width:6198;height:1735" coordorigin="2437,5820" coordsize="6198,1735" path="m2437,6448l2751,6433,3050,6328,3365,6208,3679,6298,3993,6328,4293,6343,4607,5969,4921,5969,5221,6089,5535,6134,5850,6223,6149,6448,6463,6657,6778,7240,7092,7554,7391,7195,7706,6926,8020,6388,8319,5820,8634,6119e" filled="false" stroked="true" strokeweight="1.494991pt" strokecolor="#333399">
              <v:path arrowok="t"/>
              <v:stroke dashstyle="solid"/>
            </v:shape>
            <v:shape style="position:absolute;left:2436;top:6791;width:6198;height:1421" coordorigin="2437,6791" coordsize="6198,1421" path="m2437,6791l2751,6791,3050,6866,3365,6806,3679,6806,3993,6956,4293,6911,4607,7135,4921,7046,5221,6941,5535,6941,5850,7031,6149,7150,6463,7464,6778,7943,7092,8152,7391,8212,7706,7943,8020,7360,8319,6926,8634,6821e" filled="false" stroked="true" strokeweight="1.494945pt" strokecolor="#993300">
              <v:path arrowok="t"/>
              <v:stroke dashstyle="solid"/>
            </v:shape>
            <v:shape style="position:absolute;left:2436;top:6686;width:6198;height:1720" coordorigin="2437,6687" coordsize="6198,1720" path="m2437,7016l2751,6971,3050,6941,3365,6806,3679,6762,3993,6747,4293,6687,4607,6702,4921,6821,5221,6821,5535,6911,5850,6971,6149,7105,6463,7345,6778,7808,7092,8406,7391,8391,7706,8241,8020,7823,8319,7270,8634,7031e" filled="false" stroked="true" strokeweight="1.494989pt" strokecolor="#99cc00">
              <v:path arrowok="t"/>
              <v:stroke dashstyle="solid"/>
            </v:shape>
            <v:line style="position:absolute" from="2511,5700" to="2886,5700" stroked="true" strokeweight="1.494843pt" strokecolor="#333399">
              <v:stroke dashstyle="solid"/>
            </v:line>
            <v:line style="position:absolute" from="4427,5700" to="4802,5700" stroked="true" strokeweight="1.494843pt" strokecolor="#993300">
              <v:stroke dashstyle="solid"/>
            </v:line>
            <v:line style="position:absolute" from="5251,5700" to="5625,5700" stroked="true" strokeweight="1.494843pt" strokecolor="#99cc00">
              <v:stroke dashstyle="solid"/>
            </v:line>
            <w10:wrap type="none"/>
          </v:group>
        </w:pict>
      </w:r>
      <w:r>
        <w:rPr/>
        <w:t>An important driving force behind this global recovery has been growth in Asia and other emerging markets. As Chart 5 shows, annual growth in the seven largest Asia-Pacific economies, an economic bloc on a par with the US and the European Union in economic size, has averaged around 7-8% in the first half of this year, slightly ahead of the pre-crisis rate of growth in this region. Growth in the more mature advanced economies of the US and the European Union has also picked up – though not as strongly as in Asia, reflecting the greater maturity of these economies and hence their lower potential for productivity and labour force growth. In the past year, growth in the US and the European Union has been 3% and 2% respectively. These rates of growth are broadly in line with the trend growth rates we experienced in the US and Europe before the crisis.</w:t>
      </w:r>
      <w:hyperlink w:history="true" w:anchor="_bookmark4">
        <w:r>
          <w:rPr>
            <w:vertAlign w:val="superscript"/>
          </w:rPr>
          <w:t>5</w:t>
        </w:r>
      </w:hyperlink>
    </w:p>
    <w:p>
      <w:pPr>
        <w:pStyle w:val="BodyText"/>
        <w:rPr>
          <w:sz w:val="20"/>
        </w:rPr>
      </w:pPr>
    </w:p>
    <w:p>
      <w:pPr>
        <w:pStyle w:val="BodyText"/>
        <w:spacing w:before="7" w:after="1"/>
        <w:rPr>
          <w:sz w:val="16"/>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4"/>
        <w:gridCol w:w="1726"/>
        <w:gridCol w:w="882"/>
        <w:gridCol w:w="551"/>
        <w:gridCol w:w="838"/>
        <w:gridCol w:w="1239"/>
        <w:gridCol w:w="1821"/>
      </w:tblGrid>
      <w:tr>
        <w:trPr>
          <w:trHeight w:val="551" w:hRule="atLeast"/>
        </w:trPr>
        <w:tc>
          <w:tcPr>
            <w:tcW w:w="8411" w:type="dxa"/>
            <w:gridSpan w:val="7"/>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7"/>
              <w:rPr>
                <w:b/>
                <w:sz w:val="24"/>
              </w:rPr>
            </w:pPr>
            <w:r>
              <w:rPr>
                <w:b/>
                <w:sz w:val="24"/>
              </w:rPr>
              <w:t>Chart 5: GDP growth in major economies</w:t>
            </w:r>
          </w:p>
          <w:p>
            <w:pPr>
              <w:pStyle w:val="TableParagraph"/>
              <w:spacing w:line="261" w:lineRule="exact"/>
              <w:ind w:left="107"/>
              <w:rPr>
                <w:sz w:val="24"/>
              </w:rPr>
            </w:pPr>
            <w:r>
              <w:rPr>
                <w:sz w:val="24"/>
              </w:rPr>
              <w:t>Percentage change on a year earlier</w:t>
            </w:r>
          </w:p>
        </w:tc>
      </w:tr>
      <w:tr>
        <w:trPr>
          <w:trHeight w:val="344" w:hRule="atLeast"/>
        </w:trPr>
        <w:tc>
          <w:tcPr>
            <w:tcW w:w="1354" w:type="dxa"/>
            <w:tcBorders>
              <w:top w:val="single" w:sz="4" w:space="0" w:color="000000"/>
              <w:left w:val="single" w:sz="4" w:space="0" w:color="000000"/>
            </w:tcBorders>
          </w:tcPr>
          <w:p>
            <w:pPr>
              <w:pStyle w:val="TableParagraph"/>
              <w:rPr>
                <w:sz w:val="22"/>
              </w:rPr>
            </w:pPr>
          </w:p>
        </w:tc>
        <w:tc>
          <w:tcPr>
            <w:tcW w:w="1726" w:type="dxa"/>
            <w:tcBorders>
              <w:top w:val="single" w:sz="4" w:space="0" w:color="000000"/>
            </w:tcBorders>
          </w:tcPr>
          <w:p>
            <w:pPr>
              <w:pStyle w:val="TableParagraph"/>
              <w:rPr>
                <w:sz w:val="22"/>
              </w:rPr>
            </w:pPr>
          </w:p>
        </w:tc>
        <w:tc>
          <w:tcPr>
            <w:tcW w:w="882" w:type="dxa"/>
            <w:tcBorders>
              <w:top w:val="single" w:sz="4" w:space="0" w:color="000000"/>
            </w:tcBorders>
          </w:tcPr>
          <w:p>
            <w:pPr>
              <w:pStyle w:val="TableParagraph"/>
              <w:rPr>
                <w:sz w:val="22"/>
              </w:rPr>
            </w:pPr>
          </w:p>
        </w:tc>
        <w:tc>
          <w:tcPr>
            <w:tcW w:w="551" w:type="dxa"/>
            <w:tcBorders>
              <w:top w:val="single" w:sz="4" w:space="0" w:color="000000"/>
            </w:tcBorders>
          </w:tcPr>
          <w:p>
            <w:pPr>
              <w:pStyle w:val="TableParagraph"/>
              <w:rPr>
                <w:sz w:val="22"/>
              </w:rPr>
            </w:pPr>
          </w:p>
        </w:tc>
        <w:tc>
          <w:tcPr>
            <w:tcW w:w="838" w:type="dxa"/>
            <w:tcBorders>
              <w:top w:val="single" w:sz="4" w:space="0" w:color="000000"/>
            </w:tcBorders>
          </w:tcPr>
          <w:p>
            <w:pPr>
              <w:pStyle w:val="TableParagraph"/>
              <w:rPr>
                <w:sz w:val="22"/>
              </w:rPr>
            </w:pPr>
          </w:p>
        </w:tc>
        <w:tc>
          <w:tcPr>
            <w:tcW w:w="1239" w:type="dxa"/>
            <w:tcBorders>
              <w:top w:val="single" w:sz="4" w:space="0" w:color="000000"/>
            </w:tcBorders>
          </w:tcPr>
          <w:p>
            <w:pPr>
              <w:pStyle w:val="TableParagraph"/>
              <w:rPr>
                <w:sz w:val="22"/>
              </w:rPr>
            </w:pPr>
          </w:p>
        </w:tc>
        <w:tc>
          <w:tcPr>
            <w:tcW w:w="1821" w:type="dxa"/>
            <w:tcBorders>
              <w:top w:val="single" w:sz="4" w:space="0" w:color="000000"/>
              <w:right w:val="single" w:sz="4" w:space="0" w:color="000000"/>
            </w:tcBorders>
          </w:tcPr>
          <w:p>
            <w:pPr>
              <w:pStyle w:val="TableParagraph"/>
              <w:spacing w:before="123"/>
              <w:ind w:left="782" w:right="807"/>
              <w:jc w:val="center"/>
              <w:rPr>
                <w:rFonts w:ascii="Arial"/>
                <w:b/>
                <w:sz w:val="16"/>
              </w:rPr>
            </w:pPr>
            <w:r>
              <w:rPr>
                <w:rFonts w:ascii="Arial"/>
                <w:b/>
                <w:w w:val="105"/>
                <w:sz w:val="16"/>
              </w:rPr>
              <w:t>10</w:t>
            </w:r>
          </w:p>
        </w:tc>
      </w:tr>
      <w:tr>
        <w:trPr>
          <w:trHeight w:val="196" w:hRule="atLeast"/>
        </w:trPr>
        <w:tc>
          <w:tcPr>
            <w:tcW w:w="1354" w:type="dxa"/>
            <w:tcBorders>
              <w:left w:val="single" w:sz="4" w:space="0" w:color="000000"/>
            </w:tcBorders>
          </w:tcPr>
          <w:p>
            <w:pPr>
              <w:pStyle w:val="TableParagraph"/>
              <w:rPr>
                <w:sz w:val="12"/>
              </w:rPr>
            </w:pPr>
          </w:p>
        </w:tc>
        <w:tc>
          <w:tcPr>
            <w:tcW w:w="1726" w:type="dxa"/>
          </w:tcPr>
          <w:p>
            <w:pPr>
              <w:pStyle w:val="TableParagraph"/>
              <w:spacing w:line="142" w:lineRule="exact" w:before="35"/>
              <w:ind w:left="164"/>
              <w:rPr>
                <w:rFonts w:ascii="Arial"/>
                <w:b/>
                <w:sz w:val="16"/>
              </w:rPr>
            </w:pPr>
            <w:r>
              <w:rPr>
                <w:rFonts w:ascii="Arial"/>
                <w:b/>
                <w:w w:val="105"/>
                <w:sz w:val="16"/>
              </w:rPr>
              <w:t>Asia-Pacific "G7"</w:t>
            </w:r>
          </w:p>
        </w:tc>
        <w:tc>
          <w:tcPr>
            <w:tcW w:w="882" w:type="dxa"/>
          </w:tcPr>
          <w:p>
            <w:pPr>
              <w:pStyle w:val="TableParagraph"/>
              <w:spacing w:line="142" w:lineRule="exact" w:before="35"/>
              <w:ind w:right="295"/>
              <w:jc w:val="right"/>
              <w:rPr>
                <w:rFonts w:ascii="Arial"/>
                <w:b/>
                <w:sz w:val="16"/>
              </w:rPr>
            </w:pPr>
            <w:r>
              <w:rPr>
                <w:rFonts w:ascii="Arial"/>
                <w:b/>
                <w:sz w:val="16"/>
              </w:rPr>
              <w:t>US</w:t>
            </w:r>
          </w:p>
        </w:tc>
        <w:tc>
          <w:tcPr>
            <w:tcW w:w="551" w:type="dxa"/>
          </w:tcPr>
          <w:p>
            <w:pPr>
              <w:pStyle w:val="TableParagraph"/>
              <w:spacing w:line="142" w:lineRule="exact" w:before="35"/>
              <w:ind w:left="295"/>
              <w:rPr>
                <w:rFonts w:ascii="Arial"/>
                <w:b/>
                <w:sz w:val="16"/>
              </w:rPr>
            </w:pPr>
            <w:r>
              <w:rPr>
                <w:rFonts w:ascii="Arial"/>
                <w:b/>
                <w:w w:val="105"/>
                <w:sz w:val="16"/>
              </w:rPr>
              <w:t>EU</w:t>
            </w:r>
          </w:p>
        </w:tc>
        <w:tc>
          <w:tcPr>
            <w:tcW w:w="838" w:type="dxa"/>
          </w:tcPr>
          <w:p>
            <w:pPr>
              <w:pStyle w:val="TableParagraph"/>
              <w:rPr>
                <w:sz w:val="12"/>
              </w:rPr>
            </w:pPr>
          </w:p>
        </w:tc>
        <w:tc>
          <w:tcPr>
            <w:tcW w:w="1239" w:type="dxa"/>
          </w:tcPr>
          <w:p>
            <w:pPr>
              <w:pStyle w:val="TableParagraph"/>
              <w:rPr>
                <w:sz w:val="12"/>
              </w:rPr>
            </w:pPr>
          </w:p>
        </w:tc>
        <w:tc>
          <w:tcPr>
            <w:tcW w:w="1821" w:type="dxa"/>
            <w:tcBorders>
              <w:right w:val="single" w:sz="4" w:space="0" w:color="000000"/>
            </w:tcBorders>
          </w:tcPr>
          <w:p>
            <w:pPr>
              <w:pStyle w:val="TableParagraph"/>
              <w:rPr>
                <w:sz w:val="12"/>
              </w:rPr>
            </w:pPr>
          </w:p>
        </w:tc>
      </w:tr>
      <w:tr>
        <w:trPr>
          <w:trHeight w:val="265" w:hRule="atLeast"/>
        </w:trPr>
        <w:tc>
          <w:tcPr>
            <w:tcW w:w="1354" w:type="dxa"/>
            <w:tcBorders>
              <w:left w:val="single" w:sz="4" w:space="0" w:color="000000"/>
            </w:tcBorders>
          </w:tcPr>
          <w:p>
            <w:pPr>
              <w:pStyle w:val="TableParagraph"/>
              <w:rPr>
                <w:sz w:val="18"/>
              </w:rPr>
            </w:pPr>
          </w:p>
        </w:tc>
        <w:tc>
          <w:tcPr>
            <w:tcW w:w="1726" w:type="dxa"/>
          </w:tcPr>
          <w:p>
            <w:pPr>
              <w:pStyle w:val="TableParagraph"/>
              <w:rPr>
                <w:sz w:val="18"/>
              </w:rPr>
            </w:pPr>
          </w:p>
        </w:tc>
        <w:tc>
          <w:tcPr>
            <w:tcW w:w="882" w:type="dxa"/>
          </w:tcPr>
          <w:p>
            <w:pPr>
              <w:pStyle w:val="TableParagraph"/>
              <w:rPr>
                <w:sz w:val="18"/>
              </w:rPr>
            </w:pPr>
          </w:p>
        </w:tc>
        <w:tc>
          <w:tcPr>
            <w:tcW w:w="551" w:type="dxa"/>
          </w:tcPr>
          <w:p>
            <w:pPr>
              <w:pStyle w:val="TableParagraph"/>
              <w:rPr>
                <w:sz w:val="18"/>
              </w:rPr>
            </w:pPr>
          </w:p>
        </w:tc>
        <w:tc>
          <w:tcPr>
            <w:tcW w:w="838" w:type="dxa"/>
          </w:tcPr>
          <w:p>
            <w:pPr>
              <w:pStyle w:val="TableParagraph"/>
              <w:rPr>
                <w:sz w:val="18"/>
              </w:rPr>
            </w:pPr>
          </w:p>
        </w:tc>
        <w:tc>
          <w:tcPr>
            <w:tcW w:w="1239" w:type="dxa"/>
          </w:tcPr>
          <w:p>
            <w:pPr>
              <w:pStyle w:val="TableParagraph"/>
              <w:rPr>
                <w:sz w:val="18"/>
              </w:rPr>
            </w:pPr>
          </w:p>
        </w:tc>
        <w:tc>
          <w:tcPr>
            <w:tcW w:w="1821" w:type="dxa"/>
            <w:tcBorders>
              <w:right w:val="single" w:sz="4" w:space="0" w:color="000000"/>
            </w:tcBorders>
          </w:tcPr>
          <w:p>
            <w:pPr>
              <w:pStyle w:val="TableParagraph"/>
              <w:spacing w:line="160" w:lineRule="exact"/>
              <w:ind w:right="117"/>
              <w:jc w:val="center"/>
              <w:rPr>
                <w:rFonts w:ascii="Arial"/>
                <w:b/>
                <w:sz w:val="16"/>
              </w:rPr>
            </w:pPr>
            <w:r>
              <w:rPr>
                <w:rFonts w:ascii="Arial"/>
                <w:b/>
                <w:w w:val="102"/>
                <w:sz w:val="16"/>
              </w:rPr>
              <w:t>8</w:t>
            </w:r>
          </w:p>
        </w:tc>
      </w:tr>
      <w:tr>
        <w:trPr>
          <w:trHeight w:val="393" w:hRule="atLeast"/>
        </w:trPr>
        <w:tc>
          <w:tcPr>
            <w:tcW w:w="1354" w:type="dxa"/>
            <w:tcBorders>
              <w:left w:val="single" w:sz="4" w:space="0" w:color="000000"/>
            </w:tcBorders>
          </w:tcPr>
          <w:p>
            <w:pPr>
              <w:pStyle w:val="TableParagraph"/>
              <w:rPr>
                <w:sz w:val="22"/>
              </w:rPr>
            </w:pPr>
          </w:p>
        </w:tc>
        <w:tc>
          <w:tcPr>
            <w:tcW w:w="1726" w:type="dxa"/>
          </w:tcPr>
          <w:p>
            <w:pPr>
              <w:pStyle w:val="TableParagraph"/>
              <w:rPr>
                <w:sz w:val="22"/>
              </w:rPr>
            </w:pPr>
          </w:p>
        </w:tc>
        <w:tc>
          <w:tcPr>
            <w:tcW w:w="882" w:type="dxa"/>
          </w:tcPr>
          <w:p>
            <w:pPr>
              <w:pStyle w:val="TableParagraph"/>
              <w:rPr>
                <w:sz w:val="22"/>
              </w:rPr>
            </w:pPr>
          </w:p>
        </w:tc>
        <w:tc>
          <w:tcPr>
            <w:tcW w:w="551" w:type="dxa"/>
          </w:tcPr>
          <w:p>
            <w:pPr>
              <w:pStyle w:val="TableParagraph"/>
              <w:rPr>
                <w:sz w:val="22"/>
              </w:rPr>
            </w:pPr>
          </w:p>
        </w:tc>
        <w:tc>
          <w:tcPr>
            <w:tcW w:w="838" w:type="dxa"/>
          </w:tcPr>
          <w:p>
            <w:pPr>
              <w:pStyle w:val="TableParagraph"/>
              <w:rPr>
                <w:sz w:val="22"/>
              </w:rPr>
            </w:pPr>
          </w:p>
        </w:tc>
        <w:tc>
          <w:tcPr>
            <w:tcW w:w="1239" w:type="dxa"/>
          </w:tcPr>
          <w:p>
            <w:pPr>
              <w:pStyle w:val="TableParagraph"/>
              <w:rPr>
                <w:sz w:val="22"/>
              </w:rPr>
            </w:pPr>
          </w:p>
        </w:tc>
        <w:tc>
          <w:tcPr>
            <w:tcW w:w="1821" w:type="dxa"/>
            <w:tcBorders>
              <w:right w:val="single" w:sz="4" w:space="0" w:color="000000"/>
            </w:tcBorders>
          </w:tcPr>
          <w:p>
            <w:pPr>
              <w:pStyle w:val="TableParagraph"/>
              <w:spacing w:before="103"/>
              <w:ind w:right="117"/>
              <w:jc w:val="center"/>
              <w:rPr>
                <w:rFonts w:ascii="Arial"/>
                <w:b/>
                <w:sz w:val="16"/>
              </w:rPr>
            </w:pPr>
            <w:r>
              <w:rPr>
                <w:rFonts w:ascii="Arial"/>
                <w:b/>
                <w:w w:val="102"/>
                <w:sz w:val="16"/>
              </w:rPr>
              <w:t>6</w:t>
            </w:r>
          </w:p>
        </w:tc>
      </w:tr>
      <w:tr>
        <w:trPr>
          <w:trHeight w:val="393" w:hRule="atLeast"/>
        </w:trPr>
        <w:tc>
          <w:tcPr>
            <w:tcW w:w="1354" w:type="dxa"/>
            <w:tcBorders>
              <w:left w:val="single" w:sz="4" w:space="0" w:color="000000"/>
            </w:tcBorders>
          </w:tcPr>
          <w:p>
            <w:pPr>
              <w:pStyle w:val="TableParagraph"/>
              <w:rPr>
                <w:sz w:val="22"/>
              </w:rPr>
            </w:pPr>
          </w:p>
        </w:tc>
        <w:tc>
          <w:tcPr>
            <w:tcW w:w="1726" w:type="dxa"/>
          </w:tcPr>
          <w:p>
            <w:pPr>
              <w:pStyle w:val="TableParagraph"/>
              <w:rPr>
                <w:sz w:val="22"/>
              </w:rPr>
            </w:pPr>
          </w:p>
        </w:tc>
        <w:tc>
          <w:tcPr>
            <w:tcW w:w="882" w:type="dxa"/>
          </w:tcPr>
          <w:p>
            <w:pPr>
              <w:pStyle w:val="TableParagraph"/>
              <w:rPr>
                <w:sz w:val="22"/>
              </w:rPr>
            </w:pPr>
          </w:p>
        </w:tc>
        <w:tc>
          <w:tcPr>
            <w:tcW w:w="551" w:type="dxa"/>
          </w:tcPr>
          <w:p>
            <w:pPr>
              <w:pStyle w:val="TableParagraph"/>
              <w:rPr>
                <w:sz w:val="22"/>
              </w:rPr>
            </w:pPr>
          </w:p>
        </w:tc>
        <w:tc>
          <w:tcPr>
            <w:tcW w:w="838" w:type="dxa"/>
          </w:tcPr>
          <w:p>
            <w:pPr>
              <w:pStyle w:val="TableParagraph"/>
              <w:rPr>
                <w:sz w:val="22"/>
              </w:rPr>
            </w:pPr>
          </w:p>
        </w:tc>
        <w:tc>
          <w:tcPr>
            <w:tcW w:w="1239" w:type="dxa"/>
          </w:tcPr>
          <w:p>
            <w:pPr>
              <w:pStyle w:val="TableParagraph"/>
              <w:rPr>
                <w:sz w:val="22"/>
              </w:rPr>
            </w:pPr>
          </w:p>
        </w:tc>
        <w:tc>
          <w:tcPr>
            <w:tcW w:w="1821" w:type="dxa"/>
            <w:tcBorders>
              <w:right w:val="single" w:sz="4" w:space="0" w:color="000000"/>
            </w:tcBorders>
          </w:tcPr>
          <w:p>
            <w:pPr>
              <w:pStyle w:val="TableParagraph"/>
              <w:spacing w:before="103"/>
              <w:ind w:right="117"/>
              <w:jc w:val="center"/>
              <w:rPr>
                <w:rFonts w:ascii="Arial"/>
                <w:b/>
                <w:sz w:val="16"/>
              </w:rPr>
            </w:pPr>
            <w:r>
              <w:rPr>
                <w:rFonts w:ascii="Arial"/>
                <w:b/>
                <w:w w:val="102"/>
                <w:sz w:val="16"/>
              </w:rPr>
              <w:t>4</w:t>
            </w:r>
          </w:p>
        </w:tc>
      </w:tr>
      <w:tr>
        <w:trPr>
          <w:trHeight w:val="393" w:hRule="atLeast"/>
        </w:trPr>
        <w:tc>
          <w:tcPr>
            <w:tcW w:w="1354" w:type="dxa"/>
            <w:tcBorders>
              <w:left w:val="single" w:sz="4" w:space="0" w:color="000000"/>
            </w:tcBorders>
          </w:tcPr>
          <w:p>
            <w:pPr>
              <w:pStyle w:val="TableParagraph"/>
              <w:rPr>
                <w:sz w:val="22"/>
              </w:rPr>
            </w:pPr>
          </w:p>
        </w:tc>
        <w:tc>
          <w:tcPr>
            <w:tcW w:w="1726" w:type="dxa"/>
          </w:tcPr>
          <w:p>
            <w:pPr>
              <w:pStyle w:val="TableParagraph"/>
              <w:rPr>
                <w:sz w:val="22"/>
              </w:rPr>
            </w:pPr>
          </w:p>
        </w:tc>
        <w:tc>
          <w:tcPr>
            <w:tcW w:w="882" w:type="dxa"/>
          </w:tcPr>
          <w:p>
            <w:pPr>
              <w:pStyle w:val="TableParagraph"/>
              <w:rPr>
                <w:sz w:val="22"/>
              </w:rPr>
            </w:pPr>
          </w:p>
        </w:tc>
        <w:tc>
          <w:tcPr>
            <w:tcW w:w="551" w:type="dxa"/>
          </w:tcPr>
          <w:p>
            <w:pPr>
              <w:pStyle w:val="TableParagraph"/>
              <w:rPr>
                <w:sz w:val="22"/>
              </w:rPr>
            </w:pPr>
          </w:p>
        </w:tc>
        <w:tc>
          <w:tcPr>
            <w:tcW w:w="838" w:type="dxa"/>
          </w:tcPr>
          <w:p>
            <w:pPr>
              <w:pStyle w:val="TableParagraph"/>
              <w:rPr>
                <w:sz w:val="22"/>
              </w:rPr>
            </w:pPr>
          </w:p>
        </w:tc>
        <w:tc>
          <w:tcPr>
            <w:tcW w:w="1239" w:type="dxa"/>
          </w:tcPr>
          <w:p>
            <w:pPr>
              <w:pStyle w:val="TableParagraph"/>
              <w:rPr>
                <w:sz w:val="22"/>
              </w:rPr>
            </w:pPr>
          </w:p>
        </w:tc>
        <w:tc>
          <w:tcPr>
            <w:tcW w:w="1821" w:type="dxa"/>
            <w:tcBorders>
              <w:right w:val="single" w:sz="4" w:space="0" w:color="000000"/>
            </w:tcBorders>
          </w:tcPr>
          <w:p>
            <w:pPr>
              <w:pStyle w:val="TableParagraph"/>
              <w:spacing w:before="103"/>
              <w:ind w:right="117"/>
              <w:jc w:val="center"/>
              <w:rPr>
                <w:rFonts w:ascii="Arial"/>
                <w:b/>
                <w:sz w:val="16"/>
              </w:rPr>
            </w:pPr>
            <w:r>
              <w:rPr>
                <w:rFonts w:ascii="Arial"/>
                <w:b/>
                <w:w w:val="102"/>
                <w:sz w:val="16"/>
              </w:rPr>
              <w:t>2</w:t>
            </w:r>
          </w:p>
        </w:tc>
      </w:tr>
      <w:tr>
        <w:trPr>
          <w:trHeight w:val="393" w:hRule="atLeast"/>
        </w:trPr>
        <w:tc>
          <w:tcPr>
            <w:tcW w:w="1354" w:type="dxa"/>
            <w:tcBorders>
              <w:left w:val="single" w:sz="4" w:space="0" w:color="000000"/>
            </w:tcBorders>
          </w:tcPr>
          <w:p>
            <w:pPr>
              <w:pStyle w:val="TableParagraph"/>
              <w:rPr>
                <w:sz w:val="22"/>
              </w:rPr>
            </w:pPr>
          </w:p>
        </w:tc>
        <w:tc>
          <w:tcPr>
            <w:tcW w:w="1726" w:type="dxa"/>
          </w:tcPr>
          <w:p>
            <w:pPr>
              <w:pStyle w:val="TableParagraph"/>
              <w:rPr>
                <w:sz w:val="22"/>
              </w:rPr>
            </w:pPr>
          </w:p>
        </w:tc>
        <w:tc>
          <w:tcPr>
            <w:tcW w:w="882" w:type="dxa"/>
          </w:tcPr>
          <w:p>
            <w:pPr>
              <w:pStyle w:val="TableParagraph"/>
              <w:rPr>
                <w:sz w:val="22"/>
              </w:rPr>
            </w:pPr>
          </w:p>
        </w:tc>
        <w:tc>
          <w:tcPr>
            <w:tcW w:w="551" w:type="dxa"/>
          </w:tcPr>
          <w:p>
            <w:pPr>
              <w:pStyle w:val="TableParagraph"/>
              <w:rPr>
                <w:sz w:val="22"/>
              </w:rPr>
            </w:pPr>
          </w:p>
        </w:tc>
        <w:tc>
          <w:tcPr>
            <w:tcW w:w="838" w:type="dxa"/>
          </w:tcPr>
          <w:p>
            <w:pPr>
              <w:pStyle w:val="TableParagraph"/>
              <w:rPr>
                <w:sz w:val="22"/>
              </w:rPr>
            </w:pPr>
          </w:p>
        </w:tc>
        <w:tc>
          <w:tcPr>
            <w:tcW w:w="1239" w:type="dxa"/>
          </w:tcPr>
          <w:p>
            <w:pPr>
              <w:pStyle w:val="TableParagraph"/>
              <w:rPr>
                <w:sz w:val="22"/>
              </w:rPr>
            </w:pPr>
          </w:p>
        </w:tc>
        <w:tc>
          <w:tcPr>
            <w:tcW w:w="1821" w:type="dxa"/>
            <w:tcBorders>
              <w:right w:val="single" w:sz="4" w:space="0" w:color="000000"/>
            </w:tcBorders>
          </w:tcPr>
          <w:p>
            <w:pPr>
              <w:pStyle w:val="TableParagraph"/>
              <w:spacing w:before="103"/>
              <w:ind w:right="117"/>
              <w:jc w:val="center"/>
              <w:rPr>
                <w:rFonts w:ascii="Arial"/>
                <w:b/>
                <w:sz w:val="16"/>
              </w:rPr>
            </w:pPr>
            <w:r>
              <w:rPr>
                <w:rFonts w:ascii="Arial"/>
                <w:b/>
                <w:w w:val="102"/>
                <w:sz w:val="16"/>
              </w:rPr>
              <w:t>0</w:t>
            </w:r>
          </w:p>
        </w:tc>
      </w:tr>
      <w:tr>
        <w:trPr>
          <w:trHeight w:val="393" w:hRule="atLeast"/>
        </w:trPr>
        <w:tc>
          <w:tcPr>
            <w:tcW w:w="1354" w:type="dxa"/>
            <w:tcBorders>
              <w:left w:val="single" w:sz="4" w:space="0" w:color="000000"/>
            </w:tcBorders>
          </w:tcPr>
          <w:p>
            <w:pPr>
              <w:pStyle w:val="TableParagraph"/>
              <w:rPr>
                <w:sz w:val="22"/>
              </w:rPr>
            </w:pPr>
          </w:p>
        </w:tc>
        <w:tc>
          <w:tcPr>
            <w:tcW w:w="1726" w:type="dxa"/>
          </w:tcPr>
          <w:p>
            <w:pPr>
              <w:pStyle w:val="TableParagraph"/>
              <w:rPr>
                <w:sz w:val="22"/>
              </w:rPr>
            </w:pPr>
          </w:p>
        </w:tc>
        <w:tc>
          <w:tcPr>
            <w:tcW w:w="882" w:type="dxa"/>
          </w:tcPr>
          <w:p>
            <w:pPr>
              <w:pStyle w:val="TableParagraph"/>
              <w:rPr>
                <w:sz w:val="22"/>
              </w:rPr>
            </w:pPr>
          </w:p>
        </w:tc>
        <w:tc>
          <w:tcPr>
            <w:tcW w:w="551" w:type="dxa"/>
          </w:tcPr>
          <w:p>
            <w:pPr>
              <w:pStyle w:val="TableParagraph"/>
              <w:rPr>
                <w:sz w:val="22"/>
              </w:rPr>
            </w:pPr>
          </w:p>
        </w:tc>
        <w:tc>
          <w:tcPr>
            <w:tcW w:w="838" w:type="dxa"/>
          </w:tcPr>
          <w:p>
            <w:pPr>
              <w:pStyle w:val="TableParagraph"/>
              <w:rPr>
                <w:sz w:val="22"/>
              </w:rPr>
            </w:pPr>
          </w:p>
        </w:tc>
        <w:tc>
          <w:tcPr>
            <w:tcW w:w="1239" w:type="dxa"/>
          </w:tcPr>
          <w:p>
            <w:pPr>
              <w:pStyle w:val="TableParagraph"/>
              <w:rPr>
                <w:sz w:val="22"/>
              </w:rPr>
            </w:pPr>
          </w:p>
        </w:tc>
        <w:tc>
          <w:tcPr>
            <w:tcW w:w="1821" w:type="dxa"/>
            <w:tcBorders>
              <w:right w:val="single" w:sz="4" w:space="0" w:color="000000"/>
            </w:tcBorders>
          </w:tcPr>
          <w:p>
            <w:pPr>
              <w:pStyle w:val="TableParagraph"/>
              <w:spacing w:before="103"/>
              <w:ind w:left="746" w:right="807"/>
              <w:jc w:val="center"/>
              <w:rPr>
                <w:rFonts w:ascii="Arial"/>
                <w:b/>
                <w:sz w:val="16"/>
              </w:rPr>
            </w:pPr>
            <w:r>
              <w:rPr>
                <w:rFonts w:ascii="Arial"/>
                <w:b/>
                <w:w w:val="105"/>
                <w:sz w:val="16"/>
              </w:rPr>
              <w:t>-2</w:t>
            </w:r>
          </w:p>
        </w:tc>
      </w:tr>
      <w:tr>
        <w:trPr>
          <w:trHeight w:val="393" w:hRule="atLeast"/>
        </w:trPr>
        <w:tc>
          <w:tcPr>
            <w:tcW w:w="1354" w:type="dxa"/>
            <w:tcBorders>
              <w:left w:val="single" w:sz="4" w:space="0" w:color="000000"/>
            </w:tcBorders>
          </w:tcPr>
          <w:p>
            <w:pPr>
              <w:pStyle w:val="TableParagraph"/>
              <w:rPr>
                <w:sz w:val="22"/>
              </w:rPr>
            </w:pPr>
          </w:p>
        </w:tc>
        <w:tc>
          <w:tcPr>
            <w:tcW w:w="1726" w:type="dxa"/>
          </w:tcPr>
          <w:p>
            <w:pPr>
              <w:pStyle w:val="TableParagraph"/>
              <w:rPr>
                <w:sz w:val="22"/>
              </w:rPr>
            </w:pPr>
          </w:p>
        </w:tc>
        <w:tc>
          <w:tcPr>
            <w:tcW w:w="882" w:type="dxa"/>
          </w:tcPr>
          <w:p>
            <w:pPr>
              <w:pStyle w:val="TableParagraph"/>
              <w:rPr>
                <w:sz w:val="22"/>
              </w:rPr>
            </w:pPr>
          </w:p>
        </w:tc>
        <w:tc>
          <w:tcPr>
            <w:tcW w:w="551" w:type="dxa"/>
          </w:tcPr>
          <w:p>
            <w:pPr>
              <w:pStyle w:val="TableParagraph"/>
              <w:rPr>
                <w:sz w:val="22"/>
              </w:rPr>
            </w:pPr>
          </w:p>
        </w:tc>
        <w:tc>
          <w:tcPr>
            <w:tcW w:w="838" w:type="dxa"/>
          </w:tcPr>
          <w:p>
            <w:pPr>
              <w:pStyle w:val="TableParagraph"/>
              <w:rPr>
                <w:sz w:val="22"/>
              </w:rPr>
            </w:pPr>
          </w:p>
        </w:tc>
        <w:tc>
          <w:tcPr>
            <w:tcW w:w="1239" w:type="dxa"/>
          </w:tcPr>
          <w:p>
            <w:pPr>
              <w:pStyle w:val="TableParagraph"/>
              <w:rPr>
                <w:sz w:val="22"/>
              </w:rPr>
            </w:pPr>
          </w:p>
        </w:tc>
        <w:tc>
          <w:tcPr>
            <w:tcW w:w="1821" w:type="dxa"/>
            <w:tcBorders>
              <w:right w:val="single" w:sz="4" w:space="0" w:color="000000"/>
            </w:tcBorders>
          </w:tcPr>
          <w:p>
            <w:pPr>
              <w:pStyle w:val="TableParagraph"/>
              <w:spacing w:before="103"/>
              <w:ind w:left="746" w:right="807"/>
              <w:jc w:val="center"/>
              <w:rPr>
                <w:rFonts w:ascii="Arial"/>
                <w:b/>
                <w:sz w:val="16"/>
              </w:rPr>
            </w:pPr>
            <w:r>
              <w:rPr>
                <w:rFonts w:ascii="Arial"/>
                <w:b/>
                <w:w w:val="105"/>
                <w:sz w:val="16"/>
              </w:rPr>
              <w:t>-4</w:t>
            </w:r>
          </w:p>
        </w:tc>
      </w:tr>
      <w:tr>
        <w:trPr>
          <w:trHeight w:val="333" w:hRule="atLeast"/>
        </w:trPr>
        <w:tc>
          <w:tcPr>
            <w:tcW w:w="1354" w:type="dxa"/>
            <w:tcBorders>
              <w:left w:val="single" w:sz="4" w:space="0" w:color="000000"/>
            </w:tcBorders>
          </w:tcPr>
          <w:p>
            <w:pPr>
              <w:pStyle w:val="TableParagraph"/>
              <w:rPr>
                <w:sz w:val="22"/>
              </w:rPr>
            </w:pPr>
          </w:p>
        </w:tc>
        <w:tc>
          <w:tcPr>
            <w:tcW w:w="1726" w:type="dxa"/>
          </w:tcPr>
          <w:p>
            <w:pPr>
              <w:pStyle w:val="TableParagraph"/>
              <w:rPr>
                <w:sz w:val="22"/>
              </w:rPr>
            </w:pPr>
          </w:p>
        </w:tc>
        <w:tc>
          <w:tcPr>
            <w:tcW w:w="882" w:type="dxa"/>
          </w:tcPr>
          <w:p>
            <w:pPr>
              <w:pStyle w:val="TableParagraph"/>
              <w:rPr>
                <w:sz w:val="22"/>
              </w:rPr>
            </w:pPr>
          </w:p>
        </w:tc>
        <w:tc>
          <w:tcPr>
            <w:tcW w:w="551" w:type="dxa"/>
          </w:tcPr>
          <w:p>
            <w:pPr>
              <w:pStyle w:val="TableParagraph"/>
              <w:rPr>
                <w:sz w:val="22"/>
              </w:rPr>
            </w:pPr>
          </w:p>
        </w:tc>
        <w:tc>
          <w:tcPr>
            <w:tcW w:w="838" w:type="dxa"/>
          </w:tcPr>
          <w:p>
            <w:pPr>
              <w:pStyle w:val="TableParagraph"/>
              <w:rPr>
                <w:sz w:val="22"/>
              </w:rPr>
            </w:pPr>
          </w:p>
        </w:tc>
        <w:tc>
          <w:tcPr>
            <w:tcW w:w="1239" w:type="dxa"/>
          </w:tcPr>
          <w:p>
            <w:pPr>
              <w:pStyle w:val="TableParagraph"/>
              <w:rPr>
                <w:sz w:val="22"/>
              </w:rPr>
            </w:pPr>
          </w:p>
        </w:tc>
        <w:tc>
          <w:tcPr>
            <w:tcW w:w="1821" w:type="dxa"/>
            <w:tcBorders>
              <w:right w:val="single" w:sz="4" w:space="0" w:color="000000"/>
            </w:tcBorders>
          </w:tcPr>
          <w:p>
            <w:pPr>
              <w:pStyle w:val="TableParagraph"/>
              <w:spacing w:before="103"/>
              <w:ind w:left="746" w:right="807"/>
              <w:jc w:val="center"/>
              <w:rPr>
                <w:rFonts w:ascii="Arial"/>
                <w:b/>
                <w:sz w:val="16"/>
              </w:rPr>
            </w:pPr>
            <w:r>
              <w:rPr>
                <w:rFonts w:ascii="Arial"/>
                <w:b/>
                <w:w w:val="105"/>
                <w:sz w:val="16"/>
              </w:rPr>
              <w:t>-6</w:t>
            </w:r>
          </w:p>
        </w:tc>
      </w:tr>
      <w:tr>
        <w:trPr>
          <w:trHeight w:val="836" w:hRule="atLeast"/>
        </w:trPr>
        <w:tc>
          <w:tcPr>
            <w:tcW w:w="1354" w:type="dxa"/>
            <w:tcBorders>
              <w:left w:val="single" w:sz="4" w:space="0" w:color="000000"/>
              <w:bottom w:val="single" w:sz="4" w:space="0" w:color="000000"/>
            </w:tcBorders>
          </w:tcPr>
          <w:p>
            <w:pPr>
              <w:pStyle w:val="TableParagraph"/>
              <w:spacing w:before="43"/>
              <w:ind w:left="834"/>
              <w:rPr>
                <w:rFonts w:ascii="Arial"/>
                <w:b/>
                <w:sz w:val="16"/>
              </w:rPr>
            </w:pPr>
            <w:r>
              <w:rPr>
                <w:rFonts w:ascii="Arial"/>
                <w:b/>
                <w:w w:val="105"/>
                <w:sz w:val="16"/>
              </w:rPr>
              <w:t>2005</w:t>
            </w:r>
          </w:p>
        </w:tc>
        <w:tc>
          <w:tcPr>
            <w:tcW w:w="1726" w:type="dxa"/>
            <w:tcBorders>
              <w:bottom w:val="single" w:sz="4" w:space="0" w:color="000000"/>
            </w:tcBorders>
          </w:tcPr>
          <w:p>
            <w:pPr>
              <w:pStyle w:val="TableParagraph"/>
              <w:spacing w:before="43"/>
              <w:ind w:left="697" w:right="615"/>
              <w:jc w:val="center"/>
              <w:rPr>
                <w:rFonts w:ascii="Arial"/>
                <w:b/>
                <w:sz w:val="16"/>
              </w:rPr>
            </w:pPr>
            <w:r>
              <w:rPr>
                <w:rFonts w:ascii="Arial"/>
                <w:b/>
                <w:w w:val="105"/>
                <w:sz w:val="16"/>
              </w:rPr>
              <w:t>2006</w:t>
            </w:r>
          </w:p>
        </w:tc>
        <w:tc>
          <w:tcPr>
            <w:tcW w:w="882" w:type="dxa"/>
            <w:tcBorders>
              <w:bottom w:val="single" w:sz="4" w:space="0" w:color="000000"/>
            </w:tcBorders>
          </w:tcPr>
          <w:p>
            <w:pPr>
              <w:pStyle w:val="TableParagraph"/>
              <w:spacing w:before="43"/>
              <w:ind w:right="282"/>
              <w:jc w:val="right"/>
              <w:rPr>
                <w:rFonts w:ascii="Arial"/>
                <w:b/>
                <w:sz w:val="16"/>
              </w:rPr>
            </w:pPr>
            <w:r>
              <w:rPr>
                <w:rFonts w:ascii="Arial"/>
                <w:b/>
                <w:sz w:val="16"/>
              </w:rPr>
              <w:t>2007</w:t>
            </w:r>
          </w:p>
        </w:tc>
        <w:tc>
          <w:tcPr>
            <w:tcW w:w="551" w:type="dxa"/>
            <w:tcBorders>
              <w:bottom w:val="single" w:sz="4" w:space="0" w:color="000000"/>
            </w:tcBorders>
          </w:tcPr>
          <w:p>
            <w:pPr>
              <w:pStyle w:val="TableParagraph"/>
              <w:rPr>
                <w:sz w:val="22"/>
              </w:rPr>
            </w:pPr>
          </w:p>
        </w:tc>
        <w:tc>
          <w:tcPr>
            <w:tcW w:w="838" w:type="dxa"/>
            <w:tcBorders>
              <w:bottom w:val="single" w:sz="4" w:space="0" w:color="000000"/>
            </w:tcBorders>
          </w:tcPr>
          <w:p>
            <w:pPr>
              <w:pStyle w:val="TableParagraph"/>
              <w:spacing w:before="43"/>
              <w:ind w:left="44"/>
              <w:rPr>
                <w:rFonts w:ascii="Arial"/>
                <w:b/>
                <w:sz w:val="16"/>
              </w:rPr>
            </w:pPr>
            <w:r>
              <w:rPr>
                <w:rFonts w:ascii="Arial"/>
                <w:b/>
                <w:w w:val="105"/>
                <w:sz w:val="16"/>
              </w:rPr>
              <w:t>2008</w:t>
            </w:r>
          </w:p>
        </w:tc>
        <w:tc>
          <w:tcPr>
            <w:tcW w:w="1239" w:type="dxa"/>
            <w:tcBorders>
              <w:bottom w:val="single" w:sz="4" w:space="0" w:color="000000"/>
            </w:tcBorders>
          </w:tcPr>
          <w:p>
            <w:pPr>
              <w:pStyle w:val="TableParagraph"/>
              <w:spacing w:before="43"/>
              <w:ind w:left="418" w:right="406"/>
              <w:jc w:val="center"/>
              <w:rPr>
                <w:rFonts w:ascii="Arial"/>
                <w:b/>
                <w:sz w:val="16"/>
              </w:rPr>
            </w:pPr>
            <w:r>
              <w:rPr>
                <w:rFonts w:ascii="Arial"/>
                <w:b/>
                <w:w w:val="105"/>
                <w:sz w:val="16"/>
              </w:rPr>
              <w:t>2009</w:t>
            </w:r>
          </w:p>
        </w:tc>
        <w:tc>
          <w:tcPr>
            <w:tcW w:w="1821" w:type="dxa"/>
            <w:tcBorders>
              <w:bottom w:val="single" w:sz="4" w:space="0" w:color="000000"/>
              <w:right w:val="single" w:sz="4" w:space="0" w:color="000000"/>
            </w:tcBorders>
          </w:tcPr>
          <w:p>
            <w:pPr>
              <w:pStyle w:val="TableParagraph"/>
              <w:spacing w:before="43"/>
              <w:ind w:left="446"/>
              <w:rPr>
                <w:rFonts w:ascii="Arial"/>
                <w:b/>
                <w:sz w:val="16"/>
              </w:rPr>
            </w:pPr>
            <w:r>
              <w:rPr>
                <w:rFonts w:ascii="Arial"/>
                <w:b/>
                <w:w w:val="105"/>
                <w:sz w:val="16"/>
              </w:rPr>
              <w:t>2010</w:t>
            </w:r>
          </w:p>
        </w:tc>
      </w:tr>
      <w:tr>
        <w:trPr>
          <w:trHeight w:val="690" w:hRule="atLeast"/>
        </w:trPr>
        <w:tc>
          <w:tcPr>
            <w:tcW w:w="8411" w:type="dxa"/>
            <w:gridSpan w:val="7"/>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7"/>
              <w:rPr>
                <w:sz w:val="20"/>
              </w:rPr>
            </w:pPr>
            <w:r>
              <w:rPr>
                <w:sz w:val="20"/>
              </w:rPr>
              <w:t>Note: Asia-Pacific “G7” includes Australia, China, India, Indonesia, Japan, Korea and Taiwan</w:t>
            </w:r>
          </w:p>
          <w:p>
            <w:pPr>
              <w:pStyle w:val="TableParagraph"/>
              <w:rPr>
                <w:sz w:val="20"/>
              </w:rPr>
            </w:pPr>
          </w:p>
          <w:p>
            <w:pPr>
              <w:pStyle w:val="TableParagraph"/>
              <w:spacing w:line="217" w:lineRule="exact" w:before="1"/>
              <w:ind w:left="107"/>
              <w:rPr>
                <w:sz w:val="20"/>
              </w:rPr>
            </w:pPr>
            <w:r>
              <w:rPr>
                <w:sz w:val="20"/>
              </w:rPr>
              <w:t>Source: Thomson Datastream and Bank calculations</w:t>
            </w:r>
          </w:p>
        </w:tc>
      </w:tr>
    </w:tbl>
    <w:p>
      <w:pPr>
        <w:pStyle w:val="BodyText"/>
        <w:rPr>
          <w:sz w:val="20"/>
        </w:rPr>
      </w:pPr>
    </w:p>
    <w:p>
      <w:pPr>
        <w:pStyle w:val="BodyText"/>
        <w:rPr>
          <w:sz w:val="20"/>
        </w:rPr>
      </w:pPr>
    </w:p>
    <w:p>
      <w:pPr>
        <w:pStyle w:val="BodyText"/>
        <w:spacing w:line="360" w:lineRule="auto" w:before="225"/>
        <w:ind w:left="118" w:right="167"/>
      </w:pPr>
      <w:r>
        <w:rPr/>
        <w:t>The latest evidence suggests that the strong momentum of growth in Asia and other emerging markets is being maintained. In Asia, there are many indications that domestic demand has been a powerful driver of its recovery and that growth in this region is becoming more autonomous and less dependent on export demand from the western economies.</w:t>
      </w:r>
    </w:p>
    <w:p>
      <w:pPr>
        <w:pStyle w:val="BodyText"/>
        <w:rPr>
          <w:sz w:val="20"/>
        </w:rPr>
      </w:pPr>
    </w:p>
    <w:p>
      <w:pPr>
        <w:pStyle w:val="BodyText"/>
        <w:spacing w:before="6"/>
        <w:rPr>
          <w:sz w:val="22"/>
        </w:rPr>
      </w:pPr>
    </w:p>
    <w:p>
      <w:pPr>
        <w:spacing w:before="95"/>
        <w:ind w:left="118" w:right="354" w:hanging="1"/>
        <w:jc w:val="left"/>
        <w:rPr>
          <w:sz w:val="20"/>
        </w:rPr>
      </w:pPr>
      <w:bookmarkStart w:name="_bookmark4" w:id="5"/>
      <w:bookmarkEnd w:id="5"/>
      <w:r>
        <w:rPr/>
      </w:r>
      <w:r>
        <w:rPr>
          <w:position w:val="9"/>
          <w:sz w:val="13"/>
        </w:rPr>
        <w:t>5 </w:t>
      </w:r>
      <w:r>
        <w:rPr>
          <w:sz w:val="20"/>
        </w:rPr>
        <w:t>In the decade to 2007, annual GDP growth averaged 3.1% in the United States and 2.3% in the European Union.</w:t>
      </w:r>
    </w:p>
    <w:p>
      <w:pPr>
        <w:spacing w:after="0"/>
        <w:jc w:val="left"/>
        <w:rPr>
          <w:sz w:val="20"/>
        </w:rPr>
        <w:sectPr>
          <w:pgSz w:w="11910" w:h="16840"/>
          <w:pgMar w:header="0" w:footer="1146" w:top="1580" w:bottom="1340" w:left="1300" w:right="1320"/>
        </w:sectPr>
      </w:pPr>
    </w:p>
    <w:p>
      <w:pPr>
        <w:pStyle w:val="BodyText"/>
        <w:spacing w:line="360" w:lineRule="auto" w:before="74"/>
        <w:ind w:left="118" w:right="94"/>
      </w:pPr>
      <w:r>
        <w:rPr/>
        <w:t>In the US and Europe, the indicators are more mixed. Within the European Union, Germany grew very strongly in the first half of this year, recording the biggest rise in GDP since unification in the second quarter and more recently the lowest rate of unemployment since 1992. German unemployment has been falling since the mid-2000s, with the exception of the recession period, which points to an improvement in the structural performance of its economy, which should help to sustain consumer spending and investment. Some of Germany’s neighbouring economies – including the Benelux countries – are also sharing in this pattern of healthy growth. A strong performance from these “core” European economies should help to offset the dampening effect of financial and fiscal problems in countries on the European periphery, including Ireland.</w:t>
      </w:r>
    </w:p>
    <w:p>
      <w:pPr>
        <w:pStyle w:val="BodyText"/>
        <w:spacing w:before="11"/>
        <w:rPr>
          <w:sz w:val="35"/>
        </w:rPr>
      </w:pPr>
    </w:p>
    <w:p>
      <w:pPr>
        <w:pStyle w:val="BodyText"/>
        <w:spacing w:line="360" w:lineRule="auto"/>
        <w:ind w:left="118" w:right="180"/>
      </w:pPr>
      <w:r>
        <w:rPr/>
        <w:t>Currently, the United States appears to be in a “soft patch” where growth is disappointing. But the most recent indicators – including the widely followed Purchasing Managers’ Indices (PMIs) – still point to continued growth. Indeed, the latest readings from the non- manufacturing PMI last week showed a surprising pick-up in growth. The latest US data on retail sales and industrial production are also reasonably positive and help offset some of the more downbeat indicators from the housing market. In the US, just as in the UK, we have to recognise that the data may be somewhat variable at this stage of the cycle. We should therefore beware of interpreting this variability in the economic indicators as a sign that the recovery is seriously faltering in the United States, or anywhere else in the global economy.</w:t>
      </w:r>
    </w:p>
    <w:p>
      <w:pPr>
        <w:pStyle w:val="BodyText"/>
        <w:rPr>
          <w:sz w:val="36"/>
        </w:rPr>
      </w:pPr>
    </w:p>
    <w:p>
      <w:pPr>
        <w:pStyle w:val="BodyText"/>
        <w:spacing w:line="360" w:lineRule="auto"/>
        <w:ind w:left="118" w:right="161"/>
      </w:pPr>
      <w:r>
        <w:rPr/>
        <w:t>There is, however, a flip side to the strong rebound we have seen in the global economy since the middle of last year. While the growth of the global economy is helping to sustain the recovery in UK economic activity, it is also putting upward pressure on global energy and commodity prices, along with the impact of a number of weather-related events affecting the supply of commodities. And in a world affected by climate change, we may expect to experience these weather-driven upward price shocks more often.</w:t>
      </w:r>
    </w:p>
    <w:p>
      <w:pPr>
        <w:pStyle w:val="BodyText"/>
        <w:spacing w:before="10"/>
        <w:rPr>
          <w:sz w:val="35"/>
        </w:rPr>
      </w:pPr>
    </w:p>
    <w:p>
      <w:pPr>
        <w:pStyle w:val="BodyText"/>
        <w:spacing w:line="360" w:lineRule="auto" w:before="1"/>
        <w:ind w:left="118" w:right="127"/>
      </w:pPr>
      <w:r>
        <w:rPr/>
        <w:t>These upward shocks to UK inflation from import prices – amplified by the relative weakness of the pound – have contributed noticeably to the recent experience of above-target UK inflation. With commodity price inflation running at over 25% annually in sterling terms, a renewed surge in the oil price and evidence that manufacturers’ input costs are picking up again, I believe we are likely to see continued upward pressure on inflation from global price pressures as the recovery in the world economy continues.</w:t>
      </w:r>
    </w:p>
    <w:p>
      <w:pPr>
        <w:spacing w:after="0" w:line="360" w:lineRule="auto"/>
        <w:sectPr>
          <w:footerReference w:type="default" r:id="rId7"/>
          <w:pgSz w:w="11910" w:h="16840"/>
          <w:pgMar w:footer="1060" w:header="0" w:top="1320" w:bottom="1260" w:left="1300" w:right="1320"/>
          <w:pgNumType w:start="8"/>
        </w:sectPr>
      </w:pPr>
    </w:p>
    <w:p>
      <w:pPr>
        <w:pStyle w:val="BodyText"/>
        <w:spacing w:before="4"/>
        <w:rPr>
          <w:sz w:val="12"/>
        </w:rPr>
      </w:pPr>
    </w:p>
    <w:p>
      <w:pPr>
        <w:pStyle w:val="Heading1"/>
      </w:pPr>
      <w:r>
        <w:rPr/>
        <w:t>Fiscal tightening and financial restructuring</w:t>
      </w:r>
    </w:p>
    <w:p>
      <w:pPr>
        <w:pStyle w:val="BodyText"/>
        <w:rPr>
          <w:b/>
          <w:sz w:val="26"/>
        </w:rPr>
      </w:pPr>
    </w:p>
    <w:p>
      <w:pPr>
        <w:pStyle w:val="BodyText"/>
        <w:spacing w:before="6"/>
        <w:rPr>
          <w:b/>
          <w:sz w:val="21"/>
        </w:rPr>
      </w:pPr>
    </w:p>
    <w:p>
      <w:pPr>
        <w:pStyle w:val="BodyText"/>
        <w:spacing w:line="360" w:lineRule="auto"/>
        <w:ind w:left="118" w:right="107"/>
      </w:pPr>
      <w:r>
        <w:rPr/>
        <w:t>So while we should not rule out further volatility from the global economy, the most likely outcome is that the world economy is likely to provide a helpful backdrop to UK growth, with Asia and emerging markets contributing particularly powerfully, though with the associated risk of more upside shocks to inflation. However, the UK recovery also faces domestic headwinds from the rebalancing of public finances and the continued restructuring of the financial sector. Here too, however, it is important to put current concerns in perspective.</w:t>
      </w:r>
    </w:p>
    <w:p>
      <w:pPr>
        <w:pStyle w:val="BodyText"/>
        <w:spacing w:before="2"/>
        <w:rPr>
          <w:sz w:val="36"/>
        </w:rPr>
      </w:pPr>
    </w:p>
    <w:p>
      <w:pPr>
        <w:pStyle w:val="BodyText"/>
        <w:spacing w:line="360" w:lineRule="auto"/>
        <w:ind w:left="118" w:right="150"/>
      </w:pPr>
      <w:r>
        <w:rPr/>
        <w:t>In relation to the prospective fiscal tightening, the first point to make is that the overall public spending plans appear much less draconian than the view projected in the media debate over the summer – when 25% or even 40% departmental cuts were being discussed. Individual areas of public spending may face a significant squeeze to allow growth in areas where commitments to increase spending have been made – such as pensions and health. But taking all these swings and roundabouts into account, the total amount of government spending is still set to increase over the next five years in cash terms. Using the broadest measure, Total Management Expenditure – which captures all areas of public spending, the Budget projects an average spending increase of 1.7% per annum in the five years to 2015/16. Should inflation remain at around the 2% level over the next five years, that would imply that government spending in aggregate is likely to be broadly flat in real terms. While that represents a change from the very significant increases seen over the last decade, it points to a milder drag on growth than some of the more lurid headlines about the spending review have been</w:t>
      </w:r>
      <w:r>
        <w:rPr>
          <w:spacing w:val="-2"/>
        </w:rPr>
        <w:t> </w:t>
      </w:r>
      <w:r>
        <w:rPr/>
        <w:t>suggesting.</w:t>
      </w:r>
    </w:p>
    <w:p>
      <w:pPr>
        <w:pStyle w:val="BodyText"/>
        <w:spacing w:before="11"/>
        <w:rPr>
          <w:sz w:val="35"/>
        </w:rPr>
      </w:pPr>
    </w:p>
    <w:p>
      <w:pPr>
        <w:pStyle w:val="BodyText"/>
        <w:spacing w:line="360" w:lineRule="auto"/>
        <w:ind w:left="118" w:right="87"/>
      </w:pPr>
      <w:r>
        <w:rPr/>
        <w:t>On the detail for individual spending areas, we will learn more next week following the public spending review that has been going on over the summer. And that will hopefully help to remove some of the current uncertainty around future public spending which has been affecting business and consumer confidence in the UK recently.</w:t>
      </w:r>
    </w:p>
    <w:p>
      <w:pPr>
        <w:pStyle w:val="BodyText"/>
        <w:spacing w:before="10"/>
        <w:rPr>
          <w:sz w:val="35"/>
        </w:rPr>
      </w:pPr>
    </w:p>
    <w:p>
      <w:pPr>
        <w:pStyle w:val="BodyText"/>
        <w:spacing w:line="360" w:lineRule="auto"/>
        <w:ind w:left="118" w:right="141"/>
      </w:pPr>
      <w:r>
        <w:rPr/>
        <w:t>A second point to note about the impact of the government’s deficit reduction plan is that all previous recoveries in the UK economy – in the late 1970s and in the 1980s and 1990s – have taken place against a background of fiscal austerity and public spending restraint. It is true that the level of public borrowing has now reached a higher level than in previous</w:t>
      </w:r>
    </w:p>
    <w:p>
      <w:pPr>
        <w:spacing w:after="0" w:line="360" w:lineRule="auto"/>
        <w:sectPr>
          <w:pgSz w:w="11910" w:h="16840"/>
          <w:pgMar w:header="0" w:footer="1060" w:top="1580" w:bottom="1260" w:left="1300" w:right="1320"/>
        </w:sectPr>
      </w:pPr>
    </w:p>
    <w:p>
      <w:pPr>
        <w:pStyle w:val="BodyText"/>
        <w:spacing w:line="360" w:lineRule="auto" w:before="74"/>
        <w:ind w:left="118" w:right="266" w:firstLine="60"/>
      </w:pPr>
      <w:r>
        <w:rPr/>
        <w:pict>
          <v:group style="position:absolute;margin-left:127.771721pt;margin-top:166.617432pt;width:296pt;height:142.15pt;mso-position-horizontal-relative:page;mso-position-vertical-relative:paragraph;z-index:-254234624" coordorigin="2555,3332" coordsize="5920,2843">
            <v:shape style="position:absolute;left:0;top:15499;width:60;height:3960" coordorigin="0,15500" coordsize="60,3960" path="m8433,6132l8433,3339m8433,6132l8475,6132m8433,5427l8475,5427m8433,4736l8475,4736m8433,4031l8475,4031m8433,3339l8475,3339e" filled="false" stroked="true" strokeweight=".706253pt" strokecolor="#000000">
              <v:path arrowok="t"/>
              <v:stroke dashstyle="solid"/>
            </v:shape>
            <v:shape style="position:absolute;left:0;top:15439;width:8280;height:60" coordorigin="0,15440" coordsize="8280,60" path="m2577,6132l8433,6132m2577,6132l2577,6174m3751,6132l3751,6174m4911,6132l4911,6174m6085,6132l6085,6174m7259,6132l7259,6174m8433,6132l8433,6174e" filled="false" stroked="true" strokeweight=".706253pt" strokecolor="#000000">
              <v:path arrowok="t"/>
              <v:stroke dashstyle="solid"/>
            </v:shape>
            <v:shape style="position:absolute;left:2569;top:4319;width:5857;height:790" coordorigin="2570,4320" coordsize="5857,790" path="m2570,4320l3744,4390,4918,4489,6092,4743,7266,4983,8426,5110e" filled="false" stroked="true" strokeweight="1.410534pt" strokecolor="#333399">
              <v:path arrowok="t"/>
              <v:stroke dashstyle="solid"/>
            </v:shape>
            <v:shape style="position:absolute;left:2569;top:3713;width:5857;height:1044" coordorigin="2570,3713" coordsize="5857,1044" path="m2570,3713l3744,3967,4918,4193,6092,4433,7266,4602,8426,4757e" filled="false" stroked="true" strokeweight="1.410587pt" strokecolor="#993300">
              <v:path arrowok="t"/>
              <v:stroke dashstyle="solid"/>
            </v:shape>
            <v:line style="position:absolute" from="5597,3643" to="5964,3643" stroked="true" strokeweight="1.410461pt" strokecolor="#333399">
              <v:stroke dashstyle="solid"/>
            </v:line>
            <v:line style="position:absolute" from="5597,3995" to="5964,3995" stroked="true" strokeweight="1.410461pt" strokecolor="#993300">
              <v:stroke dashstyle="solid"/>
            </v:line>
            <w10:wrap type="none"/>
          </v:group>
        </w:pict>
      </w:r>
      <w:r>
        <w:rPr/>
        <w:t>downturns – peaking at 11% of GDP, compared to just under 8% of GDP in the early 1990s and 5% in the early 1980s. But the planned reduction in the deficit set out in the Budget plans is comparable with the fiscal consolidation we saw in the mid-1990s, when the public spending share of GDP was also cut significantly as the economy recovered, as Chart 6 shows.</w:t>
      </w:r>
    </w:p>
    <w:p>
      <w:pPr>
        <w:pStyle w:val="BodyText"/>
        <w:rPr>
          <w:sz w:val="20"/>
        </w:rPr>
      </w:pPr>
    </w:p>
    <w:p>
      <w:pPr>
        <w:pStyle w:val="BodyText"/>
        <w:spacing w:before="6"/>
        <w:rPr>
          <w:sz w:val="16"/>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551" w:hRule="atLeast"/>
        </w:trPr>
        <w:tc>
          <w:tcPr>
            <w:tcW w:w="8414" w:type="dxa"/>
          </w:tcPr>
          <w:p>
            <w:pPr>
              <w:pStyle w:val="TableParagraph"/>
              <w:spacing w:line="270" w:lineRule="exact"/>
              <w:ind w:left="107"/>
              <w:rPr>
                <w:b/>
                <w:sz w:val="24"/>
              </w:rPr>
            </w:pPr>
            <w:r>
              <w:rPr>
                <w:b/>
                <w:sz w:val="24"/>
              </w:rPr>
              <w:t>Chart 6: Public Sector Expenditure</w:t>
            </w:r>
          </w:p>
          <w:p>
            <w:pPr>
              <w:pStyle w:val="TableParagraph"/>
              <w:spacing w:line="261" w:lineRule="exact"/>
              <w:ind w:left="107"/>
              <w:rPr>
                <w:sz w:val="24"/>
              </w:rPr>
            </w:pPr>
            <w:r>
              <w:rPr>
                <w:sz w:val="24"/>
              </w:rPr>
              <w:t>Relative to start of fiscal consolidation, percent of GDP</w:t>
            </w:r>
          </w:p>
        </w:tc>
      </w:tr>
      <w:tr>
        <w:trPr>
          <w:trHeight w:val="3779" w:hRule="atLeast"/>
        </w:trPr>
        <w:tc>
          <w:tcPr>
            <w:tcW w:w="8414" w:type="dxa"/>
          </w:tcPr>
          <w:p>
            <w:pPr>
              <w:pStyle w:val="TableParagraph"/>
              <w:spacing w:before="118"/>
              <w:ind w:left="7178"/>
              <w:rPr>
                <w:rFonts w:ascii="Arial"/>
                <w:b/>
                <w:sz w:val="15"/>
              </w:rPr>
            </w:pPr>
            <w:r>
              <w:rPr>
                <w:rFonts w:ascii="Arial"/>
                <w:b/>
                <w:w w:val="105"/>
                <w:sz w:val="15"/>
              </w:rPr>
              <w:t>50</w:t>
            </w:r>
          </w:p>
          <w:p>
            <w:pPr>
              <w:pStyle w:val="TableParagraph"/>
              <w:spacing w:before="132"/>
              <w:ind w:left="4582"/>
              <w:rPr>
                <w:rFonts w:ascii="Arial"/>
                <w:b/>
                <w:sz w:val="15"/>
              </w:rPr>
            </w:pPr>
            <w:r>
              <w:rPr>
                <w:rFonts w:ascii="Arial"/>
                <w:b/>
                <w:w w:val="105"/>
                <w:sz w:val="15"/>
              </w:rPr>
              <w:t>93/94-98/99</w:t>
            </w:r>
          </w:p>
          <w:p>
            <w:pPr>
              <w:pStyle w:val="TableParagraph"/>
              <w:tabs>
                <w:tab w:pos="7348" w:val="right" w:leader="none"/>
              </w:tabs>
              <w:spacing w:before="182"/>
              <w:ind w:left="4582"/>
              <w:rPr>
                <w:rFonts w:ascii="Arial"/>
                <w:b/>
                <w:sz w:val="15"/>
              </w:rPr>
            </w:pPr>
            <w:r>
              <w:rPr>
                <w:rFonts w:ascii="Arial"/>
                <w:b/>
                <w:w w:val="105"/>
                <w:sz w:val="15"/>
              </w:rPr>
              <w:t>10/11-15/16</w:t>
            </w:r>
            <w:r>
              <w:rPr>
                <w:rFonts w:ascii="Arial"/>
                <w:b/>
                <w:spacing w:val="-19"/>
                <w:w w:val="105"/>
                <w:sz w:val="15"/>
              </w:rPr>
              <w:t> </w:t>
            </w:r>
            <w:r>
              <w:rPr>
                <w:rFonts w:ascii="Arial"/>
                <w:b/>
                <w:w w:val="105"/>
                <w:sz w:val="15"/>
              </w:rPr>
              <w:t>(2010</w:t>
            </w:r>
            <w:r>
              <w:rPr>
                <w:rFonts w:ascii="Arial"/>
                <w:b/>
                <w:spacing w:val="-19"/>
                <w:w w:val="105"/>
                <w:sz w:val="15"/>
              </w:rPr>
              <w:t> </w:t>
            </w:r>
            <w:r>
              <w:rPr>
                <w:rFonts w:ascii="Arial"/>
                <w:b/>
                <w:w w:val="105"/>
                <w:sz w:val="15"/>
              </w:rPr>
              <w:t>budget)</w:t>
              <w:tab/>
            </w:r>
            <w:r>
              <w:rPr>
                <w:rFonts w:ascii="Arial"/>
                <w:b/>
                <w:w w:val="105"/>
                <w:position w:val="-3"/>
                <w:sz w:val="15"/>
              </w:rPr>
              <w:t>45</w:t>
            </w:r>
          </w:p>
          <w:p>
            <w:pPr>
              <w:pStyle w:val="TableParagraph"/>
              <w:rPr>
                <w:sz w:val="20"/>
              </w:rPr>
            </w:pPr>
          </w:p>
          <w:p>
            <w:pPr>
              <w:pStyle w:val="TableParagraph"/>
              <w:spacing w:before="9"/>
              <w:rPr>
                <w:sz w:val="25"/>
              </w:rPr>
            </w:pPr>
          </w:p>
          <w:p>
            <w:pPr>
              <w:pStyle w:val="TableParagraph"/>
              <w:spacing w:before="1"/>
              <w:ind w:left="7178"/>
              <w:rPr>
                <w:rFonts w:ascii="Arial"/>
                <w:b/>
                <w:sz w:val="15"/>
              </w:rPr>
            </w:pPr>
            <w:r>
              <w:rPr>
                <w:rFonts w:ascii="Arial"/>
                <w:b/>
                <w:w w:val="105"/>
                <w:sz w:val="15"/>
              </w:rPr>
              <w:t>40</w:t>
            </w:r>
          </w:p>
          <w:p>
            <w:pPr>
              <w:pStyle w:val="TableParagraph"/>
              <w:rPr>
                <w:sz w:val="16"/>
              </w:rPr>
            </w:pPr>
          </w:p>
          <w:p>
            <w:pPr>
              <w:pStyle w:val="TableParagraph"/>
              <w:rPr>
                <w:sz w:val="16"/>
              </w:rPr>
            </w:pPr>
          </w:p>
          <w:p>
            <w:pPr>
              <w:pStyle w:val="TableParagraph"/>
              <w:spacing w:before="9"/>
              <w:rPr>
                <w:sz w:val="13"/>
              </w:rPr>
            </w:pPr>
          </w:p>
          <w:p>
            <w:pPr>
              <w:pStyle w:val="TableParagraph"/>
              <w:ind w:left="7178"/>
              <w:rPr>
                <w:rFonts w:ascii="Arial"/>
                <w:b/>
                <w:sz w:val="15"/>
              </w:rPr>
            </w:pPr>
            <w:r>
              <w:rPr>
                <w:rFonts w:ascii="Arial"/>
                <w:b/>
                <w:w w:val="105"/>
                <w:sz w:val="15"/>
              </w:rPr>
              <w:t>35</w:t>
            </w:r>
          </w:p>
          <w:p>
            <w:pPr>
              <w:pStyle w:val="TableParagraph"/>
              <w:rPr>
                <w:sz w:val="16"/>
              </w:rPr>
            </w:pPr>
          </w:p>
          <w:p>
            <w:pPr>
              <w:pStyle w:val="TableParagraph"/>
              <w:rPr>
                <w:sz w:val="16"/>
              </w:rPr>
            </w:pPr>
          </w:p>
          <w:p>
            <w:pPr>
              <w:pStyle w:val="TableParagraph"/>
              <w:spacing w:before="9"/>
              <w:rPr>
                <w:sz w:val="13"/>
              </w:rPr>
            </w:pPr>
          </w:p>
          <w:p>
            <w:pPr>
              <w:pStyle w:val="TableParagraph"/>
              <w:spacing w:before="1"/>
              <w:ind w:left="7178"/>
              <w:rPr>
                <w:rFonts w:ascii="Arial"/>
                <w:b/>
                <w:sz w:val="15"/>
              </w:rPr>
            </w:pPr>
            <w:r>
              <w:rPr>
                <w:rFonts w:ascii="Arial"/>
                <w:b/>
                <w:w w:val="105"/>
                <w:sz w:val="15"/>
              </w:rPr>
              <w:t>30</w:t>
            </w:r>
          </w:p>
          <w:p>
            <w:pPr>
              <w:pStyle w:val="TableParagraph"/>
              <w:tabs>
                <w:tab w:pos="2277" w:val="left" w:leader="none"/>
                <w:tab w:pos="3449" w:val="left" w:leader="none"/>
                <w:tab w:pos="4620" w:val="left" w:leader="none"/>
                <w:tab w:pos="5791" w:val="left" w:leader="none"/>
                <w:tab w:pos="6963" w:val="left" w:leader="none"/>
              </w:tabs>
              <w:spacing w:before="85"/>
              <w:ind w:left="1106"/>
              <w:rPr>
                <w:rFonts w:ascii="Arial"/>
                <w:b/>
                <w:sz w:val="15"/>
              </w:rPr>
            </w:pPr>
            <w:r>
              <w:rPr>
                <w:rFonts w:ascii="Arial"/>
                <w:b/>
                <w:w w:val="105"/>
                <w:sz w:val="15"/>
              </w:rPr>
              <w:t>0</w:t>
              <w:tab/>
              <w:t>1</w:t>
              <w:tab/>
              <w:t>2</w:t>
              <w:tab/>
              <w:t>3</w:t>
              <w:tab/>
              <w:t>4</w:t>
              <w:tab/>
              <w:t>5</w:t>
            </w:r>
          </w:p>
          <w:p>
            <w:pPr>
              <w:pStyle w:val="TableParagraph"/>
              <w:spacing w:before="106"/>
              <w:ind w:left="1012"/>
              <w:rPr>
                <w:rFonts w:ascii="Arial"/>
                <w:b/>
                <w:sz w:val="15"/>
              </w:rPr>
            </w:pPr>
            <w:r>
              <w:rPr>
                <w:rFonts w:ascii="Arial"/>
                <w:b/>
                <w:w w:val="105"/>
                <w:sz w:val="15"/>
              </w:rPr>
              <w:t>No. of fiscal years from start of consolidation</w:t>
            </w:r>
          </w:p>
        </w:tc>
      </w:tr>
      <w:tr>
        <w:trPr>
          <w:trHeight w:val="700" w:hRule="atLeast"/>
        </w:trPr>
        <w:tc>
          <w:tcPr>
            <w:tcW w:w="8414" w:type="dxa"/>
          </w:tcPr>
          <w:p>
            <w:pPr>
              <w:pStyle w:val="TableParagraph"/>
              <w:spacing w:line="223" w:lineRule="exact"/>
              <w:ind w:left="107"/>
              <w:rPr>
                <w:sz w:val="20"/>
              </w:rPr>
            </w:pPr>
            <w:r>
              <w:rPr>
                <w:sz w:val="20"/>
              </w:rPr>
              <w:t>Note: Chart shows Total Managed Expenditure as % of GDP.</w:t>
            </w:r>
          </w:p>
          <w:p>
            <w:pPr>
              <w:pStyle w:val="TableParagraph"/>
              <w:spacing w:before="120"/>
              <w:ind w:left="107"/>
              <w:rPr>
                <w:sz w:val="20"/>
              </w:rPr>
            </w:pPr>
            <w:r>
              <w:rPr>
                <w:sz w:val="20"/>
              </w:rPr>
              <w:t>Source: 2010 Budget</w:t>
            </w:r>
          </w:p>
        </w:tc>
      </w:tr>
    </w:tbl>
    <w:p>
      <w:pPr>
        <w:pStyle w:val="BodyText"/>
        <w:spacing w:before="9"/>
        <w:rPr>
          <w:sz w:val="27"/>
        </w:rPr>
      </w:pPr>
    </w:p>
    <w:p>
      <w:pPr>
        <w:pStyle w:val="BodyText"/>
        <w:spacing w:line="360" w:lineRule="auto" w:before="90"/>
        <w:ind w:left="118" w:right="280"/>
      </w:pPr>
      <w:r>
        <w:rPr/>
        <w:t>Though the latest Budget plans imply a somewhat bigger fall in the public spending share of GDP than in the mid-1990s, this is offset by a smaller rise in the tax burden. Taking tax and spending together, the projected impact is broadly similar. Public borrowing fell by over 8 percentage points of GDP between 1993/4 and 1998/9, compared with a 9 percentage point fall projected in the latest Budget over the next five years.</w:t>
      </w:r>
      <w:hyperlink w:history="true" w:anchor="_bookmark5">
        <w:r>
          <w:rPr>
            <w:vertAlign w:val="superscript"/>
          </w:rPr>
          <w:t>6</w:t>
        </w:r>
      </w:hyperlink>
    </w:p>
    <w:p>
      <w:pPr>
        <w:pStyle w:val="BodyText"/>
        <w:spacing w:before="9"/>
        <w:rPr>
          <w:sz w:val="35"/>
        </w:rPr>
      </w:pPr>
    </w:p>
    <w:p>
      <w:pPr>
        <w:pStyle w:val="BodyText"/>
        <w:spacing w:line="360" w:lineRule="auto"/>
        <w:ind w:left="118" w:right="87"/>
      </w:pPr>
      <w:r>
        <w:rPr/>
        <w:t>That period of public spending squeeze in the mid-1990s was also accompanied by a significant reduction in employment in the public sector, not dissimilar to the figures currently</w:t>
      </w:r>
    </w:p>
    <w:p>
      <w:pPr>
        <w:spacing w:after="0" w:line="360" w:lineRule="auto"/>
        <w:sectPr>
          <w:pgSz w:w="11910" w:h="16840"/>
          <w:pgMar w:header="0" w:footer="1060" w:top="1320" w:bottom="1260" w:left="1300" w:right="1320"/>
        </w:sectPr>
      </w:pPr>
    </w:p>
    <w:p>
      <w:pPr>
        <w:pStyle w:val="BodyText"/>
        <w:ind w:left="118"/>
      </w:pPr>
      <w:r>
        <w:rPr/>
        <w:t>being discussed in the context of the current spending review.</w:t>
      </w:r>
      <w:hyperlink w:history="true" w:anchor="_bookmark6">
        <w:r>
          <w:rPr>
            <w:vertAlign w:val="superscript"/>
          </w:rPr>
          <w:t>7</w:t>
        </w:r>
      </w:hyperlink>
    </w:p>
    <w:p>
      <w:pPr>
        <w:pStyle w:val="BodyText"/>
        <w:ind w:left="81"/>
      </w:pPr>
      <w:r>
        <w:rPr/>
        <w:br w:type="column"/>
      </w:r>
      <w:r>
        <w:rPr/>
        <w:t>However, the UK economy</w:t>
      </w:r>
    </w:p>
    <w:p>
      <w:pPr>
        <w:spacing w:after="0"/>
        <w:sectPr>
          <w:type w:val="continuous"/>
          <w:pgSz w:w="11910" w:h="16840"/>
          <w:pgMar w:top="1580" w:bottom="280" w:left="1300" w:right="1320"/>
          <w:cols w:num="2" w:equalWidth="0">
            <w:col w:w="6142" w:space="40"/>
            <w:col w:w="3108"/>
          </w:cols>
        </w:sectPr>
      </w:pPr>
    </w:p>
    <w:p>
      <w:pPr>
        <w:pStyle w:val="BodyText"/>
        <w:spacing w:line="360" w:lineRule="auto" w:before="139"/>
        <w:ind w:left="118" w:right="174"/>
      </w:pPr>
      <w:r>
        <w:rPr/>
        <w:t>grew reasonably healthily over that period, with annual GDP growth averaging nearly 3.5% a year in the five years 1994 to 1998. Unemployment also fell because the private sector</w:t>
      </w:r>
    </w:p>
    <w:p>
      <w:pPr>
        <w:pStyle w:val="BodyText"/>
        <w:spacing w:before="1"/>
        <w:rPr>
          <w:sz w:val="15"/>
        </w:rPr>
      </w:pPr>
      <w:r>
        <w:rPr/>
        <w:pict>
          <v:shape style="position:absolute;margin-left:70.919998pt;margin-top:10.94002pt;width:144pt;height:.1pt;mso-position-horizontal-relative:page;mso-position-vertical-relative:paragraph;z-index:-251651072;mso-wrap-distance-left:0;mso-wrap-distance-right:0" coordorigin="1418,219" coordsize="2880,0" path="m1418,219l4298,219e" filled="false" stroked="true" strokeweight=".6pt" strokecolor="#000000">
            <v:path arrowok="t"/>
            <v:stroke dashstyle="solid"/>
            <w10:wrap type="topAndBottom"/>
          </v:shape>
        </w:pict>
      </w:r>
    </w:p>
    <w:p>
      <w:pPr>
        <w:spacing w:before="50"/>
        <w:ind w:left="118" w:right="94" w:hanging="1"/>
        <w:jc w:val="left"/>
        <w:rPr>
          <w:sz w:val="20"/>
        </w:rPr>
      </w:pPr>
      <w:bookmarkStart w:name="_bookmark5" w:id="6"/>
      <w:bookmarkEnd w:id="6"/>
      <w:r>
        <w:rPr/>
      </w:r>
      <w:r>
        <w:rPr>
          <w:position w:val="9"/>
          <w:sz w:val="13"/>
        </w:rPr>
        <w:t>6 </w:t>
      </w:r>
      <w:r>
        <w:rPr>
          <w:sz w:val="20"/>
        </w:rPr>
        <w:t>Public sector net borrowing was 7.7% of GDP in 1993/4, moving towards a surplus of 0.5% in 1998/9, a swing of 8.2% in the public sector financial balance as a share of GDP. The Budget plans show a 9 percentage point swing – from borrowing of 10.1% in the current financial year to 1.1% in 2015/6</w:t>
      </w:r>
    </w:p>
    <w:p>
      <w:pPr>
        <w:spacing w:line="230" w:lineRule="exact" w:before="1"/>
        <w:ind w:left="118" w:right="231" w:hanging="1"/>
        <w:jc w:val="left"/>
        <w:rPr>
          <w:sz w:val="20"/>
        </w:rPr>
      </w:pPr>
      <w:bookmarkStart w:name="_bookmark6" w:id="7"/>
      <w:bookmarkEnd w:id="7"/>
      <w:r>
        <w:rPr/>
      </w:r>
      <w:r>
        <w:rPr>
          <w:position w:val="9"/>
          <w:sz w:val="13"/>
        </w:rPr>
        <w:t>7 </w:t>
      </w:r>
      <w:r>
        <w:rPr>
          <w:sz w:val="20"/>
        </w:rPr>
        <w:t>From Q3 1991 to Q4 1998, public sector employment fell by 827,000 – a fall of around 14% of the total. The Office for Budget Responsibility projects a fall in 600,000 over the present consolidation, a fall of around 10%.</w:t>
      </w:r>
    </w:p>
    <w:p>
      <w:pPr>
        <w:spacing w:after="0" w:line="230" w:lineRule="exact"/>
        <w:jc w:val="left"/>
        <w:rPr>
          <w:sz w:val="20"/>
        </w:rPr>
        <w:sectPr>
          <w:type w:val="continuous"/>
          <w:pgSz w:w="11910" w:h="16840"/>
          <w:pgMar w:top="1580" w:bottom="280" w:left="1300" w:right="1320"/>
        </w:sectPr>
      </w:pPr>
    </w:p>
    <w:p>
      <w:pPr>
        <w:pStyle w:val="BodyText"/>
        <w:spacing w:line="360" w:lineRule="auto" w:before="74"/>
        <w:ind w:left="118" w:right="267"/>
      </w:pPr>
      <w:r>
        <w:rPr/>
        <w:pict>
          <v:group style="position:absolute;margin-left:144.390717pt;margin-top:166.617432pt;width:268.1pt;height:150.6pt;mso-position-horizontal-relative:page;mso-position-vertical-relative:paragraph;z-index:-254232576" coordorigin="2888,3332" coordsize="5362,3012">
            <v:line style="position:absolute" from="2930,6301" to="2930,3339" stroked="true" strokeweight=".707275pt" strokecolor="#000000">
              <v:stroke dashstyle="solid"/>
            </v:line>
            <v:shape style="position:absolute;left:0;top:15499;width:60;height:4200" coordorigin="0,15500" coordsize="60,4200" path="m2888,6301l2930,6301m2888,5808l2930,5808m2888,5314l2930,5314m2888,4820l2930,4820m2888,4327l2930,4327m2888,3833l2930,3833m2888,3339l2930,3339e" filled="false" stroked="true" strokeweight=".706253pt" strokecolor="#000000">
              <v:path arrowok="t"/>
              <v:stroke dashstyle="solid"/>
            </v:shape>
            <v:shape style="position:absolute;left:0;top:15499;width:60;height:4200" coordorigin="0,15500" coordsize="60,4200" path="m8207,6301l8207,3339m8207,6301l8249,6301m8207,5808l8249,5808m8207,5314l8249,5314m8207,4820l8249,4820m8207,4327l8249,4327m8207,3833l8249,3833m8207,3339l8249,3339e" filled="false" stroked="true" strokeweight=".706253pt" strokecolor="#000000">
              <v:path arrowok="t"/>
              <v:stroke dashstyle="solid"/>
            </v:shape>
            <v:shape style="position:absolute;left:0;top:15439;width:7460;height:60" coordorigin="0,15440" coordsize="7460,60" path="m2930,6301l8207,6301m2930,6301l2930,6344m3638,6301l3638,6344m4345,6301l4345,6344m5038,6301l5038,6344m5745,6301l5745,6344m6452,6301l6452,6344m7146,6301l7146,6344m7853,6301l7853,6344e" filled="false" stroked="true" strokeweight=".706253pt" strokecolor="#000000">
              <v:path arrowok="t"/>
              <v:stroke dashstyle="solid"/>
            </v:shape>
            <v:shape style="position:absolute;left:2937;top:3558;width:5263;height:2158" coordorigin="2937,3558" coordsize="5263,2158" path="m2937,5025l3107,5293,3291,5490,3461,5561,3645,5617,3814,5646,3984,5716,4168,5716,4338,5617,4522,5547,4691,5490,4861,5363,5045,5279,5215,5180,5399,5124,5568,5039,5752,4926,5922,4813,6092,4700,6276,4644,6445,4588,6629,4489,6799,4334,6969,4150,7153,4023,7322,3939,7506,3868,7676,3812,7860,3770,8030,3657,8199,3558e" filled="false" stroked="true" strokeweight="1.41105pt" strokecolor="#993300">
              <v:path arrowok="t"/>
              <v:stroke dashstyle="solid"/>
            </v:shape>
            <v:shape style="position:absolute;left:2937;top:4799;width:5263;height:847" coordorigin="2937,4799" coordsize="5263,847" path="m2937,4842l3107,4799,3291,4813,3461,4856,3645,4912,3814,4983,3984,5067,4168,5138,4338,5222,4522,5279,4691,5321,4861,5349,5045,5378,5215,5392,5399,5406,5568,5420,5752,5434,5922,5462,6092,5476,6276,5504,6445,5533,6629,5561,6799,5589,6969,5617,7153,5631,7322,5646,7506,5646,7676,5646,7860,5646,8030,5631,8199,5617e" filled="false" stroked="true" strokeweight="1.410565pt" strokecolor="#333399">
              <v:path arrowok="t"/>
              <v:stroke dashstyle="solid"/>
            </v:shape>
            <v:line style="position:absolute" from="4027,3600" to="4380,3600" stroked="true" strokeweight="1.410461pt" strokecolor="#993300">
              <v:stroke dashstyle="solid"/>
            </v:line>
            <w10:wrap type="none"/>
          </v:group>
        </w:pict>
      </w:r>
      <w:r>
        <w:rPr/>
        <w:t>generated many more jobs than were lost in the public sector. As Chart 7 shows, the private sector created around 2 million extra jobs in the mid-1990s, dwarfing the reduction in public sector employment. The challenge facing the UK economy in the years ahead is to ensure that the private sector can once again become an engine of job creation and growth as the public sector rebalances, repeating the positive experience of the 1990s recovery.</w:t>
      </w:r>
    </w:p>
    <w:p>
      <w:pPr>
        <w:pStyle w:val="BodyText"/>
        <w:rPr>
          <w:sz w:val="20"/>
        </w:rPr>
      </w:pPr>
    </w:p>
    <w:p>
      <w:pPr>
        <w:pStyle w:val="BodyText"/>
        <w:spacing w:before="6"/>
        <w:rPr>
          <w:sz w:val="16"/>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632"/>
        <w:gridCol w:w="2178"/>
        <w:gridCol w:w="703"/>
        <w:gridCol w:w="703"/>
        <w:gridCol w:w="699"/>
        <w:gridCol w:w="1635"/>
      </w:tblGrid>
      <w:tr>
        <w:trPr>
          <w:trHeight w:val="551" w:hRule="atLeast"/>
        </w:trPr>
        <w:tc>
          <w:tcPr>
            <w:tcW w:w="8415" w:type="dxa"/>
            <w:gridSpan w:val="7"/>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7"/>
              <w:rPr>
                <w:b/>
                <w:sz w:val="24"/>
              </w:rPr>
            </w:pPr>
            <w:r>
              <w:rPr>
                <w:b/>
                <w:sz w:val="24"/>
              </w:rPr>
              <w:t>Chart 7: Public and private employment in 1990s</w:t>
            </w:r>
          </w:p>
          <w:p>
            <w:pPr>
              <w:pStyle w:val="TableParagraph"/>
              <w:spacing w:line="261" w:lineRule="exact"/>
              <w:ind w:left="107"/>
              <w:rPr>
                <w:sz w:val="24"/>
              </w:rPr>
            </w:pPr>
            <w:r>
              <w:rPr>
                <w:sz w:val="24"/>
              </w:rPr>
              <w:t>Thousands of workers</w:t>
            </w:r>
          </w:p>
        </w:tc>
      </w:tr>
      <w:tr>
        <w:trPr>
          <w:trHeight w:val="337" w:hRule="atLeast"/>
        </w:trPr>
        <w:tc>
          <w:tcPr>
            <w:tcW w:w="1865" w:type="dxa"/>
            <w:tcBorders>
              <w:top w:val="single" w:sz="4" w:space="0" w:color="000000"/>
              <w:left w:val="single" w:sz="4" w:space="0" w:color="000000"/>
            </w:tcBorders>
          </w:tcPr>
          <w:p>
            <w:pPr>
              <w:pStyle w:val="TableParagraph"/>
              <w:spacing w:before="109"/>
              <w:ind w:left="1018"/>
              <w:rPr>
                <w:rFonts w:ascii="Arial"/>
                <w:b/>
                <w:sz w:val="15"/>
              </w:rPr>
            </w:pPr>
            <w:r>
              <w:rPr>
                <w:rFonts w:ascii="Arial"/>
                <w:b/>
                <w:w w:val="105"/>
                <w:sz w:val="15"/>
              </w:rPr>
              <w:t>7500</w:t>
            </w:r>
          </w:p>
        </w:tc>
        <w:tc>
          <w:tcPr>
            <w:tcW w:w="632" w:type="dxa"/>
            <w:tcBorders>
              <w:top w:val="single" w:sz="4" w:space="0" w:color="000000"/>
            </w:tcBorders>
          </w:tcPr>
          <w:p>
            <w:pPr>
              <w:pStyle w:val="TableParagraph"/>
              <w:rPr>
                <w:sz w:val="22"/>
              </w:rPr>
            </w:pPr>
          </w:p>
        </w:tc>
        <w:tc>
          <w:tcPr>
            <w:tcW w:w="2178" w:type="dxa"/>
            <w:tcBorders>
              <w:top w:val="single" w:sz="4" w:space="0" w:color="000000"/>
            </w:tcBorders>
          </w:tcPr>
          <w:p>
            <w:pPr>
              <w:pStyle w:val="TableParagraph"/>
              <w:rPr>
                <w:sz w:val="22"/>
              </w:rPr>
            </w:pPr>
          </w:p>
        </w:tc>
        <w:tc>
          <w:tcPr>
            <w:tcW w:w="703" w:type="dxa"/>
            <w:tcBorders>
              <w:top w:val="single" w:sz="4" w:space="0" w:color="000000"/>
            </w:tcBorders>
          </w:tcPr>
          <w:p>
            <w:pPr>
              <w:pStyle w:val="TableParagraph"/>
              <w:rPr>
                <w:sz w:val="22"/>
              </w:rPr>
            </w:pPr>
          </w:p>
        </w:tc>
        <w:tc>
          <w:tcPr>
            <w:tcW w:w="703" w:type="dxa"/>
            <w:tcBorders>
              <w:top w:val="single" w:sz="4" w:space="0" w:color="000000"/>
            </w:tcBorders>
          </w:tcPr>
          <w:p>
            <w:pPr>
              <w:pStyle w:val="TableParagraph"/>
              <w:rPr>
                <w:sz w:val="22"/>
              </w:rPr>
            </w:pPr>
          </w:p>
        </w:tc>
        <w:tc>
          <w:tcPr>
            <w:tcW w:w="699" w:type="dxa"/>
            <w:tcBorders>
              <w:top w:val="single" w:sz="4" w:space="0" w:color="000000"/>
            </w:tcBorders>
          </w:tcPr>
          <w:p>
            <w:pPr>
              <w:pStyle w:val="TableParagraph"/>
              <w:rPr>
                <w:sz w:val="22"/>
              </w:rPr>
            </w:pPr>
          </w:p>
        </w:tc>
        <w:tc>
          <w:tcPr>
            <w:tcW w:w="1635" w:type="dxa"/>
            <w:tcBorders>
              <w:top w:val="single" w:sz="4" w:space="0" w:color="000000"/>
              <w:right w:val="single" w:sz="4" w:space="0" w:color="000000"/>
            </w:tcBorders>
          </w:tcPr>
          <w:p>
            <w:pPr>
              <w:pStyle w:val="TableParagraph"/>
              <w:spacing w:before="118"/>
              <w:ind w:left="181"/>
              <w:rPr>
                <w:rFonts w:ascii="Arial"/>
                <w:b/>
                <w:sz w:val="15"/>
              </w:rPr>
            </w:pPr>
            <w:r>
              <w:rPr>
                <w:rFonts w:ascii="Arial"/>
                <w:b/>
                <w:w w:val="105"/>
                <w:sz w:val="15"/>
              </w:rPr>
              <w:t>22000</w:t>
            </w:r>
          </w:p>
        </w:tc>
      </w:tr>
      <w:tr>
        <w:trPr>
          <w:trHeight w:val="283" w:hRule="atLeast"/>
        </w:trPr>
        <w:tc>
          <w:tcPr>
            <w:tcW w:w="1865" w:type="dxa"/>
            <w:tcBorders>
              <w:left w:val="single" w:sz="4" w:space="0" w:color="000000"/>
            </w:tcBorders>
          </w:tcPr>
          <w:p>
            <w:pPr>
              <w:pStyle w:val="TableParagraph"/>
              <w:rPr>
                <w:sz w:val="20"/>
              </w:rPr>
            </w:pPr>
          </w:p>
        </w:tc>
        <w:tc>
          <w:tcPr>
            <w:tcW w:w="632" w:type="dxa"/>
          </w:tcPr>
          <w:p>
            <w:pPr>
              <w:pStyle w:val="TableParagraph"/>
              <w:rPr>
                <w:sz w:val="20"/>
              </w:rPr>
            </w:pPr>
          </w:p>
        </w:tc>
        <w:tc>
          <w:tcPr>
            <w:tcW w:w="2178" w:type="dxa"/>
          </w:tcPr>
          <w:p>
            <w:pPr>
              <w:pStyle w:val="TableParagraph"/>
              <w:spacing w:before="46"/>
              <w:ind w:right="200"/>
              <w:jc w:val="right"/>
              <w:rPr>
                <w:rFonts w:ascii="Arial"/>
                <w:b/>
                <w:sz w:val="15"/>
              </w:rPr>
            </w:pPr>
            <w:r>
              <w:rPr>
                <w:rFonts w:ascii="Arial"/>
                <w:b/>
                <w:w w:val="105"/>
                <w:sz w:val="15"/>
              </w:rPr>
              <w:t>Private sector (RHS)</w:t>
            </w:r>
          </w:p>
        </w:tc>
        <w:tc>
          <w:tcPr>
            <w:tcW w:w="703" w:type="dxa"/>
          </w:tcPr>
          <w:p>
            <w:pPr>
              <w:pStyle w:val="TableParagraph"/>
              <w:rPr>
                <w:sz w:val="20"/>
              </w:rPr>
            </w:pPr>
          </w:p>
        </w:tc>
        <w:tc>
          <w:tcPr>
            <w:tcW w:w="703" w:type="dxa"/>
          </w:tcPr>
          <w:p>
            <w:pPr>
              <w:pStyle w:val="TableParagraph"/>
              <w:rPr>
                <w:sz w:val="20"/>
              </w:rPr>
            </w:pPr>
          </w:p>
        </w:tc>
        <w:tc>
          <w:tcPr>
            <w:tcW w:w="699" w:type="dxa"/>
          </w:tcPr>
          <w:p>
            <w:pPr>
              <w:pStyle w:val="TableParagraph"/>
              <w:rPr>
                <w:sz w:val="20"/>
              </w:rPr>
            </w:pPr>
          </w:p>
        </w:tc>
        <w:tc>
          <w:tcPr>
            <w:tcW w:w="1635" w:type="dxa"/>
            <w:tcBorders>
              <w:right w:val="single" w:sz="4" w:space="0" w:color="000000"/>
            </w:tcBorders>
          </w:tcPr>
          <w:p>
            <w:pPr>
              <w:pStyle w:val="TableParagraph"/>
              <w:rPr>
                <w:sz w:val="20"/>
              </w:rPr>
            </w:pPr>
          </w:p>
        </w:tc>
      </w:tr>
      <w:tr>
        <w:trPr>
          <w:trHeight w:val="364" w:hRule="atLeast"/>
        </w:trPr>
        <w:tc>
          <w:tcPr>
            <w:tcW w:w="1865" w:type="dxa"/>
            <w:tcBorders>
              <w:left w:val="single" w:sz="4" w:space="0" w:color="000000"/>
            </w:tcBorders>
          </w:tcPr>
          <w:p>
            <w:pPr>
              <w:pStyle w:val="TableParagraph"/>
              <w:spacing w:line="155" w:lineRule="exact"/>
              <w:ind w:left="1018"/>
              <w:rPr>
                <w:rFonts w:ascii="Arial"/>
                <w:b/>
                <w:sz w:val="15"/>
              </w:rPr>
            </w:pPr>
            <w:r>
              <w:rPr>
                <w:rFonts w:ascii="Arial"/>
                <w:b/>
                <w:w w:val="105"/>
                <w:sz w:val="15"/>
              </w:rPr>
              <w:t>7000</w:t>
            </w:r>
          </w:p>
        </w:tc>
        <w:tc>
          <w:tcPr>
            <w:tcW w:w="632" w:type="dxa"/>
          </w:tcPr>
          <w:p>
            <w:pPr>
              <w:pStyle w:val="TableParagraph"/>
              <w:rPr>
                <w:sz w:val="22"/>
              </w:rPr>
            </w:pPr>
          </w:p>
        </w:tc>
        <w:tc>
          <w:tcPr>
            <w:tcW w:w="2178" w:type="dxa"/>
          </w:tcPr>
          <w:p>
            <w:pPr>
              <w:pStyle w:val="TableParagraph"/>
              <w:tabs>
                <w:tab w:pos="469" w:val="left" w:leader="none"/>
              </w:tabs>
              <w:spacing w:before="77"/>
              <w:ind w:left="115"/>
              <w:rPr>
                <w:rFonts w:ascii="Arial"/>
                <w:b/>
                <w:sz w:val="15"/>
              </w:rPr>
            </w:pPr>
            <w:r>
              <w:rPr>
                <w:rFonts w:ascii="Arial"/>
                <w:b/>
                <w:w w:val="103"/>
                <w:position w:val="9"/>
                <w:sz w:val="15"/>
                <w:u w:val="thick" w:color="333399"/>
              </w:rPr>
              <w:t> </w:t>
            </w:r>
            <w:r>
              <w:rPr>
                <w:rFonts w:ascii="Arial"/>
                <w:b/>
                <w:position w:val="9"/>
                <w:sz w:val="15"/>
                <w:u w:val="thick" w:color="333399"/>
              </w:rPr>
              <w:tab/>
            </w:r>
            <w:r>
              <w:rPr>
                <w:rFonts w:ascii="Arial"/>
                <w:b/>
                <w:spacing w:val="-2"/>
                <w:position w:val="9"/>
                <w:sz w:val="15"/>
              </w:rPr>
              <w:t> </w:t>
            </w:r>
            <w:r>
              <w:rPr>
                <w:rFonts w:ascii="Arial"/>
                <w:b/>
                <w:w w:val="105"/>
                <w:sz w:val="15"/>
              </w:rPr>
              <w:t>Public</w:t>
            </w:r>
            <w:r>
              <w:rPr>
                <w:rFonts w:ascii="Arial"/>
                <w:b/>
                <w:spacing w:val="-20"/>
                <w:w w:val="105"/>
                <w:sz w:val="15"/>
              </w:rPr>
              <w:t> </w:t>
            </w:r>
            <w:r>
              <w:rPr>
                <w:rFonts w:ascii="Arial"/>
                <w:b/>
                <w:w w:val="105"/>
                <w:sz w:val="15"/>
              </w:rPr>
              <w:t>sector</w:t>
            </w:r>
            <w:r>
              <w:rPr>
                <w:rFonts w:ascii="Arial"/>
                <w:b/>
                <w:spacing w:val="-21"/>
                <w:w w:val="105"/>
                <w:sz w:val="15"/>
              </w:rPr>
              <w:t> </w:t>
            </w:r>
            <w:r>
              <w:rPr>
                <w:rFonts w:ascii="Arial"/>
                <w:b/>
                <w:w w:val="105"/>
                <w:sz w:val="15"/>
              </w:rPr>
              <w:t>(LHS)</w:t>
            </w:r>
          </w:p>
        </w:tc>
        <w:tc>
          <w:tcPr>
            <w:tcW w:w="703" w:type="dxa"/>
          </w:tcPr>
          <w:p>
            <w:pPr>
              <w:pStyle w:val="TableParagraph"/>
              <w:rPr>
                <w:sz w:val="22"/>
              </w:rPr>
            </w:pPr>
          </w:p>
        </w:tc>
        <w:tc>
          <w:tcPr>
            <w:tcW w:w="703" w:type="dxa"/>
          </w:tcPr>
          <w:p>
            <w:pPr>
              <w:pStyle w:val="TableParagraph"/>
              <w:rPr>
                <w:sz w:val="22"/>
              </w:rPr>
            </w:pPr>
          </w:p>
        </w:tc>
        <w:tc>
          <w:tcPr>
            <w:tcW w:w="699" w:type="dxa"/>
          </w:tcPr>
          <w:p>
            <w:pPr>
              <w:pStyle w:val="TableParagraph"/>
              <w:rPr>
                <w:sz w:val="22"/>
              </w:rPr>
            </w:pPr>
          </w:p>
        </w:tc>
        <w:tc>
          <w:tcPr>
            <w:tcW w:w="1635" w:type="dxa"/>
            <w:tcBorders>
              <w:right w:val="single" w:sz="4" w:space="0" w:color="000000"/>
            </w:tcBorders>
          </w:tcPr>
          <w:p>
            <w:pPr>
              <w:pStyle w:val="TableParagraph"/>
              <w:spacing w:line="164" w:lineRule="exact"/>
              <w:ind w:left="181"/>
              <w:rPr>
                <w:rFonts w:ascii="Arial"/>
                <w:b/>
                <w:sz w:val="15"/>
              </w:rPr>
            </w:pPr>
            <w:r>
              <w:rPr>
                <w:rFonts w:ascii="Arial"/>
                <w:b/>
                <w:w w:val="105"/>
                <w:sz w:val="15"/>
              </w:rPr>
              <w:t>21500</w:t>
            </w:r>
          </w:p>
        </w:tc>
      </w:tr>
      <w:tr>
        <w:trPr>
          <w:trHeight w:val="451" w:hRule="atLeast"/>
        </w:trPr>
        <w:tc>
          <w:tcPr>
            <w:tcW w:w="1865" w:type="dxa"/>
            <w:tcBorders>
              <w:left w:val="single" w:sz="4" w:space="0" w:color="000000"/>
            </w:tcBorders>
          </w:tcPr>
          <w:p>
            <w:pPr>
              <w:pStyle w:val="TableParagraph"/>
              <w:spacing w:before="113"/>
              <w:ind w:left="1018"/>
              <w:rPr>
                <w:rFonts w:ascii="Arial"/>
                <w:b/>
                <w:sz w:val="15"/>
              </w:rPr>
            </w:pPr>
            <w:r>
              <w:rPr>
                <w:rFonts w:ascii="Arial"/>
                <w:b/>
                <w:w w:val="105"/>
                <w:sz w:val="15"/>
              </w:rPr>
              <w:t>6500</w:t>
            </w:r>
          </w:p>
        </w:tc>
        <w:tc>
          <w:tcPr>
            <w:tcW w:w="632" w:type="dxa"/>
          </w:tcPr>
          <w:p>
            <w:pPr>
              <w:pStyle w:val="TableParagraph"/>
              <w:rPr>
                <w:sz w:val="22"/>
              </w:rPr>
            </w:pPr>
          </w:p>
        </w:tc>
        <w:tc>
          <w:tcPr>
            <w:tcW w:w="2178" w:type="dxa"/>
          </w:tcPr>
          <w:p>
            <w:pPr>
              <w:pStyle w:val="TableParagraph"/>
              <w:rPr>
                <w:sz w:val="22"/>
              </w:rPr>
            </w:pPr>
          </w:p>
        </w:tc>
        <w:tc>
          <w:tcPr>
            <w:tcW w:w="703" w:type="dxa"/>
          </w:tcPr>
          <w:p>
            <w:pPr>
              <w:pStyle w:val="TableParagraph"/>
              <w:rPr>
                <w:sz w:val="22"/>
              </w:rPr>
            </w:pPr>
          </w:p>
        </w:tc>
        <w:tc>
          <w:tcPr>
            <w:tcW w:w="703" w:type="dxa"/>
          </w:tcPr>
          <w:p>
            <w:pPr>
              <w:pStyle w:val="TableParagraph"/>
              <w:rPr>
                <w:sz w:val="22"/>
              </w:rPr>
            </w:pPr>
          </w:p>
        </w:tc>
        <w:tc>
          <w:tcPr>
            <w:tcW w:w="699" w:type="dxa"/>
          </w:tcPr>
          <w:p>
            <w:pPr>
              <w:pStyle w:val="TableParagraph"/>
              <w:rPr>
                <w:sz w:val="22"/>
              </w:rPr>
            </w:pPr>
          </w:p>
        </w:tc>
        <w:tc>
          <w:tcPr>
            <w:tcW w:w="1635" w:type="dxa"/>
            <w:tcBorders>
              <w:right w:val="single" w:sz="4" w:space="0" w:color="000000"/>
            </w:tcBorders>
          </w:tcPr>
          <w:p>
            <w:pPr>
              <w:pStyle w:val="TableParagraph"/>
              <w:spacing w:before="121"/>
              <w:ind w:left="181"/>
              <w:rPr>
                <w:rFonts w:ascii="Arial"/>
                <w:b/>
                <w:sz w:val="15"/>
              </w:rPr>
            </w:pPr>
            <w:r>
              <w:rPr>
                <w:rFonts w:ascii="Arial"/>
                <w:b/>
                <w:w w:val="105"/>
                <w:sz w:val="15"/>
              </w:rPr>
              <w:t>21000</w:t>
            </w:r>
          </w:p>
        </w:tc>
      </w:tr>
      <w:tr>
        <w:trPr>
          <w:trHeight w:val="494" w:hRule="atLeast"/>
        </w:trPr>
        <w:tc>
          <w:tcPr>
            <w:tcW w:w="1865" w:type="dxa"/>
            <w:tcBorders>
              <w:left w:val="single" w:sz="4" w:space="0" w:color="000000"/>
            </w:tcBorders>
          </w:tcPr>
          <w:p>
            <w:pPr>
              <w:pStyle w:val="TableParagraph"/>
              <w:spacing w:before="6"/>
              <w:rPr>
                <w:sz w:val="13"/>
              </w:rPr>
            </w:pPr>
          </w:p>
          <w:p>
            <w:pPr>
              <w:pStyle w:val="TableParagraph"/>
              <w:ind w:left="1018"/>
              <w:rPr>
                <w:rFonts w:ascii="Arial"/>
                <w:b/>
                <w:sz w:val="15"/>
              </w:rPr>
            </w:pPr>
            <w:r>
              <w:rPr>
                <w:rFonts w:ascii="Arial"/>
                <w:b/>
                <w:w w:val="105"/>
                <w:sz w:val="15"/>
              </w:rPr>
              <w:t>6000</w:t>
            </w:r>
          </w:p>
        </w:tc>
        <w:tc>
          <w:tcPr>
            <w:tcW w:w="632" w:type="dxa"/>
          </w:tcPr>
          <w:p>
            <w:pPr>
              <w:pStyle w:val="TableParagraph"/>
              <w:rPr>
                <w:sz w:val="22"/>
              </w:rPr>
            </w:pPr>
          </w:p>
        </w:tc>
        <w:tc>
          <w:tcPr>
            <w:tcW w:w="2178" w:type="dxa"/>
          </w:tcPr>
          <w:p>
            <w:pPr>
              <w:pStyle w:val="TableParagraph"/>
              <w:rPr>
                <w:sz w:val="22"/>
              </w:rPr>
            </w:pPr>
          </w:p>
        </w:tc>
        <w:tc>
          <w:tcPr>
            <w:tcW w:w="703" w:type="dxa"/>
          </w:tcPr>
          <w:p>
            <w:pPr>
              <w:pStyle w:val="TableParagraph"/>
              <w:rPr>
                <w:sz w:val="22"/>
              </w:rPr>
            </w:pPr>
          </w:p>
        </w:tc>
        <w:tc>
          <w:tcPr>
            <w:tcW w:w="703" w:type="dxa"/>
          </w:tcPr>
          <w:p>
            <w:pPr>
              <w:pStyle w:val="TableParagraph"/>
              <w:rPr>
                <w:sz w:val="22"/>
              </w:rPr>
            </w:pPr>
          </w:p>
        </w:tc>
        <w:tc>
          <w:tcPr>
            <w:tcW w:w="699" w:type="dxa"/>
          </w:tcPr>
          <w:p>
            <w:pPr>
              <w:pStyle w:val="TableParagraph"/>
              <w:rPr>
                <w:sz w:val="22"/>
              </w:rPr>
            </w:pPr>
          </w:p>
        </w:tc>
        <w:tc>
          <w:tcPr>
            <w:tcW w:w="1635" w:type="dxa"/>
            <w:tcBorders>
              <w:right w:val="single" w:sz="4" w:space="0" w:color="000000"/>
            </w:tcBorders>
          </w:tcPr>
          <w:p>
            <w:pPr>
              <w:pStyle w:val="TableParagraph"/>
              <w:spacing w:before="3"/>
              <w:rPr>
                <w:sz w:val="14"/>
              </w:rPr>
            </w:pPr>
          </w:p>
          <w:p>
            <w:pPr>
              <w:pStyle w:val="TableParagraph"/>
              <w:ind w:left="181"/>
              <w:rPr>
                <w:rFonts w:ascii="Arial"/>
                <w:b/>
                <w:sz w:val="15"/>
              </w:rPr>
            </w:pPr>
            <w:r>
              <w:rPr>
                <w:rFonts w:ascii="Arial"/>
                <w:b/>
                <w:w w:val="105"/>
                <w:sz w:val="15"/>
              </w:rPr>
              <w:t>20500</w:t>
            </w:r>
          </w:p>
        </w:tc>
      </w:tr>
      <w:tr>
        <w:trPr>
          <w:trHeight w:val="494" w:hRule="atLeast"/>
        </w:trPr>
        <w:tc>
          <w:tcPr>
            <w:tcW w:w="1865" w:type="dxa"/>
            <w:tcBorders>
              <w:left w:val="single" w:sz="4" w:space="0" w:color="000000"/>
            </w:tcBorders>
          </w:tcPr>
          <w:p>
            <w:pPr>
              <w:pStyle w:val="TableParagraph"/>
              <w:spacing w:before="6"/>
              <w:rPr>
                <w:sz w:val="13"/>
              </w:rPr>
            </w:pPr>
          </w:p>
          <w:p>
            <w:pPr>
              <w:pStyle w:val="TableParagraph"/>
              <w:ind w:left="1018"/>
              <w:rPr>
                <w:rFonts w:ascii="Arial"/>
                <w:b/>
                <w:sz w:val="15"/>
              </w:rPr>
            </w:pPr>
            <w:r>
              <w:rPr>
                <w:rFonts w:ascii="Arial"/>
                <w:b/>
                <w:w w:val="105"/>
                <w:sz w:val="15"/>
              </w:rPr>
              <w:t>5500</w:t>
            </w:r>
          </w:p>
        </w:tc>
        <w:tc>
          <w:tcPr>
            <w:tcW w:w="632" w:type="dxa"/>
          </w:tcPr>
          <w:p>
            <w:pPr>
              <w:pStyle w:val="TableParagraph"/>
              <w:rPr>
                <w:sz w:val="22"/>
              </w:rPr>
            </w:pPr>
          </w:p>
        </w:tc>
        <w:tc>
          <w:tcPr>
            <w:tcW w:w="2178" w:type="dxa"/>
          </w:tcPr>
          <w:p>
            <w:pPr>
              <w:pStyle w:val="TableParagraph"/>
              <w:rPr>
                <w:sz w:val="22"/>
              </w:rPr>
            </w:pPr>
          </w:p>
        </w:tc>
        <w:tc>
          <w:tcPr>
            <w:tcW w:w="703" w:type="dxa"/>
          </w:tcPr>
          <w:p>
            <w:pPr>
              <w:pStyle w:val="TableParagraph"/>
              <w:rPr>
                <w:sz w:val="22"/>
              </w:rPr>
            </w:pPr>
          </w:p>
        </w:tc>
        <w:tc>
          <w:tcPr>
            <w:tcW w:w="703" w:type="dxa"/>
          </w:tcPr>
          <w:p>
            <w:pPr>
              <w:pStyle w:val="TableParagraph"/>
              <w:rPr>
                <w:sz w:val="22"/>
              </w:rPr>
            </w:pPr>
          </w:p>
        </w:tc>
        <w:tc>
          <w:tcPr>
            <w:tcW w:w="699" w:type="dxa"/>
          </w:tcPr>
          <w:p>
            <w:pPr>
              <w:pStyle w:val="TableParagraph"/>
              <w:rPr>
                <w:sz w:val="22"/>
              </w:rPr>
            </w:pPr>
          </w:p>
        </w:tc>
        <w:tc>
          <w:tcPr>
            <w:tcW w:w="1635" w:type="dxa"/>
            <w:tcBorders>
              <w:right w:val="single" w:sz="4" w:space="0" w:color="000000"/>
            </w:tcBorders>
          </w:tcPr>
          <w:p>
            <w:pPr>
              <w:pStyle w:val="TableParagraph"/>
              <w:spacing w:before="3"/>
              <w:rPr>
                <w:sz w:val="14"/>
              </w:rPr>
            </w:pPr>
          </w:p>
          <w:p>
            <w:pPr>
              <w:pStyle w:val="TableParagraph"/>
              <w:ind w:left="181"/>
              <w:rPr>
                <w:rFonts w:ascii="Arial"/>
                <w:b/>
                <w:sz w:val="15"/>
              </w:rPr>
            </w:pPr>
            <w:r>
              <w:rPr>
                <w:rFonts w:ascii="Arial"/>
                <w:b/>
                <w:w w:val="105"/>
                <w:sz w:val="15"/>
              </w:rPr>
              <w:t>20000</w:t>
            </w:r>
          </w:p>
        </w:tc>
      </w:tr>
      <w:tr>
        <w:trPr>
          <w:trHeight w:val="494" w:hRule="atLeast"/>
        </w:trPr>
        <w:tc>
          <w:tcPr>
            <w:tcW w:w="1865" w:type="dxa"/>
            <w:tcBorders>
              <w:left w:val="single" w:sz="4" w:space="0" w:color="000000"/>
            </w:tcBorders>
          </w:tcPr>
          <w:p>
            <w:pPr>
              <w:pStyle w:val="TableParagraph"/>
              <w:spacing w:before="6"/>
              <w:rPr>
                <w:sz w:val="13"/>
              </w:rPr>
            </w:pPr>
          </w:p>
          <w:p>
            <w:pPr>
              <w:pStyle w:val="TableParagraph"/>
              <w:ind w:left="1018"/>
              <w:rPr>
                <w:rFonts w:ascii="Arial"/>
                <w:b/>
                <w:sz w:val="15"/>
              </w:rPr>
            </w:pPr>
            <w:r>
              <w:rPr>
                <w:rFonts w:ascii="Arial"/>
                <w:b/>
                <w:w w:val="105"/>
                <w:sz w:val="15"/>
              </w:rPr>
              <w:t>5000</w:t>
            </w:r>
          </w:p>
        </w:tc>
        <w:tc>
          <w:tcPr>
            <w:tcW w:w="632" w:type="dxa"/>
          </w:tcPr>
          <w:p>
            <w:pPr>
              <w:pStyle w:val="TableParagraph"/>
              <w:rPr>
                <w:sz w:val="22"/>
              </w:rPr>
            </w:pPr>
          </w:p>
        </w:tc>
        <w:tc>
          <w:tcPr>
            <w:tcW w:w="2178" w:type="dxa"/>
          </w:tcPr>
          <w:p>
            <w:pPr>
              <w:pStyle w:val="TableParagraph"/>
              <w:rPr>
                <w:sz w:val="22"/>
              </w:rPr>
            </w:pPr>
          </w:p>
        </w:tc>
        <w:tc>
          <w:tcPr>
            <w:tcW w:w="703" w:type="dxa"/>
          </w:tcPr>
          <w:p>
            <w:pPr>
              <w:pStyle w:val="TableParagraph"/>
              <w:rPr>
                <w:sz w:val="22"/>
              </w:rPr>
            </w:pPr>
          </w:p>
        </w:tc>
        <w:tc>
          <w:tcPr>
            <w:tcW w:w="703" w:type="dxa"/>
          </w:tcPr>
          <w:p>
            <w:pPr>
              <w:pStyle w:val="TableParagraph"/>
              <w:rPr>
                <w:sz w:val="22"/>
              </w:rPr>
            </w:pPr>
          </w:p>
        </w:tc>
        <w:tc>
          <w:tcPr>
            <w:tcW w:w="699" w:type="dxa"/>
          </w:tcPr>
          <w:p>
            <w:pPr>
              <w:pStyle w:val="TableParagraph"/>
              <w:rPr>
                <w:sz w:val="22"/>
              </w:rPr>
            </w:pPr>
          </w:p>
        </w:tc>
        <w:tc>
          <w:tcPr>
            <w:tcW w:w="1635" w:type="dxa"/>
            <w:tcBorders>
              <w:right w:val="single" w:sz="4" w:space="0" w:color="000000"/>
            </w:tcBorders>
          </w:tcPr>
          <w:p>
            <w:pPr>
              <w:pStyle w:val="TableParagraph"/>
              <w:spacing w:before="3"/>
              <w:rPr>
                <w:sz w:val="14"/>
              </w:rPr>
            </w:pPr>
          </w:p>
          <w:p>
            <w:pPr>
              <w:pStyle w:val="TableParagraph"/>
              <w:ind w:left="181"/>
              <w:rPr>
                <w:rFonts w:ascii="Arial"/>
                <w:b/>
                <w:sz w:val="15"/>
              </w:rPr>
            </w:pPr>
            <w:r>
              <w:rPr>
                <w:rFonts w:ascii="Arial"/>
                <w:b/>
                <w:w w:val="105"/>
                <w:sz w:val="15"/>
              </w:rPr>
              <w:t>19500</w:t>
            </w:r>
          </w:p>
        </w:tc>
      </w:tr>
      <w:tr>
        <w:trPr>
          <w:trHeight w:val="380" w:hRule="atLeast"/>
        </w:trPr>
        <w:tc>
          <w:tcPr>
            <w:tcW w:w="1865" w:type="dxa"/>
            <w:tcBorders>
              <w:left w:val="single" w:sz="4" w:space="0" w:color="000000"/>
            </w:tcBorders>
          </w:tcPr>
          <w:p>
            <w:pPr>
              <w:pStyle w:val="TableParagraph"/>
              <w:spacing w:before="6"/>
              <w:rPr>
                <w:sz w:val="13"/>
              </w:rPr>
            </w:pPr>
          </w:p>
          <w:p>
            <w:pPr>
              <w:pStyle w:val="TableParagraph"/>
              <w:ind w:left="1018"/>
              <w:rPr>
                <w:rFonts w:ascii="Arial"/>
                <w:b/>
                <w:sz w:val="15"/>
              </w:rPr>
            </w:pPr>
            <w:r>
              <w:rPr>
                <w:rFonts w:ascii="Arial"/>
                <w:b/>
                <w:w w:val="105"/>
                <w:sz w:val="15"/>
              </w:rPr>
              <w:t>4500</w:t>
            </w:r>
          </w:p>
        </w:tc>
        <w:tc>
          <w:tcPr>
            <w:tcW w:w="632" w:type="dxa"/>
          </w:tcPr>
          <w:p>
            <w:pPr>
              <w:pStyle w:val="TableParagraph"/>
              <w:rPr>
                <w:sz w:val="22"/>
              </w:rPr>
            </w:pPr>
          </w:p>
        </w:tc>
        <w:tc>
          <w:tcPr>
            <w:tcW w:w="2178" w:type="dxa"/>
          </w:tcPr>
          <w:p>
            <w:pPr>
              <w:pStyle w:val="TableParagraph"/>
              <w:rPr>
                <w:sz w:val="22"/>
              </w:rPr>
            </w:pPr>
          </w:p>
        </w:tc>
        <w:tc>
          <w:tcPr>
            <w:tcW w:w="703" w:type="dxa"/>
          </w:tcPr>
          <w:p>
            <w:pPr>
              <w:pStyle w:val="TableParagraph"/>
              <w:rPr>
                <w:sz w:val="22"/>
              </w:rPr>
            </w:pPr>
          </w:p>
        </w:tc>
        <w:tc>
          <w:tcPr>
            <w:tcW w:w="703" w:type="dxa"/>
          </w:tcPr>
          <w:p>
            <w:pPr>
              <w:pStyle w:val="TableParagraph"/>
              <w:rPr>
                <w:sz w:val="22"/>
              </w:rPr>
            </w:pPr>
          </w:p>
        </w:tc>
        <w:tc>
          <w:tcPr>
            <w:tcW w:w="699" w:type="dxa"/>
          </w:tcPr>
          <w:p>
            <w:pPr>
              <w:pStyle w:val="TableParagraph"/>
              <w:rPr>
                <w:sz w:val="22"/>
              </w:rPr>
            </w:pPr>
          </w:p>
        </w:tc>
        <w:tc>
          <w:tcPr>
            <w:tcW w:w="1635" w:type="dxa"/>
            <w:tcBorders>
              <w:right w:val="single" w:sz="4" w:space="0" w:color="000000"/>
            </w:tcBorders>
          </w:tcPr>
          <w:p>
            <w:pPr>
              <w:pStyle w:val="TableParagraph"/>
              <w:spacing w:before="3"/>
              <w:rPr>
                <w:sz w:val="14"/>
              </w:rPr>
            </w:pPr>
          </w:p>
          <w:p>
            <w:pPr>
              <w:pStyle w:val="TableParagraph"/>
              <w:ind w:left="181"/>
              <w:rPr>
                <w:rFonts w:ascii="Arial"/>
                <w:b/>
                <w:sz w:val="15"/>
              </w:rPr>
            </w:pPr>
            <w:r>
              <w:rPr>
                <w:rFonts w:ascii="Arial"/>
                <w:b/>
                <w:w w:val="105"/>
                <w:sz w:val="15"/>
              </w:rPr>
              <w:t>19000</w:t>
            </w:r>
          </w:p>
        </w:tc>
      </w:tr>
      <w:tr>
        <w:trPr>
          <w:trHeight w:val="478" w:hRule="atLeast"/>
        </w:trPr>
        <w:tc>
          <w:tcPr>
            <w:tcW w:w="1865" w:type="dxa"/>
            <w:tcBorders>
              <w:left w:val="single" w:sz="4" w:space="0" w:color="000000"/>
              <w:bottom w:val="single" w:sz="4" w:space="0" w:color="000000"/>
            </w:tcBorders>
          </w:tcPr>
          <w:p>
            <w:pPr>
              <w:pStyle w:val="TableParagraph"/>
              <w:spacing w:before="42"/>
              <w:ind w:right="175"/>
              <w:jc w:val="right"/>
              <w:rPr>
                <w:rFonts w:ascii="Arial"/>
                <w:b/>
                <w:sz w:val="15"/>
              </w:rPr>
            </w:pPr>
            <w:r>
              <w:rPr>
                <w:rFonts w:ascii="Arial"/>
                <w:b/>
                <w:sz w:val="15"/>
              </w:rPr>
              <w:t>1991</w:t>
            </w:r>
          </w:p>
        </w:tc>
        <w:tc>
          <w:tcPr>
            <w:tcW w:w="632" w:type="dxa"/>
            <w:tcBorders>
              <w:bottom w:val="single" w:sz="4" w:space="0" w:color="000000"/>
            </w:tcBorders>
          </w:tcPr>
          <w:p>
            <w:pPr>
              <w:pStyle w:val="TableParagraph"/>
              <w:spacing w:before="42"/>
              <w:ind w:left="185"/>
              <w:rPr>
                <w:rFonts w:ascii="Arial"/>
                <w:b/>
                <w:sz w:val="15"/>
              </w:rPr>
            </w:pPr>
            <w:r>
              <w:rPr>
                <w:rFonts w:ascii="Arial"/>
                <w:b/>
                <w:w w:val="105"/>
                <w:sz w:val="15"/>
              </w:rPr>
              <w:t>1992</w:t>
            </w:r>
          </w:p>
        </w:tc>
        <w:tc>
          <w:tcPr>
            <w:tcW w:w="2178" w:type="dxa"/>
            <w:tcBorders>
              <w:bottom w:val="single" w:sz="4" w:space="0" w:color="000000"/>
            </w:tcBorders>
          </w:tcPr>
          <w:p>
            <w:pPr>
              <w:pStyle w:val="TableParagraph"/>
              <w:tabs>
                <w:tab w:pos="702" w:val="left" w:leader="none"/>
                <w:tab w:pos="1405" w:val="left" w:leader="none"/>
              </w:tabs>
              <w:spacing w:before="42"/>
              <w:ind w:right="175"/>
              <w:jc w:val="right"/>
              <w:rPr>
                <w:rFonts w:ascii="Arial"/>
                <w:b/>
                <w:sz w:val="15"/>
              </w:rPr>
            </w:pPr>
            <w:r>
              <w:rPr>
                <w:rFonts w:ascii="Arial"/>
                <w:b/>
                <w:w w:val="105"/>
                <w:sz w:val="15"/>
              </w:rPr>
              <w:t>1993</w:t>
              <w:tab/>
              <w:t>1994</w:t>
              <w:tab/>
            </w:r>
            <w:r>
              <w:rPr>
                <w:rFonts w:ascii="Arial"/>
                <w:b/>
                <w:spacing w:val="-2"/>
                <w:sz w:val="15"/>
              </w:rPr>
              <w:t>1995</w:t>
            </w:r>
          </w:p>
        </w:tc>
        <w:tc>
          <w:tcPr>
            <w:tcW w:w="703" w:type="dxa"/>
            <w:tcBorders>
              <w:bottom w:val="single" w:sz="4" w:space="0" w:color="000000"/>
            </w:tcBorders>
          </w:tcPr>
          <w:p>
            <w:pPr>
              <w:pStyle w:val="TableParagraph"/>
              <w:spacing w:before="42"/>
              <w:ind w:left="186"/>
              <w:rPr>
                <w:rFonts w:ascii="Arial"/>
                <w:b/>
                <w:sz w:val="15"/>
              </w:rPr>
            </w:pPr>
            <w:r>
              <w:rPr>
                <w:rFonts w:ascii="Arial"/>
                <w:b/>
                <w:w w:val="105"/>
                <w:sz w:val="15"/>
              </w:rPr>
              <w:t>1996</w:t>
            </w:r>
          </w:p>
        </w:tc>
        <w:tc>
          <w:tcPr>
            <w:tcW w:w="703" w:type="dxa"/>
            <w:tcBorders>
              <w:bottom w:val="single" w:sz="4" w:space="0" w:color="000000"/>
            </w:tcBorders>
          </w:tcPr>
          <w:p>
            <w:pPr>
              <w:pStyle w:val="TableParagraph"/>
              <w:spacing w:before="42"/>
              <w:ind w:left="185"/>
              <w:rPr>
                <w:rFonts w:ascii="Arial"/>
                <w:b/>
                <w:sz w:val="15"/>
              </w:rPr>
            </w:pPr>
            <w:r>
              <w:rPr>
                <w:rFonts w:ascii="Arial"/>
                <w:b/>
                <w:w w:val="105"/>
                <w:sz w:val="15"/>
              </w:rPr>
              <w:t>1997</w:t>
            </w:r>
          </w:p>
        </w:tc>
        <w:tc>
          <w:tcPr>
            <w:tcW w:w="699" w:type="dxa"/>
            <w:tcBorders>
              <w:bottom w:val="single" w:sz="4" w:space="0" w:color="000000"/>
            </w:tcBorders>
          </w:tcPr>
          <w:p>
            <w:pPr>
              <w:pStyle w:val="TableParagraph"/>
              <w:spacing w:before="42"/>
              <w:ind w:left="185"/>
              <w:rPr>
                <w:rFonts w:ascii="Arial"/>
                <w:b/>
                <w:sz w:val="15"/>
              </w:rPr>
            </w:pPr>
            <w:r>
              <w:rPr>
                <w:rFonts w:ascii="Arial"/>
                <w:b/>
                <w:w w:val="105"/>
                <w:sz w:val="15"/>
              </w:rPr>
              <w:t>1998</w:t>
            </w:r>
          </w:p>
        </w:tc>
        <w:tc>
          <w:tcPr>
            <w:tcW w:w="1635" w:type="dxa"/>
            <w:tcBorders>
              <w:bottom w:val="single" w:sz="4" w:space="0" w:color="000000"/>
              <w:right w:val="single" w:sz="4" w:space="0" w:color="000000"/>
            </w:tcBorders>
          </w:tcPr>
          <w:p>
            <w:pPr>
              <w:pStyle w:val="TableParagraph"/>
              <w:rPr>
                <w:sz w:val="22"/>
              </w:rPr>
            </w:pPr>
          </w:p>
        </w:tc>
      </w:tr>
      <w:tr>
        <w:trPr>
          <w:trHeight w:val="563" w:hRule="atLeast"/>
        </w:trPr>
        <w:tc>
          <w:tcPr>
            <w:tcW w:w="8415" w:type="dxa"/>
            <w:gridSpan w:val="7"/>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7"/>
              <w:rPr>
                <w:sz w:val="20"/>
              </w:rPr>
            </w:pPr>
            <w:r>
              <w:rPr>
                <w:sz w:val="20"/>
              </w:rPr>
              <w:t>Source: Office for National Statistics</w:t>
            </w:r>
          </w:p>
        </w:tc>
      </w:tr>
    </w:tbl>
    <w:p>
      <w:pPr>
        <w:pStyle w:val="BodyText"/>
        <w:spacing w:before="9"/>
        <w:rPr>
          <w:sz w:val="27"/>
        </w:rPr>
      </w:pPr>
    </w:p>
    <w:p>
      <w:pPr>
        <w:pStyle w:val="BodyText"/>
        <w:spacing w:line="360" w:lineRule="auto" w:before="90"/>
        <w:ind w:left="118" w:right="163"/>
      </w:pPr>
      <w:r>
        <w:rPr/>
        <w:t>There is, however, one important difference between the situation now and the mid-1990s in that the flow of finance to support the growth of private sector businesses has been affected by the impact of the financial crisis on the banking sector. For many businesses and individuals, the terms on which they can access lending are much less favourable than before the crisis. In one sense, this is very appropriate in that credit was too freely available in some parts of the financial system in the mid-2000s and this created the conditions for the global credit boom which preceded the financial crisis.</w:t>
      </w:r>
      <w:hyperlink w:history="true" w:anchor="_bookmark7">
        <w:r>
          <w:rPr>
            <w:vertAlign w:val="superscript"/>
          </w:rPr>
          <w:t>8</w:t>
        </w:r>
      </w:hyperlink>
      <w:r>
        <w:rPr>
          <w:vertAlign w:val="baseline"/>
        </w:rPr>
        <w:t>  But if the pendulum swings back too far and access to credit becomes too restrictive, that could become an impediment to growth over this</w:t>
      </w:r>
      <w:r>
        <w:rPr>
          <w:spacing w:val="-1"/>
          <w:vertAlign w:val="baseline"/>
        </w:rPr>
        <w:t> </w:t>
      </w:r>
      <w:r>
        <w:rPr>
          <w:vertAlign w:val="baseline"/>
        </w:rPr>
        <w:t>recovery.</w:t>
      </w:r>
    </w:p>
    <w:p>
      <w:pPr>
        <w:pStyle w:val="BodyText"/>
        <w:rPr>
          <w:sz w:val="36"/>
        </w:rPr>
      </w:pPr>
    </w:p>
    <w:p>
      <w:pPr>
        <w:pStyle w:val="BodyText"/>
        <w:spacing w:line="360" w:lineRule="auto"/>
        <w:ind w:left="118" w:right="226"/>
        <w:jc w:val="both"/>
      </w:pPr>
      <w:r>
        <w:rPr/>
        <w:t>In terms of the cost of funds, monetary policy has provided a powerful offset to any lending constraints. As Chart 8 shows, the cost of mortgage finance for households and the average rate on business borrowing has come down significantly. The current level of interest rates –</w:t>
      </w:r>
    </w:p>
    <w:p>
      <w:pPr>
        <w:pStyle w:val="BodyText"/>
        <w:spacing w:before="10"/>
        <w:rPr>
          <w:sz w:val="12"/>
        </w:rPr>
      </w:pPr>
      <w:r>
        <w:rPr/>
        <w:pict>
          <v:shape style="position:absolute;margin-left:70.919998pt;margin-top:9.669170pt;width:144pt;height:.1pt;mso-position-horizontal-relative:page;mso-position-vertical-relative:paragraph;z-index:-251649024;mso-wrap-distance-left:0;mso-wrap-distance-right:0" coordorigin="1418,193" coordsize="2880,0" path="m1418,193l4298,193e" filled="false" stroked="true" strokeweight=".6pt" strokecolor="#000000">
            <v:path arrowok="t"/>
            <v:stroke dashstyle="solid"/>
            <w10:wrap type="topAndBottom"/>
          </v:shape>
        </w:pict>
      </w:r>
    </w:p>
    <w:p>
      <w:pPr>
        <w:spacing w:before="50"/>
        <w:ind w:left="118" w:right="94" w:firstLine="0"/>
        <w:jc w:val="left"/>
        <w:rPr>
          <w:sz w:val="20"/>
        </w:rPr>
      </w:pPr>
      <w:bookmarkStart w:name="_bookmark7" w:id="8"/>
      <w:bookmarkEnd w:id="8"/>
      <w:r>
        <w:rPr/>
      </w:r>
      <w:r>
        <w:rPr>
          <w:position w:val="10"/>
          <w:sz w:val="14"/>
        </w:rPr>
        <w:t>8 </w:t>
      </w:r>
      <w:r>
        <w:rPr>
          <w:sz w:val="22"/>
        </w:rPr>
        <w:t>See </w:t>
      </w:r>
      <w:r>
        <w:rPr>
          <w:b/>
          <w:sz w:val="20"/>
        </w:rPr>
        <w:t>Hume, M. and Sentance, A., (2009) </w:t>
      </w:r>
      <w:r>
        <w:rPr>
          <w:sz w:val="20"/>
        </w:rPr>
        <w:t>“The Global Credit Boom: Challenges for Macroeconomics and Policy”, Bank of England Monetary Policy Committee Unit Discussion Paper no.27, June 2009.</w:t>
      </w:r>
    </w:p>
    <w:p>
      <w:pPr>
        <w:spacing w:after="0"/>
        <w:jc w:val="left"/>
        <w:rPr>
          <w:sz w:val="20"/>
        </w:rPr>
        <w:sectPr>
          <w:pgSz w:w="11910" w:h="16840"/>
          <w:pgMar w:header="0" w:footer="1060" w:top="1320" w:bottom="1260" w:left="1300" w:right="1320"/>
        </w:sectPr>
      </w:pPr>
    </w:p>
    <w:p>
      <w:pPr>
        <w:pStyle w:val="BodyText"/>
        <w:spacing w:line="360" w:lineRule="auto" w:before="74"/>
        <w:ind w:left="118" w:right="253"/>
      </w:pPr>
      <w:r>
        <w:rPr/>
        <w:pict>
          <v:group style="position:absolute;margin-left:125.493301pt;margin-top:125.235016pt;width:304.8pt;height:158.050pt;mso-position-horizontal-relative:page;mso-position-vertical-relative:paragraph;z-index:-254230528" coordorigin="2510,2505" coordsize="6096,3161">
            <v:shape style="position:absolute;left:0;top:15499;width:60;height:4460" coordorigin="0,15500" coordsize="60,4460" path="m8563,5658l8563,2512m8563,5658l8606,5658m8563,5319l8606,5319m8563,4967l8606,4967m8563,4614l8606,4614m8563,4261l8606,4261m8563,3908l8606,3908m8563,3556l8606,3556m8563,3203l8606,3203m8563,2864l8606,2864m8563,2512l8606,2512e" filled="false" stroked="true" strokeweight=".706703pt" strokecolor="#000000">
              <v:path arrowok="t"/>
              <v:stroke dashstyle="solid"/>
            </v:shape>
            <v:line style="position:absolute" from="2517,5658" to="8563,5658" stroked="true" strokeweight=".705414pt" strokecolor="#000000">
              <v:stroke dashstyle="solid"/>
            </v:line>
            <v:shape style="position:absolute;left:0;top:15439;width:8460;height:60" coordorigin="0,15440" coordsize="8460,60" path="m2517,5616l2517,5658m3721,5616l3721,5658m4910,5616l4910,5658m6114,5616l6114,5658m7317,5616l7317,5658m8507,5616l8507,5658e" filled="false" stroked="true" strokeweight=".706703pt" strokecolor="#000000">
              <v:path arrowok="t"/>
              <v:stroke dashstyle="solid"/>
            </v:shape>
            <v:shape style="position:absolute;left:2552;top:3167;width:5976;height:1256" coordorigin="2552,3168" coordsize="5976,1256" path="m2552,3168l2595,3168,2651,3182,2694,3182,2751,3196,2793,3210,2850,3210,2892,3267,2949,3281,2991,3351,3048,3408,3090,3408,3147,3422,3190,3478,3246,3535,3289,3605,3345,3704,3388,3718,3444,3718,3501,3746,3544,3760,3600,3760,3643,3746,3699,3803,3742,3803,3798,3803,3841,3803,3898,3803,3940,3817,3997,3831,4039,3831,4096,3887,4138,3901,4195,3916,4237,3916,4294,3930,4336,3972,4393,3986,4436,3986,4492,3986,4549,3958,4591,3944,4648,3916,4690,3887,4747,3901,4790,3887,4846,3831,4889,3774,4945,3760,4988,3704,5044,3704,5087,3704,5144,3704,5186,3718,5243,3718,5285,3732,5342,3732,5384,3732,5441,3732,5483,3718,5540,3732,5583,3774,5639,3789,5696,3789,5738,3789,5795,3789,5837,3789,5894,3803,6135,3803,6191,3760,6234,3774,6291,3760,6333,3718,6390,3718,6432,3676,6489,3676,6531,3676,6588,3676,6630,3633,6687,3619,6744,3591,6786,3591,6843,3577,6885,3577,6942,3563,6984,3605,7041,3605,7083,3633,7140,3633,7183,3662,7239,3647,7282,3633,7338,3633,7381,3633,7437,3619,7480,3718,7537,3972,7579,4141,7636,4226,7678,4325,7735,4395,7791,4409,7834,4409,7891,4409,8131,4409,8188,4381,8429,4381,8485,4395,8528,4423e" filled="false" stroked="true" strokeweight="1.411046pt" strokecolor="#333399">
              <v:path arrowok="t"/>
              <v:stroke dashstyle="solid"/>
            </v:shape>
            <v:shape style="position:absolute;left:2552;top:2942;width:5976;height:1792" coordorigin="2552,2942" coordsize="5976,1792" path="m2552,2942l2595,2956,2651,2984,2694,2984,2751,2984,2793,2998,2850,3041,2892,3083,2949,3097,2991,3154,3048,3196,3090,3210,3147,3252,3190,3309,3246,3379,3289,3506,3345,3563,3388,3591,3444,3605,3501,3605,3544,3605,3600,3605,3643,3605,3699,3619,3742,3605,3798,3605,3841,3605,3898,3619,3940,3605,3997,3619,4039,3662,4096,3690,4138,3676,4195,3704,4237,3704,4294,3732,4336,3760,4393,3760,4436,3746,4492,3704,4549,3690,4591,3760,4648,3690,4690,3647,4747,3633,4790,3591,4846,3563,4889,3478,4945,3436,4988,3422,5044,3478,5087,3478,5144,3464,5186,3464,5243,3492,5285,3464,5342,3464,5384,3464,5441,3478,5483,3492,5540,3535,5583,3563,5639,3577,5696,3577,5738,3520,5795,3520,5837,3520,5894,3535,5937,3535,5993,3520,6036,3535,6092,3506,6135,3464,6191,3464,6234,3436,6291,3394,6333,3365,6390,3351,6432,3309,6489,3323,6531,3281,6588,3267,6630,3252,6687,3182,6744,3154,6786,3097,6843,3111,6885,3111,6942,3125,6984,3154,7041,3224,7083,3238,7140,3238,7183,3252,7239,3267,7282,3267,7338,3281,7381,3267,7437,3252,7480,3506,7537,3845,7579,4113,7636,4381,7678,4480,7735,4579,7791,4621,7891,4677,7990,4706,8032,4720,8089,4734,8131,4734,8188,4691,8230,4691,8287,4677,8330,4663,8386,4663,8429,4649,8485,4649,8528,4649e" filled="false" stroked="true" strokeweight="1.411253pt" strokecolor="#993300">
              <v:path arrowok="t"/>
              <v:stroke dashstyle="solid"/>
            </v:shape>
            <v:line style="position:absolute" from="3034,2857" to="3388,2857" stroked="true" strokeweight="1.410828pt" strokecolor="#333399">
              <v:stroke dashstyle="solid"/>
            </v:line>
            <v:line style="position:absolute" from="4634,2857" to="5002,2857" stroked="true" strokeweight="1.410828pt" strokecolor="#993300">
              <v:stroke dashstyle="solid"/>
            </v:line>
            <w10:wrap type="none"/>
          </v:group>
        </w:pict>
      </w:r>
      <w:r>
        <w:rPr/>
        <w:t>even allowing for higher spreads on mortgage and business loans – is much lower than those prevailing over the recovery in the 1990s and at the current inflation rate the average loan rates shown in Chart 8 are close to zero in real terms.</w:t>
      </w:r>
      <w:hyperlink w:history="true" w:anchor="_bookmark8">
        <w:r>
          <w:rPr>
            <w:vertAlign w:val="superscript"/>
          </w:rPr>
          <w:t>9</w:t>
        </w:r>
      </w:hyperlink>
    </w:p>
    <w:p>
      <w:pPr>
        <w:pStyle w:val="BodyText"/>
        <w:rPr>
          <w:sz w:val="20"/>
        </w:rPr>
      </w:pPr>
    </w:p>
    <w:p>
      <w:pPr>
        <w:pStyle w:val="BodyText"/>
        <w:spacing w:before="6"/>
        <w:rPr>
          <w:sz w:val="16"/>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551" w:hRule="atLeast"/>
        </w:trPr>
        <w:tc>
          <w:tcPr>
            <w:tcW w:w="8414" w:type="dxa"/>
          </w:tcPr>
          <w:p>
            <w:pPr>
              <w:pStyle w:val="TableParagraph"/>
              <w:spacing w:line="270" w:lineRule="exact"/>
              <w:ind w:left="107"/>
              <w:rPr>
                <w:b/>
                <w:sz w:val="24"/>
              </w:rPr>
            </w:pPr>
            <w:r>
              <w:rPr>
                <w:b/>
                <w:sz w:val="24"/>
              </w:rPr>
              <w:t>Chart 8: Household and business loan rates</w:t>
            </w:r>
          </w:p>
          <w:p>
            <w:pPr>
              <w:pStyle w:val="TableParagraph"/>
              <w:spacing w:line="261" w:lineRule="exact"/>
              <w:ind w:left="107"/>
              <w:rPr>
                <w:sz w:val="24"/>
              </w:rPr>
            </w:pPr>
            <w:r>
              <w:rPr>
                <w:sz w:val="24"/>
              </w:rPr>
              <w:t>Effective interest rate on loans outstanding, percent</w:t>
            </w:r>
          </w:p>
        </w:tc>
      </w:tr>
      <w:tr>
        <w:trPr>
          <w:trHeight w:val="4034" w:hRule="atLeast"/>
        </w:trPr>
        <w:tc>
          <w:tcPr>
            <w:tcW w:w="8414" w:type="dxa"/>
          </w:tcPr>
          <w:p>
            <w:pPr>
              <w:pStyle w:val="TableParagraph"/>
              <w:spacing w:before="118"/>
              <w:ind w:left="7301"/>
              <w:rPr>
                <w:rFonts w:ascii="Arial"/>
                <w:b/>
                <w:sz w:val="15"/>
              </w:rPr>
            </w:pPr>
            <w:r>
              <w:rPr>
                <w:rFonts w:ascii="Arial"/>
                <w:b/>
                <w:w w:val="103"/>
                <w:sz w:val="15"/>
              </w:rPr>
              <w:t>9</w:t>
            </w:r>
          </w:p>
          <w:p>
            <w:pPr>
              <w:pStyle w:val="TableParagraph"/>
              <w:tabs>
                <w:tab w:pos="3617" w:val="left" w:leader="none"/>
                <w:tab w:pos="7387" w:val="right" w:leader="none"/>
              </w:tabs>
              <w:spacing w:before="168"/>
              <w:ind w:left="2012"/>
              <w:rPr>
                <w:rFonts w:ascii="Arial"/>
                <w:b/>
                <w:sz w:val="15"/>
              </w:rPr>
            </w:pPr>
            <w:r>
              <w:rPr>
                <w:rFonts w:ascii="Arial"/>
                <w:b/>
                <w:w w:val="105"/>
                <w:position w:val="1"/>
                <w:sz w:val="15"/>
              </w:rPr>
              <w:t>Mortgage</w:t>
              <w:tab/>
              <w:t>Non-financial</w:t>
            </w:r>
            <w:r>
              <w:rPr>
                <w:rFonts w:ascii="Arial"/>
                <w:b/>
                <w:spacing w:val="-18"/>
                <w:w w:val="105"/>
                <w:position w:val="1"/>
                <w:sz w:val="15"/>
              </w:rPr>
              <w:t> </w:t>
            </w:r>
            <w:r>
              <w:rPr>
                <w:rFonts w:ascii="Arial"/>
                <w:b/>
                <w:spacing w:val="-3"/>
                <w:w w:val="105"/>
                <w:position w:val="1"/>
                <w:sz w:val="15"/>
              </w:rPr>
              <w:t>companies</w:t>
              <w:tab/>
            </w:r>
            <w:r>
              <w:rPr>
                <w:rFonts w:ascii="Arial"/>
                <w:b/>
                <w:w w:val="105"/>
                <w:sz w:val="15"/>
              </w:rPr>
              <w:t>8</w:t>
            </w:r>
          </w:p>
          <w:p>
            <w:pPr>
              <w:pStyle w:val="TableParagraph"/>
              <w:spacing w:before="5"/>
              <w:rPr>
                <w:sz w:val="15"/>
              </w:rPr>
            </w:pPr>
          </w:p>
          <w:p>
            <w:pPr>
              <w:pStyle w:val="TableParagraph"/>
              <w:spacing w:before="1"/>
              <w:ind w:left="7301"/>
              <w:rPr>
                <w:rFonts w:ascii="Arial"/>
                <w:b/>
                <w:sz w:val="15"/>
              </w:rPr>
            </w:pPr>
            <w:r>
              <w:rPr>
                <w:rFonts w:ascii="Arial"/>
                <w:b/>
                <w:w w:val="103"/>
                <w:sz w:val="15"/>
              </w:rPr>
              <w:t>7</w:t>
            </w:r>
          </w:p>
          <w:p>
            <w:pPr>
              <w:pStyle w:val="TableParagraph"/>
              <w:spacing w:before="5"/>
              <w:rPr>
                <w:sz w:val="15"/>
              </w:rPr>
            </w:pPr>
          </w:p>
          <w:p>
            <w:pPr>
              <w:pStyle w:val="TableParagraph"/>
              <w:ind w:left="7301"/>
              <w:rPr>
                <w:rFonts w:ascii="Arial"/>
                <w:b/>
                <w:sz w:val="15"/>
              </w:rPr>
            </w:pPr>
            <w:r>
              <w:rPr>
                <w:rFonts w:ascii="Arial"/>
                <w:b/>
                <w:w w:val="103"/>
                <w:sz w:val="15"/>
              </w:rPr>
              <w:t>6</w:t>
            </w:r>
          </w:p>
          <w:p>
            <w:pPr>
              <w:pStyle w:val="TableParagraph"/>
              <w:spacing w:before="6"/>
              <w:rPr>
                <w:sz w:val="15"/>
              </w:rPr>
            </w:pPr>
          </w:p>
          <w:p>
            <w:pPr>
              <w:pStyle w:val="TableParagraph"/>
              <w:ind w:left="7301"/>
              <w:rPr>
                <w:rFonts w:ascii="Arial"/>
                <w:b/>
                <w:sz w:val="15"/>
              </w:rPr>
            </w:pPr>
            <w:r>
              <w:rPr>
                <w:rFonts w:ascii="Arial"/>
                <w:b/>
                <w:w w:val="103"/>
                <w:sz w:val="15"/>
              </w:rPr>
              <w:t>5</w:t>
            </w:r>
          </w:p>
          <w:p>
            <w:pPr>
              <w:pStyle w:val="TableParagraph"/>
              <w:spacing w:before="5"/>
              <w:rPr>
                <w:sz w:val="15"/>
              </w:rPr>
            </w:pPr>
          </w:p>
          <w:p>
            <w:pPr>
              <w:pStyle w:val="TableParagraph"/>
              <w:spacing w:before="1"/>
              <w:ind w:left="7301"/>
              <w:rPr>
                <w:rFonts w:ascii="Arial"/>
                <w:b/>
                <w:sz w:val="15"/>
              </w:rPr>
            </w:pPr>
            <w:r>
              <w:rPr>
                <w:rFonts w:ascii="Arial"/>
                <w:b/>
                <w:w w:val="103"/>
                <w:sz w:val="15"/>
              </w:rPr>
              <w:t>4</w:t>
            </w:r>
          </w:p>
          <w:p>
            <w:pPr>
              <w:pStyle w:val="TableParagraph"/>
              <w:spacing w:before="5"/>
              <w:rPr>
                <w:sz w:val="15"/>
              </w:rPr>
            </w:pPr>
          </w:p>
          <w:p>
            <w:pPr>
              <w:pStyle w:val="TableParagraph"/>
              <w:ind w:left="7301"/>
              <w:rPr>
                <w:rFonts w:ascii="Arial"/>
                <w:b/>
                <w:sz w:val="15"/>
              </w:rPr>
            </w:pPr>
            <w:r>
              <w:rPr>
                <w:rFonts w:ascii="Arial"/>
                <w:b/>
                <w:w w:val="103"/>
                <w:sz w:val="15"/>
              </w:rPr>
              <w:t>3</w:t>
            </w:r>
          </w:p>
          <w:p>
            <w:pPr>
              <w:pStyle w:val="TableParagraph"/>
              <w:spacing w:before="6"/>
              <w:rPr>
                <w:sz w:val="15"/>
              </w:rPr>
            </w:pPr>
          </w:p>
          <w:p>
            <w:pPr>
              <w:pStyle w:val="TableParagraph"/>
              <w:ind w:left="7301"/>
              <w:rPr>
                <w:rFonts w:ascii="Arial"/>
                <w:b/>
                <w:sz w:val="15"/>
              </w:rPr>
            </w:pPr>
            <w:r>
              <w:rPr>
                <w:rFonts w:ascii="Arial"/>
                <w:b/>
                <w:w w:val="103"/>
                <w:sz w:val="15"/>
              </w:rPr>
              <w:t>2</w:t>
            </w:r>
          </w:p>
          <w:p>
            <w:pPr>
              <w:pStyle w:val="TableParagraph"/>
              <w:spacing w:before="6"/>
              <w:rPr>
                <w:sz w:val="15"/>
              </w:rPr>
            </w:pPr>
          </w:p>
          <w:p>
            <w:pPr>
              <w:pStyle w:val="TableParagraph"/>
              <w:ind w:left="7301"/>
              <w:rPr>
                <w:rFonts w:ascii="Arial"/>
                <w:b/>
                <w:sz w:val="15"/>
              </w:rPr>
            </w:pPr>
            <w:r>
              <w:rPr>
                <w:rFonts w:ascii="Arial"/>
                <w:b/>
                <w:w w:val="103"/>
                <w:sz w:val="15"/>
              </w:rPr>
              <w:t>1</w:t>
            </w:r>
          </w:p>
          <w:p>
            <w:pPr>
              <w:pStyle w:val="TableParagraph"/>
              <w:spacing w:before="5"/>
              <w:rPr>
                <w:sz w:val="15"/>
              </w:rPr>
            </w:pPr>
          </w:p>
          <w:p>
            <w:pPr>
              <w:pStyle w:val="TableParagraph"/>
              <w:ind w:left="7301"/>
              <w:rPr>
                <w:rFonts w:ascii="Arial"/>
                <w:b/>
                <w:sz w:val="15"/>
              </w:rPr>
            </w:pPr>
            <w:r>
              <w:rPr>
                <w:rFonts w:ascii="Arial"/>
                <w:b/>
                <w:w w:val="103"/>
                <w:sz w:val="15"/>
              </w:rPr>
              <w:t>0</w:t>
            </w:r>
          </w:p>
          <w:p>
            <w:pPr>
              <w:pStyle w:val="TableParagraph"/>
              <w:tabs>
                <w:tab w:pos="1197" w:val="left" w:leader="none"/>
                <w:tab w:pos="2394" w:val="left" w:leader="none"/>
                <w:tab w:pos="3591" w:val="left" w:leader="none"/>
                <w:tab w:pos="4788" w:val="left" w:leader="none"/>
                <w:tab w:pos="5986" w:val="left" w:leader="none"/>
              </w:tabs>
              <w:spacing w:before="86"/>
              <w:ind w:right="161"/>
              <w:jc w:val="center"/>
              <w:rPr>
                <w:rFonts w:ascii="Arial"/>
                <w:b/>
                <w:sz w:val="15"/>
              </w:rPr>
            </w:pPr>
            <w:r>
              <w:rPr>
                <w:rFonts w:ascii="Arial"/>
                <w:b/>
                <w:w w:val="105"/>
                <w:sz w:val="15"/>
              </w:rPr>
              <w:t>2000</w:t>
              <w:tab/>
              <w:t>2002</w:t>
              <w:tab/>
              <w:t>2004</w:t>
              <w:tab/>
              <w:t>2006</w:t>
              <w:tab/>
              <w:t>2008</w:t>
              <w:tab/>
              <w:t>2010</w:t>
            </w:r>
          </w:p>
        </w:tc>
      </w:tr>
      <w:tr>
        <w:trPr>
          <w:trHeight w:val="230" w:hRule="atLeast"/>
        </w:trPr>
        <w:tc>
          <w:tcPr>
            <w:tcW w:w="8414" w:type="dxa"/>
          </w:tcPr>
          <w:p>
            <w:pPr>
              <w:pStyle w:val="TableParagraph"/>
              <w:spacing w:line="210" w:lineRule="exact"/>
              <w:ind w:left="107"/>
              <w:rPr>
                <w:sz w:val="20"/>
              </w:rPr>
            </w:pPr>
            <w:r>
              <w:rPr>
                <w:sz w:val="20"/>
              </w:rPr>
              <w:t>Source: Bank of England</w:t>
            </w:r>
          </w:p>
        </w:tc>
      </w:tr>
    </w:tbl>
    <w:p>
      <w:pPr>
        <w:pStyle w:val="BodyText"/>
        <w:rPr>
          <w:sz w:val="20"/>
        </w:rPr>
      </w:pPr>
    </w:p>
    <w:p>
      <w:pPr>
        <w:pStyle w:val="BodyText"/>
        <w:rPr>
          <w:sz w:val="20"/>
        </w:rPr>
      </w:pPr>
    </w:p>
    <w:p>
      <w:pPr>
        <w:pStyle w:val="BodyText"/>
        <w:spacing w:before="8"/>
        <w:rPr>
          <w:sz w:val="23"/>
        </w:rPr>
      </w:pPr>
    </w:p>
    <w:p>
      <w:pPr>
        <w:pStyle w:val="BodyText"/>
        <w:spacing w:line="360" w:lineRule="auto" w:before="90"/>
        <w:ind w:left="118" w:right="167"/>
      </w:pPr>
      <w:r>
        <w:rPr/>
        <w:t>There have been concerns registered about access to finance by individual businesses and business groups, though the banks also point out that the demand for new lending is subdued because of the natural caution of businesses about investment at present. In recent visits I have undertaken to businesses around the country, the general picture for manufacturing and services companies appears to be that they can get the finance they need, but it is more difficult and is taking longer and absorbing more management time. Lending related to property and construction appears more constrained, with some of the major banks seeking to substantially reduce their exposure to these sectors.</w:t>
      </w:r>
    </w:p>
    <w:p>
      <w:pPr>
        <w:pStyle w:val="BodyText"/>
        <w:spacing w:before="1"/>
        <w:rPr>
          <w:sz w:val="36"/>
        </w:rPr>
      </w:pPr>
    </w:p>
    <w:p>
      <w:pPr>
        <w:pStyle w:val="BodyText"/>
        <w:spacing w:line="360" w:lineRule="auto"/>
        <w:ind w:left="118" w:right="174"/>
      </w:pPr>
      <w:r>
        <w:rPr/>
        <w:t>I believe it is an open question on how serious a constraint the financial sector will prove to be on the recovery. But there has been some recent encouraging evidence. Over the last few quarters, the Bank’s regular surveys have been pointing to an easing of credit conditions.</w:t>
      </w:r>
    </w:p>
    <w:p>
      <w:pPr>
        <w:pStyle w:val="BodyText"/>
        <w:spacing w:line="360" w:lineRule="auto"/>
        <w:ind w:left="118" w:right="434"/>
      </w:pPr>
      <w:r>
        <w:rPr/>
        <w:pict>
          <v:shape style="position:absolute;margin-left:70.919998pt;margin-top:44.743126pt;width:144pt;height:.1pt;mso-position-horizontal-relative:page;mso-position-vertical-relative:paragraph;z-index:-251646976;mso-wrap-distance-left:0;mso-wrap-distance-right:0" coordorigin="1418,895" coordsize="2880,0" path="m1418,895l4298,895e" filled="false" stroked="true" strokeweight=".6pt" strokecolor="#000000">
            <v:path arrowok="t"/>
            <v:stroke dashstyle="solid"/>
            <w10:wrap type="topAndBottom"/>
          </v:shape>
        </w:pict>
      </w:r>
      <w:r>
        <w:rPr/>
        <w:t>And the CBI’s quarterly Industrial Trends Survey has showed a sharp fall back in the proportion of companies citing access to external finance as a constraint on output, exports</w:t>
      </w:r>
    </w:p>
    <w:p>
      <w:pPr>
        <w:spacing w:before="50"/>
        <w:ind w:left="118" w:right="99" w:hanging="1"/>
        <w:jc w:val="both"/>
        <w:rPr>
          <w:sz w:val="20"/>
        </w:rPr>
      </w:pPr>
      <w:bookmarkStart w:name="_bookmark8" w:id="9"/>
      <w:bookmarkEnd w:id="9"/>
      <w:r>
        <w:rPr/>
      </w:r>
      <w:r>
        <w:rPr>
          <w:position w:val="9"/>
          <w:sz w:val="13"/>
        </w:rPr>
        <w:t>9 </w:t>
      </w:r>
      <w:r>
        <w:rPr>
          <w:sz w:val="20"/>
        </w:rPr>
        <w:t>The effective loan rate on mortgages is 3.5% and on business loans 2.9%, compared to CPI inflation of 3.1% at present. In the early stages of the 1990s recovery, bank base rates fell to 5.25% in early 1994 but rose to over 6% at the end of the year. Typical loan rates would be 1-2% above this level .</w:t>
      </w:r>
    </w:p>
    <w:p>
      <w:pPr>
        <w:spacing w:after="0"/>
        <w:jc w:val="both"/>
        <w:rPr>
          <w:sz w:val="20"/>
        </w:rPr>
        <w:sectPr>
          <w:pgSz w:w="11910" w:h="16840"/>
          <w:pgMar w:header="0" w:footer="1060" w:top="1320" w:bottom="1260" w:left="1300" w:right="1320"/>
        </w:sectPr>
      </w:pPr>
    </w:p>
    <w:p>
      <w:pPr>
        <w:pStyle w:val="BodyText"/>
        <w:spacing w:line="360" w:lineRule="auto" w:before="74"/>
        <w:ind w:left="118" w:right="249"/>
      </w:pPr>
      <w:r>
        <w:rPr/>
        <w:pict>
          <v:group style="position:absolute;margin-left:124.980263pt;margin-top:124.513275pt;width:301.6pt;height:151.25pt;mso-position-horizontal-relative:page;mso-position-vertical-relative:paragraph;z-index:-254229504" coordorigin="2500,2490" coordsize="6032,3025">
            <v:shape style="position:absolute;left:0;top:15499;width:60;height:4220" coordorigin="0,15500" coordsize="60,4220" path="m8489,5473l8489,2497m8489,5473l8531,5473m8489,4979l8531,4979m8489,4471l8531,4471m8489,3978l8531,3978m8489,3484l8531,3484m8489,2991l8531,2991m8489,2497l8531,2497e" filled="false" stroked="true" strokeweight=".706078pt" strokecolor="#000000">
              <v:path arrowok="t"/>
              <v:stroke dashstyle="solid"/>
            </v:shape>
            <v:shape style="position:absolute;left:0;top:15439;width:8460;height:60" coordorigin="0,15440" coordsize="8460,60" path="m2507,5473l8489,5473m2507,5473l2507,5515m3086,5473l3086,5515m3680,5473l3680,5515m4260,5473l4260,5515m4854,5473l4854,5515m5448,5473l5448,5515m6028,5473l6028,5515m6622,5473l6622,5515m7216,5473l7216,5515m7796,5473l7796,5515m8390,5473l8390,5515e" filled="false" stroked="true" strokeweight=".706078pt" strokecolor="#000000">
              <v:path arrowok="t"/>
              <v:stroke dashstyle="solid"/>
            </v:shape>
            <v:shape style="position:absolute;left:2513;top:2899;width:5954;height:2468" coordorigin="2514,2899" coordsize="5954,2468" path="m2514,5268l2584,5170,2655,4972,2740,5071,2811,5170,2881,5071,2952,5071,3023,4972,3108,5071,3178,4972,3249,4972,3320,4873,3391,5071,3475,4873,3546,4972,3617,4873,3688,5071,3758,5071,3843,5071,3914,5170,3984,5268,4055,4775,4126,5071,4211,5268,4281,5170,4352,5268,4423,5367,4494,5268,4578,5268,4649,5268,4720,5170,4791,5268,4861,5268,4946,5367,5017,5268,5088,5367,5158,5170,5229,5170,5314,5268,5385,5367,5455,5268,5526,5367,5611,5170,5682,5268,5752,5268,5823,5268,5894,5268,5978,4972,6049,4972,6120,5170,6191,5170,6261,5071,6346,5268,6417,5170,6488,5170,6558,5268,6629,5170,6714,5268,6785,5268,6855,4972,6926,5268,6997,5071,7082,5071,7152,5170,7223,5268,7294,5071,7364,5170,7449,5268,7520,5170,7591,5170,7661,5268,7732,5268,7817,5170,7888,5170,7958,4577,8029,3788,8100,2899,8185,4972,8255,4479,8326,4182,8397,4972,8467,5170e" filled="false" stroked="true" strokeweight="1.410721pt" strokecolor="#c00000">
              <v:path arrowok="t"/>
              <v:stroke dashstyle="solid"/>
            </v:shape>
            <v:shape style="position:absolute;left:2513;top:3985;width:5954;height:1284" coordorigin="2514,3985" coordsize="5954,1284" path="m2514,4873l2584,4873,2655,4775,2740,4775,2811,4676,2881,4775,2952,4775,3023,4775,3108,4676,3178,4775,3249,4873,3320,4577,3391,4479,3475,4380,3546,4281,3617,4775,3688,4577,3758,4775,3843,4676,3914,4775,3984,4676,4055,4775,4126,4676,4211,4972,4281,4972,4352,4972,4423,5170,4494,4972,4578,5170,4649,5071,4720,5170,4791,5268,4861,5268,4946,5268,5017,5268,5088,5170,5158,5170,5229,5268,5314,5268,5385,5268,5455,5170,5526,5170,5611,5071,5682,5268,5752,5071,5823,5170,5894,4972,5978,4873,6049,5071,6120,5170,6191,5170,6261,5268,6346,5268,6417,4577,6488,5268,6558,5170,6629,5268,6714,4972,6785,5170,6855,4873,6926,5170,6997,5170,7082,5071,7152,4972,7223,4972,7294,5071,7364,4873,7449,5071,7520,4972,7591,5268,7661,5170,7732,5170,7817,5071,7888,4972,7958,4479,8029,4479,8100,4281,8185,3985,8255,4182,8326,4281,8397,4577,8467,5071e" filled="false" stroked="true" strokeweight="1.410306pt" strokecolor="#002060">
              <v:path arrowok="t"/>
              <v:stroke dashstyle="solid"/>
            </v:shape>
            <v:shape style="position:absolute;left:2513;top:3886;width:5954;height:1481" coordorigin="2514,3886" coordsize="5954,1481" path="m2514,5367l2584,5268,2655,5071,2740,5071,2811,5170,2881,5071,2952,5170,3023,5071,3108,5071,3178,4972,3249,5071,3320,4873,3391,5071,3475,4972,3546,5170,3617,5170,3688,5170,3758,5170,3843,4972,3914,5071,3984,5170,4055,5071,4126,5170,4211,5170,4281,5170,4352,5170,4423,5268,4494,5170,4578,5170,4649,5170,4720,5170,4791,5268,4861,5268,4946,5268,5017,4873,5088,5071,5158,4676,5229,4775,5314,5170,5385,5071,5455,5071,5526,5268,5611,4873,5682,5170,5752,4972,5823,4775,5894,4775,5978,4873,6049,4775,6120,4972,6191,4676,6261,4972,6346,4972,6417,4775,6488,4972,6558,4972,6629,4873,6714,4873,6785,4676,6855,4676,6926,4676,6997,5071,7082,5071,7152,5071,7223,5071,7294,4972,7364,5071,7449,4972,7520,5170,7591,5170,7661,5268,7732,5071,7817,4873,7888,5071,7958,3886,8029,3985,8100,4084,8185,4676,8255,4084,8326,4775,8397,4577,8467,4972e" filled="false" stroked="true" strokeweight="1.410362pt" strokecolor="#92d050">
              <v:path arrowok="t"/>
              <v:stroke dashstyle="solid"/>
            </v:shape>
            <v:line style="position:absolute" from="2655,2702" to="3009,2702" stroked="true" strokeweight="1.410126pt" strokecolor="#c00000">
              <v:stroke dashstyle="solid"/>
            </v:line>
            <v:line style="position:absolute" from="2655,2956" to="3009,2956" stroked="true" strokeweight="1.410126pt" strokecolor="#002060">
              <v:stroke dashstyle="solid"/>
            </v:line>
            <v:line style="position:absolute" from="2655,3195" to="3009,3195" stroked="true" strokeweight="1.410126pt" strokecolor="#92d050">
              <v:stroke dashstyle="solid"/>
            </v:line>
            <w10:wrap type="none"/>
          </v:group>
        </w:pict>
      </w:r>
      <w:r>
        <w:rPr/>
        <w:t>and investment. As Chart 9 show, these indicators have returned to around pre-crisis levels from the very elevated and unprecedented levels we saw at the peak of financial crisis in late 2008 and early 2009.</w:t>
      </w:r>
    </w:p>
    <w:p>
      <w:pPr>
        <w:pStyle w:val="BodyText"/>
        <w:rPr>
          <w:sz w:val="20"/>
        </w:rPr>
      </w:pPr>
    </w:p>
    <w:p>
      <w:pPr>
        <w:pStyle w:val="BodyText"/>
        <w:spacing w:before="6"/>
        <w:rPr>
          <w:sz w:val="16"/>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1"/>
        <w:gridCol w:w="1192"/>
        <w:gridCol w:w="574"/>
        <w:gridCol w:w="589"/>
        <w:gridCol w:w="589"/>
        <w:gridCol w:w="589"/>
        <w:gridCol w:w="589"/>
        <w:gridCol w:w="589"/>
        <w:gridCol w:w="589"/>
        <w:gridCol w:w="506"/>
        <w:gridCol w:w="1229"/>
      </w:tblGrid>
      <w:tr>
        <w:trPr>
          <w:trHeight w:val="551" w:hRule="atLeast"/>
        </w:trPr>
        <w:tc>
          <w:tcPr>
            <w:tcW w:w="841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7"/>
              <w:rPr>
                <w:b/>
                <w:sz w:val="24"/>
              </w:rPr>
            </w:pPr>
            <w:r>
              <w:rPr>
                <w:b/>
                <w:sz w:val="24"/>
              </w:rPr>
              <w:t>Chart 9: External Finance as a constraint</w:t>
            </w:r>
          </w:p>
          <w:p>
            <w:pPr>
              <w:pStyle w:val="TableParagraph"/>
              <w:spacing w:line="261" w:lineRule="exact"/>
              <w:ind w:left="107"/>
              <w:rPr>
                <w:sz w:val="24"/>
              </w:rPr>
            </w:pPr>
            <w:r>
              <w:rPr>
                <w:sz w:val="24"/>
              </w:rPr>
              <w:t>Percentage of manufacturers: CBI survey</w:t>
            </w:r>
          </w:p>
        </w:tc>
      </w:tr>
      <w:tr>
        <w:trPr>
          <w:trHeight w:val="295" w:hRule="atLeast"/>
        </w:trPr>
        <w:tc>
          <w:tcPr>
            <w:tcW w:w="1381" w:type="dxa"/>
            <w:tcBorders>
              <w:top w:val="single" w:sz="4" w:space="0" w:color="000000"/>
              <w:left w:val="single" w:sz="4" w:space="0" w:color="000000"/>
            </w:tcBorders>
          </w:tcPr>
          <w:p>
            <w:pPr>
              <w:pStyle w:val="TableParagraph"/>
              <w:rPr>
                <w:sz w:val="22"/>
              </w:rPr>
            </w:pPr>
          </w:p>
        </w:tc>
        <w:tc>
          <w:tcPr>
            <w:tcW w:w="1192" w:type="dxa"/>
            <w:tcBorders>
              <w:top w:val="single" w:sz="4" w:space="0" w:color="000000"/>
            </w:tcBorders>
          </w:tcPr>
          <w:p>
            <w:pPr>
              <w:pStyle w:val="TableParagraph"/>
              <w:rPr>
                <w:sz w:val="22"/>
              </w:rPr>
            </w:pPr>
          </w:p>
        </w:tc>
        <w:tc>
          <w:tcPr>
            <w:tcW w:w="574" w:type="dxa"/>
            <w:tcBorders>
              <w:top w:val="single" w:sz="4" w:space="0" w:color="000000"/>
            </w:tcBorders>
          </w:tcPr>
          <w:p>
            <w:pPr>
              <w:pStyle w:val="TableParagraph"/>
              <w:rPr>
                <w:sz w:val="22"/>
              </w:rPr>
            </w:pPr>
          </w:p>
        </w:tc>
        <w:tc>
          <w:tcPr>
            <w:tcW w:w="589" w:type="dxa"/>
            <w:tcBorders>
              <w:top w:val="single" w:sz="4" w:space="0" w:color="000000"/>
            </w:tcBorders>
          </w:tcPr>
          <w:p>
            <w:pPr>
              <w:pStyle w:val="TableParagraph"/>
              <w:rPr>
                <w:sz w:val="22"/>
              </w:rPr>
            </w:pPr>
          </w:p>
        </w:tc>
        <w:tc>
          <w:tcPr>
            <w:tcW w:w="589" w:type="dxa"/>
            <w:tcBorders>
              <w:top w:val="single" w:sz="4" w:space="0" w:color="000000"/>
            </w:tcBorders>
          </w:tcPr>
          <w:p>
            <w:pPr>
              <w:pStyle w:val="TableParagraph"/>
              <w:rPr>
                <w:sz w:val="22"/>
              </w:rPr>
            </w:pPr>
          </w:p>
        </w:tc>
        <w:tc>
          <w:tcPr>
            <w:tcW w:w="589" w:type="dxa"/>
            <w:tcBorders>
              <w:top w:val="single" w:sz="4" w:space="0" w:color="000000"/>
            </w:tcBorders>
          </w:tcPr>
          <w:p>
            <w:pPr>
              <w:pStyle w:val="TableParagraph"/>
              <w:rPr>
                <w:sz w:val="22"/>
              </w:rPr>
            </w:pPr>
          </w:p>
        </w:tc>
        <w:tc>
          <w:tcPr>
            <w:tcW w:w="589" w:type="dxa"/>
            <w:tcBorders>
              <w:top w:val="single" w:sz="4" w:space="0" w:color="000000"/>
            </w:tcBorders>
          </w:tcPr>
          <w:p>
            <w:pPr>
              <w:pStyle w:val="TableParagraph"/>
              <w:rPr>
                <w:sz w:val="22"/>
              </w:rPr>
            </w:pPr>
          </w:p>
        </w:tc>
        <w:tc>
          <w:tcPr>
            <w:tcW w:w="589" w:type="dxa"/>
            <w:tcBorders>
              <w:top w:val="single" w:sz="4" w:space="0" w:color="000000"/>
            </w:tcBorders>
          </w:tcPr>
          <w:p>
            <w:pPr>
              <w:pStyle w:val="TableParagraph"/>
              <w:rPr>
                <w:sz w:val="22"/>
              </w:rPr>
            </w:pPr>
          </w:p>
        </w:tc>
        <w:tc>
          <w:tcPr>
            <w:tcW w:w="589" w:type="dxa"/>
            <w:tcBorders>
              <w:top w:val="single" w:sz="4" w:space="0" w:color="000000"/>
            </w:tcBorders>
          </w:tcPr>
          <w:p>
            <w:pPr>
              <w:pStyle w:val="TableParagraph"/>
              <w:rPr>
                <w:sz w:val="22"/>
              </w:rPr>
            </w:pPr>
          </w:p>
        </w:tc>
        <w:tc>
          <w:tcPr>
            <w:tcW w:w="506" w:type="dxa"/>
            <w:tcBorders>
              <w:top w:val="single" w:sz="4" w:space="0" w:color="000000"/>
            </w:tcBorders>
          </w:tcPr>
          <w:p>
            <w:pPr>
              <w:pStyle w:val="TableParagraph"/>
              <w:rPr>
                <w:sz w:val="22"/>
              </w:rPr>
            </w:pPr>
          </w:p>
        </w:tc>
        <w:tc>
          <w:tcPr>
            <w:tcW w:w="1229" w:type="dxa"/>
            <w:tcBorders>
              <w:top w:val="single" w:sz="4" w:space="0" w:color="000000"/>
              <w:right w:val="single" w:sz="4" w:space="0" w:color="000000"/>
            </w:tcBorders>
          </w:tcPr>
          <w:p>
            <w:pPr>
              <w:pStyle w:val="TableParagraph"/>
              <w:spacing w:line="165" w:lineRule="exact" w:before="111"/>
              <w:ind w:left="46"/>
              <w:rPr>
                <w:rFonts w:ascii="Arial"/>
                <w:b/>
                <w:sz w:val="15"/>
              </w:rPr>
            </w:pPr>
            <w:r>
              <w:rPr>
                <w:rFonts w:ascii="Arial"/>
                <w:b/>
                <w:w w:val="105"/>
                <w:sz w:val="15"/>
              </w:rPr>
              <w:t>30</w:t>
            </w:r>
          </w:p>
        </w:tc>
      </w:tr>
      <w:tr>
        <w:trPr>
          <w:trHeight w:val="221" w:hRule="atLeast"/>
        </w:trPr>
        <w:tc>
          <w:tcPr>
            <w:tcW w:w="1381" w:type="dxa"/>
            <w:tcBorders>
              <w:left w:val="single" w:sz="4" w:space="0" w:color="000000"/>
            </w:tcBorders>
          </w:tcPr>
          <w:p>
            <w:pPr>
              <w:pStyle w:val="TableParagraph"/>
              <w:rPr>
                <w:sz w:val="14"/>
              </w:rPr>
            </w:pPr>
          </w:p>
        </w:tc>
        <w:tc>
          <w:tcPr>
            <w:tcW w:w="1192" w:type="dxa"/>
          </w:tcPr>
          <w:p>
            <w:pPr>
              <w:pStyle w:val="TableParagraph"/>
              <w:spacing w:before="10"/>
              <w:ind w:left="258"/>
              <w:rPr>
                <w:rFonts w:ascii="Arial"/>
                <w:b/>
                <w:sz w:val="15"/>
              </w:rPr>
            </w:pPr>
            <w:r>
              <w:rPr>
                <w:rFonts w:ascii="Arial"/>
                <w:b/>
                <w:w w:val="105"/>
                <w:sz w:val="15"/>
              </w:rPr>
              <w:t>Output</w:t>
            </w:r>
          </w:p>
        </w:tc>
        <w:tc>
          <w:tcPr>
            <w:tcW w:w="574" w:type="dxa"/>
          </w:tcPr>
          <w:p>
            <w:pPr>
              <w:pStyle w:val="TableParagraph"/>
              <w:rPr>
                <w:sz w:val="14"/>
              </w:rPr>
            </w:pPr>
          </w:p>
        </w:tc>
        <w:tc>
          <w:tcPr>
            <w:tcW w:w="589" w:type="dxa"/>
          </w:tcPr>
          <w:p>
            <w:pPr>
              <w:pStyle w:val="TableParagraph"/>
              <w:rPr>
                <w:sz w:val="14"/>
              </w:rPr>
            </w:pPr>
          </w:p>
        </w:tc>
        <w:tc>
          <w:tcPr>
            <w:tcW w:w="589" w:type="dxa"/>
          </w:tcPr>
          <w:p>
            <w:pPr>
              <w:pStyle w:val="TableParagraph"/>
              <w:rPr>
                <w:sz w:val="14"/>
              </w:rPr>
            </w:pPr>
          </w:p>
        </w:tc>
        <w:tc>
          <w:tcPr>
            <w:tcW w:w="589" w:type="dxa"/>
          </w:tcPr>
          <w:p>
            <w:pPr>
              <w:pStyle w:val="TableParagraph"/>
              <w:rPr>
                <w:sz w:val="14"/>
              </w:rPr>
            </w:pPr>
          </w:p>
        </w:tc>
        <w:tc>
          <w:tcPr>
            <w:tcW w:w="589" w:type="dxa"/>
          </w:tcPr>
          <w:p>
            <w:pPr>
              <w:pStyle w:val="TableParagraph"/>
              <w:rPr>
                <w:sz w:val="14"/>
              </w:rPr>
            </w:pPr>
          </w:p>
        </w:tc>
        <w:tc>
          <w:tcPr>
            <w:tcW w:w="589" w:type="dxa"/>
          </w:tcPr>
          <w:p>
            <w:pPr>
              <w:pStyle w:val="TableParagraph"/>
              <w:rPr>
                <w:sz w:val="14"/>
              </w:rPr>
            </w:pPr>
          </w:p>
        </w:tc>
        <w:tc>
          <w:tcPr>
            <w:tcW w:w="589" w:type="dxa"/>
          </w:tcPr>
          <w:p>
            <w:pPr>
              <w:pStyle w:val="TableParagraph"/>
              <w:rPr>
                <w:sz w:val="14"/>
              </w:rPr>
            </w:pPr>
          </w:p>
        </w:tc>
        <w:tc>
          <w:tcPr>
            <w:tcW w:w="506" w:type="dxa"/>
          </w:tcPr>
          <w:p>
            <w:pPr>
              <w:pStyle w:val="TableParagraph"/>
              <w:rPr>
                <w:sz w:val="14"/>
              </w:rPr>
            </w:pPr>
          </w:p>
        </w:tc>
        <w:tc>
          <w:tcPr>
            <w:tcW w:w="1229" w:type="dxa"/>
            <w:tcBorders>
              <w:right w:val="single" w:sz="4" w:space="0" w:color="000000"/>
            </w:tcBorders>
          </w:tcPr>
          <w:p>
            <w:pPr>
              <w:pStyle w:val="TableParagraph"/>
              <w:rPr>
                <w:sz w:val="14"/>
              </w:rPr>
            </w:pPr>
          </w:p>
        </w:tc>
      </w:tr>
      <w:tr>
        <w:trPr>
          <w:trHeight w:val="273" w:hRule="atLeast"/>
        </w:trPr>
        <w:tc>
          <w:tcPr>
            <w:tcW w:w="1381" w:type="dxa"/>
            <w:tcBorders>
              <w:left w:val="single" w:sz="4" w:space="0" w:color="000000"/>
            </w:tcBorders>
          </w:tcPr>
          <w:p>
            <w:pPr>
              <w:pStyle w:val="TableParagraph"/>
              <w:rPr>
                <w:sz w:val="20"/>
              </w:rPr>
            </w:pPr>
          </w:p>
        </w:tc>
        <w:tc>
          <w:tcPr>
            <w:tcW w:w="1192" w:type="dxa"/>
          </w:tcPr>
          <w:p>
            <w:pPr>
              <w:pStyle w:val="TableParagraph"/>
              <w:spacing w:before="37"/>
              <w:ind w:left="258"/>
              <w:rPr>
                <w:rFonts w:ascii="Arial"/>
                <w:b/>
                <w:sz w:val="15"/>
              </w:rPr>
            </w:pPr>
            <w:r>
              <w:rPr>
                <w:rFonts w:ascii="Arial"/>
                <w:b/>
                <w:w w:val="105"/>
                <w:sz w:val="15"/>
              </w:rPr>
              <w:t>Exports</w:t>
            </w:r>
          </w:p>
        </w:tc>
        <w:tc>
          <w:tcPr>
            <w:tcW w:w="574" w:type="dxa"/>
          </w:tcPr>
          <w:p>
            <w:pPr>
              <w:pStyle w:val="TableParagraph"/>
              <w:rPr>
                <w:sz w:val="20"/>
              </w:rPr>
            </w:pPr>
          </w:p>
        </w:tc>
        <w:tc>
          <w:tcPr>
            <w:tcW w:w="589" w:type="dxa"/>
          </w:tcPr>
          <w:p>
            <w:pPr>
              <w:pStyle w:val="TableParagraph"/>
              <w:rPr>
                <w:sz w:val="20"/>
              </w:rPr>
            </w:pPr>
          </w:p>
        </w:tc>
        <w:tc>
          <w:tcPr>
            <w:tcW w:w="589" w:type="dxa"/>
          </w:tcPr>
          <w:p>
            <w:pPr>
              <w:pStyle w:val="TableParagraph"/>
              <w:rPr>
                <w:sz w:val="20"/>
              </w:rPr>
            </w:pPr>
          </w:p>
        </w:tc>
        <w:tc>
          <w:tcPr>
            <w:tcW w:w="589" w:type="dxa"/>
          </w:tcPr>
          <w:p>
            <w:pPr>
              <w:pStyle w:val="TableParagraph"/>
              <w:rPr>
                <w:sz w:val="20"/>
              </w:rPr>
            </w:pPr>
          </w:p>
        </w:tc>
        <w:tc>
          <w:tcPr>
            <w:tcW w:w="589" w:type="dxa"/>
          </w:tcPr>
          <w:p>
            <w:pPr>
              <w:pStyle w:val="TableParagraph"/>
              <w:rPr>
                <w:sz w:val="20"/>
              </w:rPr>
            </w:pPr>
          </w:p>
        </w:tc>
        <w:tc>
          <w:tcPr>
            <w:tcW w:w="589" w:type="dxa"/>
          </w:tcPr>
          <w:p>
            <w:pPr>
              <w:pStyle w:val="TableParagraph"/>
              <w:rPr>
                <w:sz w:val="20"/>
              </w:rPr>
            </w:pPr>
          </w:p>
        </w:tc>
        <w:tc>
          <w:tcPr>
            <w:tcW w:w="589" w:type="dxa"/>
          </w:tcPr>
          <w:p>
            <w:pPr>
              <w:pStyle w:val="TableParagraph"/>
              <w:rPr>
                <w:sz w:val="20"/>
              </w:rPr>
            </w:pPr>
          </w:p>
        </w:tc>
        <w:tc>
          <w:tcPr>
            <w:tcW w:w="506" w:type="dxa"/>
          </w:tcPr>
          <w:p>
            <w:pPr>
              <w:pStyle w:val="TableParagraph"/>
              <w:rPr>
                <w:sz w:val="20"/>
              </w:rPr>
            </w:pPr>
          </w:p>
        </w:tc>
        <w:tc>
          <w:tcPr>
            <w:tcW w:w="1229" w:type="dxa"/>
            <w:tcBorders>
              <w:right w:val="single" w:sz="4" w:space="0" w:color="000000"/>
            </w:tcBorders>
          </w:tcPr>
          <w:p>
            <w:pPr>
              <w:pStyle w:val="TableParagraph"/>
              <w:spacing w:line="165" w:lineRule="exact" w:before="88"/>
              <w:ind w:left="46"/>
              <w:rPr>
                <w:rFonts w:ascii="Arial"/>
                <w:b/>
                <w:sz w:val="15"/>
              </w:rPr>
            </w:pPr>
            <w:r>
              <w:rPr>
                <w:rFonts w:ascii="Arial"/>
                <w:b/>
                <w:w w:val="105"/>
                <w:sz w:val="15"/>
              </w:rPr>
              <w:t>25</w:t>
            </w:r>
          </w:p>
        </w:tc>
      </w:tr>
      <w:tr>
        <w:trPr>
          <w:trHeight w:val="247" w:hRule="atLeast"/>
        </w:trPr>
        <w:tc>
          <w:tcPr>
            <w:tcW w:w="1381" w:type="dxa"/>
            <w:tcBorders>
              <w:left w:val="single" w:sz="4" w:space="0" w:color="000000"/>
            </w:tcBorders>
          </w:tcPr>
          <w:p>
            <w:pPr>
              <w:pStyle w:val="TableParagraph"/>
              <w:rPr>
                <w:sz w:val="18"/>
              </w:rPr>
            </w:pPr>
          </w:p>
        </w:tc>
        <w:tc>
          <w:tcPr>
            <w:tcW w:w="1192" w:type="dxa"/>
          </w:tcPr>
          <w:p>
            <w:pPr>
              <w:pStyle w:val="TableParagraph"/>
              <w:spacing w:before="11"/>
              <w:ind w:right="101"/>
              <w:jc w:val="right"/>
              <w:rPr>
                <w:rFonts w:ascii="Arial"/>
                <w:b/>
                <w:sz w:val="15"/>
              </w:rPr>
            </w:pPr>
            <w:r>
              <w:rPr>
                <w:rFonts w:ascii="Arial"/>
                <w:b/>
                <w:sz w:val="15"/>
              </w:rPr>
              <w:t>Investment</w:t>
            </w:r>
          </w:p>
        </w:tc>
        <w:tc>
          <w:tcPr>
            <w:tcW w:w="574" w:type="dxa"/>
          </w:tcPr>
          <w:p>
            <w:pPr>
              <w:pStyle w:val="TableParagraph"/>
              <w:rPr>
                <w:sz w:val="18"/>
              </w:rPr>
            </w:pPr>
          </w:p>
        </w:tc>
        <w:tc>
          <w:tcPr>
            <w:tcW w:w="589" w:type="dxa"/>
          </w:tcPr>
          <w:p>
            <w:pPr>
              <w:pStyle w:val="TableParagraph"/>
              <w:rPr>
                <w:sz w:val="18"/>
              </w:rPr>
            </w:pPr>
          </w:p>
        </w:tc>
        <w:tc>
          <w:tcPr>
            <w:tcW w:w="589" w:type="dxa"/>
          </w:tcPr>
          <w:p>
            <w:pPr>
              <w:pStyle w:val="TableParagraph"/>
              <w:rPr>
                <w:sz w:val="18"/>
              </w:rPr>
            </w:pPr>
          </w:p>
        </w:tc>
        <w:tc>
          <w:tcPr>
            <w:tcW w:w="589" w:type="dxa"/>
          </w:tcPr>
          <w:p>
            <w:pPr>
              <w:pStyle w:val="TableParagraph"/>
              <w:rPr>
                <w:sz w:val="18"/>
              </w:rPr>
            </w:pPr>
          </w:p>
        </w:tc>
        <w:tc>
          <w:tcPr>
            <w:tcW w:w="589" w:type="dxa"/>
          </w:tcPr>
          <w:p>
            <w:pPr>
              <w:pStyle w:val="TableParagraph"/>
              <w:rPr>
                <w:sz w:val="18"/>
              </w:rPr>
            </w:pPr>
          </w:p>
        </w:tc>
        <w:tc>
          <w:tcPr>
            <w:tcW w:w="589" w:type="dxa"/>
          </w:tcPr>
          <w:p>
            <w:pPr>
              <w:pStyle w:val="TableParagraph"/>
              <w:rPr>
                <w:sz w:val="18"/>
              </w:rPr>
            </w:pPr>
          </w:p>
        </w:tc>
        <w:tc>
          <w:tcPr>
            <w:tcW w:w="589" w:type="dxa"/>
          </w:tcPr>
          <w:p>
            <w:pPr>
              <w:pStyle w:val="TableParagraph"/>
              <w:rPr>
                <w:sz w:val="18"/>
              </w:rPr>
            </w:pPr>
          </w:p>
        </w:tc>
        <w:tc>
          <w:tcPr>
            <w:tcW w:w="506" w:type="dxa"/>
          </w:tcPr>
          <w:p>
            <w:pPr>
              <w:pStyle w:val="TableParagraph"/>
              <w:rPr>
                <w:sz w:val="18"/>
              </w:rPr>
            </w:pPr>
          </w:p>
        </w:tc>
        <w:tc>
          <w:tcPr>
            <w:tcW w:w="1229" w:type="dxa"/>
            <w:tcBorders>
              <w:right w:val="single" w:sz="4" w:space="0" w:color="000000"/>
            </w:tcBorders>
          </w:tcPr>
          <w:p>
            <w:pPr>
              <w:pStyle w:val="TableParagraph"/>
              <w:rPr>
                <w:sz w:val="18"/>
              </w:rPr>
            </w:pPr>
          </w:p>
        </w:tc>
      </w:tr>
      <w:tr>
        <w:trPr>
          <w:trHeight w:val="396" w:hRule="atLeast"/>
        </w:trPr>
        <w:tc>
          <w:tcPr>
            <w:tcW w:w="1381" w:type="dxa"/>
            <w:tcBorders>
              <w:left w:val="single" w:sz="4" w:space="0" w:color="000000"/>
            </w:tcBorders>
          </w:tcPr>
          <w:p>
            <w:pPr>
              <w:pStyle w:val="TableParagraph"/>
              <w:rPr>
                <w:sz w:val="22"/>
              </w:rPr>
            </w:pPr>
          </w:p>
        </w:tc>
        <w:tc>
          <w:tcPr>
            <w:tcW w:w="1192" w:type="dxa"/>
          </w:tcPr>
          <w:p>
            <w:pPr>
              <w:pStyle w:val="TableParagraph"/>
              <w:rPr>
                <w:sz w:val="22"/>
              </w:rPr>
            </w:pPr>
          </w:p>
        </w:tc>
        <w:tc>
          <w:tcPr>
            <w:tcW w:w="574"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06" w:type="dxa"/>
          </w:tcPr>
          <w:p>
            <w:pPr>
              <w:pStyle w:val="TableParagraph"/>
              <w:rPr>
                <w:sz w:val="22"/>
              </w:rPr>
            </w:pPr>
          </w:p>
        </w:tc>
        <w:tc>
          <w:tcPr>
            <w:tcW w:w="1229" w:type="dxa"/>
            <w:tcBorders>
              <w:right w:val="single" w:sz="4" w:space="0" w:color="000000"/>
            </w:tcBorders>
          </w:tcPr>
          <w:p>
            <w:pPr>
              <w:pStyle w:val="TableParagraph"/>
              <w:spacing w:before="62"/>
              <w:ind w:left="46"/>
              <w:rPr>
                <w:rFonts w:ascii="Arial"/>
                <w:b/>
                <w:sz w:val="15"/>
              </w:rPr>
            </w:pPr>
            <w:r>
              <w:rPr>
                <w:rFonts w:ascii="Arial"/>
                <w:b/>
                <w:w w:val="105"/>
                <w:sz w:val="15"/>
              </w:rPr>
              <w:t>20</w:t>
            </w:r>
          </w:p>
        </w:tc>
      </w:tr>
      <w:tr>
        <w:trPr>
          <w:trHeight w:val="494" w:hRule="atLeast"/>
        </w:trPr>
        <w:tc>
          <w:tcPr>
            <w:tcW w:w="1381" w:type="dxa"/>
            <w:tcBorders>
              <w:left w:val="single" w:sz="4" w:space="0" w:color="000000"/>
            </w:tcBorders>
          </w:tcPr>
          <w:p>
            <w:pPr>
              <w:pStyle w:val="TableParagraph"/>
              <w:rPr>
                <w:sz w:val="22"/>
              </w:rPr>
            </w:pPr>
          </w:p>
        </w:tc>
        <w:tc>
          <w:tcPr>
            <w:tcW w:w="1192" w:type="dxa"/>
          </w:tcPr>
          <w:p>
            <w:pPr>
              <w:pStyle w:val="TableParagraph"/>
              <w:rPr>
                <w:sz w:val="22"/>
              </w:rPr>
            </w:pPr>
          </w:p>
        </w:tc>
        <w:tc>
          <w:tcPr>
            <w:tcW w:w="574"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06" w:type="dxa"/>
          </w:tcPr>
          <w:p>
            <w:pPr>
              <w:pStyle w:val="TableParagraph"/>
              <w:rPr>
                <w:sz w:val="22"/>
              </w:rPr>
            </w:pPr>
          </w:p>
        </w:tc>
        <w:tc>
          <w:tcPr>
            <w:tcW w:w="1229" w:type="dxa"/>
            <w:tcBorders>
              <w:right w:val="single" w:sz="4" w:space="0" w:color="000000"/>
            </w:tcBorders>
          </w:tcPr>
          <w:p>
            <w:pPr>
              <w:pStyle w:val="TableParagraph"/>
              <w:spacing w:before="10"/>
              <w:rPr>
                <w:sz w:val="13"/>
              </w:rPr>
            </w:pPr>
          </w:p>
          <w:p>
            <w:pPr>
              <w:pStyle w:val="TableParagraph"/>
              <w:ind w:left="46"/>
              <w:rPr>
                <w:rFonts w:ascii="Arial"/>
                <w:b/>
                <w:sz w:val="15"/>
              </w:rPr>
            </w:pPr>
            <w:r>
              <w:rPr>
                <w:rFonts w:ascii="Arial"/>
                <w:b/>
                <w:w w:val="105"/>
                <w:sz w:val="15"/>
              </w:rPr>
              <w:t>15</w:t>
            </w:r>
          </w:p>
        </w:tc>
      </w:tr>
      <w:tr>
        <w:trPr>
          <w:trHeight w:val="494" w:hRule="atLeast"/>
        </w:trPr>
        <w:tc>
          <w:tcPr>
            <w:tcW w:w="1381" w:type="dxa"/>
            <w:tcBorders>
              <w:left w:val="single" w:sz="4" w:space="0" w:color="000000"/>
            </w:tcBorders>
          </w:tcPr>
          <w:p>
            <w:pPr>
              <w:pStyle w:val="TableParagraph"/>
              <w:rPr>
                <w:sz w:val="22"/>
              </w:rPr>
            </w:pPr>
          </w:p>
        </w:tc>
        <w:tc>
          <w:tcPr>
            <w:tcW w:w="1192" w:type="dxa"/>
          </w:tcPr>
          <w:p>
            <w:pPr>
              <w:pStyle w:val="TableParagraph"/>
              <w:rPr>
                <w:sz w:val="22"/>
              </w:rPr>
            </w:pPr>
          </w:p>
        </w:tc>
        <w:tc>
          <w:tcPr>
            <w:tcW w:w="574"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06" w:type="dxa"/>
          </w:tcPr>
          <w:p>
            <w:pPr>
              <w:pStyle w:val="TableParagraph"/>
              <w:rPr>
                <w:sz w:val="22"/>
              </w:rPr>
            </w:pPr>
          </w:p>
        </w:tc>
        <w:tc>
          <w:tcPr>
            <w:tcW w:w="1229" w:type="dxa"/>
            <w:tcBorders>
              <w:right w:val="single" w:sz="4" w:space="0" w:color="000000"/>
            </w:tcBorders>
          </w:tcPr>
          <w:p>
            <w:pPr>
              <w:pStyle w:val="TableParagraph"/>
              <w:spacing w:before="10"/>
              <w:rPr>
                <w:sz w:val="13"/>
              </w:rPr>
            </w:pPr>
          </w:p>
          <w:p>
            <w:pPr>
              <w:pStyle w:val="TableParagraph"/>
              <w:ind w:left="46"/>
              <w:rPr>
                <w:rFonts w:ascii="Arial"/>
                <w:b/>
                <w:sz w:val="15"/>
              </w:rPr>
            </w:pPr>
            <w:r>
              <w:rPr>
                <w:rFonts w:ascii="Arial"/>
                <w:b/>
                <w:w w:val="105"/>
                <w:sz w:val="15"/>
              </w:rPr>
              <w:t>10</w:t>
            </w:r>
          </w:p>
        </w:tc>
      </w:tr>
      <w:tr>
        <w:trPr>
          <w:trHeight w:val="494" w:hRule="atLeast"/>
        </w:trPr>
        <w:tc>
          <w:tcPr>
            <w:tcW w:w="1381" w:type="dxa"/>
            <w:tcBorders>
              <w:left w:val="single" w:sz="4" w:space="0" w:color="000000"/>
            </w:tcBorders>
          </w:tcPr>
          <w:p>
            <w:pPr>
              <w:pStyle w:val="TableParagraph"/>
              <w:rPr>
                <w:sz w:val="22"/>
              </w:rPr>
            </w:pPr>
          </w:p>
        </w:tc>
        <w:tc>
          <w:tcPr>
            <w:tcW w:w="1192" w:type="dxa"/>
          </w:tcPr>
          <w:p>
            <w:pPr>
              <w:pStyle w:val="TableParagraph"/>
              <w:rPr>
                <w:sz w:val="22"/>
              </w:rPr>
            </w:pPr>
          </w:p>
        </w:tc>
        <w:tc>
          <w:tcPr>
            <w:tcW w:w="574"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06" w:type="dxa"/>
          </w:tcPr>
          <w:p>
            <w:pPr>
              <w:pStyle w:val="TableParagraph"/>
              <w:rPr>
                <w:sz w:val="22"/>
              </w:rPr>
            </w:pPr>
          </w:p>
        </w:tc>
        <w:tc>
          <w:tcPr>
            <w:tcW w:w="1229" w:type="dxa"/>
            <w:tcBorders>
              <w:right w:val="single" w:sz="4" w:space="0" w:color="000000"/>
            </w:tcBorders>
          </w:tcPr>
          <w:p>
            <w:pPr>
              <w:pStyle w:val="TableParagraph"/>
              <w:spacing w:before="10"/>
              <w:rPr>
                <w:sz w:val="13"/>
              </w:rPr>
            </w:pPr>
          </w:p>
          <w:p>
            <w:pPr>
              <w:pStyle w:val="TableParagraph"/>
              <w:ind w:left="44"/>
              <w:rPr>
                <w:rFonts w:ascii="Arial"/>
                <w:b/>
                <w:sz w:val="15"/>
              </w:rPr>
            </w:pPr>
            <w:r>
              <w:rPr>
                <w:rFonts w:ascii="Arial"/>
                <w:b/>
                <w:w w:val="103"/>
                <w:sz w:val="15"/>
              </w:rPr>
              <w:t>5</w:t>
            </w:r>
          </w:p>
        </w:tc>
      </w:tr>
      <w:tr>
        <w:trPr>
          <w:trHeight w:val="375" w:hRule="atLeast"/>
        </w:trPr>
        <w:tc>
          <w:tcPr>
            <w:tcW w:w="1381" w:type="dxa"/>
            <w:tcBorders>
              <w:left w:val="single" w:sz="4" w:space="0" w:color="000000"/>
            </w:tcBorders>
          </w:tcPr>
          <w:p>
            <w:pPr>
              <w:pStyle w:val="TableParagraph"/>
              <w:rPr>
                <w:sz w:val="22"/>
              </w:rPr>
            </w:pPr>
          </w:p>
        </w:tc>
        <w:tc>
          <w:tcPr>
            <w:tcW w:w="1192" w:type="dxa"/>
          </w:tcPr>
          <w:p>
            <w:pPr>
              <w:pStyle w:val="TableParagraph"/>
              <w:rPr>
                <w:sz w:val="22"/>
              </w:rPr>
            </w:pPr>
          </w:p>
        </w:tc>
        <w:tc>
          <w:tcPr>
            <w:tcW w:w="574"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89" w:type="dxa"/>
          </w:tcPr>
          <w:p>
            <w:pPr>
              <w:pStyle w:val="TableParagraph"/>
              <w:rPr>
                <w:sz w:val="22"/>
              </w:rPr>
            </w:pPr>
          </w:p>
        </w:tc>
        <w:tc>
          <w:tcPr>
            <w:tcW w:w="506" w:type="dxa"/>
          </w:tcPr>
          <w:p>
            <w:pPr>
              <w:pStyle w:val="TableParagraph"/>
              <w:rPr>
                <w:sz w:val="22"/>
              </w:rPr>
            </w:pPr>
          </w:p>
        </w:tc>
        <w:tc>
          <w:tcPr>
            <w:tcW w:w="1229" w:type="dxa"/>
            <w:tcBorders>
              <w:right w:val="single" w:sz="4" w:space="0" w:color="000000"/>
            </w:tcBorders>
          </w:tcPr>
          <w:p>
            <w:pPr>
              <w:pStyle w:val="TableParagraph"/>
              <w:spacing w:before="10"/>
              <w:rPr>
                <w:sz w:val="13"/>
              </w:rPr>
            </w:pPr>
          </w:p>
          <w:p>
            <w:pPr>
              <w:pStyle w:val="TableParagraph"/>
              <w:ind w:left="44"/>
              <w:rPr>
                <w:rFonts w:ascii="Arial"/>
                <w:b/>
                <w:sz w:val="15"/>
              </w:rPr>
            </w:pPr>
            <w:r>
              <w:rPr>
                <w:rFonts w:ascii="Arial"/>
                <w:b/>
                <w:w w:val="103"/>
                <w:sz w:val="15"/>
              </w:rPr>
              <w:t>0</w:t>
            </w:r>
          </w:p>
        </w:tc>
      </w:tr>
      <w:tr>
        <w:trPr>
          <w:trHeight w:val="471" w:hRule="atLeast"/>
        </w:trPr>
        <w:tc>
          <w:tcPr>
            <w:tcW w:w="1381" w:type="dxa"/>
            <w:tcBorders>
              <w:left w:val="single" w:sz="4" w:space="0" w:color="000000"/>
              <w:bottom w:val="single" w:sz="4" w:space="0" w:color="000000"/>
            </w:tcBorders>
          </w:tcPr>
          <w:p>
            <w:pPr>
              <w:pStyle w:val="TableParagraph"/>
              <w:spacing w:before="42"/>
              <w:ind w:left="916"/>
              <w:rPr>
                <w:rFonts w:ascii="Arial"/>
                <w:b/>
                <w:sz w:val="15"/>
              </w:rPr>
            </w:pPr>
            <w:r>
              <w:rPr>
                <w:rFonts w:ascii="Arial"/>
                <w:b/>
                <w:w w:val="105"/>
                <w:sz w:val="15"/>
              </w:rPr>
              <w:t>1990</w:t>
            </w:r>
          </w:p>
        </w:tc>
        <w:tc>
          <w:tcPr>
            <w:tcW w:w="1192" w:type="dxa"/>
            <w:tcBorders>
              <w:bottom w:val="single" w:sz="4" w:space="0" w:color="000000"/>
            </w:tcBorders>
          </w:tcPr>
          <w:p>
            <w:pPr>
              <w:pStyle w:val="TableParagraph"/>
              <w:tabs>
                <w:tab w:pos="588" w:val="left" w:leader="none"/>
              </w:tabs>
              <w:spacing w:before="42"/>
              <w:ind w:right="133"/>
              <w:jc w:val="right"/>
              <w:rPr>
                <w:rFonts w:ascii="Arial"/>
                <w:b/>
                <w:sz w:val="15"/>
              </w:rPr>
            </w:pPr>
            <w:r>
              <w:rPr>
                <w:rFonts w:ascii="Arial"/>
                <w:b/>
                <w:w w:val="105"/>
                <w:sz w:val="15"/>
              </w:rPr>
              <w:t>1992</w:t>
              <w:tab/>
            </w:r>
            <w:r>
              <w:rPr>
                <w:rFonts w:ascii="Arial"/>
                <w:b/>
                <w:spacing w:val="-2"/>
                <w:sz w:val="15"/>
              </w:rPr>
              <w:t>1994</w:t>
            </w:r>
          </w:p>
        </w:tc>
        <w:tc>
          <w:tcPr>
            <w:tcW w:w="574" w:type="dxa"/>
            <w:tcBorders>
              <w:bottom w:val="single" w:sz="4" w:space="0" w:color="000000"/>
            </w:tcBorders>
          </w:tcPr>
          <w:p>
            <w:pPr>
              <w:pStyle w:val="TableParagraph"/>
              <w:spacing w:before="42"/>
              <w:ind w:left="114"/>
              <w:rPr>
                <w:rFonts w:ascii="Arial"/>
                <w:b/>
                <w:sz w:val="15"/>
              </w:rPr>
            </w:pPr>
            <w:r>
              <w:rPr>
                <w:rFonts w:ascii="Arial"/>
                <w:b/>
                <w:w w:val="105"/>
                <w:sz w:val="15"/>
              </w:rPr>
              <w:t>1996</w:t>
            </w:r>
          </w:p>
        </w:tc>
        <w:tc>
          <w:tcPr>
            <w:tcW w:w="589" w:type="dxa"/>
            <w:tcBorders>
              <w:bottom w:val="single" w:sz="4" w:space="0" w:color="000000"/>
            </w:tcBorders>
          </w:tcPr>
          <w:p>
            <w:pPr>
              <w:pStyle w:val="TableParagraph"/>
              <w:spacing w:before="42"/>
              <w:ind w:left="129"/>
              <w:rPr>
                <w:rFonts w:ascii="Arial"/>
                <w:b/>
                <w:sz w:val="15"/>
              </w:rPr>
            </w:pPr>
            <w:r>
              <w:rPr>
                <w:rFonts w:ascii="Arial"/>
                <w:b/>
                <w:w w:val="105"/>
                <w:sz w:val="15"/>
              </w:rPr>
              <w:t>1998</w:t>
            </w:r>
          </w:p>
        </w:tc>
        <w:tc>
          <w:tcPr>
            <w:tcW w:w="589" w:type="dxa"/>
            <w:tcBorders>
              <w:bottom w:val="single" w:sz="4" w:space="0" w:color="000000"/>
            </w:tcBorders>
          </w:tcPr>
          <w:p>
            <w:pPr>
              <w:pStyle w:val="TableParagraph"/>
              <w:spacing w:before="42"/>
              <w:ind w:left="129"/>
              <w:rPr>
                <w:rFonts w:ascii="Arial"/>
                <w:b/>
                <w:sz w:val="15"/>
              </w:rPr>
            </w:pPr>
            <w:r>
              <w:rPr>
                <w:rFonts w:ascii="Arial"/>
                <w:b/>
                <w:w w:val="105"/>
                <w:sz w:val="15"/>
              </w:rPr>
              <w:t>2000</w:t>
            </w:r>
          </w:p>
        </w:tc>
        <w:tc>
          <w:tcPr>
            <w:tcW w:w="589" w:type="dxa"/>
            <w:tcBorders>
              <w:bottom w:val="single" w:sz="4" w:space="0" w:color="000000"/>
            </w:tcBorders>
          </w:tcPr>
          <w:p>
            <w:pPr>
              <w:pStyle w:val="TableParagraph"/>
              <w:spacing w:before="42"/>
              <w:ind w:left="128"/>
              <w:rPr>
                <w:rFonts w:ascii="Arial"/>
                <w:b/>
                <w:sz w:val="15"/>
              </w:rPr>
            </w:pPr>
            <w:r>
              <w:rPr>
                <w:rFonts w:ascii="Arial"/>
                <w:b/>
                <w:w w:val="105"/>
                <w:sz w:val="15"/>
              </w:rPr>
              <w:t>2002</w:t>
            </w:r>
          </w:p>
        </w:tc>
        <w:tc>
          <w:tcPr>
            <w:tcW w:w="589" w:type="dxa"/>
            <w:tcBorders>
              <w:bottom w:val="single" w:sz="4" w:space="0" w:color="000000"/>
            </w:tcBorders>
          </w:tcPr>
          <w:p>
            <w:pPr>
              <w:pStyle w:val="TableParagraph"/>
              <w:spacing w:before="42"/>
              <w:ind w:left="128"/>
              <w:rPr>
                <w:rFonts w:ascii="Arial"/>
                <w:b/>
                <w:sz w:val="15"/>
              </w:rPr>
            </w:pPr>
            <w:r>
              <w:rPr>
                <w:rFonts w:ascii="Arial"/>
                <w:b/>
                <w:w w:val="105"/>
                <w:sz w:val="15"/>
              </w:rPr>
              <w:t>2004</w:t>
            </w:r>
          </w:p>
        </w:tc>
        <w:tc>
          <w:tcPr>
            <w:tcW w:w="589" w:type="dxa"/>
            <w:tcBorders>
              <w:bottom w:val="single" w:sz="4" w:space="0" w:color="000000"/>
            </w:tcBorders>
          </w:tcPr>
          <w:p>
            <w:pPr>
              <w:pStyle w:val="TableParagraph"/>
              <w:spacing w:before="42"/>
              <w:ind w:left="128"/>
              <w:rPr>
                <w:rFonts w:ascii="Arial"/>
                <w:b/>
                <w:sz w:val="15"/>
              </w:rPr>
            </w:pPr>
            <w:r>
              <w:rPr>
                <w:rFonts w:ascii="Arial"/>
                <w:b/>
                <w:w w:val="105"/>
                <w:sz w:val="15"/>
              </w:rPr>
              <w:t>2006</w:t>
            </w:r>
          </w:p>
        </w:tc>
        <w:tc>
          <w:tcPr>
            <w:tcW w:w="589" w:type="dxa"/>
            <w:tcBorders>
              <w:bottom w:val="single" w:sz="4" w:space="0" w:color="000000"/>
            </w:tcBorders>
          </w:tcPr>
          <w:p>
            <w:pPr>
              <w:pStyle w:val="TableParagraph"/>
              <w:spacing w:before="42"/>
              <w:ind w:left="128"/>
              <w:rPr>
                <w:rFonts w:ascii="Arial"/>
                <w:b/>
                <w:sz w:val="15"/>
              </w:rPr>
            </w:pPr>
            <w:r>
              <w:rPr>
                <w:rFonts w:ascii="Arial"/>
                <w:b/>
                <w:w w:val="105"/>
                <w:sz w:val="15"/>
              </w:rPr>
              <w:t>2008</w:t>
            </w:r>
          </w:p>
        </w:tc>
        <w:tc>
          <w:tcPr>
            <w:tcW w:w="506" w:type="dxa"/>
            <w:tcBorders>
              <w:bottom w:val="single" w:sz="4" w:space="0" w:color="000000"/>
            </w:tcBorders>
          </w:tcPr>
          <w:p>
            <w:pPr>
              <w:pStyle w:val="TableParagraph"/>
              <w:spacing w:before="42"/>
              <w:ind w:left="127"/>
              <w:rPr>
                <w:rFonts w:ascii="Arial"/>
                <w:b/>
                <w:sz w:val="15"/>
              </w:rPr>
            </w:pPr>
            <w:r>
              <w:rPr>
                <w:rFonts w:ascii="Arial"/>
                <w:b/>
                <w:w w:val="105"/>
                <w:sz w:val="15"/>
              </w:rPr>
              <w:t>2010</w:t>
            </w:r>
          </w:p>
        </w:tc>
        <w:tc>
          <w:tcPr>
            <w:tcW w:w="1229" w:type="dxa"/>
            <w:tcBorders>
              <w:bottom w:val="single" w:sz="4" w:space="0" w:color="000000"/>
              <w:right w:val="single" w:sz="4" w:space="0" w:color="000000"/>
            </w:tcBorders>
          </w:tcPr>
          <w:p>
            <w:pPr>
              <w:pStyle w:val="TableParagraph"/>
              <w:rPr>
                <w:sz w:val="22"/>
              </w:rPr>
            </w:pPr>
          </w:p>
        </w:tc>
      </w:tr>
      <w:tr>
        <w:trPr>
          <w:trHeight w:val="930" w:hRule="atLeast"/>
        </w:trPr>
        <w:tc>
          <w:tcPr>
            <w:tcW w:w="8416" w:type="dxa"/>
            <w:gridSpan w:val="11"/>
            <w:tcBorders>
              <w:top w:val="single" w:sz="4" w:space="0" w:color="000000"/>
              <w:left w:val="single" w:sz="4" w:space="0" w:color="000000"/>
              <w:bottom w:val="single" w:sz="4" w:space="0" w:color="000000"/>
              <w:right w:val="single" w:sz="4" w:space="0" w:color="000000"/>
            </w:tcBorders>
          </w:tcPr>
          <w:p>
            <w:pPr>
              <w:pStyle w:val="TableParagraph"/>
              <w:ind w:left="107" w:right="181"/>
              <w:rPr>
                <w:sz w:val="20"/>
              </w:rPr>
            </w:pPr>
            <w:r>
              <w:rPr>
                <w:sz w:val="20"/>
              </w:rPr>
              <w:t>Note: Percentage of firms expecting external finance to act as a constraint on output and exports over the next three months and on investment spending over the next twelve months.</w:t>
            </w:r>
          </w:p>
          <w:p>
            <w:pPr>
              <w:pStyle w:val="TableParagraph"/>
              <w:spacing w:before="114"/>
              <w:ind w:left="107"/>
              <w:rPr>
                <w:sz w:val="20"/>
              </w:rPr>
            </w:pPr>
            <w:r>
              <w:rPr>
                <w:sz w:val="20"/>
              </w:rPr>
              <w:t>Source: CBI Industrial Trends Survey</w:t>
            </w:r>
          </w:p>
        </w:tc>
      </w:tr>
    </w:tbl>
    <w:p>
      <w:pPr>
        <w:pStyle w:val="BodyText"/>
        <w:rPr>
          <w:sz w:val="28"/>
        </w:rPr>
      </w:pPr>
    </w:p>
    <w:p>
      <w:pPr>
        <w:pStyle w:val="Heading1"/>
      </w:pPr>
      <w:r>
        <w:rPr/>
        <w:t>The importance of the supply side</w:t>
      </w:r>
    </w:p>
    <w:p>
      <w:pPr>
        <w:pStyle w:val="BodyText"/>
        <w:rPr>
          <w:b/>
          <w:sz w:val="26"/>
        </w:rPr>
      </w:pPr>
    </w:p>
    <w:p>
      <w:pPr>
        <w:pStyle w:val="BodyText"/>
        <w:spacing w:before="6"/>
        <w:rPr>
          <w:b/>
          <w:sz w:val="21"/>
        </w:rPr>
      </w:pPr>
    </w:p>
    <w:p>
      <w:pPr>
        <w:pStyle w:val="BodyText"/>
        <w:spacing w:line="360" w:lineRule="auto"/>
        <w:ind w:left="118" w:right="169"/>
      </w:pPr>
      <w:r>
        <w:rPr/>
        <w:t>All these factors – the global economy, the impact of fiscal tightening and the effects of the continued adjustment in the financial sector – will have a bearing on the growth of the UK economy through the recovery and hence on monetary policy. But there is another element which is crucial to the progress of the recovery which we need to acknowledge. This is the flexibility and health of the supply side of the UK economy. Key issues relating to the supply-side performance of the economy include: how efficiently labour markets operate; how dynamic and entrepreneurial UK-based firms are; how various forms of regulation affect investment plans and the climate for doing business; and how efficiently the economy can reallocate resources away from declining activities to new areas of growth.</w:t>
      </w:r>
    </w:p>
    <w:p>
      <w:pPr>
        <w:pStyle w:val="BodyText"/>
        <w:spacing w:before="1"/>
        <w:rPr>
          <w:sz w:val="36"/>
        </w:rPr>
      </w:pPr>
    </w:p>
    <w:p>
      <w:pPr>
        <w:pStyle w:val="BodyText"/>
        <w:spacing w:line="360" w:lineRule="auto"/>
        <w:ind w:left="118" w:right="214"/>
      </w:pPr>
      <w:r>
        <w:rPr/>
        <w:t>I have been generally impressed by the supply side performance of the UK economy through this recession and the early phases of the recovery. Most businesses have showed resilience in the face of a big shock to demand, and the flexibility of wages and hours worked was used to protect jobs. Company failures have been lower than we have seen in previous</w:t>
      </w:r>
    </w:p>
    <w:p>
      <w:pPr>
        <w:spacing w:after="0" w:line="360" w:lineRule="auto"/>
        <w:sectPr>
          <w:pgSz w:w="11910" w:h="16840"/>
          <w:pgMar w:header="0" w:footer="1060" w:top="1320" w:bottom="1260" w:left="1300" w:right="1320"/>
        </w:sectPr>
      </w:pPr>
    </w:p>
    <w:p>
      <w:pPr>
        <w:pStyle w:val="BodyText"/>
        <w:spacing w:line="360" w:lineRule="auto" w:before="114"/>
        <w:ind w:left="118" w:right="354"/>
      </w:pPr>
      <w:r>
        <w:rPr/>
        <w:pict>
          <v:group style="position:absolute;margin-left:131.678619pt;margin-top:127.199303pt;width:293.850pt;height:150.25pt;mso-position-horizontal-relative:page;mso-position-vertical-relative:paragraph;z-index:-254227456" coordorigin="2634,2544" coordsize="5877,3005">
            <v:shape style="position:absolute;left:0;top:15539;width:60;height:4200" coordorigin="0,15540" coordsize="60,4200" path="m8468,5506l8468,2551m8468,5506l8510,5506m8468,5141l8510,5141m8468,4761l8510,4761m8468,4395l8510,4395m8468,4029l8510,4029m8468,3649l8510,3649m8468,3283l8510,3283m8468,2917l8510,2917m8468,2551l8510,2551e" filled="false" stroked="true" strokeweight=".705429pt" strokecolor="#000000">
              <v:path arrowok="t"/>
              <v:stroke dashstyle="solid"/>
            </v:shape>
            <v:shape style="position:absolute;left:0;top:15479;width:8240;height:60" coordorigin="0,15480" coordsize="8240,60" path="m2641,5506l8468,5506m2641,5506l2641,5549m3602,5506l3602,5549m4564,5506l4564,5549m5526,5506l5526,5549m6488,5506l6488,5549m7449,5506l7449,5549m8411,5506l8411,5549e" filled="false" stroked="true" strokeweight=".705429pt" strokecolor="#000000">
              <v:path arrowok="t"/>
              <v:stroke dashstyle="solid"/>
            </v:shape>
            <v:shape style="position:absolute;left:2647;top:2952;width:5814;height:1999" coordorigin="2648,2952" coordsize="5814,1999" path="m2648,4402l2690,4613,2733,4951,2789,4908,2832,4880,2888,4697,2931,4697,2973,4697,3030,4697,3072,4585,3129,4655,3171,4655,3213,4500,3270,4317,3312,4289,3369,4205,3411,4064,3454,3881,3510,3726,3553,3726,3609,3881,3652,3585,3694,3656,3751,3797,3793,3909,3850,3656,3892,3656,3935,3698,3991,3614,4034,3501,4090,3402,4133,3177,4175,3065,4232,2994,4274,2952,4331,2994,4373,3205,4416,3290,4472,3501,4515,3501,4571,3656,4614,3839,4656,3881,4713,4064,4755,4402,4812,4500,4854,4430,4897,4500,4953,4500,4996,4402,5052,4402,5095,4585,5137,4205,5194,4205,5236,4064,5293,3994,5335,4022,5377,3881,5434,3768,5476,3698,5533,3402,5575,3614,5618,3585,5674,3726,5717,3881,5773,3881,5816,3768,5858,3881,5915,3768,5957,3881,6014,3585,6056,3585,6099,3951,6155,3994,6198,4247,6254,4205,6297,4289,6339,3994,6396,4022,6438,4092,6495,4092,6537,3909,6580,4022,6636,3951,6679,4205,6735,4402,6778,4022,6820,4289,6877,4500,6919,4317,6976,4289,7018,4585,7061,4430,7117,4359,7160,4317,7216,4289,7259,4205,7301,3839,7358,3839,7400,3994,7457,4064,7499,3839,7541,4064,7598,4092,7640,3994,7697,3656,7739,3994,7782,3951,7838,3881,7881,3698,7937,4092,7980,3726,8022,3909,8079,3881,8121,4177,8178,4430,8220,4613,8263,4472,8319,4655,8362,4430,8418,4177,8461,4022e" filled="false" stroked="true" strokeweight="1.408091pt" strokecolor="#333399">
              <v:path arrowok="t"/>
              <v:stroke dashstyle="solid"/>
            </v:shape>
            <v:line style="position:absolute" from="2634,4036" to="8475,4036" stroked="true" strokeweight="1.407349pt" strokecolor="#002060">
              <v:stroke dashstyle="solid"/>
            </v:line>
            <v:line style="position:absolute" from="2902,2755" to="3270,2755" stroked="true" strokeweight="1.407349pt" strokecolor="#002060">
              <v:stroke dashstyle="solid"/>
            </v:line>
            <w10:wrap type="none"/>
          </v:group>
        </w:pict>
      </w:r>
      <w:r>
        <w:rPr/>
        <w:t>recessions.</w:t>
      </w:r>
      <w:hyperlink w:history="true" w:anchor="_bookmark9">
        <w:r>
          <w:rPr>
            <w:vertAlign w:val="superscript"/>
          </w:rPr>
          <w:t>10</w:t>
        </w:r>
      </w:hyperlink>
      <w:r>
        <w:rPr>
          <w:vertAlign w:val="baseline"/>
        </w:rPr>
        <w:t> And the economy has turned round from the very worrying situation we faced in the middle of last year and has generated over 300,000 new jobs since last winter, according to the latest Labour Force Survey results.</w:t>
      </w:r>
    </w:p>
    <w:p>
      <w:pPr>
        <w:pStyle w:val="BodyText"/>
        <w:rPr>
          <w:sz w:val="20"/>
        </w:rPr>
      </w:pPr>
    </w:p>
    <w:p>
      <w:pPr>
        <w:pStyle w:val="BodyText"/>
        <w:spacing w:before="6"/>
        <w:rPr>
          <w:sz w:val="16"/>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4"/>
        <w:gridCol w:w="1984"/>
        <w:gridCol w:w="961"/>
        <w:gridCol w:w="961"/>
        <w:gridCol w:w="961"/>
        <w:gridCol w:w="673"/>
        <w:gridCol w:w="1235"/>
      </w:tblGrid>
      <w:tr>
        <w:trPr>
          <w:trHeight w:val="551" w:hRule="atLeast"/>
        </w:trPr>
        <w:tc>
          <w:tcPr>
            <w:tcW w:w="8409" w:type="dxa"/>
            <w:gridSpan w:val="7"/>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7"/>
              <w:rPr>
                <w:b/>
                <w:sz w:val="24"/>
              </w:rPr>
            </w:pPr>
            <w:r>
              <w:rPr>
                <w:b/>
                <w:sz w:val="24"/>
              </w:rPr>
              <w:t>Chart 10: Capacity utilisation in manufacturing</w:t>
            </w:r>
          </w:p>
          <w:p>
            <w:pPr>
              <w:pStyle w:val="TableParagraph"/>
              <w:spacing w:line="261" w:lineRule="exact"/>
              <w:ind w:left="107"/>
              <w:rPr>
                <w:sz w:val="24"/>
              </w:rPr>
            </w:pPr>
            <w:r>
              <w:rPr>
                <w:sz w:val="24"/>
              </w:rPr>
              <w:t>Percentage balance of firms at or above capacity</w:t>
            </w:r>
          </w:p>
        </w:tc>
      </w:tr>
      <w:tr>
        <w:trPr>
          <w:trHeight w:val="307" w:hRule="atLeast"/>
        </w:trPr>
        <w:tc>
          <w:tcPr>
            <w:tcW w:w="1634" w:type="dxa"/>
            <w:tcBorders>
              <w:top w:val="single" w:sz="4" w:space="0" w:color="000000"/>
              <w:left w:val="single" w:sz="4" w:space="0" w:color="000000"/>
            </w:tcBorders>
          </w:tcPr>
          <w:p>
            <w:pPr>
              <w:pStyle w:val="TableParagraph"/>
              <w:rPr>
                <w:sz w:val="22"/>
              </w:rPr>
            </w:pPr>
          </w:p>
        </w:tc>
        <w:tc>
          <w:tcPr>
            <w:tcW w:w="1984" w:type="dxa"/>
            <w:tcBorders>
              <w:top w:val="single" w:sz="4" w:space="0" w:color="000000"/>
            </w:tcBorders>
          </w:tcPr>
          <w:p>
            <w:pPr>
              <w:pStyle w:val="TableParagraph"/>
              <w:rPr>
                <w:sz w:val="22"/>
              </w:rPr>
            </w:pPr>
          </w:p>
        </w:tc>
        <w:tc>
          <w:tcPr>
            <w:tcW w:w="961" w:type="dxa"/>
            <w:tcBorders>
              <w:top w:val="single" w:sz="4" w:space="0" w:color="000000"/>
            </w:tcBorders>
          </w:tcPr>
          <w:p>
            <w:pPr>
              <w:pStyle w:val="TableParagraph"/>
              <w:rPr>
                <w:sz w:val="22"/>
              </w:rPr>
            </w:pPr>
          </w:p>
        </w:tc>
        <w:tc>
          <w:tcPr>
            <w:tcW w:w="961" w:type="dxa"/>
            <w:tcBorders>
              <w:top w:val="single" w:sz="4" w:space="0" w:color="000000"/>
            </w:tcBorders>
          </w:tcPr>
          <w:p>
            <w:pPr>
              <w:pStyle w:val="TableParagraph"/>
              <w:rPr>
                <w:sz w:val="22"/>
              </w:rPr>
            </w:pPr>
          </w:p>
        </w:tc>
        <w:tc>
          <w:tcPr>
            <w:tcW w:w="961" w:type="dxa"/>
            <w:tcBorders>
              <w:top w:val="single" w:sz="4" w:space="0" w:color="000000"/>
            </w:tcBorders>
          </w:tcPr>
          <w:p>
            <w:pPr>
              <w:pStyle w:val="TableParagraph"/>
              <w:rPr>
                <w:sz w:val="22"/>
              </w:rPr>
            </w:pPr>
          </w:p>
        </w:tc>
        <w:tc>
          <w:tcPr>
            <w:tcW w:w="673" w:type="dxa"/>
            <w:tcBorders>
              <w:top w:val="single" w:sz="4" w:space="0" w:color="000000"/>
            </w:tcBorders>
          </w:tcPr>
          <w:p>
            <w:pPr>
              <w:pStyle w:val="TableParagraph"/>
              <w:rPr>
                <w:sz w:val="22"/>
              </w:rPr>
            </w:pPr>
          </w:p>
        </w:tc>
        <w:tc>
          <w:tcPr>
            <w:tcW w:w="1235" w:type="dxa"/>
            <w:tcBorders>
              <w:top w:val="single" w:sz="4" w:space="0" w:color="000000"/>
              <w:right w:val="single" w:sz="4" w:space="0" w:color="000000"/>
            </w:tcBorders>
          </w:tcPr>
          <w:p>
            <w:pPr>
              <w:pStyle w:val="TableParagraph"/>
              <w:spacing w:before="115"/>
              <w:ind w:left="34"/>
              <w:rPr>
                <w:rFonts w:ascii="Arial"/>
                <w:b/>
                <w:sz w:val="15"/>
              </w:rPr>
            </w:pPr>
            <w:r>
              <w:rPr>
                <w:rFonts w:ascii="Arial"/>
                <w:b/>
                <w:w w:val="105"/>
                <w:sz w:val="15"/>
              </w:rPr>
              <w:t>80</w:t>
            </w:r>
          </w:p>
        </w:tc>
      </w:tr>
      <w:tr>
        <w:trPr>
          <w:trHeight w:val="185" w:hRule="atLeast"/>
        </w:trPr>
        <w:tc>
          <w:tcPr>
            <w:tcW w:w="1634" w:type="dxa"/>
            <w:tcBorders>
              <w:left w:val="single" w:sz="4" w:space="0" w:color="000000"/>
            </w:tcBorders>
          </w:tcPr>
          <w:p>
            <w:pPr>
              <w:pStyle w:val="TableParagraph"/>
              <w:rPr>
                <w:sz w:val="12"/>
              </w:rPr>
            </w:pPr>
          </w:p>
        </w:tc>
        <w:tc>
          <w:tcPr>
            <w:tcW w:w="1984" w:type="dxa"/>
          </w:tcPr>
          <w:p>
            <w:pPr>
              <w:pStyle w:val="TableParagraph"/>
              <w:spacing w:line="147" w:lineRule="exact" w:before="18"/>
              <w:ind w:right="327"/>
              <w:jc w:val="right"/>
              <w:rPr>
                <w:rFonts w:ascii="Arial"/>
                <w:b/>
                <w:sz w:val="15"/>
              </w:rPr>
            </w:pPr>
            <w:r>
              <w:rPr>
                <w:rFonts w:ascii="Arial"/>
                <w:b/>
                <w:w w:val="105"/>
                <w:sz w:val="15"/>
              </w:rPr>
              <w:t>Average since 1980</w:t>
            </w:r>
          </w:p>
        </w:tc>
        <w:tc>
          <w:tcPr>
            <w:tcW w:w="961" w:type="dxa"/>
          </w:tcPr>
          <w:p>
            <w:pPr>
              <w:pStyle w:val="TableParagraph"/>
              <w:rPr>
                <w:sz w:val="12"/>
              </w:rPr>
            </w:pPr>
          </w:p>
        </w:tc>
        <w:tc>
          <w:tcPr>
            <w:tcW w:w="961" w:type="dxa"/>
          </w:tcPr>
          <w:p>
            <w:pPr>
              <w:pStyle w:val="TableParagraph"/>
              <w:rPr>
                <w:sz w:val="12"/>
              </w:rPr>
            </w:pPr>
          </w:p>
        </w:tc>
        <w:tc>
          <w:tcPr>
            <w:tcW w:w="961" w:type="dxa"/>
          </w:tcPr>
          <w:p>
            <w:pPr>
              <w:pStyle w:val="TableParagraph"/>
              <w:rPr>
                <w:sz w:val="12"/>
              </w:rPr>
            </w:pPr>
          </w:p>
        </w:tc>
        <w:tc>
          <w:tcPr>
            <w:tcW w:w="673" w:type="dxa"/>
          </w:tcPr>
          <w:p>
            <w:pPr>
              <w:pStyle w:val="TableParagraph"/>
              <w:rPr>
                <w:sz w:val="12"/>
              </w:rPr>
            </w:pPr>
          </w:p>
        </w:tc>
        <w:tc>
          <w:tcPr>
            <w:tcW w:w="1235" w:type="dxa"/>
            <w:tcBorders>
              <w:right w:val="single" w:sz="4" w:space="0" w:color="000000"/>
            </w:tcBorders>
          </w:tcPr>
          <w:p>
            <w:pPr>
              <w:pStyle w:val="TableParagraph"/>
              <w:rPr>
                <w:sz w:val="12"/>
              </w:rPr>
            </w:pPr>
          </w:p>
        </w:tc>
      </w:tr>
      <w:tr>
        <w:trPr>
          <w:trHeight w:val="264" w:hRule="atLeast"/>
        </w:trPr>
        <w:tc>
          <w:tcPr>
            <w:tcW w:w="1634" w:type="dxa"/>
            <w:tcBorders>
              <w:left w:val="single" w:sz="4" w:space="0" w:color="000000"/>
            </w:tcBorders>
          </w:tcPr>
          <w:p>
            <w:pPr>
              <w:pStyle w:val="TableParagraph"/>
              <w:rPr>
                <w:sz w:val="18"/>
              </w:rPr>
            </w:pPr>
          </w:p>
        </w:tc>
        <w:tc>
          <w:tcPr>
            <w:tcW w:w="1984" w:type="dxa"/>
          </w:tcPr>
          <w:p>
            <w:pPr>
              <w:pStyle w:val="TableParagraph"/>
              <w:rPr>
                <w:sz w:val="18"/>
              </w:rPr>
            </w:pPr>
          </w:p>
        </w:tc>
        <w:tc>
          <w:tcPr>
            <w:tcW w:w="961" w:type="dxa"/>
          </w:tcPr>
          <w:p>
            <w:pPr>
              <w:pStyle w:val="TableParagraph"/>
              <w:rPr>
                <w:sz w:val="18"/>
              </w:rPr>
            </w:pPr>
          </w:p>
        </w:tc>
        <w:tc>
          <w:tcPr>
            <w:tcW w:w="961" w:type="dxa"/>
          </w:tcPr>
          <w:p>
            <w:pPr>
              <w:pStyle w:val="TableParagraph"/>
              <w:rPr>
                <w:sz w:val="18"/>
              </w:rPr>
            </w:pPr>
          </w:p>
        </w:tc>
        <w:tc>
          <w:tcPr>
            <w:tcW w:w="961" w:type="dxa"/>
          </w:tcPr>
          <w:p>
            <w:pPr>
              <w:pStyle w:val="TableParagraph"/>
              <w:rPr>
                <w:sz w:val="18"/>
              </w:rPr>
            </w:pPr>
          </w:p>
        </w:tc>
        <w:tc>
          <w:tcPr>
            <w:tcW w:w="673" w:type="dxa"/>
          </w:tcPr>
          <w:p>
            <w:pPr>
              <w:pStyle w:val="TableParagraph"/>
              <w:rPr>
                <w:sz w:val="18"/>
              </w:rPr>
            </w:pPr>
          </w:p>
        </w:tc>
        <w:tc>
          <w:tcPr>
            <w:tcW w:w="1235" w:type="dxa"/>
            <w:tcBorders>
              <w:right w:val="single" w:sz="4" w:space="0" w:color="000000"/>
            </w:tcBorders>
          </w:tcPr>
          <w:p>
            <w:pPr>
              <w:pStyle w:val="TableParagraph"/>
              <w:spacing w:line="165" w:lineRule="exact"/>
              <w:ind w:left="34"/>
              <w:rPr>
                <w:rFonts w:ascii="Arial"/>
                <w:b/>
                <w:sz w:val="15"/>
              </w:rPr>
            </w:pPr>
            <w:r>
              <w:rPr>
                <w:rFonts w:ascii="Arial"/>
                <w:b/>
                <w:w w:val="105"/>
                <w:sz w:val="15"/>
              </w:rPr>
              <w:t>70</w:t>
            </w:r>
          </w:p>
        </w:tc>
      </w:tr>
      <w:tr>
        <w:trPr>
          <w:trHeight w:val="370" w:hRule="atLeast"/>
        </w:trPr>
        <w:tc>
          <w:tcPr>
            <w:tcW w:w="1634" w:type="dxa"/>
            <w:tcBorders>
              <w:left w:val="single" w:sz="4" w:space="0" w:color="000000"/>
            </w:tcBorders>
          </w:tcPr>
          <w:p>
            <w:pPr>
              <w:pStyle w:val="TableParagraph"/>
              <w:rPr>
                <w:sz w:val="22"/>
              </w:rPr>
            </w:pPr>
          </w:p>
        </w:tc>
        <w:tc>
          <w:tcPr>
            <w:tcW w:w="1984" w:type="dxa"/>
          </w:tcPr>
          <w:p>
            <w:pPr>
              <w:pStyle w:val="TableParagraph"/>
              <w:rPr>
                <w:sz w:val="22"/>
              </w:rPr>
            </w:pPr>
          </w:p>
        </w:tc>
        <w:tc>
          <w:tcPr>
            <w:tcW w:w="961" w:type="dxa"/>
          </w:tcPr>
          <w:p>
            <w:pPr>
              <w:pStyle w:val="TableParagraph"/>
              <w:rPr>
                <w:sz w:val="22"/>
              </w:rPr>
            </w:pPr>
          </w:p>
        </w:tc>
        <w:tc>
          <w:tcPr>
            <w:tcW w:w="961" w:type="dxa"/>
          </w:tcPr>
          <w:p>
            <w:pPr>
              <w:pStyle w:val="TableParagraph"/>
              <w:rPr>
                <w:sz w:val="22"/>
              </w:rPr>
            </w:pPr>
          </w:p>
        </w:tc>
        <w:tc>
          <w:tcPr>
            <w:tcW w:w="961" w:type="dxa"/>
          </w:tcPr>
          <w:p>
            <w:pPr>
              <w:pStyle w:val="TableParagraph"/>
              <w:rPr>
                <w:sz w:val="22"/>
              </w:rPr>
            </w:pPr>
          </w:p>
        </w:tc>
        <w:tc>
          <w:tcPr>
            <w:tcW w:w="673" w:type="dxa"/>
          </w:tcPr>
          <w:p>
            <w:pPr>
              <w:pStyle w:val="TableParagraph"/>
              <w:rPr>
                <w:sz w:val="22"/>
              </w:rPr>
            </w:pPr>
          </w:p>
        </w:tc>
        <w:tc>
          <w:tcPr>
            <w:tcW w:w="1235" w:type="dxa"/>
            <w:tcBorders>
              <w:right w:val="single" w:sz="4" w:space="0" w:color="000000"/>
            </w:tcBorders>
          </w:tcPr>
          <w:p>
            <w:pPr>
              <w:pStyle w:val="TableParagraph"/>
              <w:spacing w:before="98"/>
              <w:ind w:left="34"/>
              <w:rPr>
                <w:rFonts w:ascii="Arial"/>
                <w:b/>
                <w:sz w:val="15"/>
              </w:rPr>
            </w:pPr>
            <w:r>
              <w:rPr>
                <w:rFonts w:ascii="Arial"/>
                <w:b/>
                <w:w w:val="105"/>
                <w:sz w:val="15"/>
              </w:rPr>
              <w:t>60</w:t>
            </w:r>
          </w:p>
        </w:tc>
      </w:tr>
      <w:tr>
        <w:trPr>
          <w:trHeight w:val="370" w:hRule="atLeast"/>
        </w:trPr>
        <w:tc>
          <w:tcPr>
            <w:tcW w:w="1634" w:type="dxa"/>
            <w:tcBorders>
              <w:left w:val="single" w:sz="4" w:space="0" w:color="000000"/>
            </w:tcBorders>
          </w:tcPr>
          <w:p>
            <w:pPr>
              <w:pStyle w:val="TableParagraph"/>
              <w:rPr>
                <w:sz w:val="22"/>
              </w:rPr>
            </w:pPr>
          </w:p>
        </w:tc>
        <w:tc>
          <w:tcPr>
            <w:tcW w:w="1984" w:type="dxa"/>
          </w:tcPr>
          <w:p>
            <w:pPr>
              <w:pStyle w:val="TableParagraph"/>
              <w:rPr>
                <w:sz w:val="22"/>
              </w:rPr>
            </w:pPr>
          </w:p>
        </w:tc>
        <w:tc>
          <w:tcPr>
            <w:tcW w:w="961" w:type="dxa"/>
          </w:tcPr>
          <w:p>
            <w:pPr>
              <w:pStyle w:val="TableParagraph"/>
              <w:rPr>
                <w:sz w:val="22"/>
              </w:rPr>
            </w:pPr>
          </w:p>
        </w:tc>
        <w:tc>
          <w:tcPr>
            <w:tcW w:w="961" w:type="dxa"/>
          </w:tcPr>
          <w:p>
            <w:pPr>
              <w:pStyle w:val="TableParagraph"/>
              <w:rPr>
                <w:sz w:val="22"/>
              </w:rPr>
            </w:pPr>
          </w:p>
        </w:tc>
        <w:tc>
          <w:tcPr>
            <w:tcW w:w="961" w:type="dxa"/>
          </w:tcPr>
          <w:p>
            <w:pPr>
              <w:pStyle w:val="TableParagraph"/>
              <w:rPr>
                <w:sz w:val="22"/>
              </w:rPr>
            </w:pPr>
          </w:p>
        </w:tc>
        <w:tc>
          <w:tcPr>
            <w:tcW w:w="673" w:type="dxa"/>
          </w:tcPr>
          <w:p>
            <w:pPr>
              <w:pStyle w:val="TableParagraph"/>
              <w:rPr>
                <w:sz w:val="22"/>
              </w:rPr>
            </w:pPr>
          </w:p>
        </w:tc>
        <w:tc>
          <w:tcPr>
            <w:tcW w:w="1235" w:type="dxa"/>
            <w:tcBorders>
              <w:right w:val="single" w:sz="4" w:space="0" w:color="000000"/>
            </w:tcBorders>
          </w:tcPr>
          <w:p>
            <w:pPr>
              <w:pStyle w:val="TableParagraph"/>
              <w:spacing w:before="98"/>
              <w:ind w:left="34"/>
              <w:rPr>
                <w:rFonts w:ascii="Arial"/>
                <w:b/>
                <w:sz w:val="15"/>
              </w:rPr>
            </w:pPr>
            <w:r>
              <w:rPr>
                <w:rFonts w:ascii="Arial"/>
                <w:b/>
                <w:w w:val="105"/>
                <w:sz w:val="15"/>
              </w:rPr>
              <w:t>50</w:t>
            </w:r>
          </w:p>
        </w:tc>
      </w:tr>
      <w:tr>
        <w:trPr>
          <w:trHeight w:val="370" w:hRule="atLeast"/>
        </w:trPr>
        <w:tc>
          <w:tcPr>
            <w:tcW w:w="1634" w:type="dxa"/>
            <w:tcBorders>
              <w:left w:val="single" w:sz="4" w:space="0" w:color="000000"/>
            </w:tcBorders>
          </w:tcPr>
          <w:p>
            <w:pPr>
              <w:pStyle w:val="TableParagraph"/>
              <w:rPr>
                <w:sz w:val="22"/>
              </w:rPr>
            </w:pPr>
          </w:p>
        </w:tc>
        <w:tc>
          <w:tcPr>
            <w:tcW w:w="1984" w:type="dxa"/>
          </w:tcPr>
          <w:p>
            <w:pPr>
              <w:pStyle w:val="TableParagraph"/>
              <w:rPr>
                <w:sz w:val="22"/>
              </w:rPr>
            </w:pPr>
          </w:p>
        </w:tc>
        <w:tc>
          <w:tcPr>
            <w:tcW w:w="961" w:type="dxa"/>
          </w:tcPr>
          <w:p>
            <w:pPr>
              <w:pStyle w:val="TableParagraph"/>
              <w:rPr>
                <w:sz w:val="22"/>
              </w:rPr>
            </w:pPr>
          </w:p>
        </w:tc>
        <w:tc>
          <w:tcPr>
            <w:tcW w:w="961" w:type="dxa"/>
          </w:tcPr>
          <w:p>
            <w:pPr>
              <w:pStyle w:val="TableParagraph"/>
              <w:rPr>
                <w:sz w:val="22"/>
              </w:rPr>
            </w:pPr>
          </w:p>
        </w:tc>
        <w:tc>
          <w:tcPr>
            <w:tcW w:w="961" w:type="dxa"/>
          </w:tcPr>
          <w:p>
            <w:pPr>
              <w:pStyle w:val="TableParagraph"/>
              <w:rPr>
                <w:sz w:val="22"/>
              </w:rPr>
            </w:pPr>
          </w:p>
        </w:tc>
        <w:tc>
          <w:tcPr>
            <w:tcW w:w="673" w:type="dxa"/>
          </w:tcPr>
          <w:p>
            <w:pPr>
              <w:pStyle w:val="TableParagraph"/>
              <w:rPr>
                <w:sz w:val="22"/>
              </w:rPr>
            </w:pPr>
          </w:p>
        </w:tc>
        <w:tc>
          <w:tcPr>
            <w:tcW w:w="1235" w:type="dxa"/>
            <w:tcBorders>
              <w:right w:val="single" w:sz="4" w:space="0" w:color="000000"/>
            </w:tcBorders>
          </w:tcPr>
          <w:p>
            <w:pPr>
              <w:pStyle w:val="TableParagraph"/>
              <w:spacing w:before="98"/>
              <w:ind w:left="34"/>
              <w:rPr>
                <w:rFonts w:ascii="Arial"/>
                <w:b/>
                <w:sz w:val="15"/>
              </w:rPr>
            </w:pPr>
            <w:r>
              <w:rPr>
                <w:rFonts w:ascii="Arial"/>
                <w:b/>
                <w:w w:val="105"/>
                <w:sz w:val="15"/>
              </w:rPr>
              <w:t>40</w:t>
            </w:r>
          </w:p>
        </w:tc>
      </w:tr>
      <w:tr>
        <w:trPr>
          <w:trHeight w:val="370" w:hRule="atLeast"/>
        </w:trPr>
        <w:tc>
          <w:tcPr>
            <w:tcW w:w="1634" w:type="dxa"/>
            <w:tcBorders>
              <w:left w:val="single" w:sz="4" w:space="0" w:color="000000"/>
            </w:tcBorders>
          </w:tcPr>
          <w:p>
            <w:pPr>
              <w:pStyle w:val="TableParagraph"/>
              <w:rPr>
                <w:sz w:val="22"/>
              </w:rPr>
            </w:pPr>
          </w:p>
        </w:tc>
        <w:tc>
          <w:tcPr>
            <w:tcW w:w="1984" w:type="dxa"/>
          </w:tcPr>
          <w:p>
            <w:pPr>
              <w:pStyle w:val="TableParagraph"/>
              <w:rPr>
                <w:sz w:val="22"/>
              </w:rPr>
            </w:pPr>
          </w:p>
        </w:tc>
        <w:tc>
          <w:tcPr>
            <w:tcW w:w="961" w:type="dxa"/>
          </w:tcPr>
          <w:p>
            <w:pPr>
              <w:pStyle w:val="TableParagraph"/>
              <w:rPr>
                <w:sz w:val="22"/>
              </w:rPr>
            </w:pPr>
          </w:p>
        </w:tc>
        <w:tc>
          <w:tcPr>
            <w:tcW w:w="961" w:type="dxa"/>
          </w:tcPr>
          <w:p>
            <w:pPr>
              <w:pStyle w:val="TableParagraph"/>
              <w:rPr>
                <w:sz w:val="22"/>
              </w:rPr>
            </w:pPr>
          </w:p>
        </w:tc>
        <w:tc>
          <w:tcPr>
            <w:tcW w:w="961" w:type="dxa"/>
          </w:tcPr>
          <w:p>
            <w:pPr>
              <w:pStyle w:val="TableParagraph"/>
              <w:rPr>
                <w:sz w:val="22"/>
              </w:rPr>
            </w:pPr>
          </w:p>
        </w:tc>
        <w:tc>
          <w:tcPr>
            <w:tcW w:w="673" w:type="dxa"/>
          </w:tcPr>
          <w:p>
            <w:pPr>
              <w:pStyle w:val="TableParagraph"/>
              <w:rPr>
                <w:sz w:val="22"/>
              </w:rPr>
            </w:pPr>
          </w:p>
        </w:tc>
        <w:tc>
          <w:tcPr>
            <w:tcW w:w="1235" w:type="dxa"/>
            <w:tcBorders>
              <w:right w:val="single" w:sz="4" w:space="0" w:color="000000"/>
            </w:tcBorders>
          </w:tcPr>
          <w:p>
            <w:pPr>
              <w:pStyle w:val="TableParagraph"/>
              <w:spacing w:before="98"/>
              <w:ind w:left="34"/>
              <w:rPr>
                <w:rFonts w:ascii="Arial"/>
                <w:b/>
                <w:sz w:val="15"/>
              </w:rPr>
            </w:pPr>
            <w:r>
              <w:rPr>
                <w:rFonts w:ascii="Arial"/>
                <w:b/>
                <w:w w:val="105"/>
                <w:sz w:val="15"/>
              </w:rPr>
              <w:t>30</w:t>
            </w:r>
          </w:p>
        </w:tc>
      </w:tr>
      <w:tr>
        <w:trPr>
          <w:trHeight w:val="370" w:hRule="atLeast"/>
        </w:trPr>
        <w:tc>
          <w:tcPr>
            <w:tcW w:w="1634" w:type="dxa"/>
            <w:tcBorders>
              <w:left w:val="single" w:sz="4" w:space="0" w:color="000000"/>
            </w:tcBorders>
          </w:tcPr>
          <w:p>
            <w:pPr>
              <w:pStyle w:val="TableParagraph"/>
              <w:rPr>
                <w:sz w:val="22"/>
              </w:rPr>
            </w:pPr>
          </w:p>
        </w:tc>
        <w:tc>
          <w:tcPr>
            <w:tcW w:w="1984" w:type="dxa"/>
          </w:tcPr>
          <w:p>
            <w:pPr>
              <w:pStyle w:val="TableParagraph"/>
              <w:rPr>
                <w:sz w:val="22"/>
              </w:rPr>
            </w:pPr>
          </w:p>
        </w:tc>
        <w:tc>
          <w:tcPr>
            <w:tcW w:w="961" w:type="dxa"/>
          </w:tcPr>
          <w:p>
            <w:pPr>
              <w:pStyle w:val="TableParagraph"/>
              <w:rPr>
                <w:sz w:val="22"/>
              </w:rPr>
            </w:pPr>
          </w:p>
        </w:tc>
        <w:tc>
          <w:tcPr>
            <w:tcW w:w="961" w:type="dxa"/>
          </w:tcPr>
          <w:p>
            <w:pPr>
              <w:pStyle w:val="TableParagraph"/>
              <w:rPr>
                <w:sz w:val="22"/>
              </w:rPr>
            </w:pPr>
          </w:p>
        </w:tc>
        <w:tc>
          <w:tcPr>
            <w:tcW w:w="961" w:type="dxa"/>
          </w:tcPr>
          <w:p>
            <w:pPr>
              <w:pStyle w:val="TableParagraph"/>
              <w:rPr>
                <w:sz w:val="22"/>
              </w:rPr>
            </w:pPr>
          </w:p>
        </w:tc>
        <w:tc>
          <w:tcPr>
            <w:tcW w:w="673" w:type="dxa"/>
          </w:tcPr>
          <w:p>
            <w:pPr>
              <w:pStyle w:val="TableParagraph"/>
              <w:rPr>
                <w:sz w:val="22"/>
              </w:rPr>
            </w:pPr>
          </w:p>
        </w:tc>
        <w:tc>
          <w:tcPr>
            <w:tcW w:w="1235" w:type="dxa"/>
            <w:tcBorders>
              <w:right w:val="single" w:sz="4" w:space="0" w:color="000000"/>
            </w:tcBorders>
          </w:tcPr>
          <w:p>
            <w:pPr>
              <w:pStyle w:val="TableParagraph"/>
              <w:spacing w:before="98"/>
              <w:ind w:left="34"/>
              <w:rPr>
                <w:rFonts w:ascii="Arial"/>
                <w:b/>
                <w:sz w:val="15"/>
              </w:rPr>
            </w:pPr>
            <w:r>
              <w:rPr>
                <w:rFonts w:ascii="Arial"/>
                <w:b/>
                <w:w w:val="105"/>
                <w:sz w:val="15"/>
              </w:rPr>
              <w:t>20</w:t>
            </w:r>
          </w:p>
        </w:tc>
      </w:tr>
      <w:tr>
        <w:trPr>
          <w:trHeight w:val="370" w:hRule="atLeast"/>
        </w:trPr>
        <w:tc>
          <w:tcPr>
            <w:tcW w:w="1634" w:type="dxa"/>
            <w:tcBorders>
              <w:left w:val="single" w:sz="4" w:space="0" w:color="000000"/>
            </w:tcBorders>
          </w:tcPr>
          <w:p>
            <w:pPr>
              <w:pStyle w:val="TableParagraph"/>
              <w:rPr>
                <w:sz w:val="22"/>
              </w:rPr>
            </w:pPr>
          </w:p>
        </w:tc>
        <w:tc>
          <w:tcPr>
            <w:tcW w:w="1984" w:type="dxa"/>
          </w:tcPr>
          <w:p>
            <w:pPr>
              <w:pStyle w:val="TableParagraph"/>
              <w:rPr>
                <w:sz w:val="22"/>
              </w:rPr>
            </w:pPr>
          </w:p>
        </w:tc>
        <w:tc>
          <w:tcPr>
            <w:tcW w:w="961" w:type="dxa"/>
          </w:tcPr>
          <w:p>
            <w:pPr>
              <w:pStyle w:val="TableParagraph"/>
              <w:rPr>
                <w:sz w:val="22"/>
              </w:rPr>
            </w:pPr>
          </w:p>
        </w:tc>
        <w:tc>
          <w:tcPr>
            <w:tcW w:w="961" w:type="dxa"/>
          </w:tcPr>
          <w:p>
            <w:pPr>
              <w:pStyle w:val="TableParagraph"/>
              <w:rPr>
                <w:sz w:val="22"/>
              </w:rPr>
            </w:pPr>
          </w:p>
        </w:tc>
        <w:tc>
          <w:tcPr>
            <w:tcW w:w="961" w:type="dxa"/>
          </w:tcPr>
          <w:p>
            <w:pPr>
              <w:pStyle w:val="TableParagraph"/>
              <w:rPr>
                <w:sz w:val="22"/>
              </w:rPr>
            </w:pPr>
          </w:p>
        </w:tc>
        <w:tc>
          <w:tcPr>
            <w:tcW w:w="673" w:type="dxa"/>
          </w:tcPr>
          <w:p>
            <w:pPr>
              <w:pStyle w:val="TableParagraph"/>
              <w:rPr>
                <w:sz w:val="22"/>
              </w:rPr>
            </w:pPr>
          </w:p>
        </w:tc>
        <w:tc>
          <w:tcPr>
            <w:tcW w:w="1235" w:type="dxa"/>
            <w:tcBorders>
              <w:right w:val="single" w:sz="4" w:space="0" w:color="000000"/>
            </w:tcBorders>
          </w:tcPr>
          <w:p>
            <w:pPr>
              <w:pStyle w:val="TableParagraph"/>
              <w:spacing w:before="98"/>
              <w:ind w:left="34"/>
              <w:rPr>
                <w:rFonts w:ascii="Arial"/>
                <w:b/>
                <w:sz w:val="15"/>
              </w:rPr>
            </w:pPr>
            <w:r>
              <w:rPr>
                <w:rFonts w:ascii="Arial"/>
                <w:b/>
                <w:w w:val="105"/>
                <w:sz w:val="15"/>
              </w:rPr>
              <w:t>10</w:t>
            </w:r>
          </w:p>
        </w:tc>
      </w:tr>
      <w:tr>
        <w:trPr>
          <w:trHeight w:val="313" w:hRule="atLeast"/>
        </w:trPr>
        <w:tc>
          <w:tcPr>
            <w:tcW w:w="1634" w:type="dxa"/>
            <w:tcBorders>
              <w:left w:val="single" w:sz="4" w:space="0" w:color="000000"/>
            </w:tcBorders>
          </w:tcPr>
          <w:p>
            <w:pPr>
              <w:pStyle w:val="TableParagraph"/>
              <w:rPr>
                <w:sz w:val="22"/>
              </w:rPr>
            </w:pPr>
          </w:p>
        </w:tc>
        <w:tc>
          <w:tcPr>
            <w:tcW w:w="1984" w:type="dxa"/>
          </w:tcPr>
          <w:p>
            <w:pPr>
              <w:pStyle w:val="TableParagraph"/>
              <w:rPr>
                <w:sz w:val="22"/>
              </w:rPr>
            </w:pPr>
          </w:p>
        </w:tc>
        <w:tc>
          <w:tcPr>
            <w:tcW w:w="961" w:type="dxa"/>
          </w:tcPr>
          <w:p>
            <w:pPr>
              <w:pStyle w:val="TableParagraph"/>
              <w:rPr>
                <w:sz w:val="22"/>
              </w:rPr>
            </w:pPr>
          </w:p>
        </w:tc>
        <w:tc>
          <w:tcPr>
            <w:tcW w:w="961" w:type="dxa"/>
          </w:tcPr>
          <w:p>
            <w:pPr>
              <w:pStyle w:val="TableParagraph"/>
              <w:rPr>
                <w:sz w:val="22"/>
              </w:rPr>
            </w:pPr>
          </w:p>
        </w:tc>
        <w:tc>
          <w:tcPr>
            <w:tcW w:w="961" w:type="dxa"/>
          </w:tcPr>
          <w:p>
            <w:pPr>
              <w:pStyle w:val="TableParagraph"/>
              <w:rPr>
                <w:sz w:val="22"/>
              </w:rPr>
            </w:pPr>
          </w:p>
        </w:tc>
        <w:tc>
          <w:tcPr>
            <w:tcW w:w="673" w:type="dxa"/>
          </w:tcPr>
          <w:p>
            <w:pPr>
              <w:pStyle w:val="TableParagraph"/>
              <w:rPr>
                <w:sz w:val="22"/>
              </w:rPr>
            </w:pPr>
          </w:p>
        </w:tc>
        <w:tc>
          <w:tcPr>
            <w:tcW w:w="1235" w:type="dxa"/>
            <w:tcBorders>
              <w:right w:val="single" w:sz="4" w:space="0" w:color="000000"/>
            </w:tcBorders>
          </w:tcPr>
          <w:p>
            <w:pPr>
              <w:pStyle w:val="TableParagraph"/>
              <w:spacing w:before="98"/>
              <w:ind w:left="31"/>
              <w:rPr>
                <w:rFonts w:ascii="Arial"/>
                <w:b/>
                <w:sz w:val="15"/>
              </w:rPr>
            </w:pPr>
            <w:r>
              <w:rPr>
                <w:rFonts w:ascii="Arial"/>
                <w:b/>
                <w:w w:val="103"/>
                <w:sz w:val="15"/>
              </w:rPr>
              <w:t>0</w:t>
            </w:r>
          </w:p>
        </w:tc>
      </w:tr>
      <w:tr>
        <w:trPr>
          <w:trHeight w:val="353" w:hRule="atLeast"/>
        </w:trPr>
        <w:tc>
          <w:tcPr>
            <w:tcW w:w="1634" w:type="dxa"/>
            <w:tcBorders>
              <w:left w:val="single" w:sz="4" w:space="0" w:color="000000"/>
              <w:bottom w:val="single" w:sz="4" w:space="0" w:color="000000"/>
            </w:tcBorders>
          </w:tcPr>
          <w:p>
            <w:pPr>
              <w:pStyle w:val="TableParagraph"/>
              <w:spacing w:before="41"/>
              <w:ind w:left="1043"/>
              <w:rPr>
                <w:rFonts w:ascii="Arial"/>
                <w:b/>
                <w:sz w:val="15"/>
              </w:rPr>
            </w:pPr>
            <w:r>
              <w:rPr>
                <w:rFonts w:ascii="Arial"/>
                <w:b/>
                <w:w w:val="105"/>
                <w:sz w:val="15"/>
              </w:rPr>
              <w:t>1980</w:t>
            </w:r>
          </w:p>
        </w:tc>
        <w:tc>
          <w:tcPr>
            <w:tcW w:w="1984" w:type="dxa"/>
            <w:tcBorders>
              <w:bottom w:val="single" w:sz="4" w:space="0" w:color="000000"/>
            </w:tcBorders>
          </w:tcPr>
          <w:p>
            <w:pPr>
              <w:pStyle w:val="TableParagraph"/>
              <w:tabs>
                <w:tab w:pos="961" w:val="left" w:leader="none"/>
              </w:tabs>
              <w:spacing w:before="41"/>
              <w:ind w:right="304"/>
              <w:jc w:val="right"/>
              <w:rPr>
                <w:rFonts w:ascii="Arial"/>
                <w:b/>
                <w:sz w:val="15"/>
              </w:rPr>
            </w:pPr>
            <w:r>
              <w:rPr>
                <w:rFonts w:ascii="Arial"/>
                <w:b/>
                <w:w w:val="105"/>
                <w:sz w:val="15"/>
              </w:rPr>
              <w:t>1985</w:t>
              <w:tab/>
            </w:r>
            <w:r>
              <w:rPr>
                <w:rFonts w:ascii="Arial"/>
                <w:b/>
                <w:spacing w:val="-2"/>
                <w:sz w:val="15"/>
              </w:rPr>
              <w:t>1990</w:t>
            </w:r>
          </w:p>
        </w:tc>
        <w:tc>
          <w:tcPr>
            <w:tcW w:w="961" w:type="dxa"/>
            <w:tcBorders>
              <w:bottom w:val="single" w:sz="4" w:space="0" w:color="000000"/>
            </w:tcBorders>
          </w:tcPr>
          <w:p>
            <w:pPr>
              <w:pStyle w:val="TableParagraph"/>
              <w:spacing w:before="41"/>
              <w:ind w:left="316"/>
              <w:rPr>
                <w:rFonts w:ascii="Arial"/>
                <w:b/>
                <w:sz w:val="15"/>
              </w:rPr>
            </w:pPr>
            <w:r>
              <w:rPr>
                <w:rFonts w:ascii="Arial"/>
                <w:b/>
                <w:w w:val="105"/>
                <w:sz w:val="15"/>
              </w:rPr>
              <w:t>1995</w:t>
            </w:r>
          </w:p>
        </w:tc>
        <w:tc>
          <w:tcPr>
            <w:tcW w:w="961" w:type="dxa"/>
            <w:tcBorders>
              <w:bottom w:val="single" w:sz="4" w:space="0" w:color="000000"/>
            </w:tcBorders>
          </w:tcPr>
          <w:p>
            <w:pPr>
              <w:pStyle w:val="TableParagraph"/>
              <w:spacing w:before="41"/>
              <w:ind w:left="317"/>
              <w:rPr>
                <w:rFonts w:ascii="Arial"/>
                <w:b/>
                <w:sz w:val="15"/>
              </w:rPr>
            </w:pPr>
            <w:r>
              <w:rPr>
                <w:rFonts w:ascii="Arial"/>
                <w:b/>
                <w:w w:val="105"/>
                <w:sz w:val="15"/>
              </w:rPr>
              <w:t>2000</w:t>
            </w:r>
          </w:p>
        </w:tc>
        <w:tc>
          <w:tcPr>
            <w:tcW w:w="961" w:type="dxa"/>
            <w:tcBorders>
              <w:bottom w:val="single" w:sz="4" w:space="0" w:color="000000"/>
            </w:tcBorders>
          </w:tcPr>
          <w:p>
            <w:pPr>
              <w:pStyle w:val="TableParagraph"/>
              <w:spacing w:before="41"/>
              <w:ind w:left="317"/>
              <w:rPr>
                <w:rFonts w:ascii="Arial"/>
                <w:b/>
                <w:sz w:val="15"/>
              </w:rPr>
            </w:pPr>
            <w:r>
              <w:rPr>
                <w:rFonts w:ascii="Arial"/>
                <w:b/>
                <w:w w:val="105"/>
                <w:sz w:val="15"/>
              </w:rPr>
              <w:t>2005</w:t>
            </w:r>
          </w:p>
        </w:tc>
        <w:tc>
          <w:tcPr>
            <w:tcW w:w="673" w:type="dxa"/>
            <w:tcBorders>
              <w:bottom w:val="single" w:sz="4" w:space="0" w:color="000000"/>
            </w:tcBorders>
          </w:tcPr>
          <w:p>
            <w:pPr>
              <w:pStyle w:val="TableParagraph"/>
              <w:spacing w:before="41"/>
              <w:ind w:left="318"/>
              <w:rPr>
                <w:rFonts w:ascii="Arial"/>
                <w:b/>
                <w:sz w:val="15"/>
              </w:rPr>
            </w:pPr>
            <w:r>
              <w:rPr>
                <w:rFonts w:ascii="Arial"/>
                <w:b/>
                <w:sz w:val="15"/>
              </w:rPr>
              <w:t>2010</w:t>
            </w:r>
          </w:p>
        </w:tc>
        <w:tc>
          <w:tcPr>
            <w:tcW w:w="1235" w:type="dxa"/>
            <w:tcBorders>
              <w:bottom w:val="single" w:sz="4" w:space="0" w:color="000000"/>
              <w:right w:val="single" w:sz="4" w:space="0" w:color="000000"/>
            </w:tcBorders>
          </w:tcPr>
          <w:p>
            <w:pPr>
              <w:pStyle w:val="TableParagraph"/>
              <w:rPr>
                <w:sz w:val="22"/>
              </w:rPr>
            </w:pPr>
          </w:p>
        </w:tc>
      </w:tr>
      <w:tr>
        <w:trPr>
          <w:trHeight w:val="700" w:hRule="atLeast"/>
        </w:trPr>
        <w:tc>
          <w:tcPr>
            <w:tcW w:w="8409" w:type="dxa"/>
            <w:gridSpan w:val="7"/>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7"/>
              <w:rPr>
                <w:sz w:val="20"/>
              </w:rPr>
            </w:pPr>
            <w:r>
              <w:rPr>
                <w:sz w:val="20"/>
              </w:rPr>
              <w:t>Note: Percentage of manufacturing firms reporting that they are working at or above full capacity.</w:t>
            </w:r>
          </w:p>
          <w:p>
            <w:pPr>
              <w:pStyle w:val="TableParagraph"/>
              <w:spacing w:before="120"/>
              <w:ind w:left="107"/>
              <w:rPr>
                <w:sz w:val="20"/>
              </w:rPr>
            </w:pPr>
            <w:r>
              <w:rPr>
                <w:sz w:val="20"/>
              </w:rPr>
              <w:t>Source: CBI Industrial Trends Survey</w:t>
            </w:r>
          </w:p>
        </w:tc>
      </w:tr>
    </w:tbl>
    <w:p>
      <w:pPr>
        <w:pStyle w:val="BodyText"/>
        <w:spacing w:before="6"/>
        <w:rPr>
          <w:sz w:val="27"/>
        </w:rPr>
      </w:pPr>
    </w:p>
    <w:p>
      <w:pPr>
        <w:pStyle w:val="BodyText"/>
        <w:spacing w:line="360" w:lineRule="auto" w:before="90"/>
        <w:ind w:left="118" w:right="135"/>
      </w:pPr>
      <w:r>
        <w:rPr/>
        <w:t>But there are some puzzles on the supply side of the economy too, and these have an important bearing on the judgements the Monetary Policy Committee is making at the moment. Capacity utilisation appears quite high given the early phase of the recovery. Chart 10 shows the responses from the CBI’s Industrial Trends Survey on capacity utilisation in manufacturing, where it is perhaps easier to assess than in the services sector. Currently, the amount of spare capacity appears to be close to historical averages, which is not what we might expect when the economy is in such an early stage of recovery from recession. This, and other evidence, casts doubt on the degree of spare capacity in the economy and on how significant this factor will be in dampening inflation from its currently elevated level.</w:t>
      </w:r>
    </w:p>
    <w:p>
      <w:pPr>
        <w:pStyle w:val="BodyText"/>
        <w:spacing w:before="1"/>
        <w:rPr>
          <w:sz w:val="36"/>
        </w:rPr>
      </w:pPr>
    </w:p>
    <w:p>
      <w:pPr>
        <w:pStyle w:val="BodyText"/>
        <w:spacing w:line="360" w:lineRule="auto"/>
        <w:ind w:left="118" w:right="106"/>
      </w:pPr>
      <w:r>
        <w:rPr/>
        <w:t>Another puzzle is a surprising drop in productivity we have seen over the recession. Unusually, the decline in output appears to have been much bigger than the decline in employment when normally we observe the opposite result. In terms of the impact on unemployment, this has been a good thing, helping to dampen the cost of the recession in terms of lost jobs. But this raises further questions about how much slack there is in the UK</w:t>
      </w:r>
    </w:p>
    <w:p>
      <w:pPr>
        <w:pStyle w:val="BodyText"/>
        <w:spacing w:before="8"/>
        <w:rPr>
          <w:sz w:val="14"/>
        </w:rPr>
      </w:pPr>
      <w:r>
        <w:rPr/>
        <w:pict>
          <v:shape style="position:absolute;margin-left:70.919998pt;margin-top:10.732685pt;width:144pt;height:.1pt;mso-position-horizontal-relative:page;mso-position-vertical-relative:paragraph;z-index:-251643904;mso-wrap-distance-left:0;mso-wrap-distance-right:0" coordorigin="1418,215" coordsize="2880,0" path="m1418,215l4298,215e" filled="false" stroked="true" strokeweight=".6pt" strokecolor="#000000">
            <v:path arrowok="t"/>
            <v:stroke dashstyle="solid"/>
            <w10:wrap type="topAndBottom"/>
          </v:shape>
        </w:pict>
      </w:r>
    </w:p>
    <w:p>
      <w:pPr>
        <w:spacing w:before="50"/>
        <w:ind w:left="118" w:right="94" w:firstLine="0"/>
        <w:jc w:val="left"/>
        <w:rPr>
          <w:sz w:val="20"/>
        </w:rPr>
      </w:pPr>
      <w:bookmarkStart w:name="_bookmark9" w:id="10"/>
      <w:bookmarkEnd w:id="10"/>
      <w:r>
        <w:rPr/>
      </w:r>
      <w:r>
        <w:rPr>
          <w:position w:val="9"/>
          <w:sz w:val="13"/>
        </w:rPr>
        <w:t>10 </w:t>
      </w:r>
      <w:r>
        <w:rPr>
          <w:sz w:val="20"/>
        </w:rPr>
        <w:t>Business failures in the recent recession peaked at below 1% of firms, compared with 2.6% in the early 1990s and 1.8% in the early 1980s.</w:t>
      </w:r>
    </w:p>
    <w:p>
      <w:pPr>
        <w:spacing w:after="0"/>
        <w:jc w:val="left"/>
        <w:rPr>
          <w:sz w:val="20"/>
        </w:rPr>
        <w:sectPr>
          <w:pgSz w:w="11910" w:h="16840"/>
          <w:pgMar w:header="0" w:footer="1060" w:top="1280" w:bottom="1260" w:left="1300" w:right="1320"/>
        </w:sectPr>
      </w:pPr>
    </w:p>
    <w:p>
      <w:pPr>
        <w:pStyle w:val="BodyText"/>
        <w:spacing w:line="360" w:lineRule="auto" w:before="74"/>
        <w:ind w:left="118" w:right="320"/>
      </w:pPr>
      <w:r>
        <w:rPr/>
        <w:t>labour market as the economy begins to grow and generate new jobs. The behaviour of productivity in the recession also raises the question of whether the UK productivity growth trend over the medium term has shifted. If it has, we may make big mistakes basing our assessment of underlying growth on past productivity trends.</w:t>
      </w:r>
    </w:p>
    <w:p>
      <w:pPr>
        <w:pStyle w:val="BodyText"/>
        <w:spacing w:before="10"/>
        <w:rPr>
          <w:sz w:val="35"/>
        </w:rPr>
      </w:pPr>
    </w:p>
    <w:p>
      <w:pPr>
        <w:pStyle w:val="BodyText"/>
        <w:spacing w:line="360" w:lineRule="auto" w:before="1"/>
        <w:ind w:left="118" w:right="94"/>
      </w:pPr>
      <w:r>
        <w:rPr/>
        <w:t>In my view, these puzzles mean we should be particularly circumspect and cautious at the moment about the assumptions we make about the growth of the supply-side potential of the UK economy and the related issue of the margin of spare capacity. The late 1990s and 2000s saw a wave of supply-side optimism about UK economic performance – but in my view this reflected one-off shifts in labour market performance rather than an improvement in the underlying trend rate of productivity.</w:t>
      </w:r>
      <w:hyperlink w:history="true" w:anchor="_bookmark10">
        <w:r>
          <w:rPr>
            <w:vertAlign w:val="superscript"/>
          </w:rPr>
          <w:t>11</w:t>
        </w:r>
      </w:hyperlink>
      <w:r>
        <w:rPr>
          <w:vertAlign w:val="baseline"/>
        </w:rPr>
        <w:t> Given the evidence of weaker productivity growth, it makes sense for policymakers to make relatively conservative estimates of UK medium-term growth potential going forward.</w:t>
      </w:r>
    </w:p>
    <w:p>
      <w:pPr>
        <w:pStyle w:val="BodyText"/>
        <w:spacing w:before="6"/>
        <w:rPr>
          <w:sz w:val="36"/>
        </w:rPr>
      </w:pPr>
    </w:p>
    <w:p>
      <w:pPr>
        <w:pStyle w:val="Heading1"/>
        <w:spacing w:before="0"/>
      </w:pPr>
      <w:r>
        <w:rPr/>
        <w:t>Inflation and current monetary policy</w:t>
      </w:r>
    </w:p>
    <w:p>
      <w:pPr>
        <w:pStyle w:val="BodyText"/>
        <w:rPr>
          <w:b/>
          <w:sz w:val="26"/>
        </w:rPr>
      </w:pPr>
    </w:p>
    <w:p>
      <w:pPr>
        <w:pStyle w:val="BodyText"/>
        <w:spacing w:before="6"/>
        <w:rPr>
          <w:b/>
          <w:sz w:val="21"/>
        </w:rPr>
      </w:pPr>
    </w:p>
    <w:p>
      <w:pPr>
        <w:pStyle w:val="BodyText"/>
        <w:spacing w:line="360" w:lineRule="auto" w:before="1"/>
        <w:ind w:left="118" w:right="354"/>
      </w:pPr>
      <w:r>
        <w:rPr/>
        <w:t>At the beginning of this speech, I said that a healthy economy is normally a growing economy. And that raises the issue of how UK monetary policy should best play its part in sustaining the recovery by contributing to the underlying health of our economy.</w:t>
      </w:r>
    </w:p>
    <w:p>
      <w:pPr>
        <w:pStyle w:val="BodyText"/>
        <w:rPr>
          <w:sz w:val="36"/>
        </w:rPr>
      </w:pPr>
    </w:p>
    <w:p>
      <w:pPr>
        <w:pStyle w:val="BodyText"/>
        <w:spacing w:line="360" w:lineRule="auto"/>
        <w:ind w:left="118" w:right="135"/>
      </w:pPr>
      <w:r>
        <w:rPr/>
        <w:t>Monetary policy can help sustain and support the emerging economic recovery in two main ways. The first is through the impact of the current settings of policy on the growth of demand. It clearly does not make sense to tighten monetary policy dramatically in the current climate in a way which totally undermines the growth of the economy. However, if interest rates were moved up gradually from current levels, in a well-communicated strategy that was understood by the public, the business community and financial markets, the cost of borrowing would still be low in real terms and I do not believe that the recovery would be seriously damaged. Indeed, for the many UK households which rely on the income from savings and investments, this could provide a powerful boost to confidence by signalling the beginning of a return to more normal economic conditions.</w:t>
      </w:r>
    </w:p>
    <w:p>
      <w:pPr>
        <w:pStyle w:val="BodyText"/>
      </w:pPr>
      <w:r>
        <w:rPr/>
        <w:pict>
          <v:shape style="position:absolute;margin-left:70.919998pt;margin-top:16.082636pt;width:144pt;height:.1pt;mso-position-horizontal-relative:page;mso-position-vertical-relative:paragraph;z-index:-251641856;mso-wrap-distance-left:0;mso-wrap-distance-right:0" coordorigin="1418,322" coordsize="2880,0" path="m1418,322l4298,322e" filled="false" stroked="true" strokeweight=".6pt" strokecolor="#000000">
            <v:path arrowok="t"/>
            <v:stroke dashstyle="solid"/>
            <w10:wrap type="topAndBottom"/>
          </v:shape>
        </w:pict>
      </w:r>
    </w:p>
    <w:p>
      <w:pPr>
        <w:spacing w:before="50"/>
        <w:ind w:left="118" w:right="320" w:firstLine="0"/>
        <w:jc w:val="left"/>
        <w:rPr>
          <w:sz w:val="20"/>
        </w:rPr>
      </w:pPr>
      <w:bookmarkStart w:name="_bookmark10" w:id="11"/>
      <w:bookmarkEnd w:id="11"/>
      <w:r>
        <w:rPr/>
      </w:r>
      <w:r>
        <w:rPr>
          <w:position w:val="9"/>
          <w:sz w:val="13"/>
        </w:rPr>
        <w:t>11 </w:t>
      </w:r>
      <w:r>
        <w:rPr>
          <w:sz w:val="20"/>
        </w:rPr>
        <w:t>See “Inflation and the Supply Side of the Economy” Speech by Andrew Sentance on 16 January 2007 </w:t>
      </w:r>
      <w:r>
        <w:rPr>
          <w:b/>
          <w:sz w:val="20"/>
        </w:rPr>
        <w:t>- </w:t>
      </w:r>
      <w:r>
        <w:rPr>
          <w:sz w:val="20"/>
        </w:rPr>
        <w:t>my first speech as a member of the MPC, for a fuller discussion of this issue (available at wwww.bankofengland.co.uk). In this speech, I argued that labour supply increases – including a drop in the equilibrium unemployment rate and higher immigration were the main factors leading to improved UK supply side performance between the mid-1990s and mid-2000s.</w:t>
      </w:r>
    </w:p>
    <w:p>
      <w:pPr>
        <w:spacing w:after="0"/>
        <w:jc w:val="left"/>
        <w:rPr>
          <w:sz w:val="20"/>
        </w:rPr>
        <w:sectPr>
          <w:pgSz w:w="11910" w:h="16840"/>
          <w:pgMar w:header="0" w:footer="1060" w:top="1320" w:bottom="1260" w:left="1300" w:right="1320"/>
        </w:sectPr>
      </w:pPr>
    </w:p>
    <w:p>
      <w:pPr>
        <w:pStyle w:val="BodyText"/>
        <w:spacing w:line="360" w:lineRule="auto" w:before="74"/>
        <w:ind w:left="118" w:right="187"/>
      </w:pPr>
      <w:r>
        <w:rPr/>
        <w:t>The other very important way in which monetary policy can support recovery is by maintaining confidence in price stability over the medium term. The mandate for the Monetary Policy Committee makes clear that the best contribution that the MPC can make to sustained economic growth is by maintaining price stability – which is specified in terms of a 2% target for CPI inflation under our current remit.</w:t>
      </w:r>
    </w:p>
    <w:p>
      <w:pPr>
        <w:pStyle w:val="BodyText"/>
        <w:rPr>
          <w:sz w:val="36"/>
        </w:rPr>
      </w:pPr>
    </w:p>
    <w:p>
      <w:pPr>
        <w:pStyle w:val="BodyText"/>
        <w:spacing w:line="360" w:lineRule="auto"/>
        <w:ind w:left="118" w:right="347"/>
      </w:pPr>
      <w:r>
        <w:rPr/>
        <w:t>There are good reasons why low and stable inflation remains the focus of our monetary policy. The effects of high inflation are damaging in their own right – eroding the value of savings, hitting pensioners on fixed incomes and creating an uncertain and volatile business climate. After inflation got out of control in the UK in the mid-1970s, we experienced two decades of economic volatility and high unemployment, including three major recessions.</w:t>
      </w:r>
    </w:p>
    <w:p>
      <w:pPr>
        <w:pStyle w:val="BodyText"/>
        <w:rPr>
          <w:sz w:val="36"/>
        </w:rPr>
      </w:pPr>
    </w:p>
    <w:p>
      <w:pPr>
        <w:pStyle w:val="BodyText"/>
        <w:spacing w:line="360" w:lineRule="auto"/>
        <w:ind w:left="118" w:right="254"/>
      </w:pPr>
      <w:r>
        <w:rPr/>
        <w:pict>
          <v:group style="position:absolute;margin-left:131.976166pt;margin-top:162.898636pt;width:301.05pt;height:150.6pt;mso-position-horizontal-relative:page;mso-position-vertical-relative:paragraph;z-index:-254225408" coordorigin="2640,3258" coordsize="6021,3012">
            <v:shape style="position:absolute;left:0;top:10457;width:80;height:4200" coordorigin="0,10458" coordsize="80,4200" path="m8603,6227l8603,3265m8603,6227l8660,6227m8603,5733l8660,5733m8603,5240l8660,5240m8603,4746l8660,4746m8603,4252l8660,4252m8603,3759l8660,3759m8603,3265l8660,3265e" filled="false" stroked="true" strokeweight=".706345pt" strokecolor="#000000">
              <v:path arrowok="t"/>
              <v:stroke dashstyle="solid"/>
            </v:shape>
            <v:shape style="position:absolute;left:0;top:10397;width:8400;height:60" coordorigin="0,10398" coordsize="8400,60" path="m2661,6227l8603,6227m2661,6227l2661,6269m3708,6227l3708,6269m4755,6227l4755,6269m5802,6227l5802,6269m6849,6227l6849,6269m7910,6227l7910,6269e" filled="false" stroked="true" strokeweight=".706345pt" strokecolor="#000000">
              <v:path arrowok="t"/>
              <v:stroke dashstyle="solid"/>
            </v:shape>
            <v:shape style="position:absolute;left:2653;top:3652;width:5957;height:2060" coordorigin="2654,3653" coordsize="5957,2060" path="m2654,5402l2739,5416,2838,5261,2923,5261,3007,5261,3092,5275,3177,5092,3276,5092,3361,5021,3446,5077,3531,5176,3616,5275,3701,5247,3800,5176,3885,5317,3970,5219,4054,5134,4139,5007,4238,5063,4323,5021,4408,5049,4493,5007,4578,4908,4663,4753,4762,4852,4847,4838,4932,4711,5017,4852,5101,4965,5201,5035,5285,5317,5370,5388,5455,5374,5540,5233,5625,5176,5724,5162,5809,5092,5894,4979,5979,5021,6064,4753,6163,4570,6248,4358,6332,4062,6417,3907,6502,3653,6587,4020,6686,4217,6771,4668,6856,4711,6941,4683,7026,4795,7125,5063,7210,5134,7295,5317,7379,5374,7464,5487,7549,5712,7648,5458,7733,5275,7818,4809,7903,4541,7988,4739,8087,4556,8172,4386,8257,4570,8342,4626,8427,4711,8511,4683,8610,4697e" filled="false" stroked="true" strokeweight="1.410937pt" strokecolor="#333399">
              <v:path arrowok="t"/>
              <v:stroke dashstyle="solid"/>
            </v:shape>
            <v:shape style="position:absolute;left:2653;top:3554;width:5957;height:2158" coordorigin="2654,3554" coordsize="5957,2158" path="m2654,5176l2739,5148,2838,5063,2923,5077,3007,5176,3092,5134,3177,5035,3276,5092,3361,4993,3446,5049,3531,5092,3616,5247,3701,5077,3800,5092,3885,5148,3970,5021,4054,4809,4139,4697,4238,4697,4323,4612,4408,4668,4493,4668,4578,4527,4663,4358,4762,4443,4847,4386,4932,4274,5017,4400,5101,4584,5201,4598,5285,4922,5370,4936,5455,4866,5540,4697,5625,4654,5724,4683,5809,4541,5894,4400,5979,4457,6064,4245,6163,4062,6248,3850,6332,3611,6417,3653,6502,3554,6587,3907,6686,4302,6771,4824,6856,5049,6941,4951,7026,5120,7125,5388,7210,5444,7295,5712,7379,5613,7464,5543,7549,5628,7648,5303,7733,4894,7818,4330,7903,3935,7988,4118,8087,3864,8172,3582,8257,3709,8342,3738,8427,3879,8511,3921,8610,3963e" filled="false" stroked="true" strokeweight="1.410978pt" strokecolor="#993300">
              <v:path arrowok="t"/>
              <v:stroke dashstyle="solid"/>
            </v:shape>
            <v:line style="position:absolute" from="2640,3484" to="2993,3484" stroked="true" strokeweight="1.410461pt" strokecolor="#333399">
              <v:stroke dashstyle="solid"/>
            </v:line>
            <v:line style="position:absolute" from="2640,3752" to="2993,3752" stroked="true" strokeweight="1.410461pt" strokecolor="#993300">
              <v:stroke dashstyle="solid"/>
            </v:line>
            <w10:wrap type="none"/>
          </v:group>
        </w:pict>
      </w:r>
      <w:r>
        <w:rPr/>
        <w:t>Fortunately, there is little risk today of a return to that era of double digit inflation rates. Since the 1990s, the UK’s monetary policy framework and the actions of the MPC operating within that framework has built confidence that low and stable inflation will be maintained. But it is important that this confidence is not eroded by a perception that the MPC has taken its eye off the ball and is becoming more tolerant of higher inflation.</w:t>
      </w:r>
    </w:p>
    <w:p>
      <w:pPr>
        <w:pStyle w:val="BodyText"/>
        <w:rPr>
          <w:sz w:val="20"/>
        </w:rPr>
      </w:pPr>
    </w:p>
    <w:p>
      <w:pPr>
        <w:pStyle w:val="BodyText"/>
        <w:spacing w:before="6"/>
        <w:rPr>
          <w:sz w:val="16"/>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534"/>
        <w:gridCol w:w="763"/>
        <w:gridCol w:w="1050"/>
        <w:gridCol w:w="1050"/>
        <w:gridCol w:w="1050"/>
        <w:gridCol w:w="1043"/>
        <w:gridCol w:w="1415"/>
      </w:tblGrid>
      <w:tr>
        <w:trPr>
          <w:trHeight w:val="551" w:hRule="atLeast"/>
        </w:trPr>
        <w:tc>
          <w:tcPr>
            <w:tcW w:w="84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7"/>
              <w:rPr>
                <w:b/>
                <w:sz w:val="24"/>
              </w:rPr>
            </w:pPr>
            <w:r>
              <w:rPr>
                <w:b/>
                <w:sz w:val="24"/>
              </w:rPr>
              <w:t>Chart 11: Inflation has been stubbornly high</w:t>
            </w:r>
          </w:p>
          <w:p>
            <w:pPr>
              <w:pStyle w:val="TableParagraph"/>
              <w:spacing w:line="261" w:lineRule="exact"/>
              <w:ind w:left="107"/>
              <w:rPr>
                <w:sz w:val="24"/>
              </w:rPr>
            </w:pPr>
            <w:r>
              <w:rPr>
                <w:sz w:val="24"/>
              </w:rPr>
              <w:t>Percentage change, year on year</w:t>
            </w:r>
          </w:p>
        </w:tc>
      </w:tr>
      <w:tr>
        <w:trPr>
          <w:trHeight w:val="309" w:hRule="atLeast"/>
        </w:trPr>
        <w:tc>
          <w:tcPr>
            <w:tcW w:w="1512" w:type="dxa"/>
            <w:tcBorders>
              <w:top w:val="single" w:sz="4" w:space="0" w:color="000000"/>
              <w:left w:val="single" w:sz="4" w:space="0" w:color="000000"/>
            </w:tcBorders>
          </w:tcPr>
          <w:p>
            <w:pPr>
              <w:pStyle w:val="TableParagraph"/>
              <w:rPr>
                <w:sz w:val="22"/>
              </w:rPr>
            </w:pPr>
          </w:p>
        </w:tc>
        <w:tc>
          <w:tcPr>
            <w:tcW w:w="534" w:type="dxa"/>
            <w:tcBorders>
              <w:top w:val="single" w:sz="4" w:space="0" w:color="000000"/>
            </w:tcBorders>
          </w:tcPr>
          <w:p>
            <w:pPr>
              <w:pStyle w:val="TableParagraph"/>
              <w:rPr>
                <w:sz w:val="22"/>
              </w:rPr>
            </w:pPr>
          </w:p>
        </w:tc>
        <w:tc>
          <w:tcPr>
            <w:tcW w:w="763" w:type="dxa"/>
            <w:tcBorders>
              <w:top w:val="single" w:sz="4" w:space="0" w:color="000000"/>
            </w:tcBorders>
          </w:tcPr>
          <w:p>
            <w:pPr>
              <w:pStyle w:val="TableParagraph"/>
              <w:rPr>
                <w:sz w:val="22"/>
              </w:rPr>
            </w:pPr>
          </w:p>
        </w:tc>
        <w:tc>
          <w:tcPr>
            <w:tcW w:w="1050" w:type="dxa"/>
            <w:tcBorders>
              <w:top w:val="single" w:sz="4" w:space="0" w:color="000000"/>
            </w:tcBorders>
          </w:tcPr>
          <w:p>
            <w:pPr>
              <w:pStyle w:val="TableParagraph"/>
              <w:rPr>
                <w:sz w:val="22"/>
              </w:rPr>
            </w:pPr>
          </w:p>
        </w:tc>
        <w:tc>
          <w:tcPr>
            <w:tcW w:w="1050" w:type="dxa"/>
            <w:tcBorders>
              <w:top w:val="single" w:sz="4" w:space="0" w:color="000000"/>
            </w:tcBorders>
          </w:tcPr>
          <w:p>
            <w:pPr>
              <w:pStyle w:val="TableParagraph"/>
              <w:rPr>
                <w:sz w:val="22"/>
              </w:rPr>
            </w:pPr>
          </w:p>
        </w:tc>
        <w:tc>
          <w:tcPr>
            <w:tcW w:w="1050" w:type="dxa"/>
            <w:tcBorders>
              <w:top w:val="single" w:sz="4" w:space="0" w:color="000000"/>
            </w:tcBorders>
          </w:tcPr>
          <w:p>
            <w:pPr>
              <w:pStyle w:val="TableParagraph"/>
              <w:rPr>
                <w:sz w:val="22"/>
              </w:rPr>
            </w:pPr>
          </w:p>
        </w:tc>
        <w:tc>
          <w:tcPr>
            <w:tcW w:w="1043" w:type="dxa"/>
            <w:tcBorders>
              <w:top w:val="single" w:sz="4" w:space="0" w:color="000000"/>
            </w:tcBorders>
          </w:tcPr>
          <w:p>
            <w:pPr>
              <w:pStyle w:val="TableParagraph"/>
              <w:rPr>
                <w:sz w:val="22"/>
              </w:rPr>
            </w:pPr>
          </w:p>
        </w:tc>
        <w:tc>
          <w:tcPr>
            <w:tcW w:w="1415" w:type="dxa"/>
            <w:tcBorders>
              <w:top w:val="single" w:sz="4" w:space="0" w:color="000000"/>
              <w:right w:val="single" w:sz="4" w:space="0" w:color="000000"/>
            </w:tcBorders>
          </w:tcPr>
          <w:p>
            <w:pPr>
              <w:pStyle w:val="TableParagraph"/>
              <w:spacing w:before="117"/>
              <w:ind w:left="349"/>
              <w:rPr>
                <w:rFonts w:ascii="Arial"/>
                <w:b/>
                <w:sz w:val="15"/>
              </w:rPr>
            </w:pPr>
            <w:r>
              <w:rPr>
                <w:rFonts w:ascii="Arial"/>
                <w:b/>
                <w:w w:val="103"/>
                <w:sz w:val="15"/>
              </w:rPr>
              <w:t>6</w:t>
            </w:r>
          </w:p>
        </w:tc>
      </w:tr>
      <w:tr>
        <w:trPr>
          <w:trHeight w:val="245" w:hRule="atLeast"/>
        </w:trPr>
        <w:tc>
          <w:tcPr>
            <w:tcW w:w="1512" w:type="dxa"/>
            <w:tcBorders>
              <w:left w:val="single" w:sz="4" w:space="0" w:color="000000"/>
            </w:tcBorders>
          </w:tcPr>
          <w:p>
            <w:pPr>
              <w:pStyle w:val="TableParagraph"/>
              <w:rPr>
                <w:sz w:val="16"/>
              </w:rPr>
            </w:pPr>
          </w:p>
        </w:tc>
        <w:tc>
          <w:tcPr>
            <w:tcW w:w="534" w:type="dxa"/>
          </w:tcPr>
          <w:p>
            <w:pPr>
              <w:pStyle w:val="TableParagraph"/>
              <w:spacing w:before="18"/>
              <w:ind w:left="87" w:right="143"/>
              <w:jc w:val="center"/>
              <w:rPr>
                <w:rFonts w:ascii="Arial"/>
                <w:b/>
                <w:sz w:val="15"/>
              </w:rPr>
            </w:pPr>
            <w:r>
              <w:rPr>
                <w:rFonts w:ascii="Arial"/>
                <w:b/>
                <w:w w:val="105"/>
                <w:sz w:val="15"/>
              </w:rPr>
              <w:t>CPI</w:t>
            </w:r>
          </w:p>
        </w:tc>
        <w:tc>
          <w:tcPr>
            <w:tcW w:w="763" w:type="dxa"/>
          </w:tcPr>
          <w:p>
            <w:pPr>
              <w:pStyle w:val="TableParagraph"/>
              <w:rPr>
                <w:sz w:val="16"/>
              </w:rPr>
            </w:pPr>
          </w:p>
        </w:tc>
        <w:tc>
          <w:tcPr>
            <w:tcW w:w="1050" w:type="dxa"/>
          </w:tcPr>
          <w:p>
            <w:pPr>
              <w:pStyle w:val="TableParagraph"/>
              <w:rPr>
                <w:sz w:val="16"/>
              </w:rPr>
            </w:pPr>
          </w:p>
        </w:tc>
        <w:tc>
          <w:tcPr>
            <w:tcW w:w="1050" w:type="dxa"/>
          </w:tcPr>
          <w:p>
            <w:pPr>
              <w:pStyle w:val="TableParagraph"/>
              <w:rPr>
                <w:sz w:val="16"/>
              </w:rPr>
            </w:pPr>
          </w:p>
        </w:tc>
        <w:tc>
          <w:tcPr>
            <w:tcW w:w="1050" w:type="dxa"/>
          </w:tcPr>
          <w:p>
            <w:pPr>
              <w:pStyle w:val="TableParagraph"/>
              <w:rPr>
                <w:sz w:val="16"/>
              </w:rPr>
            </w:pPr>
          </w:p>
        </w:tc>
        <w:tc>
          <w:tcPr>
            <w:tcW w:w="1043" w:type="dxa"/>
          </w:tcPr>
          <w:p>
            <w:pPr>
              <w:pStyle w:val="TableParagraph"/>
              <w:rPr>
                <w:sz w:val="16"/>
              </w:rPr>
            </w:pPr>
          </w:p>
        </w:tc>
        <w:tc>
          <w:tcPr>
            <w:tcW w:w="1415" w:type="dxa"/>
            <w:tcBorders>
              <w:right w:val="single" w:sz="4" w:space="0" w:color="000000"/>
            </w:tcBorders>
          </w:tcPr>
          <w:p>
            <w:pPr>
              <w:pStyle w:val="TableParagraph"/>
              <w:rPr>
                <w:sz w:val="16"/>
              </w:rPr>
            </w:pPr>
          </w:p>
        </w:tc>
      </w:tr>
      <w:tr>
        <w:trPr>
          <w:trHeight w:val="391" w:hRule="atLeast"/>
        </w:trPr>
        <w:tc>
          <w:tcPr>
            <w:tcW w:w="1512" w:type="dxa"/>
            <w:tcBorders>
              <w:left w:val="single" w:sz="4" w:space="0" w:color="000000"/>
            </w:tcBorders>
          </w:tcPr>
          <w:p>
            <w:pPr>
              <w:pStyle w:val="TableParagraph"/>
              <w:rPr>
                <w:sz w:val="22"/>
              </w:rPr>
            </w:pPr>
          </w:p>
        </w:tc>
        <w:tc>
          <w:tcPr>
            <w:tcW w:w="534" w:type="dxa"/>
          </w:tcPr>
          <w:p>
            <w:pPr>
              <w:pStyle w:val="TableParagraph"/>
              <w:spacing w:before="52"/>
              <w:ind w:left="87" w:right="38"/>
              <w:jc w:val="center"/>
              <w:rPr>
                <w:rFonts w:ascii="Arial"/>
                <w:b/>
                <w:sz w:val="15"/>
              </w:rPr>
            </w:pPr>
            <w:r>
              <w:rPr>
                <w:rFonts w:ascii="Arial"/>
                <w:b/>
                <w:w w:val="105"/>
                <w:sz w:val="15"/>
              </w:rPr>
              <w:t>RPIX</w:t>
            </w:r>
          </w:p>
        </w:tc>
        <w:tc>
          <w:tcPr>
            <w:tcW w:w="763" w:type="dxa"/>
          </w:tcPr>
          <w:p>
            <w:pPr>
              <w:pStyle w:val="TableParagraph"/>
              <w:rPr>
                <w:sz w:val="22"/>
              </w:rPr>
            </w:pPr>
          </w:p>
        </w:tc>
        <w:tc>
          <w:tcPr>
            <w:tcW w:w="1050" w:type="dxa"/>
          </w:tcPr>
          <w:p>
            <w:pPr>
              <w:pStyle w:val="TableParagraph"/>
              <w:rPr>
                <w:sz w:val="22"/>
              </w:rPr>
            </w:pPr>
          </w:p>
        </w:tc>
        <w:tc>
          <w:tcPr>
            <w:tcW w:w="1050" w:type="dxa"/>
          </w:tcPr>
          <w:p>
            <w:pPr>
              <w:pStyle w:val="TableParagraph"/>
              <w:rPr>
                <w:sz w:val="22"/>
              </w:rPr>
            </w:pPr>
          </w:p>
        </w:tc>
        <w:tc>
          <w:tcPr>
            <w:tcW w:w="1050" w:type="dxa"/>
          </w:tcPr>
          <w:p>
            <w:pPr>
              <w:pStyle w:val="TableParagraph"/>
              <w:rPr>
                <w:sz w:val="22"/>
              </w:rPr>
            </w:pPr>
          </w:p>
        </w:tc>
        <w:tc>
          <w:tcPr>
            <w:tcW w:w="1043" w:type="dxa"/>
          </w:tcPr>
          <w:p>
            <w:pPr>
              <w:pStyle w:val="TableParagraph"/>
              <w:rPr>
                <w:sz w:val="22"/>
              </w:rPr>
            </w:pPr>
          </w:p>
        </w:tc>
        <w:tc>
          <w:tcPr>
            <w:tcW w:w="1415" w:type="dxa"/>
            <w:tcBorders>
              <w:right w:val="single" w:sz="4" w:space="0" w:color="000000"/>
            </w:tcBorders>
          </w:tcPr>
          <w:p>
            <w:pPr>
              <w:pStyle w:val="TableParagraph"/>
              <w:spacing w:before="57"/>
              <w:ind w:left="349"/>
              <w:rPr>
                <w:rFonts w:ascii="Arial"/>
                <w:b/>
                <w:sz w:val="15"/>
              </w:rPr>
            </w:pPr>
            <w:r>
              <w:rPr>
                <w:rFonts w:ascii="Arial"/>
                <w:b/>
                <w:w w:val="103"/>
                <w:sz w:val="15"/>
              </w:rPr>
              <w:t>5</w:t>
            </w:r>
          </w:p>
        </w:tc>
      </w:tr>
      <w:tr>
        <w:trPr>
          <w:trHeight w:val="494" w:hRule="atLeast"/>
        </w:trPr>
        <w:tc>
          <w:tcPr>
            <w:tcW w:w="1512" w:type="dxa"/>
            <w:tcBorders>
              <w:left w:val="single" w:sz="4" w:space="0" w:color="000000"/>
            </w:tcBorders>
          </w:tcPr>
          <w:p>
            <w:pPr>
              <w:pStyle w:val="TableParagraph"/>
              <w:rPr>
                <w:sz w:val="22"/>
              </w:rPr>
            </w:pPr>
          </w:p>
        </w:tc>
        <w:tc>
          <w:tcPr>
            <w:tcW w:w="534" w:type="dxa"/>
          </w:tcPr>
          <w:p>
            <w:pPr>
              <w:pStyle w:val="TableParagraph"/>
              <w:rPr>
                <w:sz w:val="22"/>
              </w:rPr>
            </w:pPr>
          </w:p>
        </w:tc>
        <w:tc>
          <w:tcPr>
            <w:tcW w:w="763" w:type="dxa"/>
          </w:tcPr>
          <w:p>
            <w:pPr>
              <w:pStyle w:val="TableParagraph"/>
              <w:rPr>
                <w:sz w:val="22"/>
              </w:rPr>
            </w:pPr>
          </w:p>
        </w:tc>
        <w:tc>
          <w:tcPr>
            <w:tcW w:w="1050" w:type="dxa"/>
          </w:tcPr>
          <w:p>
            <w:pPr>
              <w:pStyle w:val="TableParagraph"/>
              <w:rPr>
                <w:sz w:val="22"/>
              </w:rPr>
            </w:pPr>
          </w:p>
        </w:tc>
        <w:tc>
          <w:tcPr>
            <w:tcW w:w="1050" w:type="dxa"/>
          </w:tcPr>
          <w:p>
            <w:pPr>
              <w:pStyle w:val="TableParagraph"/>
              <w:rPr>
                <w:sz w:val="22"/>
              </w:rPr>
            </w:pPr>
          </w:p>
        </w:tc>
        <w:tc>
          <w:tcPr>
            <w:tcW w:w="1050" w:type="dxa"/>
          </w:tcPr>
          <w:p>
            <w:pPr>
              <w:pStyle w:val="TableParagraph"/>
              <w:rPr>
                <w:sz w:val="22"/>
              </w:rPr>
            </w:pPr>
          </w:p>
        </w:tc>
        <w:tc>
          <w:tcPr>
            <w:tcW w:w="1043" w:type="dxa"/>
          </w:tcPr>
          <w:p>
            <w:pPr>
              <w:pStyle w:val="TableParagraph"/>
              <w:rPr>
                <w:sz w:val="22"/>
              </w:rPr>
            </w:pPr>
          </w:p>
        </w:tc>
        <w:tc>
          <w:tcPr>
            <w:tcW w:w="1415" w:type="dxa"/>
            <w:tcBorders>
              <w:right w:val="single" w:sz="4" w:space="0" w:color="000000"/>
            </w:tcBorders>
          </w:tcPr>
          <w:p>
            <w:pPr>
              <w:pStyle w:val="TableParagraph"/>
              <w:spacing w:before="10"/>
              <w:rPr>
                <w:sz w:val="13"/>
              </w:rPr>
            </w:pPr>
          </w:p>
          <w:p>
            <w:pPr>
              <w:pStyle w:val="TableParagraph"/>
              <w:spacing w:before="1"/>
              <w:ind w:left="349"/>
              <w:rPr>
                <w:rFonts w:ascii="Arial"/>
                <w:b/>
                <w:sz w:val="15"/>
              </w:rPr>
            </w:pPr>
            <w:r>
              <w:rPr>
                <w:rFonts w:ascii="Arial"/>
                <w:b/>
                <w:w w:val="103"/>
                <w:sz w:val="15"/>
              </w:rPr>
              <w:t>4</w:t>
            </w:r>
          </w:p>
        </w:tc>
      </w:tr>
      <w:tr>
        <w:trPr>
          <w:trHeight w:val="494" w:hRule="atLeast"/>
        </w:trPr>
        <w:tc>
          <w:tcPr>
            <w:tcW w:w="1512" w:type="dxa"/>
            <w:tcBorders>
              <w:left w:val="single" w:sz="4" w:space="0" w:color="000000"/>
            </w:tcBorders>
          </w:tcPr>
          <w:p>
            <w:pPr>
              <w:pStyle w:val="TableParagraph"/>
              <w:rPr>
                <w:sz w:val="22"/>
              </w:rPr>
            </w:pPr>
          </w:p>
        </w:tc>
        <w:tc>
          <w:tcPr>
            <w:tcW w:w="534" w:type="dxa"/>
          </w:tcPr>
          <w:p>
            <w:pPr>
              <w:pStyle w:val="TableParagraph"/>
              <w:rPr>
                <w:sz w:val="22"/>
              </w:rPr>
            </w:pPr>
          </w:p>
        </w:tc>
        <w:tc>
          <w:tcPr>
            <w:tcW w:w="763" w:type="dxa"/>
          </w:tcPr>
          <w:p>
            <w:pPr>
              <w:pStyle w:val="TableParagraph"/>
              <w:rPr>
                <w:sz w:val="22"/>
              </w:rPr>
            </w:pPr>
          </w:p>
        </w:tc>
        <w:tc>
          <w:tcPr>
            <w:tcW w:w="1050" w:type="dxa"/>
          </w:tcPr>
          <w:p>
            <w:pPr>
              <w:pStyle w:val="TableParagraph"/>
              <w:rPr>
                <w:sz w:val="22"/>
              </w:rPr>
            </w:pPr>
          </w:p>
        </w:tc>
        <w:tc>
          <w:tcPr>
            <w:tcW w:w="1050" w:type="dxa"/>
          </w:tcPr>
          <w:p>
            <w:pPr>
              <w:pStyle w:val="TableParagraph"/>
              <w:rPr>
                <w:sz w:val="22"/>
              </w:rPr>
            </w:pPr>
          </w:p>
        </w:tc>
        <w:tc>
          <w:tcPr>
            <w:tcW w:w="1050" w:type="dxa"/>
          </w:tcPr>
          <w:p>
            <w:pPr>
              <w:pStyle w:val="TableParagraph"/>
              <w:rPr>
                <w:sz w:val="22"/>
              </w:rPr>
            </w:pPr>
          </w:p>
        </w:tc>
        <w:tc>
          <w:tcPr>
            <w:tcW w:w="1043" w:type="dxa"/>
          </w:tcPr>
          <w:p>
            <w:pPr>
              <w:pStyle w:val="TableParagraph"/>
              <w:rPr>
                <w:sz w:val="22"/>
              </w:rPr>
            </w:pPr>
          </w:p>
        </w:tc>
        <w:tc>
          <w:tcPr>
            <w:tcW w:w="1415" w:type="dxa"/>
            <w:tcBorders>
              <w:right w:val="single" w:sz="4" w:space="0" w:color="000000"/>
            </w:tcBorders>
          </w:tcPr>
          <w:p>
            <w:pPr>
              <w:pStyle w:val="TableParagraph"/>
              <w:spacing w:before="10"/>
              <w:rPr>
                <w:sz w:val="13"/>
              </w:rPr>
            </w:pPr>
          </w:p>
          <w:p>
            <w:pPr>
              <w:pStyle w:val="TableParagraph"/>
              <w:spacing w:before="1"/>
              <w:ind w:left="349"/>
              <w:rPr>
                <w:rFonts w:ascii="Arial"/>
                <w:b/>
                <w:sz w:val="15"/>
              </w:rPr>
            </w:pPr>
            <w:r>
              <w:rPr>
                <w:rFonts w:ascii="Arial"/>
                <w:b/>
                <w:w w:val="103"/>
                <w:sz w:val="15"/>
              </w:rPr>
              <w:t>3</w:t>
            </w:r>
          </w:p>
        </w:tc>
      </w:tr>
      <w:tr>
        <w:trPr>
          <w:trHeight w:val="494" w:hRule="atLeast"/>
        </w:trPr>
        <w:tc>
          <w:tcPr>
            <w:tcW w:w="1512" w:type="dxa"/>
            <w:tcBorders>
              <w:left w:val="single" w:sz="4" w:space="0" w:color="000000"/>
            </w:tcBorders>
          </w:tcPr>
          <w:p>
            <w:pPr>
              <w:pStyle w:val="TableParagraph"/>
              <w:rPr>
                <w:sz w:val="22"/>
              </w:rPr>
            </w:pPr>
          </w:p>
        </w:tc>
        <w:tc>
          <w:tcPr>
            <w:tcW w:w="534" w:type="dxa"/>
          </w:tcPr>
          <w:p>
            <w:pPr>
              <w:pStyle w:val="TableParagraph"/>
              <w:rPr>
                <w:sz w:val="22"/>
              </w:rPr>
            </w:pPr>
          </w:p>
        </w:tc>
        <w:tc>
          <w:tcPr>
            <w:tcW w:w="763" w:type="dxa"/>
          </w:tcPr>
          <w:p>
            <w:pPr>
              <w:pStyle w:val="TableParagraph"/>
              <w:rPr>
                <w:sz w:val="22"/>
              </w:rPr>
            </w:pPr>
          </w:p>
        </w:tc>
        <w:tc>
          <w:tcPr>
            <w:tcW w:w="1050" w:type="dxa"/>
          </w:tcPr>
          <w:p>
            <w:pPr>
              <w:pStyle w:val="TableParagraph"/>
              <w:rPr>
                <w:sz w:val="22"/>
              </w:rPr>
            </w:pPr>
          </w:p>
        </w:tc>
        <w:tc>
          <w:tcPr>
            <w:tcW w:w="1050" w:type="dxa"/>
          </w:tcPr>
          <w:p>
            <w:pPr>
              <w:pStyle w:val="TableParagraph"/>
              <w:rPr>
                <w:sz w:val="22"/>
              </w:rPr>
            </w:pPr>
          </w:p>
        </w:tc>
        <w:tc>
          <w:tcPr>
            <w:tcW w:w="1050" w:type="dxa"/>
          </w:tcPr>
          <w:p>
            <w:pPr>
              <w:pStyle w:val="TableParagraph"/>
              <w:rPr>
                <w:sz w:val="22"/>
              </w:rPr>
            </w:pPr>
          </w:p>
        </w:tc>
        <w:tc>
          <w:tcPr>
            <w:tcW w:w="1043" w:type="dxa"/>
          </w:tcPr>
          <w:p>
            <w:pPr>
              <w:pStyle w:val="TableParagraph"/>
              <w:rPr>
                <w:sz w:val="22"/>
              </w:rPr>
            </w:pPr>
          </w:p>
        </w:tc>
        <w:tc>
          <w:tcPr>
            <w:tcW w:w="1415" w:type="dxa"/>
            <w:tcBorders>
              <w:right w:val="single" w:sz="4" w:space="0" w:color="000000"/>
            </w:tcBorders>
          </w:tcPr>
          <w:p>
            <w:pPr>
              <w:pStyle w:val="TableParagraph"/>
              <w:spacing w:before="10"/>
              <w:rPr>
                <w:sz w:val="13"/>
              </w:rPr>
            </w:pPr>
          </w:p>
          <w:p>
            <w:pPr>
              <w:pStyle w:val="TableParagraph"/>
              <w:spacing w:before="1"/>
              <w:ind w:left="349"/>
              <w:rPr>
                <w:rFonts w:ascii="Arial"/>
                <w:b/>
                <w:sz w:val="15"/>
              </w:rPr>
            </w:pPr>
            <w:r>
              <w:rPr>
                <w:rFonts w:ascii="Arial"/>
                <w:b/>
                <w:w w:val="103"/>
                <w:sz w:val="15"/>
              </w:rPr>
              <w:t>2</w:t>
            </w:r>
          </w:p>
        </w:tc>
      </w:tr>
      <w:tr>
        <w:trPr>
          <w:trHeight w:val="494" w:hRule="atLeast"/>
        </w:trPr>
        <w:tc>
          <w:tcPr>
            <w:tcW w:w="1512" w:type="dxa"/>
            <w:tcBorders>
              <w:left w:val="single" w:sz="4" w:space="0" w:color="000000"/>
            </w:tcBorders>
          </w:tcPr>
          <w:p>
            <w:pPr>
              <w:pStyle w:val="TableParagraph"/>
              <w:rPr>
                <w:sz w:val="22"/>
              </w:rPr>
            </w:pPr>
          </w:p>
        </w:tc>
        <w:tc>
          <w:tcPr>
            <w:tcW w:w="534" w:type="dxa"/>
          </w:tcPr>
          <w:p>
            <w:pPr>
              <w:pStyle w:val="TableParagraph"/>
              <w:rPr>
                <w:sz w:val="22"/>
              </w:rPr>
            </w:pPr>
          </w:p>
        </w:tc>
        <w:tc>
          <w:tcPr>
            <w:tcW w:w="763" w:type="dxa"/>
          </w:tcPr>
          <w:p>
            <w:pPr>
              <w:pStyle w:val="TableParagraph"/>
              <w:rPr>
                <w:sz w:val="22"/>
              </w:rPr>
            </w:pPr>
          </w:p>
        </w:tc>
        <w:tc>
          <w:tcPr>
            <w:tcW w:w="1050" w:type="dxa"/>
          </w:tcPr>
          <w:p>
            <w:pPr>
              <w:pStyle w:val="TableParagraph"/>
              <w:rPr>
                <w:sz w:val="22"/>
              </w:rPr>
            </w:pPr>
          </w:p>
        </w:tc>
        <w:tc>
          <w:tcPr>
            <w:tcW w:w="1050" w:type="dxa"/>
          </w:tcPr>
          <w:p>
            <w:pPr>
              <w:pStyle w:val="TableParagraph"/>
              <w:rPr>
                <w:sz w:val="22"/>
              </w:rPr>
            </w:pPr>
          </w:p>
        </w:tc>
        <w:tc>
          <w:tcPr>
            <w:tcW w:w="1050" w:type="dxa"/>
          </w:tcPr>
          <w:p>
            <w:pPr>
              <w:pStyle w:val="TableParagraph"/>
              <w:rPr>
                <w:sz w:val="22"/>
              </w:rPr>
            </w:pPr>
          </w:p>
        </w:tc>
        <w:tc>
          <w:tcPr>
            <w:tcW w:w="1043" w:type="dxa"/>
          </w:tcPr>
          <w:p>
            <w:pPr>
              <w:pStyle w:val="TableParagraph"/>
              <w:rPr>
                <w:sz w:val="22"/>
              </w:rPr>
            </w:pPr>
          </w:p>
        </w:tc>
        <w:tc>
          <w:tcPr>
            <w:tcW w:w="1415" w:type="dxa"/>
            <w:tcBorders>
              <w:right w:val="single" w:sz="4" w:space="0" w:color="000000"/>
            </w:tcBorders>
          </w:tcPr>
          <w:p>
            <w:pPr>
              <w:pStyle w:val="TableParagraph"/>
              <w:spacing w:before="10"/>
              <w:rPr>
                <w:sz w:val="13"/>
              </w:rPr>
            </w:pPr>
          </w:p>
          <w:p>
            <w:pPr>
              <w:pStyle w:val="TableParagraph"/>
              <w:spacing w:before="1"/>
              <w:ind w:left="349"/>
              <w:rPr>
                <w:rFonts w:ascii="Arial"/>
                <w:b/>
                <w:sz w:val="15"/>
              </w:rPr>
            </w:pPr>
            <w:r>
              <w:rPr>
                <w:rFonts w:ascii="Arial"/>
                <w:b/>
                <w:w w:val="103"/>
                <w:sz w:val="15"/>
              </w:rPr>
              <w:t>1</w:t>
            </w:r>
          </w:p>
        </w:tc>
      </w:tr>
      <w:tr>
        <w:trPr>
          <w:trHeight w:val="376" w:hRule="atLeast"/>
        </w:trPr>
        <w:tc>
          <w:tcPr>
            <w:tcW w:w="1512" w:type="dxa"/>
            <w:tcBorders>
              <w:left w:val="single" w:sz="4" w:space="0" w:color="000000"/>
            </w:tcBorders>
          </w:tcPr>
          <w:p>
            <w:pPr>
              <w:pStyle w:val="TableParagraph"/>
              <w:rPr>
                <w:sz w:val="22"/>
              </w:rPr>
            </w:pPr>
          </w:p>
        </w:tc>
        <w:tc>
          <w:tcPr>
            <w:tcW w:w="534" w:type="dxa"/>
          </w:tcPr>
          <w:p>
            <w:pPr>
              <w:pStyle w:val="TableParagraph"/>
              <w:rPr>
                <w:sz w:val="22"/>
              </w:rPr>
            </w:pPr>
          </w:p>
        </w:tc>
        <w:tc>
          <w:tcPr>
            <w:tcW w:w="763" w:type="dxa"/>
          </w:tcPr>
          <w:p>
            <w:pPr>
              <w:pStyle w:val="TableParagraph"/>
              <w:rPr>
                <w:sz w:val="22"/>
              </w:rPr>
            </w:pPr>
          </w:p>
        </w:tc>
        <w:tc>
          <w:tcPr>
            <w:tcW w:w="1050" w:type="dxa"/>
          </w:tcPr>
          <w:p>
            <w:pPr>
              <w:pStyle w:val="TableParagraph"/>
              <w:rPr>
                <w:sz w:val="22"/>
              </w:rPr>
            </w:pPr>
          </w:p>
        </w:tc>
        <w:tc>
          <w:tcPr>
            <w:tcW w:w="1050" w:type="dxa"/>
          </w:tcPr>
          <w:p>
            <w:pPr>
              <w:pStyle w:val="TableParagraph"/>
              <w:rPr>
                <w:sz w:val="22"/>
              </w:rPr>
            </w:pPr>
          </w:p>
        </w:tc>
        <w:tc>
          <w:tcPr>
            <w:tcW w:w="1050" w:type="dxa"/>
          </w:tcPr>
          <w:p>
            <w:pPr>
              <w:pStyle w:val="TableParagraph"/>
              <w:rPr>
                <w:sz w:val="22"/>
              </w:rPr>
            </w:pPr>
          </w:p>
        </w:tc>
        <w:tc>
          <w:tcPr>
            <w:tcW w:w="1043" w:type="dxa"/>
          </w:tcPr>
          <w:p>
            <w:pPr>
              <w:pStyle w:val="TableParagraph"/>
              <w:rPr>
                <w:sz w:val="22"/>
              </w:rPr>
            </w:pPr>
          </w:p>
        </w:tc>
        <w:tc>
          <w:tcPr>
            <w:tcW w:w="1415" w:type="dxa"/>
            <w:tcBorders>
              <w:right w:val="single" w:sz="4" w:space="0" w:color="000000"/>
            </w:tcBorders>
          </w:tcPr>
          <w:p>
            <w:pPr>
              <w:pStyle w:val="TableParagraph"/>
              <w:spacing w:before="10"/>
              <w:rPr>
                <w:sz w:val="13"/>
              </w:rPr>
            </w:pPr>
          </w:p>
          <w:p>
            <w:pPr>
              <w:pStyle w:val="TableParagraph"/>
              <w:spacing w:before="1"/>
              <w:ind w:left="349"/>
              <w:rPr>
                <w:rFonts w:ascii="Arial"/>
                <w:b/>
                <w:sz w:val="15"/>
              </w:rPr>
            </w:pPr>
            <w:r>
              <w:rPr>
                <w:rFonts w:ascii="Arial"/>
                <w:b/>
                <w:w w:val="103"/>
                <w:sz w:val="15"/>
              </w:rPr>
              <w:t>0</w:t>
            </w:r>
          </w:p>
        </w:tc>
      </w:tr>
      <w:tr>
        <w:trPr>
          <w:trHeight w:val="479" w:hRule="atLeast"/>
        </w:trPr>
        <w:tc>
          <w:tcPr>
            <w:tcW w:w="1512" w:type="dxa"/>
            <w:tcBorders>
              <w:left w:val="single" w:sz="4" w:space="0" w:color="000000"/>
              <w:bottom w:val="single" w:sz="4" w:space="0" w:color="000000"/>
            </w:tcBorders>
          </w:tcPr>
          <w:p>
            <w:pPr>
              <w:pStyle w:val="TableParagraph"/>
              <w:spacing w:before="42"/>
              <w:ind w:right="103"/>
              <w:jc w:val="right"/>
              <w:rPr>
                <w:rFonts w:ascii="Arial"/>
                <w:b/>
                <w:sz w:val="15"/>
              </w:rPr>
            </w:pPr>
            <w:r>
              <w:rPr>
                <w:rFonts w:ascii="Arial"/>
                <w:b/>
                <w:sz w:val="15"/>
              </w:rPr>
              <w:t>2005</w:t>
            </w:r>
          </w:p>
        </w:tc>
        <w:tc>
          <w:tcPr>
            <w:tcW w:w="534" w:type="dxa"/>
            <w:tcBorders>
              <w:bottom w:val="single" w:sz="4" w:space="0" w:color="000000"/>
            </w:tcBorders>
          </w:tcPr>
          <w:p>
            <w:pPr>
              <w:pStyle w:val="TableParagraph"/>
              <w:rPr>
                <w:sz w:val="22"/>
              </w:rPr>
            </w:pPr>
          </w:p>
        </w:tc>
        <w:tc>
          <w:tcPr>
            <w:tcW w:w="763" w:type="dxa"/>
            <w:tcBorders>
              <w:bottom w:val="single" w:sz="4" w:space="0" w:color="000000"/>
            </w:tcBorders>
          </w:tcPr>
          <w:p>
            <w:pPr>
              <w:pStyle w:val="TableParagraph"/>
              <w:spacing w:before="42"/>
              <w:ind w:left="71"/>
              <w:rPr>
                <w:rFonts w:ascii="Arial"/>
                <w:b/>
                <w:sz w:val="15"/>
              </w:rPr>
            </w:pPr>
            <w:r>
              <w:rPr>
                <w:rFonts w:ascii="Arial"/>
                <w:b/>
                <w:w w:val="105"/>
                <w:sz w:val="15"/>
              </w:rPr>
              <w:t>2006</w:t>
            </w:r>
          </w:p>
        </w:tc>
        <w:tc>
          <w:tcPr>
            <w:tcW w:w="1050" w:type="dxa"/>
            <w:tcBorders>
              <w:bottom w:val="single" w:sz="4" w:space="0" w:color="000000"/>
            </w:tcBorders>
          </w:tcPr>
          <w:p>
            <w:pPr>
              <w:pStyle w:val="TableParagraph"/>
              <w:spacing w:before="42"/>
              <w:ind w:left="330" w:right="326"/>
              <w:jc w:val="center"/>
              <w:rPr>
                <w:rFonts w:ascii="Arial"/>
                <w:b/>
                <w:sz w:val="15"/>
              </w:rPr>
            </w:pPr>
            <w:r>
              <w:rPr>
                <w:rFonts w:ascii="Arial"/>
                <w:b/>
                <w:w w:val="105"/>
                <w:sz w:val="15"/>
              </w:rPr>
              <w:t>2007</w:t>
            </w:r>
          </w:p>
        </w:tc>
        <w:tc>
          <w:tcPr>
            <w:tcW w:w="1050" w:type="dxa"/>
            <w:tcBorders>
              <w:bottom w:val="single" w:sz="4" w:space="0" w:color="000000"/>
            </w:tcBorders>
          </w:tcPr>
          <w:p>
            <w:pPr>
              <w:pStyle w:val="TableParagraph"/>
              <w:spacing w:before="42"/>
              <w:ind w:left="330" w:right="327"/>
              <w:jc w:val="center"/>
              <w:rPr>
                <w:rFonts w:ascii="Arial"/>
                <w:b/>
                <w:sz w:val="15"/>
              </w:rPr>
            </w:pPr>
            <w:r>
              <w:rPr>
                <w:rFonts w:ascii="Arial"/>
                <w:b/>
                <w:w w:val="105"/>
                <w:sz w:val="15"/>
              </w:rPr>
              <w:t>2008</w:t>
            </w:r>
          </w:p>
        </w:tc>
        <w:tc>
          <w:tcPr>
            <w:tcW w:w="1050" w:type="dxa"/>
            <w:tcBorders>
              <w:bottom w:val="single" w:sz="4" w:space="0" w:color="000000"/>
            </w:tcBorders>
          </w:tcPr>
          <w:p>
            <w:pPr>
              <w:pStyle w:val="TableParagraph"/>
              <w:spacing w:before="42"/>
              <w:ind w:left="329" w:right="327"/>
              <w:jc w:val="center"/>
              <w:rPr>
                <w:rFonts w:ascii="Arial"/>
                <w:b/>
                <w:sz w:val="15"/>
              </w:rPr>
            </w:pPr>
            <w:r>
              <w:rPr>
                <w:rFonts w:ascii="Arial"/>
                <w:b/>
                <w:w w:val="105"/>
                <w:sz w:val="15"/>
              </w:rPr>
              <w:t>2009</w:t>
            </w:r>
          </w:p>
        </w:tc>
        <w:tc>
          <w:tcPr>
            <w:tcW w:w="1043" w:type="dxa"/>
            <w:tcBorders>
              <w:bottom w:val="single" w:sz="4" w:space="0" w:color="000000"/>
            </w:tcBorders>
          </w:tcPr>
          <w:p>
            <w:pPr>
              <w:pStyle w:val="TableParagraph"/>
              <w:spacing w:before="42"/>
              <w:ind w:left="356"/>
              <w:rPr>
                <w:rFonts w:ascii="Arial"/>
                <w:b/>
                <w:sz w:val="15"/>
              </w:rPr>
            </w:pPr>
            <w:r>
              <w:rPr>
                <w:rFonts w:ascii="Arial"/>
                <w:b/>
                <w:w w:val="105"/>
                <w:sz w:val="15"/>
              </w:rPr>
              <w:t>2010</w:t>
            </w:r>
          </w:p>
        </w:tc>
        <w:tc>
          <w:tcPr>
            <w:tcW w:w="1415" w:type="dxa"/>
            <w:tcBorders>
              <w:bottom w:val="single" w:sz="4" w:space="0" w:color="000000"/>
              <w:right w:val="single" w:sz="4" w:space="0" w:color="000000"/>
            </w:tcBorders>
          </w:tcPr>
          <w:p>
            <w:pPr>
              <w:pStyle w:val="TableParagraph"/>
              <w:rPr>
                <w:sz w:val="22"/>
              </w:rPr>
            </w:pPr>
          </w:p>
        </w:tc>
      </w:tr>
      <w:tr>
        <w:trPr>
          <w:trHeight w:val="350" w:hRule="atLeast"/>
        </w:trPr>
        <w:tc>
          <w:tcPr>
            <w:tcW w:w="84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7"/>
              <w:rPr>
                <w:sz w:val="20"/>
              </w:rPr>
            </w:pPr>
            <w:r>
              <w:rPr>
                <w:sz w:val="20"/>
              </w:rPr>
              <w:t>Source: Office for National Statistics</w:t>
            </w:r>
          </w:p>
        </w:tc>
      </w:tr>
    </w:tbl>
    <w:p>
      <w:pPr>
        <w:pStyle w:val="BodyText"/>
        <w:spacing w:before="9"/>
        <w:rPr>
          <w:sz w:val="27"/>
        </w:rPr>
      </w:pPr>
    </w:p>
    <w:p>
      <w:pPr>
        <w:pStyle w:val="BodyText"/>
        <w:spacing w:line="360" w:lineRule="auto" w:before="90"/>
        <w:ind w:left="118" w:right="141"/>
      </w:pPr>
      <w:r>
        <w:rPr/>
        <w:t>I believe this medium term confidence in a world of stable prices is an important anchor for the private sector when there has been so much instability in recent years. If we continue to experience above-target inflation, while the MPC sets policy to head off the opposite risk – of</w:t>
      </w:r>
    </w:p>
    <w:p>
      <w:pPr>
        <w:spacing w:after="0" w:line="360" w:lineRule="auto"/>
        <w:sectPr>
          <w:pgSz w:w="11910" w:h="16840"/>
          <w:pgMar w:header="0" w:footer="1060" w:top="1320" w:bottom="1260" w:left="1300" w:right="1320"/>
        </w:sectPr>
      </w:pPr>
    </w:p>
    <w:p>
      <w:pPr>
        <w:pStyle w:val="BodyText"/>
        <w:spacing w:line="360" w:lineRule="auto" w:before="74"/>
        <w:ind w:left="118" w:right="291"/>
        <w:jc w:val="both"/>
      </w:pPr>
      <w:r>
        <w:rPr/>
        <w:t>deflation, confidence in the inflation target and the credibility of the MPC risk being eroded. And the longer the period of above-target inflation goes on without any policy response, the greater this risk becomes.</w:t>
      </w:r>
    </w:p>
    <w:p>
      <w:pPr>
        <w:pStyle w:val="BodyText"/>
        <w:rPr>
          <w:sz w:val="36"/>
        </w:rPr>
      </w:pPr>
    </w:p>
    <w:p>
      <w:pPr>
        <w:pStyle w:val="BodyText"/>
        <w:spacing w:line="360" w:lineRule="auto"/>
        <w:ind w:left="118" w:right="174"/>
      </w:pPr>
      <w:r>
        <w:rPr/>
        <w:t>Unfortunately, the risk of such a loss of confidence and credibility appears to be increasing. As Chart 11 shows, we have seen two major spikes in CPI inflation within the last two years. And it is possible that another one is in prospect when higher VAT comes into effect early next year, particularly if this is accompanied by a continuation of the recent surge in energy and commodity prices. These repeated episodes risk eroding confidence that UK policy- makers remain committed to low and stable inflation, with a knock-on effect on inflation expectations in financial markets, among the business community and the public which could be self-fulfilling.</w:t>
      </w:r>
    </w:p>
    <w:p>
      <w:pPr>
        <w:pStyle w:val="BodyText"/>
        <w:spacing w:before="11"/>
        <w:rPr>
          <w:sz w:val="35"/>
        </w:rPr>
      </w:pPr>
    </w:p>
    <w:p>
      <w:pPr>
        <w:pStyle w:val="BodyText"/>
        <w:spacing w:line="360" w:lineRule="auto"/>
        <w:ind w:left="118" w:right="123"/>
      </w:pPr>
      <w:r>
        <w:rPr/>
        <w:pict>
          <v:group style="position:absolute;margin-left:121.406799pt;margin-top:225.05246pt;width:307.4pt;height:148.85pt;mso-position-horizontal-relative:page;mso-position-vertical-relative:paragraph;z-index:-254224384" coordorigin="2428,4501" coordsize="6148,2977">
            <v:shape style="position:absolute;left:0;top:10044;width:60;height:4200" coordorigin="0,10045" coordsize="60,4200" path="m8534,7470l8534,4508m8534,7470l8576,7470m8534,7103l8576,7103m8534,6723l8576,6723m8534,6356l8576,6356m8534,5989l8576,5989m8534,5622l8576,5622m8534,5242l8576,5242m8534,4875l8576,4875m8534,4508l8576,4508e" filled="false" stroked="true" strokeweight=".706345pt" strokecolor="#000000">
              <v:path arrowok="t"/>
              <v:stroke dashstyle="solid"/>
            </v:shape>
            <v:shape style="position:absolute;left:0;top:9964;width:8620;height:80" coordorigin="0,9965" coordsize="8620,80" path="m2435,6356l8534,6356m2435,6356l2435,6412m2902,6356l2902,6412m3369,6356l3369,6412m3822,6356l3822,6412m4289,6356l4289,6412m4756,6356l4756,6412m5223,6356l5223,6412m5690,6356l5690,6412m6142,6356l6142,6412m6609,6356l6609,6412m7076,6356l7076,6412m7543,6356l7543,6412m7996,6356l7996,6412m8463,6356l8463,6412e" filled="false" stroked="true" strokeweight=".706345pt" strokecolor="#000000">
              <v:path arrowok="t"/>
              <v:stroke dashstyle="solid"/>
            </v:shape>
            <v:shape style="position:absolute;left:2456;top:4853;width:6056;height:2497" coordorigin="2456,4854" coordsize="6056,2497" path="m2456,5545l2555,5234,2655,5093,2754,5488,2853,4896,2952,5178,3051,5305,3150,5277,3249,5545,3348,5460,3447,5291,3546,4938,3645,4854,3744,4995,3843,4995,3942,5164,4041,5079,4140,5192,4239,5263,4338,5192,4437,5277,4536,5263,4635,5263,4734,5517,4833,5418,4933,5361,5032,5376,5131,5446,5230,5347,5329,5376,5428,5446,5527,5178,5626,5517,5739,5361,5838,5234,5937,5164,6036,5178,6135,5178,6234,5305,6333,5333,6432,5319,6531,5418,6630,5404,6729,5587,6829,5376,6928,5474,7027,5249,7126,5150,7225,5206,7324,5234,7423,5361,7522,5418,7621,5446,7720,5601,7819,5968,7918,6574,8017,7139,8116,7350,8215,7181,8314,6574,8413,5799,8512,5108e" filled="false" stroked="true" strokeweight="1.411109pt" strokecolor="#333399">
              <v:path arrowok="t"/>
              <v:stroke dashstyle="solid"/>
            </v:shape>
            <w10:wrap type="none"/>
          </v:group>
        </w:pict>
      </w:r>
      <w:r>
        <w:rPr/>
        <w:t>In the depth of the recession in the first half of last year, we could be fairly relaxed about upward pressures on inflation. At that time, the MPC was worried about the opposite trend – a lurch into deflation with prices and wages on a downward spiral. But these deflationary fears have not been realised. Instead, inflation has run above the target and wage freezes introduced to help businesses weather the storm of the recession are coming to an end. The current period of above-target inflation risks being prolonged by monetary policy which is too lax – creating a climate in which higher inflation is not just the product of one-off shocks but becomes more deeply</w:t>
      </w:r>
      <w:r>
        <w:rPr>
          <w:spacing w:val="-7"/>
        </w:rPr>
        <w:t> </w:t>
      </w:r>
      <w:r>
        <w:rPr/>
        <w:t>ingrained.</w:t>
      </w:r>
    </w:p>
    <w:p>
      <w:pPr>
        <w:pStyle w:val="BodyText"/>
        <w:rPr>
          <w:sz w:val="20"/>
        </w:rPr>
      </w:pPr>
    </w:p>
    <w:p>
      <w:pPr>
        <w:pStyle w:val="BodyText"/>
        <w:spacing w:before="7"/>
        <w:rPr>
          <w:sz w:val="16"/>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551" w:hRule="atLeast"/>
        </w:trPr>
        <w:tc>
          <w:tcPr>
            <w:tcW w:w="8414" w:type="dxa"/>
          </w:tcPr>
          <w:p>
            <w:pPr>
              <w:pStyle w:val="TableParagraph"/>
              <w:spacing w:line="270" w:lineRule="exact"/>
              <w:ind w:left="107"/>
              <w:rPr>
                <w:b/>
                <w:sz w:val="24"/>
              </w:rPr>
            </w:pPr>
            <w:r>
              <w:rPr>
                <w:b/>
                <w:sz w:val="24"/>
              </w:rPr>
              <w:t>Chart 12: Nominal domestic demand</w:t>
            </w:r>
          </w:p>
          <w:p>
            <w:pPr>
              <w:pStyle w:val="TableParagraph"/>
              <w:spacing w:line="261" w:lineRule="exact"/>
              <w:ind w:left="107"/>
              <w:rPr>
                <w:sz w:val="24"/>
              </w:rPr>
            </w:pPr>
            <w:r>
              <w:rPr>
                <w:sz w:val="24"/>
              </w:rPr>
              <w:t>Percentage change on a year ago</w:t>
            </w:r>
          </w:p>
        </w:tc>
      </w:tr>
      <w:tr>
        <w:trPr>
          <w:trHeight w:val="3779" w:hRule="atLeast"/>
        </w:trPr>
        <w:tc>
          <w:tcPr>
            <w:tcW w:w="8414" w:type="dxa"/>
          </w:tcPr>
          <w:p>
            <w:pPr>
              <w:pStyle w:val="TableParagraph"/>
              <w:spacing w:before="117"/>
              <w:ind w:left="7278"/>
              <w:rPr>
                <w:rFonts w:ascii="Arial"/>
                <w:b/>
                <w:sz w:val="15"/>
              </w:rPr>
            </w:pPr>
            <w:r>
              <w:rPr>
                <w:rFonts w:ascii="Arial"/>
                <w:b/>
                <w:w w:val="105"/>
                <w:sz w:val="15"/>
              </w:rPr>
              <w:t>10</w:t>
            </w:r>
          </w:p>
          <w:p>
            <w:pPr>
              <w:pStyle w:val="TableParagraph"/>
              <w:tabs>
                <w:tab w:pos="1773" w:val="left" w:leader="none"/>
              </w:tabs>
              <w:spacing w:line="166" w:lineRule="exact" w:before="39"/>
              <w:ind w:left="1292"/>
              <w:rPr>
                <w:rFonts w:ascii="Arial"/>
                <w:b/>
                <w:sz w:val="15"/>
              </w:rPr>
            </w:pPr>
            <w:r>
              <w:rPr>
                <w:rFonts w:ascii="Arial"/>
                <w:b/>
                <w:w w:val="103"/>
                <w:sz w:val="15"/>
                <w:u w:val="thick" w:color="002060"/>
              </w:rPr>
              <w:t> </w:t>
            </w:r>
            <w:r>
              <w:rPr>
                <w:rFonts w:ascii="Arial"/>
                <w:b/>
                <w:sz w:val="15"/>
                <w:u w:val="thick" w:color="002060"/>
              </w:rPr>
              <w:tab/>
            </w:r>
            <w:r>
              <w:rPr>
                <w:rFonts w:ascii="Arial"/>
                <w:b/>
                <w:spacing w:val="8"/>
                <w:sz w:val="15"/>
              </w:rPr>
              <w:t> </w:t>
            </w:r>
            <w:r>
              <w:rPr>
                <w:rFonts w:ascii="Arial"/>
                <w:b/>
                <w:w w:val="105"/>
                <w:sz w:val="15"/>
              </w:rPr>
              <w:t>Average</w:t>
            </w:r>
            <w:r>
              <w:rPr>
                <w:rFonts w:ascii="Arial"/>
                <w:b/>
                <w:spacing w:val="-19"/>
                <w:w w:val="105"/>
                <w:sz w:val="15"/>
              </w:rPr>
              <w:t> </w:t>
            </w:r>
            <w:r>
              <w:rPr>
                <w:rFonts w:ascii="Arial"/>
                <w:b/>
                <w:w w:val="105"/>
                <w:sz w:val="15"/>
              </w:rPr>
              <w:t>1995-2007</w:t>
            </w:r>
          </w:p>
          <w:p>
            <w:pPr>
              <w:pStyle w:val="TableParagraph"/>
              <w:spacing w:line="166" w:lineRule="exact"/>
              <w:ind w:left="7276"/>
              <w:rPr>
                <w:rFonts w:ascii="Arial"/>
                <w:b/>
                <w:sz w:val="15"/>
              </w:rPr>
            </w:pPr>
            <w:r>
              <w:rPr>
                <w:rFonts w:ascii="Arial"/>
                <w:b/>
                <w:w w:val="103"/>
                <w:sz w:val="15"/>
              </w:rPr>
              <w:t>8</w:t>
            </w:r>
          </w:p>
          <w:p>
            <w:pPr>
              <w:pStyle w:val="TableParagraph"/>
              <w:spacing w:before="2"/>
              <w:rPr>
                <w:sz w:val="17"/>
              </w:rPr>
            </w:pPr>
          </w:p>
          <w:p>
            <w:pPr>
              <w:pStyle w:val="TableParagraph"/>
              <w:tabs>
                <w:tab w:pos="6055" w:val="left" w:leader="none"/>
              </w:tabs>
              <w:ind w:right="1039"/>
              <w:jc w:val="right"/>
              <w:rPr>
                <w:rFonts w:ascii="Arial"/>
                <w:b/>
                <w:sz w:val="15"/>
              </w:rPr>
            </w:pPr>
            <w:r>
              <w:rPr>
                <w:rFonts w:ascii="Arial"/>
                <w:b/>
                <w:w w:val="103"/>
                <w:sz w:val="15"/>
                <w:u w:val="thick" w:color="002060"/>
              </w:rPr>
              <w:t> </w:t>
            </w:r>
            <w:r>
              <w:rPr>
                <w:rFonts w:ascii="Arial"/>
                <w:b/>
                <w:sz w:val="15"/>
                <w:u w:val="thick" w:color="002060"/>
              </w:rPr>
              <w:tab/>
            </w:r>
            <w:r>
              <w:rPr>
                <w:rFonts w:ascii="Arial"/>
                <w:b/>
                <w:sz w:val="15"/>
              </w:rPr>
              <w:t>   </w:t>
            </w:r>
            <w:r>
              <w:rPr>
                <w:rFonts w:ascii="Arial"/>
                <w:b/>
                <w:spacing w:val="15"/>
                <w:sz w:val="15"/>
              </w:rPr>
              <w:t> </w:t>
            </w:r>
            <w:r>
              <w:rPr>
                <w:rFonts w:ascii="Arial"/>
                <w:b/>
                <w:sz w:val="15"/>
              </w:rPr>
              <w:t>6</w:t>
            </w:r>
          </w:p>
          <w:p>
            <w:pPr>
              <w:pStyle w:val="TableParagraph"/>
              <w:spacing w:before="3"/>
              <w:rPr>
                <w:sz w:val="17"/>
              </w:rPr>
            </w:pPr>
          </w:p>
          <w:p>
            <w:pPr>
              <w:pStyle w:val="TableParagraph"/>
              <w:ind w:right="1039"/>
              <w:jc w:val="right"/>
              <w:rPr>
                <w:rFonts w:ascii="Arial"/>
                <w:b/>
                <w:sz w:val="15"/>
              </w:rPr>
            </w:pPr>
            <w:r>
              <w:rPr>
                <w:rFonts w:ascii="Arial"/>
                <w:b/>
                <w:w w:val="103"/>
                <w:sz w:val="15"/>
              </w:rPr>
              <w:t>4</w:t>
            </w:r>
          </w:p>
          <w:p>
            <w:pPr>
              <w:pStyle w:val="TableParagraph"/>
              <w:spacing w:before="3"/>
              <w:rPr>
                <w:sz w:val="17"/>
              </w:rPr>
            </w:pPr>
          </w:p>
          <w:p>
            <w:pPr>
              <w:pStyle w:val="TableParagraph"/>
              <w:ind w:right="1039"/>
              <w:jc w:val="right"/>
              <w:rPr>
                <w:rFonts w:ascii="Arial"/>
                <w:b/>
                <w:sz w:val="15"/>
              </w:rPr>
            </w:pPr>
            <w:r>
              <w:rPr>
                <w:rFonts w:ascii="Arial"/>
                <w:b/>
                <w:w w:val="103"/>
                <w:sz w:val="15"/>
              </w:rPr>
              <w:t>2</w:t>
            </w:r>
          </w:p>
          <w:p>
            <w:pPr>
              <w:pStyle w:val="TableParagraph"/>
              <w:spacing w:before="3"/>
              <w:rPr>
                <w:sz w:val="17"/>
              </w:rPr>
            </w:pPr>
          </w:p>
          <w:p>
            <w:pPr>
              <w:pStyle w:val="TableParagraph"/>
              <w:ind w:right="1039"/>
              <w:jc w:val="right"/>
              <w:rPr>
                <w:rFonts w:ascii="Arial"/>
                <w:b/>
                <w:sz w:val="15"/>
              </w:rPr>
            </w:pPr>
            <w:r>
              <w:rPr>
                <w:rFonts w:ascii="Arial"/>
                <w:b/>
                <w:w w:val="103"/>
                <w:sz w:val="15"/>
              </w:rPr>
              <w:t>0</w:t>
            </w:r>
          </w:p>
          <w:p>
            <w:pPr>
              <w:pStyle w:val="TableParagraph"/>
              <w:spacing w:before="3"/>
              <w:rPr>
                <w:sz w:val="17"/>
              </w:rPr>
            </w:pPr>
          </w:p>
          <w:p>
            <w:pPr>
              <w:pStyle w:val="TableParagraph"/>
              <w:ind w:right="984"/>
              <w:jc w:val="right"/>
              <w:rPr>
                <w:rFonts w:ascii="Arial"/>
                <w:b/>
                <w:sz w:val="15"/>
              </w:rPr>
            </w:pPr>
            <w:r>
              <w:rPr>
                <w:rFonts w:ascii="Arial"/>
                <w:b/>
                <w:w w:val="105"/>
                <w:sz w:val="15"/>
              </w:rPr>
              <w:t>-2</w:t>
            </w:r>
          </w:p>
          <w:p>
            <w:pPr>
              <w:pStyle w:val="TableParagraph"/>
              <w:spacing w:before="3"/>
              <w:rPr>
                <w:sz w:val="17"/>
              </w:rPr>
            </w:pPr>
          </w:p>
          <w:p>
            <w:pPr>
              <w:pStyle w:val="TableParagraph"/>
              <w:ind w:right="984"/>
              <w:jc w:val="right"/>
              <w:rPr>
                <w:rFonts w:ascii="Arial"/>
                <w:b/>
                <w:sz w:val="15"/>
              </w:rPr>
            </w:pPr>
            <w:r>
              <w:rPr>
                <w:rFonts w:ascii="Arial"/>
                <w:b/>
                <w:w w:val="105"/>
                <w:sz w:val="15"/>
              </w:rPr>
              <w:t>-4</w:t>
            </w:r>
          </w:p>
          <w:p>
            <w:pPr>
              <w:pStyle w:val="TableParagraph"/>
              <w:spacing w:before="3"/>
              <w:rPr>
                <w:sz w:val="17"/>
              </w:rPr>
            </w:pPr>
          </w:p>
          <w:p>
            <w:pPr>
              <w:pStyle w:val="TableParagraph"/>
              <w:ind w:left="7274"/>
              <w:rPr>
                <w:rFonts w:ascii="Arial"/>
                <w:b/>
                <w:sz w:val="15"/>
              </w:rPr>
            </w:pPr>
            <w:r>
              <w:rPr>
                <w:rFonts w:ascii="Arial"/>
                <w:b/>
                <w:w w:val="105"/>
                <w:sz w:val="15"/>
              </w:rPr>
              <w:t>-6</w:t>
            </w:r>
          </w:p>
          <w:p>
            <w:pPr>
              <w:pStyle w:val="TableParagraph"/>
              <w:spacing w:before="85"/>
              <w:ind w:left="857"/>
              <w:rPr>
                <w:rFonts w:ascii="Arial"/>
                <w:b/>
                <w:sz w:val="15"/>
              </w:rPr>
            </w:pPr>
            <w:r>
              <w:rPr>
                <w:rFonts w:ascii="Arial"/>
                <w:b/>
                <w:w w:val="105"/>
                <w:sz w:val="15"/>
              </w:rPr>
              <w:t>1995 1996 1997 1998 1999 2001 2002 2003 2004 2005 2006 2008 2009 2010</w:t>
            </w:r>
          </w:p>
        </w:tc>
      </w:tr>
      <w:tr>
        <w:trPr>
          <w:trHeight w:val="350" w:hRule="atLeast"/>
        </w:trPr>
        <w:tc>
          <w:tcPr>
            <w:tcW w:w="8414" w:type="dxa"/>
          </w:tcPr>
          <w:p>
            <w:pPr>
              <w:pStyle w:val="TableParagraph"/>
              <w:spacing w:line="223" w:lineRule="exact"/>
              <w:ind w:left="107"/>
              <w:rPr>
                <w:sz w:val="20"/>
              </w:rPr>
            </w:pPr>
            <w:r>
              <w:rPr>
                <w:sz w:val="20"/>
              </w:rPr>
              <w:t>Source: Office for National Statistics</w:t>
            </w:r>
          </w:p>
        </w:tc>
      </w:tr>
    </w:tbl>
    <w:p>
      <w:pPr>
        <w:spacing w:after="0" w:line="223" w:lineRule="exact"/>
        <w:rPr>
          <w:sz w:val="20"/>
        </w:rPr>
        <w:sectPr>
          <w:pgSz w:w="11910" w:h="16840"/>
          <w:pgMar w:header="0" w:footer="1060" w:top="1320" w:bottom="1260" w:left="1300" w:right="1320"/>
        </w:sectPr>
      </w:pPr>
    </w:p>
    <w:p>
      <w:pPr>
        <w:pStyle w:val="BodyText"/>
        <w:spacing w:before="10"/>
        <w:rPr>
          <w:sz w:val="11"/>
        </w:rPr>
      </w:pPr>
    </w:p>
    <w:p>
      <w:pPr>
        <w:pStyle w:val="BodyText"/>
        <w:spacing w:line="360" w:lineRule="auto" w:before="90"/>
        <w:ind w:left="118" w:right="170"/>
      </w:pPr>
      <w:r>
        <w:rPr/>
        <w:t>The economy is now recovering at home and abroad. The world economy is growing above its pre-crisis trend, and domestic spending in money terms is also following the same pattern, as Chart 12 shows. Inflation has been above target, not below it – and is expected to remain so for some time. Because of these changes in economic conditions, I have voted for a rise in interest rates at recent MPC meetings – as a start to a gradual movement away from the exceptional level of monetary stimulus put in place to combat very difficult economic conditions last year. And I continue to believe that this the right policy for the situation the UK economy currently faces.</w:t>
      </w:r>
    </w:p>
    <w:p>
      <w:pPr>
        <w:pStyle w:val="BodyText"/>
        <w:spacing w:before="2"/>
        <w:rPr>
          <w:sz w:val="36"/>
        </w:rPr>
      </w:pPr>
    </w:p>
    <w:p>
      <w:pPr>
        <w:pStyle w:val="BodyText"/>
        <w:spacing w:line="360" w:lineRule="auto"/>
        <w:ind w:left="118" w:right="104"/>
      </w:pPr>
      <w:r>
        <w:rPr/>
        <w:t>In the years ahead, we will see much tighter restraint of public spending as the large deficit which built up over the recession is reined in. That process of deficit reduction is necessary to ensure longer term confidence in the future stability of the economy in financial markets and more generally. In this environment, it is the private sector which will be the engine of growth for the UK economy – just as it was in the 1990s recovery and the previous recoveries we have experienced here in the UK. Confidence that inflation is being kept under control is a key factor in sustaining that private sector engine of</w:t>
      </w:r>
      <w:r>
        <w:rPr>
          <w:spacing w:val="-11"/>
        </w:rPr>
        <w:t> </w:t>
      </w:r>
      <w:r>
        <w:rPr/>
        <w:t>growth.</w:t>
      </w:r>
    </w:p>
    <w:p>
      <w:pPr>
        <w:pStyle w:val="BodyText"/>
        <w:rPr>
          <w:sz w:val="36"/>
        </w:rPr>
      </w:pPr>
    </w:p>
    <w:p>
      <w:pPr>
        <w:pStyle w:val="BodyText"/>
        <w:spacing w:line="360" w:lineRule="auto"/>
        <w:ind w:left="118" w:right="125"/>
      </w:pPr>
      <w:r>
        <w:rPr/>
        <w:t>My view remains that we should be starting now to make a gradual adjustment of monetary policy. The improvement we have seen in the economy over the last year and the above- target inflation we have experienced point to the need to begin the process of withdrawing the very substantial level of monetary stimulus which was put in place to counter the big financial shocks we experienced in late 2008 and early</w:t>
      </w:r>
      <w:r>
        <w:rPr>
          <w:spacing w:val="-7"/>
        </w:rPr>
        <w:t> </w:t>
      </w:r>
      <w:r>
        <w:rPr/>
        <w:t>2009.</w:t>
      </w:r>
    </w:p>
    <w:p>
      <w:pPr>
        <w:pStyle w:val="BodyText"/>
        <w:spacing w:before="9"/>
        <w:rPr>
          <w:sz w:val="35"/>
        </w:rPr>
      </w:pPr>
    </w:p>
    <w:p>
      <w:pPr>
        <w:pStyle w:val="BodyText"/>
        <w:spacing w:line="360" w:lineRule="auto"/>
        <w:ind w:left="118" w:right="155"/>
      </w:pPr>
      <w:r>
        <w:rPr/>
        <w:t>Such a policy should not be a threat to the recovery. In my view it is the key to sustaining the recovery. It is the right response to an economy which is growing but experiencing persistent above-target inflation. It would reduce the risk of a future shock to confidence if current above-target inflation does become more deeply embedded and interest rates then need to rise more sharply to combat it. And it would provide more confidence to the public and the business community that the MPC takes its remit seriously and is determined to ensure that this recovery is built on the solid foundation of price stability.</w:t>
      </w:r>
    </w:p>
    <w:sectPr>
      <w:pgSz w:w="11910" w:h="16840"/>
      <w:pgMar w:header="0" w:footer="1060" w:top="1580" w:bottom="1260" w:left="130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00006pt;margin-top:777.906616pt;width:12pt;height:15.3pt;mso-position-horizontal-relative:page;mso-position-vertical-relative:page;z-index:-25424281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241792" from="70.919998pt,742.139954pt" to="214.919998pt,742.139954pt" stroked="true" strokeweight=".6pt" strokecolor="#000000">
          <v:stroke dashstyle="solid"/>
          <w10:wrap type="none"/>
        </v:line>
      </w:pict>
    </w:r>
    <w:r>
      <w:rPr/>
      <w:pict>
        <v:shape style="position:absolute;margin-left:291.600006pt;margin-top:777.906616pt;width:12pt;height:15.3pt;mso-position-horizontal-relative:page;mso-position-vertical-relative:page;z-index:-254240768" type="#_x0000_t202" filled="false" stroked="false">
          <v:textbox inset="0,0,0,0">
            <w:txbxContent>
              <w:p>
                <w:pPr>
                  <w:pStyle w:val="BodyText"/>
                  <w:spacing w:before="10"/>
                  <w:ind w:left="60"/>
                </w:pPr>
                <w:r>
                  <w:rPr/>
                  <w:fldChar w:fldCharType="begin"/>
                </w:r>
                <w:r>
                  <w:rPr/>
                  <w:instrText> PAGE </w:instrText>
                </w:r>
                <w:r>
                  <w:rPr/>
                  <w:fldChar w:fldCharType="separate"/>
                </w:r>
                <w:r>
                  <w:rPr/>
                  <w:t>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00006pt;margin-top:777.906616pt;width:18pt;height:15.3pt;mso-position-horizontal-relative:page;mso-position-vertical-relative:page;z-index:-2542397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11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Andrew Sentance</dc:subject>
  <dc:title>Speech given by Andrew Sentance at the British American Business Council in association with RSM Tenon, Church House, Westminster, London.</dc:title>
  <dcterms:created xsi:type="dcterms:W3CDTF">2020-06-02T18:31:17Z</dcterms:created>
  <dcterms:modified xsi:type="dcterms:W3CDTF">2020-06-02T18:31:17Z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2010-10-13T00:00:00Z</vt:filetime>
  </property>
  <property fmtid="{D5CDD505-2E9C-101B-9397-08002B2CF9AE}" pid="3" name="Creator">
    <vt:lpwstr>Acrobat PDFMaker 9.1 for Word</vt:lpwstr>
  </property>
  <property fmtid="{D5CDD505-2E9C-101B-9397-08002B2CF9AE}" pid="4" name="LastSaved">
    <vt:filetime>2020-06-02T00:00:00Z</vt:filetime>
  </property>
</Properties>
</file>