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64"/>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7"/>
        <w:rPr>
          <w:rFonts w:ascii="Times New Roman"/>
          <w:sz w:val="10"/>
        </w:rPr>
      </w:pPr>
    </w:p>
    <w:p>
      <w:pPr>
        <w:pStyle w:val="BodyText"/>
        <w:spacing w:line="30" w:lineRule="exact"/>
        <w:ind w:left="104"/>
        <w:rPr>
          <w:rFonts w:ascii="Times New Roman"/>
          <w:sz w:val="3"/>
        </w:rPr>
      </w:pPr>
      <w:r>
        <w:rPr>
          <w:rFonts w:ascii="Times New Roman"/>
          <w:position w:val="0"/>
          <w:sz w:val="3"/>
        </w:rPr>
        <w:pict>
          <v:group style="width:488.4pt;height:1.5pt;mso-position-horizontal-relative:char;mso-position-vertical-relative:line" coordorigin="0,0" coordsize="9768,30">
            <v:line style="position:absolute" from="0,15" to="7218,15" stroked="true" strokeweight="1.5pt" strokecolor="#000000">
              <v:stroke dashstyle="solid"/>
            </v:line>
            <v:rect style="position:absolute;left:7203;top:0;width:30;height:30" filled="true" fillcolor="#000000" stroked="false">
              <v:fill type="solid"/>
            </v:rect>
            <v:line style="position:absolute" from="7234,15" to="9768,15" stroked="true" strokeweight="1.5pt" strokecolor="#000000">
              <v:stroke dashstyle="solid"/>
            </v:line>
          </v:group>
        </w:pict>
      </w:r>
      <w:r>
        <w:rPr>
          <w:rFonts w:ascii="Times New Roman"/>
          <w:position w:val="0"/>
          <w:sz w:val="3"/>
        </w:rPr>
      </w:r>
    </w:p>
    <w:p>
      <w:pPr>
        <w:pStyle w:val="BodyText"/>
        <w:spacing w:before="1"/>
        <w:rPr>
          <w:rFonts w:ascii="Times New Roman"/>
          <w:sz w:val="12"/>
        </w:rPr>
      </w:pPr>
    </w:p>
    <w:p>
      <w:pPr>
        <w:spacing w:before="91"/>
        <w:ind w:left="134" w:right="0" w:firstLine="0"/>
        <w:jc w:val="left"/>
        <w:rPr>
          <w:b/>
          <w:sz w:val="32"/>
        </w:rPr>
      </w:pPr>
      <w:r>
        <w:rPr>
          <w:b/>
          <w:color w:val="6A709F"/>
          <w:sz w:val="32"/>
        </w:rPr>
        <w:t>TCFD: strengthening the foundations of sustainable finance</w:t>
      </w:r>
    </w:p>
    <w:p>
      <w:pPr>
        <w:pStyle w:val="BodyText"/>
        <w:rPr>
          <w:b/>
          <w:sz w:val="36"/>
        </w:rPr>
      </w:pPr>
    </w:p>
    <w:p>
      <w:pPr>
        <w:spacing w:before="274"/>
        <w:ind w:left="134" w:right="0" w:firstLine="0"/>
        <w:jc w:val="left"/>
        <w:rPr>
          <w:sz w:val="24"/>
        </w:rPr>
      </w:pPr>
      <w:r>
        <w:rPr>
          <w:sz w:val="24"/>
        </w:rPr>
        <w:t>Speech given by</w:t>
      </w:r>
    </w:p>
    <w:p>
      <w:pPr>
        <w:spacing w:before="138"/>
        <w:ind w:left="134" w:right="0" w:firstLine="0"/>
        <w:jc w:val="left"/>
        <w:rPr>
          <w:sz w:val="24"/>
        </w:rPr>
      </w:pPr>
      <w:r>
        <w:rPr>
          <w:sz w:val="24"/>
        </w:rPr>
        <w:t>Mark Carney, Governor of the Bank of England</w:t>
      </w:r>
    </w:p>
    <w:p>
      <w:pPr>
        <w:pStyle w:val="BodyText"/>
        <w:rPr>
          <w:sz w:val="26"/>
        </w:rPr>
      </w:pPr>
    </w:p>
    <w:p>
      <w:pPr>
        <w:pStyle w:val="BodyText"/>
        <w:rPr>
          <w:sz w:val="22"/>
        </w:rPr>
      </w:pPr>
    </w:p>
    <w:p>
      <w:pPr>
        <w:spacing w:line="360" w:lineRule="auto" w:before="0"/>
        <w:ind w:left="134" w:right="7048" w:firstLine="0"/>
        <w:jc w:val="left"/>
        <w:rPr>
          <w:sz w:val="24"/>
        </w:rPr>
      </w:pPr>
      <w:r>
        <w:rPr>
          <w:sz w:val="24"/>
        </w:rPr>
        <w:t>Tokyo, TCFD Summit 2019 08 October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16"/>
        </w:rPr>
      </w:pPr>
    </w:p>
    <w:p>
      <w:pPr>
        <w:pStyle w:val="BodyText"/>
        <w:spacing w:before="94"/>
        <w:ind w:left="242" w:right="1021"/>
      </w:pPr>
      <w:r>
        <w:rPr/>
        <w:t>I am grateful to Jennifer Nemeth for her assistance in preparing these remarks, and to Ryan Barrett, Jennifer Bell, Benjamin Bowry, Kaja Chhapia, Lawrence Dimery, Benjamin Guin, Christopher Gynn, Sini Matikainen, Gordon Readhead, Mathesh Sripraba, Quynh-Anh Vo and Matthew WIllison for background research and analysis, as well as to PwC for their research work. .</w:t>
      </w:r>
    </w:p>
    <w:p>
      <w:pPr>
        <w:spacing w:after="0"/>
        <w:sectPr>
          <w:footerReference w:type="default" r:id="rId5"/>
          <w:type w:val="continuous"/>
          <w:pgSz w:w="11910" w:h="16840"/>
          <w:pgMar w:footer="1338" w:top="1180" w:bottom="1520" w:left="1000" w:right="800"/>
        </w:sectPr>
      </w:pPr>
    </w:p>
    <w:p>
      <w:pPr>
        <w:pStyle w:val="Heading1"/>
        <w:spacing w:before="80"/>
      </w:pPr>
      <w:r>
        <w:rPr/>
        <w:t>Introduction</w:t>
      </w:r>
    </w:p>
    <w:p>
      <w:pPr>
        <w:pStyle w:val="BodyText"/>
        <w:spacing w:before="3"/>
        <w:rPr>
          <w:b/>
        </w:rPr>
      </w:pPr>
    </w:p>
    <w:p>
      <w:pPr>
        <w:pStyle w:val="BodyText"/>
        <w:spacing w:line="652" w:lineRule="auto"/>
        <w:ind w:left="134" w:right="5476"/>
      </w:pPr>
      <w:r>
        <w:rPr/>
        <w:t>It is an honour to join this inaugural TCFD Summit. There could be no better host than Japan.</w:t>
      </w:r>
    </w:p>
    <w:p>
      <w:pPr>
        <w:pStyle w:val="BodyText"/>
        <w:spacing w:line="360" w:lineRule="auto"/>
        <w:ind w:left="134" w:right="639"/>
      </w:pPr>
      <w:r>
        <w:rPr/>
        <w:t>Prime Minister Abe made climate change an important theme of the Japanese G20 presidency, calling on nations to put “promises into practice”.</w:t>
      </w:r>
    </w:p>
    <w:p>
      <w:pPr>
        <w:pStyle w:val="BodyText"/>
        <w:spacing w:before="4"/>
        <w:rPr>
          <w:sz w:val="24"/>
        </w:rPr>
      </w:pPr>
    </w:p>
    <w:p>
      <w:pPr>
        <w:pStyle w:val="BodyText"/>
        <w:spacing w:before="1"/>
        <w:ind w:left="134"/>
      </w:pPr>
      <w:r>
        <w:rPr/>
        <w:t>And Environment Minister Koizumi recently said Japan is “committed to realising a decarbonised society.”</w:t>
      </w:r>
    </w:p>
    <w:p>
      <w:pPr>
        <w:pStyle w:val="BodyText"/>
        <w:spacing w:before="8"/>
        <w:rPr>
          <w:sz w:val="30"/>
        </w:rPr>
      </w:pPr>
    </w:p>
    <w:p>
      <w:pPr>
        <w:pStyle w:val="BodyText"/>
        <w:spacing w:line="355" w:lineRule="auto"/>
        <w:ind w:left="134" w:right="363"/>
        <w:rPr>
          <w:sz w:val="13"/>
        </w:rPr>
      </w:pPr>
      <w:r>
        <w:rPr/>
        <w:t>Japanese companies are heeding these calls. In the past year, almost 200 Japanese firms have joined the TCFD, bringing Japan to the top of the TCFD league table.</w:t>
      </w:r>
      <w:r>
        <w:rPr>
          <w:position w:val="7"/>
          <w:sz w:val="13"/>
        </w:rPr>
        <w:t>1</w:t>
      </w:r>
    </w:p>
    <w:p>
      <w:pPr>
        <w:pStyle w:val="BodyText"/>
        <w:spacing w:before="3"/>
        <w:rPr>
          <w:sz w:val="21"/>
        </w:rPr>
      </w:pPr>
    </w:p>
    <w:p>
      <w:pPr>
        <w:pStyle w:val="BodyText"/>
        <w:spacing w:line="355" w:lineRule="auto"/>
        <w:ind w:left="134" w:right="363"/>
        <w:rPr>
          <w:sz w:val="13"/>
        </w:rPr>
      </w:pPr>
      <w:r>
        <w:rPr/>
        <w:t>This welcome progress, and that of the TCFD more generally, must be set against growing challenges. Over the past five years, global carbon emissions have risen by 20% and sea levels by over 3.3mm per year.</w:t>
      </w:r>
      <w:r>
        <w:rPr>
          <w:position w:val="7"/>
          <w:sz w:val="13"/>
        </w:rPr>
        <w:t>2 </w:t>
      </w:r>
      <w:r>
        <w:rPr/>
        <w:t>Global temperatures are on course to increase by 3.4°C by 2100.</w:t>
      </w:r>
      <w:r>
        <w:rPr>
          <w:position w:val="7"/>
          <w:sz w:val="13"/>
        </w:rPr>
        <w:t>3</w:t>
      </w:r>
    </w:p>
    <w:p>
      <w:pPr>
        <w:pStyle w:val="BodyText"/>
        <w:spacing w:before="6"/>
        <w:rPr>
          <w:sz w:val="21"/>
        </w:rPr>
      </w:pPr>
    </w:p>
    <w:p>
      <w:pPr>
        <w:pStyle w:val="Heading1"/>
        <w:spacing w:before="0"/>
      </w:pPr>
      <w:r>
        <w:rPr/>
        <w:t>Chart 1: Global warming projections to 2100 under different policy pathways</w:t>
      </w:r>
    </w:p>
    <w:p>
      <w:pPr>
        <w:pStyle w:val="BodyText"/>
        <w:rPr>
          <w:b/>
        </w:rPr>
      </w:pPr>
    </w:p>
    <w:p>
      <w:pPr>
        <w:pStyle w:val="BodyText"/>
        <w:spacing w:before="6"/>
        <w:rPr>
          <w:b/>
          <w:sz w:val="12"/>
        </w:rPr>
      </w:pPr>
      <w:r>
        <w:rPr/>
        <w:drawing>
          <wp:anchor distT="0" distB="0" distL="0" distR="0" allowOverlap="1" layoutInCell="1" locked="0" behindDoc="0" simplePos="0" relativeHeight="1">
            <wp:simplePos x="0" y="0"/>
            <wp:positionH relativeFrom="page">
              <wp:posOffset>1502630</wp:posOffset>
            </wp:positionH>
            <wp:positionV relativeFrom="paragraph">
              <wp:posOffset>116588</wp:posOffset>
            </wp:positionV>
            <wp:extent cx="4548533" cy="2957417"/>
            <wp:effectExtent l="0" t="0" r="0" b="0"/>
            <wp:wrapTopAndBottom/>
            <wp:docPr id="3" name="image2.jpeg" descr="https://climateactiontracker.org/media/images/CAT-2100WarmingProjections-2019.09.original.pn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548533" cy="2957417"/>
                    </a:xfrm>
                    <a:prstGeom prst="rect">
                      <a:avLst/>
                    </a:prstGeom>
                  </pic:spPr>
                </pic:pic>
              </a:graphicData>
            </a:graphic>
          </wp:anchor>
        </w:drawing>
      </w:r>
    </w:p>
    <w:p>
      <w:pPr>
        <w:pStyle w:val="BodyText"/>
        <w:rPr>
          <w:b/>
          <w:sz w:val="22"/>
        </w:rPr>
      </w:pPr>
    </w:p>
    <w:p>
      <w:pPr>
        <w:pStyle w:val="BodyText"/>
        <w:spacing w:line="360" w:lineRule="auto" w:before="156"/>
        <w:ind w:left="134" w:right="427"/>
      </w:pPr>
      <w:r>
        <w:rPr/>
        <w:t>The physical impact of these changes will not be evenly distributed. With ferocious typhoons, record- breaking heatwaves and major landslides, Japan is already at the sharp end of a new pattern of devastating extreme weather events.</w:t>
      </w:r>
    </w:p>
    <w:p>
      <w:pPr>
        <w:pStyle w:val="BodyText"/>
      </w:pPr>
    </w:p>
    <w:p>
      <w:pPr>
        <w:pStyle w:val="BodyText"/>
      </w:pPr>
    </w:p>
    <w:p>
      <w:pPr>
        <w:pStyle w:val="BodyText"/>
        <w:spacing w:before="6"/>
        <w:rPr>
          <w:sz w:val="13"/>
        </w:rPr>
      </w:pPr>
      <w:r>
        <w:rPr/>
        <w:pict>
          <v:shape style="position:absolute;margin-left:56.700001pt;margin-top:10.013631pt;width:144.050pt;height:.1pt;mso-position-horizontal-relative:page;mso-position-vertical-relative:paragraph;z-index:-251656192;mso-wrap-distance-left:0;mso-wrap-distance-right:0" coordorigin="1134,200" coordsize="2881,0" path="m1134,200l4014,200e" filled="false" stroked="true" strokeweight=".47998pt" strokecolor="#000000">
            <v:path arrowok="t"/>
            <v:stroke dashstyle="solid"/>
            <w10:wrap type="topAndBottom"/>
          </v:shape>
        </w:pict>
      </w:r>
    </w:p>
    <w:p>
      <w:pPr>
        <w:spacing w:line="186" w:lineRule="exact" w:before="51"/>
        <w:ind w:left="134" w:right="0" w:firstLine="0"/>
        <w:jc w:val="left"/>
        <w:rPr>
          <w:sz w:val="16"/>
        </w:rPr>
      </w:pPr>
      <w:r>
        <w:rPr>
          <w:position w:val="6"/>
          <w:sz w:val="10"/>
        </w:rPr>
        <w:t>1 </w:t>
      </w:r>
      <w:r>
        <w:rPr>
          <w:sz w:val="16"/>
        </w:rPr>
        <w:t>Full list of current TCFD supporters available at: </w:t>
      </w:r>
      <w:hyperlink r:id="rId9">
        <w:r>
          <w:rPr>
            <w:color w:val="0000FF"/>
            <w:sz w:val="16"/>
            <w:u w:val="single" w:color="0000FF"/>
          </w:rPr>
          <w:t>https://www.fsb-tcfd.org/tcfd-supporters/.</w:t>
        </w:r>
      </w:hyperlink>
    </w:p>
    <w:p>
      <w:pPr>
        <w:spacing w:line="184" w:lineRule="exact" w:before="0"/>
        <w:ind w:left="134" w:right="0" w:firstLine="0"/>
        <w:jc w:val="left"/>
        <w:rPr>
          <w:sz w:val="16"/>
        </w:rPr>
      </w:pPr>
      <w:r>
        <w:rPr>
          <w:position w:val="6"/>
          <w:sz w:val="10"/>
        </w:rPr>
        <w:t>2 </w:t>
      </w:r>
      <w:r>
        <w:rPr>
          <w:color w:val="404040"/>
          <w:sz w:val="16"/>
        </w:rPr>
        <w:t>Climate.nasa.gov. Available at: </w:t>
      </w:r>
      <w:hyperlink r:id="rId10">
        <w:r>
          <w:rPr>
            <w:color w:val="0000FF"/>
            <w:sz w:val="16"/>
            <w:u w:val="single" w:color="0000FF"/>
          </w:rPr>
          <w:t>https://climate.nasa.gov/vital-signs/sea-level/.</w:t>
        </w:r>
      </w:hyperlink>
    </w:p>
    <w:p>
      <w:pPr>
        <w:spacing w:line="186" w:lineRule="exact" w:before="0"/>
        <w:ind w:left="134" w:right="0" w:firstLine="0"/>
        <w:jc w:val="left"/>
        <w:rPr>
          <w:sz w:val="16"/>
        </w:rPr>
      </w:pPr>
      <w:r>
        <w:rPr>
          <w:position w:val="6"/>
          <w:sz w:val="10"/>
        </w:rPr>
        <w:t>3 </w:t>
      </w:r>
      <w:r>
        <w:rPr>
          <w:sz w:val="16"/>
        </w:rPr>
        <w:t>Source: Climate Action Tracker. Data available at: </w:t>
      </w:r>
      <w:hyperlink r:id="rId11">
        <w:r>
          <w:rPr>
            <w:color w:val="0000FF"/>
            <w:sz w:val="16"/>
            <w:u w:val="single" w:color="0000FF"/>
          </w:rPr>
          <w:t>https://climateactiontracker.org/global/temperatures/.</w:t>
        </w:r>
      </w:hyperlink>
    </w:p>
    <w:p>
      <w:pPr>
        <w:spacing w:after="0" w:line="186" w:lineRule="exact"/>
        <w:jc w:val="left"/>
        <w:rPr>
          <w:sz w:val="16"/>
        </w:rPr>
        <w:sectPr>
          <w:footerReference w:type="default" r:id="rId7"/>
          <w:pgSz w:w="11910" w:h="16840"/>
          <w:pgMar w:footer="1338" w:header="0" w:top="1340" w:bottom="1520" w:left="1000" w:right="800"/>
          <w:pgNumType w:start="2"/>
        </w:sectPr>
      </w:pPr>
    </w:p>
    <w:p>
      <w:pPr>
        <w:pStyle w:val="BodyText"/>
        <w:spacing w:line="360" w:lineRule="auto" w:before="80"/>
        <w:ind w:left="134" w:right="363"/>
      </w:pPr>
      <w:r>
        <w:rPr/>
        <w:t>The transition to a low carbon economy will also bring its own risks and opportunities. Changes in climate policies, new technologies and growing physical risks will prompt reassessments of the values of virtually every financial asset. Firms that align their business models to the transition to a net zero world will be rewarded handsomely. Those that fail to adapt will cease to exist. The longer that meaningful adjustment is delayed, the greater the disruption will be.</w:t>
      </w:r>
    </w:p>
    <w:p>
      <w:pPr>
        <w:pStyle w:val="BodyText"/>
        <w:spacing w:before="8"/>
      </w:pPr>
    </w:p>
    <w:p>
      <w:pPr>
        <w:pStyle w:val="BodyText"/>
        <w:spacing w:line="360" w:lineRule="auto"/>
        <w:ind w:left="134" w:right="850"/>
      </w:pPr>
      <w:r>
        <w:rPr/>
        <w:t>Like virtually everything else in the response to climate change, the development of a more sustainable financial system is not moving fast enough for the world to reach net zero.</w:t>
      </w:r>
    </w:p>
    <w:p>
      <w:pPr>
        <w:pStyle w:val="BodyText"/>
        <w:spacing w:before="10"/>
      </w:pPr>
    </w:p>
    <w:p>
      <w:pPr>
        <w:pStyle w:val="BodyText"/>
        <w:spacing w:line="360" w:lineRule="auto" w:before="1"/>
        <w:ind w:left="134" w:right="819"/>
        <w:jc w:val="both"/>
      </w:pPr>
      <w:r>
        <w:rPr/>
        <w:t>To bring climate risks and resilience into the heart of financial decision-making, climate disclosure must become comprehensive, climate risk management must be transformed, and investing for a two-degree world must go mainstream. Today, I want to focus on how the TCFD can help achieve these goals.</w:t>
      </w:r>
    </w:p>
    <w:p>
      <w:pPr>
        <w:pStyle w:val="BodyText"/>
        <w:spacing w:before="9"/>
        <w:rPr>
          <w:sz w:val="12"/>
        </w:rPr>
      </w:pPr>
    </w:p>
    <w:p>
      <w:pPr>
        <w:pStyle w:val="Heading1"/>
      </w:pPr>
      <w:r>
        <w:rPr>
          <w:shd w:fill="FAFAFA" w:color="auto" w:val="clear"/>
        </w:rPr>
        <w:t>TCFD: progress to date</w:t>
      </w:r>
    </w:p>
    <w:p>
      <w:pPr>
        <w:pStyle w:val="BodyText"/>
        <w:spacing w:before="9"/>
        <w:rPr>
          <w:b/>
          <w:sz w:val="30"/>
        </w:rPr>
      </w:pPr>
    </w:p>
    <w:p>
      <w:pPr>
        <w:pStyle w:val="BodyText"/>
        <w:spacing w:line="360" w:lineRule="auto"/>
        <w:ind w:left="134" w:right="1118"/>
      </w:pPr>
      <w:r>
        <w:rPr/>
        <w:t>Only two years after the final TCFD recommendations were published, support has skyrocketed and conversations about climate-related financial risks have moved from the fringes to the forefront.</w:t>
      </w:r>
    </w:p>
    <w:p>
      <w:pPr>
        <w:pStyle w:val="BodyText"/>
        <w:spacing w:before="10"/>
      </w:pPr>
    </w:p>
    <w:p>
      <w:pPr>
        <w:pStyle w:val="BodyText"/>
        <w:ind w:left="134"/>
      </w:pPr>
      <w:r>
        <w:rPr/>
        <w:t>The demand for TCFD disclosure is now enormous. Current supporters control balance sheets totalling</w:t>
      </w:r>
    </w:p>
    <w:p>
      <w:pPr>
        <w:pStyle w:val="BodyText"/>
        <w:spacing w:line="355" w:lineRule="auto" w:before="115"/>
        <w:ind w:left="134" w:right="1051"/>
        <w:rPr>
          <w:sz w:val="13"/>
        </w:rPr>
      </w:pPr>
      <w:r>
        <w:rPr/>
        <w:t>$120 trillion and include the world’s top banks, asset managers, pension funds, insurers, credit rating agencies, accounting firms and shareholder advisory services.</w:t>
      </w:r>
      <w:r>
        <w:rPr>
          <w:position w:val="7"/>
          <w:sz w:val="13"/>
        </w:rPr>
        <w:t>4</w:t>
      </w:r>
    </w:p>
    <w:p>
      <w:pPr>
        <w:pStyle w:val="BodyText"/>
        <w:spacing w:before="4"/>
        <w:rPr>
          <w:sz w:val="21"/>
        </w:rPr>
      </w:pPr>
    </w:p>
    <w:p>
      <w:pPr>
        <w:pStyle w:val="BodyText"/>
        <w:spacing w:line="357" w:lineRule="auto"/>
        <w:ind w:left="134" w:right="400"/>
        <w:rPr>
          <w:sz w:val="13"/>
        </w:rPr>
      </w:pPr>
      <w:r>
        <w:rPr/>
        <w:t>The supply of disclosure is responding, with four fifths of the top 1100 global companies now disclosing climate-related financial risks in line with some of the TCFD recommendations.</w:t>
      </w:r>
      <w:r>
        <w:rPr>
          <w:position w:val="7"/>
          <w:sz w:val="13"/>
        </w:rPr>
        <w:t>5 </w:t>
      </w:r>
      <w:r>
        <w:rPr/>
        <w:t>On every recommended metric in TCFD, disclosures have been steadily increasing, rising from an average of 2.8 to 3.6 over the past three years. Three quarters of investors surveyed are now using TCFD disclosures when investing and the same percentage report a marked improvement in the quality of climate disclosures.</w:t>
      </w:r>
      <w:r>
        <w:rPr>
          <w:position w:val="7"/>
          <w:sz w:val="13"/>
        </w:rPr>
        <w:t>6</w:t>
      </w:r>
    </w:p>
    <w:p>
      <w:pPr>
        <w:pStyle w:val="BodyText"/>
        <w:spacing w:before="1"/>
        <w:rPr>
          <w:sz w:val="21"/>
        </w:rPr>
      </w:pPr>
    </w:p>
    <w:p>
      <w:pPr>
        <w:pStyle w:val="BodyText"/>
        <w:ind w:left="134"/>
      </w:pPr>
      <w:r>
        <w:rPr/>
        <w:t>Japanese TCFD supporters increased from 9 to 199 in just over a year and now have a market cap of almost</w:t>
      </w:r>
    </w:p>
    <w:p>
      <w:pPr>
        <w:pStyle w:val="BodyText"/>
        <w:spacing w:line="360" w:lineRule="auto" w:before="115"/>
        <w:ind w:left="134" w:right="1021"/>
      </w:pPr>
      <w:r>
        <w:rPr/>
        <w:t>$2 trillion. Japanese government support through the Implementation Study Group and the TCFD Consortium has catalysed action and created a blueprint for other countries in “how-to-TCFD”.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r>
        <w:rPr/>
        <w:pict>
          <v:shape style="position:absolute;margin-left:56.700001pt;margin-top:14.084288pt;width:144.050pt;height:.1pt;mso-position-horizontal-relative:page;mso-position-vertical-relative:paragraph;z-index:-251655168;mso-wrap-distance-left:0;mso-wrap-distance-right:0" coordorigin="1134,282" coordsize="2881,0" path="m1134,282l4014,282e" filled="false" stroked="true" strokeweight=".47998pt" strokecolor="#000000">
            <v:path arrowok="t"/>
            <v:stroke dashstyle="solid"/>
            <w10:wrap type="topAndBottom"/>
          </v:shape>
        </w:pict>
      </w:r>
    </w:p>
    <w:p>
      <w:pPr>
        <w:spacing w:line="186" w:lineRule="exact" w:before="51"/>
        <w:ind w:left="134" w:right="0" w:firstLine="0"/>
        <w:jc w:val="left"/>
        <w:rPr>
          <w:sz w:val="16"/>
        </w:rPr>
      </w:pPr>
      <w:r>
        <w:rPr>
          <w:position w:val="6"/>
          <w:sz w:val="10"/>
        </w:rPr>
        <w:t>4 </w:t>
      </w:r>
      <w:r>
        <w:rPr>
          <w:sz w:val="16"/>
        </w:rPr>
        <w:t>Full list of current TCFD supporters is available at: </w:t>
      </w:r>
      <w:hyperlink r:id="rId9">
        <w:r>
          <w:rPr>
            <w:color w:val="0000FF"/>
            <w:sz w:val="16"/>
            <w:u w:val="single" w:color="0000FF"/>
          </w:rPr>
          <w:t>https://www.fsb-tcfd.org/tcfd-supporters/.</w:t>
        </w:r>
      </w:hyperlink>
    </w:p>
    <w:p>
      <w:pPr>
        <w:spacing w:before="0"/>
        <w:ind w:left="134" w:right="623" w:firstLine="0"/>
        <w:jc w:val="left"/>
        <w:rPr>
          <w:sz w:val="16"/>
        </w:rPr>
      </w:pPr>
      <w:r>
        <w:rPr>
          <w:position w:val="6"/>
          <w:sz w:val="10"/>
        </w:rPr>
        <w:t>5 </w:t>
      </w:r>
      <w:r>
        <w:rPr>
          <w:sz w:val="16"/>
        </w:rPr>
        <w:t>The TCFD’s June 2019 Status Report assessed, using artificial intelligence, 1100 companies reports over three years from 2016 to 2018 inclusive. Full report available at: </w:t>
      </w:r>
      <w:hyperlink r:id="rId13">
        <w:r>
          <w:rPr>
            <w:color w:val="0000FF"/>
            <w:sz w:val="16"/>
            <w:u w:val="single" w:color="0000FF"/>
          </w:rPr>
          <w:t>https://www.fsb-tcfd.org/wp-content/uploads/2019/06/2019-TCFD-Status-Report-FINAL-</w:t>
        </w:r>
      </w:hyperlink>
      <w:r>
        <w:rPr>
          <w:color w:val="0000FF"/>
          <w:sz w:val="16"/>
        </w:rPr>
        <w:t> </w:t>
      </w:r>
      <w:hyperlink r:id="rId13">
        <w:r>
          <w:rPr>
            <w:color w:val="0000FF"/>
            <w:sz w:val="16"/>
            <w:u w:val="single" w:color="0000FF"/>
          </w:rPr>
          <w:t>053119.pdf.</w:t>
        </w:r>
      </w:hyperlink>
    </w:p>
    <w:p>
      <w:pPr>
        <w:spacing w:line="184" w:lineRule="exact" w:before="0"/>
        <w:ind w:left="134" w:right="0" w:firstLine="0"/>
        <w:jc w:val="left"/>
        <w:rPr>
          <w:sz w:val="16"/>
        </w:rPr>
      </w:pPr>
      <w:r>
        <w:rPr>
          <w:position w:val="6"/>
          <w:sz w:val="10"/>
        </w:rPr>
        <w:t>6 </w:t>
      </w:r>
      <w:r>
        <w:rPr>
          <w:sz w:val="16"/>
        </w:rPr>
        <w:t>TCFD Status Report (2019).</w:t>
      </w:r>
    </w:p>
    <w:p>
      <w:pPr>
        <w:spacing w:after="0" w:line="184" w:lineRule="exact"/>
        <w:jc w:val="left"/>
        <w:rPr>
          <w:sz w:val="16"/>
        </w:rPr>
        <w:sectPr>
          <w:footerReference w:type="default" r:id="rId12"/>
          <w:pgSz w:w="11910" w:h="16840"/>
          <w:pgMar w:footer="1338" w:header="0" w:top="1340" w:bottom="1520" w:left="1000" w:right="800"/>
          <w:pgNumType w:start="3"/>
        </w:sectPr>
      </w:pPr>
    </w:p>
    <w:p>
      <w:pPr>
        <w:pStyle w:val="Heading1"/>
        <w:spacing w:before="80"/>
        <w:jc w:val="both"/>
      </w:pPr>
      <w:r>
        <w:rPr/>
        <w:t>Chart 2: Changes in TCFD disclosures by recommendation 2016 – 2018</w:t>
      </w:r>
    </w:p>
    <w:p>
      <w:pPr>
        <w:pStyle w:val="BodyText"/>
        <w:spacing w:before="7"/>
        <w:rPr>
          <w:b/>
          <w:sz w:val="27"/>
        </w:rPr>
      </w:pPr>
      <w:r>
        <w:rPr/>
        <w:drawing>
          <wp:anchor distT="0" distB="0" distL="0" distR="0" allowOverlap="1" layoutInCell="1" locked="0" behindDoc="0" simplePos="0" relativeHeight="4">
            <wp:simplePos x="0" y="0"/>
            <wp:positionH relativeFrom="page">
              <wp:posOffset>720090</wp:posOffset>
            </wp:positionH>
            <wp:positionV relativeFrom="paragraph">
              <wp:posOffset>226453</wp:posOffset>
            </wp:positionV>
            <wp:extent cx="6260059" cy="3552444"/>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6260059" cy="3552444"/>
                    </a:xfrm>
                    <a:prstGeom prst="rect">
                      <a:avLst/>
                    </a:prstGeom>
                  </pic:spPr>
                </pic:pic>
              </a:graphicData>
            </a:graphic>
          </wp:anchor>
        </w:drawing>
      </w:r>
    </w:p>
    <w:p>
      <w:pPr>
        <w:pStyle w:val="BodyText"/>
        <w:spacing w:before="5"/>
        <w:rPr>
          <w:b/>
          <w:sz w:val="29"/>
        </w:rPr>
      </w:pPr>
    </w:p>
    <w:p>
      <w:pPr>
        <w:pStyle w:val="BodyText"/>
        <w:spacing w:line="360" w:lineRule="auto"/>
        <w:ind w:left="134" w:right="778"/>
        <w:jc w:val="both"/>
      </w:pPr>
      <w:r>
        <w:rPr/>
        <w:t>As the volume of disclosures has increased, so has their sophistication. Companies, financial firms and policymakers increasingly recognise that disclosures must go beyond the static to the strategic. Climate risks have a number of distinctive elements, which, in combination, require a strategic approach. These include their:</w:t>
      </w:r>
    </w:p>
    <w:p>
      <w:pPr>
        <w:pStyle w:val="BodyText"/>
        <w:rPr>
          <w:sz w:val="21"/>
        </w:rPr>
      </w:pPr>
    </w:p>
    <w:p>
      <w:pPr>
        <w:pStyle w:val="ListParagraph"/>
        <w:numPr>
          <w:ilvl w:val="0"/>
          <w:numId w:val="1"/>
        </w:numPr>
        <w:tabs>
          <w:tab w:pos="848" w:val="left" w:leader="none"/>
          <w:tab w:pos="849" w:val="left" w:leader="none"/>
        </w:tabs>
        <w:spacing w:line="240" w:lineRule="auto" w:before="0" w:after="0"/>
        <w:ind w:left="848" w:right="0" w:hanging="359"/>
        <w:jc w:val="left"/>
        <w:rPr>
          <w:sz w:val="20"/>
        </w:rPr>
      </w:pPr>
      <w:r>
        <w:rPr>
          <w:sz w:val="20"/>
        </w:rPr>
        <w:t>Breadth, as climate risks affect multiple lines of business, sectors and</w:t>
      </w:r>
      <w:r>
        <w:rPr>
          <w:spacing w:val="-6"/>
          <w:sz w:val="20"/>
        </w:rPr>
        <w:t> </w:t>
      </w:r>
      <w:r>
        <w:rPr>
          <w:sz w:val="20"/>
        </w:rPr>
        <w:t>geographies;</w:t>
      </w:r>
    </w:p>
    <w:p>
      <w:pPr>
        <w:pStyle w:val="ListParagraph"/>
        <w:numPr>
          <w:ilvl w:val="0"/>
          <w:numId w:val="1"/>
        </w:numPr>
        <w:tabs>
          <w:tab w:pos="848" w:val="left" w:leader="none"/>
          <w:tab w:pos="849" w:val="left" w:leader="none"/>
        </w:tabs>
        <w:spacing w:line="240" w:lineRule="auto" w:before="114" w:after="0"/>
        <w:ind w:left="848" w:right="0" w:hanging="359"/>
        <w:jc w:val="left"/>
        <w:rPr>
          <w:sz w:val="20"/>
        </w:rPr>
      </w:pPr>
      <w:r>
        <w:rPr>
          <w:sz w:val="20"/>
        </w:rPr>
        <w:t>Magnitude, as the full impacts of climate risks are large, potentially non-linear and</w:t>
      </w:r>
      <w:r>
        <w:rPr>
          <w:spacing w:val="-9"/>
          <w:sz w:val="20"/>
        </w:rPr>
        <w:t> </w:t>
      </w:r>
      <w:r>
        <w:rPr>
          <w:sz w:val="20"/>
        </w:rPr>
        <w:t>irreversible;</w:t>
      </w:r>
    </w:p>
    <w:p>
      <w:pPr>
        <w:pStyle w:val="ListParagraph"/>
        <w:numPr>
          <w:ilvl w:val="0"/>
          <w:numId w:val="1"/>
        </w:numPr>
        <w:tabs>
          <w:tab w:pos="848" w:val="left" w:leader="none"/>
          <w:tab w:pos="849" w:val="left" w:leader="none"/>
        </w:tabs>
        <w:spacing w:line="240" w:lineRule="auto" w:before="114" w:after="0"/>
        <w:ind w:left="848" w:right="0" w:hanging="359"/>
        <w:jc w:val="left"/>
        <w:rPr>
          <w:sz w:val="20"/>
        </w:rPr>
      </w:pPr>
      <w:r>
        <w:rPr>
          <w:sz w:val="20"/>
        </w:rPr>
        <w:t>Foreseeable nature;</w:t>
      </w:r>
    </w:p>
    <w:p>
      <w:pPr>
        <w:pStyle w:val="ListParagraph"/>
        <w:numPr>
          <w:ilvl w:val="0"/>
          <w:numId w:val="1"/>
        </w:numPr>
        <w:tabs>
          <w:tab w:pos="848" w:val="left" w:leader="none"/>
          <w:tab w:pos="849" w:val="left" w:leader="none"/>
        </w:tabs>
        <w:spacing w:line="350" w:lineRule="auto" w:before="112" w:after="0"/>
        <w:ind w:left="848" w:right="963" w:hanging="358"/>
        <w:jc w:val="left"/>
        <w:rPr>
          <w:sz w:val="20"/>
        </w:rPr>
      </w:pPr>
      <w:r>
        <w:rPr>
          <w:sz w:val="20"/>
        </w:rPr>
        <w:t>Dependency on short-term actions given that the size of future impacts will, at least in part, be determined by the actions taken today;</w:t>
      </w:r>
      <w:r>
        <w:rPr>
          <w:spacing w:val="-6"/>
          <w:sz w:val="20"/>
        </w:rPr>
        <w:t> </w:t>
      </w:r>
      <w:r>
        <w:rPr>
          <w:sz w:val="20"/>
        </w:rPr>
        <w:t>and</w:t>
      </w:r>
    </w:p>
    <w:p>
      <w:pPr>
        <w:pStyle w:val="ListParagraph"/>
        <w:numPr>
          <w:ilvl w:val="0"/>
          <w:numId w:val="1"/>
        </w:numPr>
        <w:tabs>
          <w:tab w:pos="848" w:val="left" w:leader="none"/>
          <w:tab w:pos="849" w:val="left" w:leader="none"/>
        </w:tabs>
        <w:spacing w:line="240" w:lineRule="auto" w:before="11" w:after="0"/>
        <w:ind w:left="848" w:right="0" w:hanging="359"/>
        <w:jc w:val="left"/>
        <w:rPr>
          <w:sz w:val="20"/>
        </w:rPr>
      </w:pPr>
      <w:r>
        <w:rPr>
          <w:sz w:val="20"/>
        </w:rPr>
        <w:t>Uncertain time horizon, which may stretch beyond traditional business planning</w:t>
      </w:r>
      <w:r>
        <w:rPr>
          <w:spacing w:val="-5"/>
          <w:sz w:val="20"/>
        </w:rPr>
        <w:t> </w:t>
      </w:r>
      <w:r>
        <w:rPr>
          <w:sz w:val="20"/>
        </w:rPr>
        <w:t>cycles.</w:t>
      </w:r>
    </w:p>
    <w:p>
      <w:pPr>
        <w:pStyle w:val="BodyText"/>
        <w:spacing w:before="7"/>
        <w:rPr>
          <w:sz w:val="30"/>
        </w:rPr>
      </w:pPr>
    </w:p>
    <w:p>
      <w:pPr>
        <w:pStyle w:val="BodyText"/>
        <w:spacing w:line="360" w:lineRule="auto"/>
        <w:ind w:left="134" w:right="584"/>
      </w:pPr>
      <w:r>
        <w:rPr/>
        <w:t>The nature of these risks means that the biggest challenge in climate risk management is in assessing the resilience of firms’ strategies to transition risks.</w:t>
      </w:r>
    </w:p>
    <w:p>
      <w:pPr>
        <w:pStyle w:val="BodyText"/>
        <w:spacing w:before="10"/>
      </w:pPr>
    </w:p>
    <w:p>
      <w:pPr>
        <w:pStyle w:val="BodyText"/>
        <w:spacing w:line="360" w:lineRule="auto"/>
        <w:ind w:left="134" w:right="506"/>
      </w:pPr>
      <w:r>
        <w:rPr/>
        <w:t>Markets need information to assess which companies can seize the opportunities in a low carbon economy and which are strategically resilient to the physical and transition risks associated with climate change.</w:t>
      </w:r>
    </w:p>
    <w:p>
      <w:pPr>
        <w:pStyle w:val="BodyText"/>
        <w:spacing w:before="10"/>
      </w:pPr>
    </w:p>
    <w:p>
      <w:pPr>
        <w:pStyle w:val="BodyText"/>
        <w:spacing w:line="360" w:lineRule="auto"/>
        <w:ind w:left="134" w:right="506"/>
      </w:pPr>
      <w:r>
        <w:rPr/>
        <w:t>The good news is that half the companies surveyed by the TCFD are using scenario analysis to assess the resilience of their strategies. Financial firms are at the forefront of these assessments.</w:t>
      </w:r>
    </w:p>
    <w:p>
      <w:pPr>
        <w:spacing w:after="0" w:line="360" w:lineRule="auto"/>
        <w:sectPr>
          <w:pgSz w:w="11910" w:h="16840"/>
          <w:pgMar w:header="0" w:footer="1338" w:top="1340" w:bottom="1520" w:left="1000" w:right="800"/>
        </w:sectPr>
      </w:pPr>
    </w:p>
    <w:p>
      <w:pPr>
        <w:pStyle w:val="BodyText"/>
        <w:spacing w:line="357" w:lineRule="auto" w:before="79"/>
        <w:ind w:left="134" w:right="651"/>
        <w:rPr>
          <w:sz w:val="13"/>
        </w:rPr>
      </w:pPr>
      <w:r>
        <w:rPr/>
        <w:t>The Bank’s supervisory body - the Prudential Regulation Authority (PRA) – surveyed banks in the UK last year and found that almost three quarters are starting to treat the risks from climate change like other financial risks – rather than viewing them simply as a corporate social responsibility issue.</w:t>
      </w:r>
      <w:r>
        <w:rPr>
          <w:position w:val="7"/>
          <w:sz w:val="13"/>
        </w:rPr>
        <w:t>7</w:t>
      </w:r>
    </w:p>
    <w:p>
      <w:pPr>
        <w:pStyle w:val="BodyText"/>
        <w:rPr>
          <w:sz w:val="21"/>
        </w:rPr>
      </w:pPr>
    </w:p>
    <w:p>
      <w:pPr>
        <w:pStyle w:val="BodyText"/>
        <w:spacing w:line="360" w:lineRule="auto"/>
        <w:ind w:left="134" w:right="363"/>
      </w:pPr>
      <w:r>
        <w:rPr/>
        <w:t>Banks have begun considering the most immediate physical risks to their business models – from the exposure of mortgage books to flood risk and the impact of extreme weather events on sovereign risk. And banks have started to assess exposures to transition risks in anticipation of climate action. This includes exposures to carbon-intensive sectors, consumer loans secured on diesel vehicles, and buy-to-let lending given new energy efficiency requirements.</w:t>
      </w:r>
    </w:p>
    <w:p>
      <w:pPr>
        <w:pStyle w:val="BodyText"/>
        <w:rPr>
          <w:sz w:val="21"/>
        </w:rPr>
      </w:pPr>
    </w:p>
    <w:p>
      <w:pPr>
        <w:pStyle w:val="BodyText"/>
        <w:spacing w:line="357" w:lineRule="auto"/>
        <w:ind w:left="134" w:right="363"/>
        <w:rPr>
          <w:sz w:val="13"/>
        </w:rPr>
      </w:pPr>
      <w:r>
        <w:rPr/>
        <w:t>To embed essential climate risk management skills recommended by the TCFD in financial decision-making, the Bank of England has set out its supervisory expectations for institutions in the world’s leading international financial centre with respect to:</w:t>
      </w:r>
      <w:r>
        <w:rPr>
          <w:position w:val="7"/>
          <w:sz w:val="13"/>
        </w:rPr>
        <w:t>8</w:t>
      </w:r>
    </w:p>
    <w:p>
      <w:pPr>
        <w:pStyle w:val="BodyText"/>
        <w:spacing w:before="1"/>
        <w:rPr>
          <w:sz w:val="21"/>
        </w:rPr>
      </w:pPr>
    </w:p>
    <w:p>
      <w:pPr>
        <w:pStyle w:val="ListParagraph"/>
        <w:numPr>
          <w:ilvl w:val="0"/>
          <w:numId w:val="1"/>
        </w:numPr>
        <w:tabs>
          <w:tab w:pos="854" w:val="left" w:leader="none"/>
          <w:tab w:pos="855" w:val="left" w:leader="none"/>
        </w:tabs>
        <w:spacing w:line="355" w:lineRule="auto" w:before="0" w:after="0"/>
        <w:ind w:left="854" w:right="744" w:hanging="361"/>
        <w:jc w:val="left"/>
        <w:rPr>
          <w:sz w:val="20"/>
        </w:rPr>
      </w:pPr>
      <w:r>
        <w:rPr>
          <w:sz w:val="20"/>
          <w:u w:val="single"/>
        </w:rPr>
        <w:t>Governance</w:t>
      </w:r>
      <w:r>
        <w:rPr>
          <w:sz w:val="20"/>
        </w:rPr>
        <w:t>, where firms will be expected to embed fully the consideration of climate risks into governance frameworks, including at board level, and assign responsibility for oversight of these risks to specific senior role</w:t>
      </w:r>
      <w:r>
        <w:rPr>
          <w:spacing w:val="-6"/>
          <w:sz w:val="20"/>
        </w:rPr>
        <w:t> </w:t>
      </w:r>
      <w:r>
        <w:rPr>
          <w:sz w:val="20"/>
        </w:rPr>
        <w:t>holders;</w:t>
      </w:r>
    </w:p>
    <w:p>
      <w:pPr>
        <w:pStyle w:val="ListParagraph"/>
        <w:numPr>
          <w:ilvl w:val="0"/>
          <w:numId w:val="1"/>
        </w:numPr>
        <w:tabs>
          <w:tab w:pos="854" w:val="left" w:leader="none"/>
          <w:tab w:pos="855" w:val="left" w:leader="none"/>
        </w:tabs>
        <w:spacing w:line="350" w:lineRule="auto" w:before="6" w:after="0"/>
        <w:ind w:left="854" w:right="1155" w:hanging="361"/>
        <w:jc w:val="left"/>
        <w:rPr>
          <w:sz w:val="20"/>
        </w:rPr>
      </w:pPr>
      <w:r>
        <w:rPr>
          <w:sz w:val="20"/>
          <w:u w:val="single"/>
        </w:rPr>
        <w:t>Risk management</w:t>
      </w:r>
      <w:r>
        <w:rPr>
          <w:sz w:val="20"/>
        </w:rPr>
        <w:t>, where firms will need to consider climate change in line with their board- approved risk</w:t>
      </w:r>
      <w:r>
        <w:rPr>
          <w:spacing w:val="-2"/>
          <w:sz w:val="20"/>
        </w:rPr>
        <w:t> </w:t>
      </w:r>
      <w:r>
        <w:rPr>
          <w:sz w:val="20"/>
        </w:rPr>
        <w:t>appetite;</w:t>
      </w:r>
    </w:p>
    <w:p>
      <w:pPr>
        <w:pStyle w:val="ListParagraph"/>
        <w:numPr>
          <w:ilvl w:val="0"/>
          <w:numId w:val="1"/>
        </w:numPr>
        <w:tabs>
          <w:tab w:pos="854" w:val="left" w:leader="none"/>
          <w:tab w:pos="855" w:val="left" w:leader="none"/>
        </w:tabs>
        <w:spacing w:line="240" w:lineRule="auto" w:before="9" w:after="0"/>
        <w:ind w:left="854" w:right="0" w:hanging="361"/>
        <w:jc w:val="left"/>
        <w:rPr>
          <w:sz w:val="20"/>
        </w:rPr>
      </w:pPr>
      <w:r>
        <w:rPr>
          <w:sz w:val="20"/>
        </w:rPr>
        <w:t>The regular use of </w:t>
      </w:r>
      <w:r>
        <w:rPr>
          <w:sz w:val="20"/>
          <w:u w:val="single"/>
        </w:rPr>
        <w:t>scenario analysis</w:t>
      </w:r>
      <w:r>
        <w:rPr>
          <w:sz w:val="20"/>
        </w:rPr>
        <w:t> to test strategic resilience;</w:t>
      </w:r>
      <w:r>
        <w:rPr>
          <w:spacing w:val="-5"/>
          <w:sz w:val="20"/>
        </w:rPr>
        <w:t> </w:t>
      </w:r>
      <w:r>
        <w:rPr>
          <w:sz w:val="20"/>
        </w:rPr>
        <w:t>and</w:t>
      </w:r>
    </w:p>
    <w:p>
      <w:pPr>
        <w:pStyle w:val="ListParagraph"/>
        <w:numPr>
          <w:ilvl w:val="0"/>
          <w:numId w:val="1"/>
        </w:numPr>
        <w:tabs>
          <w:tab w:pos="854" w:val="left" w:leader="none"/>
          <w:tab w:pos="855" w:val="left" w:leader="none"/>
        </w:tabs>
        <w:spacing w:line="240" w:lineRule="auto" w:before="114" w:after="0"/>
        <w:ind w:left="854" w:right="0" w:hanging="361"/>
        <w:jc w:val="left"/>
        <w:rPr>
          <w:sz w:val="20"/>
        </w:rPr>
      </w:pPr>
      <w:r>
        <w:rPr>
          <w:sz w:val="20"/>
        </w:rPr>
        <w:t>Developing and maintaining an appropriate </w:t>
      </w:r>
      <w:r>
        <w:rPr>
          <w:sz w:val="20"/>
          <w:u w:val="single"/>
        </w:rPr>
        <w:t>disclosure</w:t>
      </w:r>
      <w:r>
        <w:rPr>
          <w:sz w:val="20"/>
        </w:rPr>
        <w:t> of climate</w:t>
      </w:r>
      <w:r>
        <w:rPr>
          <w:spacing w:val="-3"/>
          <w:sz w:val="20"/>
        </w:rPr>
        <w:t> </w:t>
      </w:r>
      <w:r>
        <w:rPr>
          <w:sz w:val="20"/>
        </w:rPr>
        <w:t>risks.</w:t>
      </w:r>
    </w:p>
    <w:p>
      <w:pPr>
        <w:pStyle w:val="BodyText"/>
        <w:spacing w:before="5"/>
        <w:rPr>
          <w:sz w:val="22"/>
        </w:rPr>
      </w:pPr>
    </w:p>
    <w:p>
      <w:pPr>
        <w:pStyle w:val="BodyText"/>
        <w:spacing w:line="360" w:lineRule="auto" w:before="94"/>
        <w:ind w:left="134" w:right="327"/>
      </w:pPr>
      <w:r>
        <w:rPr/>
        <w:t>Recognising the need for industry to build capacity and develop best practices, the PRA has also established a Climate Financial Risk Forum, jointly with the FCA, to work with firms from across the financial system.</w:t>
      </w:r>
    </w:p>
    <w:p>
      <w:pPr>
        <w:pStyle w:val="BodyText"/>
        <w:spacing w:before="9"/>
        <w:rPr>
          <w:sz w:val="12"/>
        </w:rPr>
      </w:pPr>
    </w:p>
    <w:p>
      <w:pPr>
        <w:pStyle w:val="Heading1"/>
      </w:pPr>
      <w:r>
        <w:rPr>
          <w:shd w:fill="FAFAFA" w:color="auto" w:val="clear"/>
        </w:rPr>
        <w:t>TCFD: The path ahead</w:t>
      </w:r>
    </w:p>
    <w:p>
      <w:pPr>
        <w:pStyle w:val="BodyText"/>
        <w:spacing w:before="8"/>
        <w:rPr>
          <w:b/>
          <w:sz w:val="22"/>
        </w:rPr>
      </w:pPr>
    </w:p>
    <w:p>
      <w:pPr>
        <w:pStyle w:val="BodyText"/>
        <w:spacing w:line="360" w:lineRule="auto" w:before="94"/>
        <w:ind w:left="134" w:right="595"/>
      </w:pPr>
      <w:r>
        <w:rPr>
          <w:shd w:fill="FAFAFA" w:color="auto" w:val="clear"/>
        </w:rPr>
        <w:t>Although the private sector has made rapid progress on reporting and risk management, more is required.</w:t>
      </w:r>
      <w:r>
        <w:rPr/>
        <w:t> </w:t>
      </w:r>
      <w:r>
        <w:rPr>
          <w:shd w:fill="FAFAFA" w:color="auto" w:val="clear"/>
        </w:rPr>
        <w:t>Over the next few years, companies, their banks, insurers and investors must:</w:t>
      </w:r>
    </w:p>
    <w:p>
      <w:pPr>
        <w:pStyle w:val="BodyText"/>
        <w:spacing w:before="8"/>
        <w:rPr>
          <w:sz w:val="12"/>
        </w:rPr>
      </w:pPr>
    </w:p>
    <w:p>
      <w:pPr>
        <w:pStyle w:val="ListParagraph"/>
        <w:numPr>
          <w:ilvl w:val="0"/>
          <w:numId w:val="2"/>
        </w:numPr>
        <w:tabs>
          <w:tab w:pos="849" w:val="left" w:leader="none"/>
        </w:tabs>
        <w:spacing w:line="240" w:lineRule="auto" w:before="94" w:after="0"/>
        <w:ind w:left="848" w:right="0" w:hanging="359"/>
        <w:jc w:val="left"/>
        <w:rPr>
          <w:sz w:val="20"/>
        </w:rPr>
      </w:pPr>
      <w:r>
        <w:rPr>
          <w:sz w:val="20"/>
          <w:shd w:fill="FAFAFA" w:color="auto" w:val="clear"/>
        </w:rPr>
        <w:t>Increase the quantity and quality of</w:t>
      </w:r>
      <w:r>
        <w:rPr>
          <w:spacing w:val="-8"/>
          <w:sz w:val="20"/>
          <w:shd w:fill="FAFAFA" w:color="auto" w:val="clear"/>
        </w:rPr>
        <w:t> </w:t>
      </w:r>
      <w:r>
        <w:rPr>
          <w:sz w:val="20"/>
          <w:shd w:fill="FAFAFA" w:color="auto" w:val="clear"/>
        </w:rPr>
        <w:t>disclosures;</w:t>
      </w:r>
    </w:p>
    <w:p>
      <w:pPr>
        <w:pStyle w:val="ListParagraph"/>
        <w:numPr>
          <w:ilvl w:val="0"/>
          <w:numId w:val="2"/>
        </w:numPr>
        <w:tabs>
          <w:tab w:pos="849" w:val="left" w:leader="none"/>
        </w:tabs>
        <w:spacing w:line="240" w:lineRule="auto" w:before="114" w:after="0"/>
        <w:ind w:left="848" w:right="0" w:hanging="359"/>
        <w:jc w:val="left"/>
        <w:rPr>
          <w:sz w:val="20"/>
        </w:rPr>
      </w:pPr>
      <w:r>
        <w:rPr>
          <w:sz w:val="20"/>
          <w:shd w:fill="FAFAFA" w:color="auto" w:val="clear"/>
        </w:rPr>
        <w:t>Refine disclosure metrics to determine which ones are most</w:t>
      </w:r>
      <w:r>
        <w:rPr>
          <w:spacing w:val="-4"/>
          <w:sz w:val="20"/>
          <w:shd w:fill="FAFAFA" w:color="auto" w:val="clear"/>
        </w:rPr>
        <w:t> </w:t>
      </w:r>
      <w:r>
        <w:rPr>
          <w:sz w:val="20"/>
          <w:shd w:fill="FAFAFA" w:color="auto" w:val="clear"/>
        </w:rPr>
        <w:t>decision-useful;</w:t>
      </w:r>
    </w:p>
    <w:p>
      <w:pPr>
        <w:pStyle w:val="ListParagraph"/>
        <w:numPr>
          <w:ilvl w:val="0"/>
          <w:numId w:val="2"/>
        </w:numPr>
        <w:tabs>
          <w:tab w:pos="849" w:val="left" w:leader="none"/>
        </w:tabs>
        <w:spacing w:line="240" w:lineRule="auto" w:before="116" w:after="0"/>
        <w:ind w:left="848" w:right="0" w:hanging="359"/>
        <w:jc w:val="left"/>
        <w:rPr>
          <w:sz w:val="20"/>
        </w:rPr>
      </w:pPr>
      <w:r>
        <w:rPr>
          <w:sz w:val="20"/>
          <w:shd w:fill="FAFAFA" w:color="auto" w:val="clear"/>
        </w:rPr>
        <w:t>Spread knowledge on how to assess strategic resilience;</w:t>
      </w:r>
      <w:r>
        <w:rPr>
          <w:spacing w:val="-3"/>
          <w:sz w:val="20"/>
          <w:shd w:fill="FAFAFA" w:color="auto" w:val="clear"/>
        </w:rPr>
        <w:t> </w:t>
      </w:r>
      <w:r>
        <w:rPr>
          <w:sz w:val="20"/>
          <w:shd w:fill="FAFAFA" w:color="auto" w:val="clear"/>
        </w:rPr>
        <w:t>and</w:t>
      </w:r>
    </w:p>
    <w:p>
      <w:pPr>
        <w:pStyle w:val="ListParagraph"/>
        <w:numPr>
          <w:ilvl w:val="0"/>
          <w:numId w:val="2"/>
        </w:numPr>
        <w:tabs>
          <w:tab w:pos="855" w:val="left" w:leader="none"/>
        </w:tabs>
        <w:spacing w:line="240" w:lineRule="auto" w:before="114" w:after="0"/>
        <w:ind w:left="854" w:right="0" w:hanging="361"/>
        <w:jc w:val="left"/>
        <w:rPr>
          <w:sz w:val="20"/>
        </w:rPr>
      </w:pPr>
      <w:r>
        <w:rPr>
          <w:sz w:val="20"/>
          <w:shd w:fill="FAFAFA" w:color="auto" w:val="clear"/>
        </w:rPr>
        <w:t>Consider how to disclose the extent to which portfolios are ready for the transition to net</w:t>
      </w:r>
      <w:r>
        <w:rPr>
          <w:spacing w:val="-9"/>
          <w:sz w:val="20"/>
          <w:shd w:fill="FAFAFA" w:color="auto" w:val="clear"/>
        </w:rPr>
        <w:t> </w:t>
      </w:r>
      <w:r>
        <w:rPr>
          <w:sz w:val="20"/>
          <w:shd w:fill="FAFAFA" w:color="auto" w:val="clear"/>
        </w:rPr>
        <w:t>zero.</w:t>
      </w:r>
    </w:p>
    <w:p>
      <w:pPr>
        <w:pStyle w:val="BodyText"/>
        <w:spacing w:before="9"/>
        <w:rPr>
          <w:sz w:val="22"/>
        </w:rPr>
      </w:pPr>
    </w:p>
    <w:p>
      <w:pPr>
        <w:pStyle w:val="BodyText"/>
        <w:spacing w:before="94"/>
        <w:ind w:left="134"/>
      </w:pPr>
      <w:r>
        <w:rPr>
          <w:shd w:fill="FAFAFA" w:color="auto" w:val="clear"/>
        </w:rPr>
        <w:t>Let me explain briefly what this means for the TCFD.</w:t>
      </w:r>
    </w:p>
    <w:p>
      <w:pPr>
        <w:pStyle w:val="BodyText"/>
      </w:pPr>
    </w:p>
    <w:p>
      <w:pPr>
        <w:pStyle w:val="BodyText"/>
      </w:pPr>
    </w:p>
    <w:p>
      <w:pPr>
        <w:pStyle w:val="BodyText"/>
      </w:pPr>
    </w:p>
    <w:p>
      <w:pPr>
        <w:pStyle w:val="BodyText"/>
      </w:pPr>
    </w:p>
    <w:p>
      <w:pPr>
        <w:pStyle w:val="BodyText"/>
        <w:spacing w:before="2"/>
        <w:rPr>
          <w:sz w:val="21"/>
        </w:rPr>
      </w:pPr>
      <w:r>
        <w:rPr/>
        <w:pict>
          <v:shape style="position:absolute;margin-left:56.700001pt;margin-top:14.38457pt;width:144.050pt;height:.1pt;mso-position-horizontal-relative:page;mso-position-vertical-relative:paragraph;z-index:-251653120;mso-wrap-distance-left:0;mso-wrap-distance-right:0" coordorigin="1134,288" coordsize="2881,0" path="m1134,288l4014,288e" filled="false" stroked="true" strokeweight=".47998pt" strokecolor="#000000">
            <v:path arrowok="t"/>
            <v:stroke dashstyle="solid"/>
            <w10:wrap type="topAndBottom"/>
          </v:shape>
        </w:pict>
      </w:r>
    </w:p>
    <w:p>
      <w:pPr>
        <w:spacing w:line="188" w:lineRule="exact" w:before="51"/>
        <w:ind w:left="134" w:right="0" w:firstLine="0"/>
        <w:jc w:val="left"/>
        <w:rPr>
          <w:sz w:val="16"/>
        </w:rPr>
      </w:pPr>
      <w:r>
        <w:rPr>
          <w:position w:val="6"/>
          <w:sz w:val="10"/>
        </w:rPr>
        <w:t>7 </w:t>
      </w:r>
      <w:r>
        <w:rPr>
          <w:sz w:val="16"/>
        </w:rPr>
        <w:t>Prudential Regulation Authority report on the impact of climate change on the UK banking sector: </w:t>
      </w:r>
      <w:hyperlink r:id="rId15">
        <w:r>
          <w:rPr>
            <w:color w:val="0000FF"/>
            <w:sz w:val="16"/>
            <w:u w:val="single" w:color="0000FF"/>
          </w:rPr>
          <w:t>https://www.bankofengland.co.uk/-</w:t>
        </w:r>
      </w:hyperlink>
    </w:p>
    <w:p>
      <w:pPr>
        <w:spacing w:line="237" w:lineRule="auto" w:before="1"/>
        <w:ind w:left="134" w:right="1530" w:firstLine="0"/>
        <w:jc w:val="left"/>
        <w:rPr>
          <w:sz w:val="16"/>
        </w:rPr>
      </w:pPr>
      <w:hyperlink r:id="rId15">
        <w:r>
          <w:rPr>
            <w:color w:val="0000FF"/>
            <w:w w:val="95"/>
            <w:sz w:val="16"/>
            <w:u w:val="single" w:color="0000FF"/>
          </w:rPr>
          <w:t>/media/boe/files/prudential-regulation/report/transition-in-thinking-the-impact-of-climate-change-on-the-uk-banking-sector.pdf</w:t>
        </w:r>
        <w:r>
          <w:rPr>
            <w:w w:val="95"/>
            <w:sz w:val="16"/>
          </w:rPr>
          <w:t>.</w:t>
        </w:r>
      </w:hyperlink>
      <w:r>
        <w:rPr>
          <w:w w:val="95"/>
          <w:sz w:val="16"/>
        </w:rPr>
        <w:t>          </w:t>
      </w:r>
      <w:r>
        <w:rPr>
          <w:position w:val="6"/>
          <w:sz w:val="10"/>
        </w:rPr>
        <w:t>8 </w:t>
      </w:r>
      <w:r>
        <w:rPr>
          <w:sz w:val="16"/>
        </w:rPr>
        <w:t>Available at: </w:t>
      </w:r>
      <w:hyperlink r:id="rId16">
        <w:r>
          <w:rPr>
            <w:color w:val="0000FF"/>
            <w:sz w:val="16"/>
            <w:u w:val="single" w:color="0000FF"/>
          </w:rPr>
          <w:t>https://www.bankofengland.co.uk/-/media/boe/files/prudential-</w:t>
        </w:r>
      </w:hyperlink>
      <w:r>
        <w:rPr>
          <w:color w:val="0000FF"/>
          <w:sz w:val="16"/>
        </w:rPr>
        <w:t> </w:t>
      </w:r>
      <w:hyperlink r:id="rId16">
        <w:r>
          <w:rPr>
            <w:color w:val="0000FF"/>
            <w:sz w:val="16"/>
            <w:u w:val="single" w:color="0000FF"/>
          </w:rPr>
          <w:t>regulation/supervisorystatement/2019/ss319.pdf?la=en&amp;hash=7BA9824BAC5FB313F42C00889D4E3A6104881C44</w:t>
        </w:r>
        <w:r>
          <w:rPr>
            <w:sz w:val="16"/>
          </w:rPr>
          <w:t>.</w:t>
        </w:r>
      </w:hyperlink>
    </w:p>
    <w:p>
      <w:pPr>
        <w:spacing w:after="0" w:line="237" w:lineRule="auto"/>
        <w:jc w:val="left"/>
        <w:rPr>
          <w:sz w:val="16"/>
        </w:rPr>
        <w:sectPr>
          <w:pgSz w:w="11910" w:h="16840"/>
          <w:pgMar w:header="0" w:footer="1338" w:top="1340" w:bottom="1520" w:left="1000" w:right="800"/>
        </w:sectPr>
      </w:pPr>
    </w:p>
    <w:p>
      <w:pPr>
        <w:pStyle w:val="Heading1"/>
        <w:spacing w:before="80"/>
      </w:pPr>
      <w:r>
        <w:rPr>
          <w:shd w:fill="FAFAFA" w:color="auto" w:val="clear"/>
        </w:rPr>
        <w:t>First, we must work to increase the quantity and quality of disclosures by sharing best practice.</w:t>
      </w:r>
    </w:p>
    <w:p>
      <w:pPr>
        <w:pStyle w:val="BodyText"/>
        <w:spacing w:before="8"/>
        <w:rPr>
          <w:b/>
          <w:sz w:val="30"/>
        </w:rPr>
      </w:pPr>
    </w:p>
    <w:p>
      <w:pPr>
        <w:pStyle w:val="BodyText"/>
        <w:spacing w:line="355" w:lineRule="auto"/>
        <w:ind w:left="134" w:right="762"/>
        <w:rPr>
          <w:sz w:val="13"/>
        </w:rPr>
      </w:pPr>
      <w:r>
        <w:rPr/>
        <w:t>Despite the increasing number of TCFD supporters, only a quarter of the companies surveyed disclosed information aligned with a fuller set – that is six or more – of the TCFD’s recommended disclosures.</w:t>
      </w:r>
      <w:r>
        <w:rPr>
          <w:position w:val="7"/>
          <w:sz w:val="13"/>
        </w:rPr>
        <w:t>9</w:t>
      </w:r>
    </w:p>
    <w:p>
      <w:pPr>
        <w:pStyle w:val="BodyText"/>
        <w:spacing w:before="4"/>
        <w:rPr>
          <w:sz w:val="21"/>
        </w:rPr>
      </w:pPr>
    </w:p>
    <w:p>
      <w:pPr>
        <w:pStyle w:val="BodyText"/>
        <w:spacing w:line="360" w:lineRule="auto"/>
        <w:ind w:left="134" w:right="351"/>
      </w:pPr>
      <w:r>
        <w:rPr/>
        <w:t>Three quarters of users of climate disclosures said that more information is needed on the financial impact of climate risks and the strategic resilience of firms.</w:t>
      </w:r>
    </w:p>
    <w:p>
      <w:pPr>
        <w:pStyle w:val="BodyText"/>
        <w:spacing w:before="8"/>
        <w:rPr>
          <w:sz w:val="12"/>
        </w:rPr>
      </w:pPr>
    </w:p>
    <w:p>
      <w:pPr>
        <w:pStyle w:val="BodyText"/>
        <w:spacing w:line="360" w:lineRule="auto" w:before="94"/>
        <w:ind w:left="134" w:right="639"/>
      </w:pPr>
      <w:r>
        <w:rPr>
          <w:shd w:fill="FAFAFA" w:color="auto" w:val="clear"/>
        </w:rPr>
        <w:t>Progress in both quantity and quality is uneven across sectors. While in 2017 the non-financial sectors</w:t>
      </w:r>
      <w:r>
        <w:rPr/>
        <w:t> (energy, transport, building and agriculture)</w:t>
      </w:r>
      <w:r>
        <w:rPr>
          <w:shd w:fill="FAFAFA" w:color="auto" w:val="clear"/>
        </w:rPr>
        <w:t> led the way, banking is now the most advanced sector in</w:t>
      </w:r>
      <w:r>
        <w:rPr/>
        <w:t> </w:t>
      </w:r>
      <w:r>
        <w:rPr>
          <w:shd w:fill="FAFAFA" w:color="auto" w:val="clear"/>
        </w:rPr>
        <w:t>disclosing information.</w:t>
      </w:r>
    </w:p>
    <w:p>
      <w:pPr>
        <w:pStyle w:val="BodyText"/>
        <w:spacing w:before="10"/>
        <w:rPr>
          <w:sz w:val="12"/>
        </w:rPr>
      </w:pPr>
    </w:p>
    <w:p>
      <w:pPr>
        <w:pStyle w:val="Heading1"/>
      </w:pPr>
      <w:r>
        <w:rPr>
          <w:shd w:fill="FAFAFA" w:color="auto" w:val="clear"/>
        </w:rPr>
        <w:t>Chart 3: Rates of disclosure against each of the TCFD recommendations by industry</w:t>
      </w:r>
    </w:p>
    <w:p>
      <w:pPr>
        <w:pStyle w:val="BodyText"/>
        <w:rPr>
          <w:b/>
        </w:rPr>
      </w:pPr>
    </w:p>
    <w:p>
      <w:pPr>
        <w:pStyle w:val="BodyText"/>
        <w:spacing w:before="11"/>
        <w:rPr>
          <w:b/>
          <w:sz w:val="10"/>
        </w:rPr>
      </w:pPr>
    </w:p>
    <w:tbl>
      <w:tblPr>
        <w:tblW w:w="0" w:type="auto"/>
        <w:jc w:val="left"/>
        <w:tblInd w:w="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531"/>
        <w:gridCol w:w="733"/>
        <w:gridCol w:w="734"/>
        <w:gridCol w:w="733"/>
        <w:gridCol w:w="731"/>
        <w:gridCol w:w="734"/>
        <w:gridCol w:w="732"/>
        <w:gridCol w:w="733"/>
        <w:gridCol w:w="732"/>
      </w:tblGrid>
      <w:tr>
        <w:trPr>
          <w:trHeight w:val="309" w:hRule="atLeast"/>
        </w:trPr>
        <w:tc>
          <w:tcPr>
            <w:tcW w:w="989" w:type="dxa"/>
            <w:tcBorders>
              <w:top w:val="single" w:sz="2" w:space="0" w:color="D3D3D3"/>
              <w:left w:val="single" w:sz="2" w:space="0" w:color="D3D3D3"/>
              <w:bottom w:val="single" w:sz="4" w:space="0" w:color="9BC2E6"/>
              <w:right w:val="single" w:sz="2" w:space="0" w:color="D3D3D3"/>
            </w:tcBorders>
          </w:tcPr>
          <w:p>
            <w:pPr>
              <w:pStyle w:val="TableParagraph"/>
              <w:spacing w:before="8"/>
              <w:rPr>
                <w:rFonts w:ascii="Arial"/>
                <w:b/>
                <w:sz w:val="13"/>
              </w:rPr>
            </w:pPr>
          </w:p>
          <w:p>
            <w:pPr>
              <w:pStyle w:val="TableParagraph"/>
              <w:spacing w:line="131" w:lineRule="exact"/>
              <w:ind w:left="43"/>
              <w:rPr>
                <w:b/>
                <w:sz w:val="12"/>
              </w:rPr>
            </w:pPr>
            <w:r>
              <w:rPr>
                <w:b/>
                <w:color w:val="44536A"/>
                <w:sz w:val="12"/>
              </w:rPr>
              <w:t>Recommendation</w:t>
            </w:r>
          </w:p>
        </w:tc>
        <w:tc>
          <w:tcPr>
            <w:tcW w:w="1531" w:type="dxa"/>
            <w:tcBorders>
              <w:top w:val="single" w:sz="2" w:space="0" w:color="D3D3D3"/>
              <w:left w:val="single" w:sz="2" w:space="0" w:color="D3D3D3"/>
              <w:bottom w:val="single" w:sz="4" w:space="0" w:color="9BC2E6"/>
              <w:right w:val="single" w:sz="2" w:space="0" w:color="D3D3D3"/>
            </w:tcBorders>
          </w:tcPr>
          <w:p>
            <w:pPr>
              <w:pStyle w:val="TableParagraph"/>
              <w:spacing w:before="8"/>
              <w:rPr>
                <w:rFonts w:ascii="Arial"/>
                <w:b/>
                <w:sz w:val="13"/>
              </w:rPr>
            </w:pPr>
          </w:p>
          <w:p>
            <w:pPr>
              <w:pStyle w:val="TableParagraph"/>
              <w:spacing w:line="131" w:lineRule="exact"/>
              <w:ind w:left="113"/>
              <w:rPr>
                <w:b/>
                <w:sz w:val="12"/>
              </w:rPr>
            </w:pPr>
            <w:r>
              <w:rPr>
                <w:b/>
                <w:color w:val="44536A"/>
                <w:sz w:val="12"/>
              </w:rPr>
              <w:t>Recommended disclosure</w:t>
            </w:r>
          </w:p>
        </w:tc>
        <w:tc>
          <w:tcPr>
            <w:tcW w:w="733" w:type="dxa"/>
            <w:tcBorders>
              <w:top w:val="single" w:sz="2" w:space="0" w:color="D3D3D3"/>
              <w:left w:val="single" w:sz="2" w:space="0" w:color="D3D3D3"/>
              <w:bottom w:val="single" w:sz="4" w:space="0" w:color="9BC2E6"/>
              <w:right w:val="single" w:sz="2" w:space="0" w:color="D3D3D3"/>
            </w:tcBorders>
          </w:tcPr>
          <w:p>
            <w:pPr>
              <w:pStyle w:val="TableParagraph"/>
              <w:spacing w:before="8"/>
              <w:rPr>
                <w:rFonts w:ascii="Arial"/>
                <w:b/>
                <w:sz w:val="13"/>
              </w:rPr>
            </w:pPr>
          </w:p>
          <w:p>
            <w:pPr>
              <w:pStyle w:val="TableParagraph"/>
              <w:spacing w:line="131" w:lineRule="exact"/>
              <w:ind w:left="144" w:right="144"/>
              <w:jc w:val="center"/>
              <w:rPr>
                <w:b/>
                <w:sz w:val="12"/>
              </w:rPr>
            </w:pPr>
            <w:r>
              <w:rPr>
                <w:b/>
                <w:color w:val="44536A"/>
                <w:sz w:val="12"/>
              </w:rPr>
              <w:t>Banking</w:t>
            </w:r>
          </w:p>
        </w:tc>
        <w:tc>
          <w:tcPr>
            <w:tcW w:w="734" w:type="dxa"/>
            <w:tcBorders>
              <w:top w:val="single" w:sz="2" w:space="0" w:color="D3D3D3"/>
              <w:left w:val="single" w:sz="2" w:space="0" w:color="D3D3D3"/>
              <w:bottom w:val="single" w:sz="4" w:space="0" w:color="9BC2E6"/>
              <w:right w:val="single" w:sz="2" w:space="0" w:color="D3D3D3"/>
            </w:tcBorders>
          </w:tcPr>
          <w:p>
            <w:pPr>
              <w:pStyle w:val="TableParagraph"/>
              <w:spacing w:before="8"/>
              <w:rPr>
                <w:rFonts w:ascii="Arial"/>
                <w:b/>
                <w:sz w:val="13"/>
              </w:rPr>
            </w:pPr>
          </w:p>
          <w:p>
            <w:pPr>
              <w:pStyle w:val="TableParagraph"/>
              <w:spacing w:line="131" w:lineRule="exact"/>
              <w:ind w:left="98" w:right="99"/>
              <w:jc w:val="center"/>
              <w:rPr>
                <w:b/>
                <w:sz w:val="12"/>
              </w:rPr>
            </w:pPr>
            <w:r>
              <w:rPr>
                <w:b/>
                <w:color w:val="44536A"/>
                <w:sz w:val="12"/>
              </w:rPr>
              <w:t>Insurance</w:t>
            </w:r>
          </w:p>
        </w:tc>
        <w:tc>
          <w:tcPr>
            <w:tcW w:w="733" w:type="dxa"/>
            <w:tcBorders>
              <w:top w:val="single" w:sz="2" w:space="0" w:color="D3D3D3"/>
              <w:left w:val="single" w:sz="2" w:space="0" w:color="D3D3D3"/>
              <w:bottom w:val="single" w:sz="4" w:space="0" w:color="9BC2E6"/>
              <w:right w:val="single" w:sz="2" w:space="0" w:color="D3D3D3"/>
            </w:tcBorders>
          </w:tcPr>
          <w:p>
            <w:pPr>
              <w:pStyle w:val="TableParagraph"/>
              <w:spacing w:before="8"/>
              <w:rPr>
                <w:rFonts w:ascii="Arial"/>
                <w:b/>
                <w:sz w:val="13"/>
              </w:rPr>
            </w:pPr>
          </w:p>
          <w:p>
            <w:pPr>
              <w:pStyle w:val="TableParagraph"/>
              <w:spacing w:line="131" w:lineRule="exact"/>
              <w:ind w:left="190"/>
              <w:rPr>
                <w:b/>
                <w:sz w:val="12"/>
              </w:rPr>
            </w:pPr>
            <w:r>
              <w:rPr>
                <w:b/>
                <w:color w:val="44536A"/>
                <w:sz w:val="12"/>
              </w:rPr>
              <w:t>Energy</w:t>
            </w:r>
          </w:p>
        </w:tc>
        <w:tc>
          <w:tcPr>
            <w:tcW w:w="731" w:type="dxa"/>
            <w:tcBorders>
              <w:top w:val="single" w:sz="2" w:space="0" w:color="D3D3D3"/>
              <w:left w:val="single" w:sz="2" w:space="0" w:color="D3D3D3"/>
              <w:bottom w:val="single" w:sz="4" w:space="0" w:color="9BC2E6"/>
              <w:right w:val="single" w:sz="2" w:space="0" w:color="D3D3D3"/>
            </w:tcBorders>
          </w:tcPr>
          <w:p>
            <w:pPr>
              <w:pStyle w:val="TableParagraph"/>
              <w:ind w:left="70"/>
              <w:rPr>
                <w:b/>
                <w:sz w:val="12"/>
              </w:rPr>
            </w:pPr>
            <w:r>
              <w:rPr>
                <w:b/>
                <w:color w:val="44536A"/>
                <w:sz w:val="12"/>
              </w:rPr>
              <w:t>Materials &amp;</w:t>
            </w:r>
          </w:p>
          <w:p>
            <w:pPr>
              <w:pStyle w:val="TableParagraph"/>
              <w:spacing w:line="131" w:lineRule="exact" w:before="11"/>
              <w:ind w:left="132"/>
              <w:rPr>
                <w:b/>
                <w:sz w:val="12"/>
              </w:rPr>
            </w:pPr>
            <w:r>
              <w:rPr>
                <w:b/>
                <w:color w:val="44536A"/>
                <w:sz w:val="12"/>
              </w:rPr>
              <w:t>Buildings</w:t>
            </w:r>
          </w:p>
        </w:tc>
        <w:tc>
          <w:tcPr>
            <w:tcW w:w="734" w:type="dxa"/>
            <w:tcBorders>
              <w:top w:val="single" w:sz="2" w:space="0" w:color="D3D3D3"/>
              <w:left w:val="single" w:sz="2" w:space="0" w:color="D3D3D3"/>
              <w:bottom w:val="single" w:sz="4" w:space="0" w:color="9BC2E6"/>
              <w:right w:val="single" w:sz="2" w:space="0" w:color="D3D3D3"/>
            </w:tcBorders>
          </w:tcPr>
          <w:p>
            <w:pPr>
              <w:pStyle w:val="TableParagraph"/>
              <w:spacing w:before="8"/>
              <w:rPr>
                <w:rFonts w:ascii="Arial"/>
                <w:b/>
                <w:sz w:val="13"/>
              </w:rPr>
            </w:pPr>
          </w:p>
          <w:p>
            <w:pPr>
              <w:pStyle w:val="TableParagraph"/>
              <w:spacing w:line="131" w:lineRule="exact"/>
              <w:ind w:left="101" w:right="98"/>
              <w:jc w:val="center"/>
              <w:rPr>
                <w:b/>
                <w:sz w:val="12"/>
              </w:rPr>
            </w:pPr>
            <w:r>
              <w:rPr>
                <w:b/>
                <w:color w:val="44536A"/>
                <w:sz w:val="12"/>
              </w:rPr>
              <w:t>Transport</w:t>
            </w:r>
          </w:p>
        </w:tc>
        <w:tc>
          <w:tcPr>
            <w:tcW w:w="732" w:type="dxa"/>
            <w:tcBorders>
              <w:top w:val="single" w:sz="2" w:space="0" w:color="D3D3D3"/>
              <w:left w:val="single" w:sz="2" w:space="0" w:color="D3D3D3"/>
              <w:bottom w:val="single" w:sz="4" w:space="0" w:color="9BC2E6"/>
              <w:right w:val="single" w:sz="2" w:space="0" w:color="D3D3D3"/>
            </w:tcBorders>
          </w:tcPr>
          <w:p>
            <w:pPr>
              <w:pStyle w:val="TableParagraph"/>
              <w:ind w:left="33" w:right="33"/>
              <w:jc w:val="center"/>
              <w:rPr>
                <w:b/>
                <w:sz w:val="12"/>
              </w:rPr>
            </w:pPr>
            <w:r>
              <w:rPr>
                <w:b/>
                <w:color w:val="44536A"/>
                <w:sz w:val="12"/>
              </w:rPr>
              <w:t>Agri, Food &amp;</w:t>
            </w:r>
          </w:p>
          <w:p>
            <w:pPr>
              <w:pStyle w:val="TableParagraph"/>
              <w:spacing w:line="131" w:lineRule="exact" w:before="11"/>
              <w:ind w:left="33" w:right="31"/>
              <w:jc w:val="center"/>
              <w:rPr>
                <w:b/>
                <w:sz w:val="12"/>
              </w:rPr>
            </w:pPr>
            <w:r>
              <w:rPr>
                <w:b/>
                <w:color w:val="44536A"/>
                <w:sz w:val="12"/>
              </w:rPr>
              <w:t>Forest</w:t>
            </w:r>
          </w:p>
        </w:tc>
        <w:tc>
          <w:tcPr>
            <w:tcW w:w="733" w:type="dxa"/>
            <w:tcBorders>
              <w:top w:val="single" w:sz="2" w:space="0" w:color="D3D3D3"/>
              <w:left w:val="single" w:sz="2" w:space="0" w:color="D3D3D3"/>
              <w:bottom w:val="single" w:sz="4" w:space="0" w:color="9BC2E6"/>
              <w:right w:val="single" w:sz="2" w:space="0" w:color="D3D3D3"/>
            </w:tcBorders>
          </w:tcPr>
          <w:p>
            <w:pPr>
              <w:pStyle w:val="TableParagraph"/>
              <w:ind w:left="191"/>
              <w:rPr>
                <w:b/>
                <w:sz w:val="12"/>
              </w:rPr>
            </w:pPr>
            <w:r>
              <w:rPr>
                <w:b/>
                <w:color w:val="44536A"/>
                <w:sz w:val="12"/>
              </w:rPr>
              <w:t>Tech</w:t>
            </w:r>
            <w:r>
              <w:rPr>
                <w:b/>
                <w:color w:val="44536A"/>
                <w:spacing w:val="1"/>
                <w:sz w:val="12"/>
              </w:rPr>
              <w:t> </w:t>
            </w:r>
            <w:r>
              <w:rPr>
                <w:b/>
                <w:color w:val="44536A"/>
                <w:sz w:val="12"/>
              </w:rPr>
              <w:t>&amp;</w:t>
            </w:r>
          </w:p>
          <w:p>
            <w:pPr>
              <w:pStyle w:val="TableParagraph"/>
              <w:spacing w:line="131" w:lineRule="exact" w:before="11"/>
              <w:ind w:left="208"/>
              <w:rPr>
                <w:b/>
                <w:sz w:val="12"/>
              </w:rPr>
            </w:pPr>
            <w:r>
              <w:rPr>
                <w:b/>
                <w:color w:val="44536A"/>
                <w:sz w:val="12"/>
              </w:rPr>
              <w:t>Media</w:t>
            </w:r>
          </w:p>
        </w:tc>
        <w:tc>
          <w:tcPr>
            <w:tcW w:w="732" w:type="dxa"/>
            <w:tcBorders>
              <w:top w:val="single" w:sz="2" w:space="0" w:color="D3D3D3"/>
              <w:left w:val="single" w:sz="2" w:space="0" w:color="D3D3D3"/>
              <w:bottom w:val="single" w:sz="4" w:space="0" w:color="9BC2E6"/>
              <w:right w:val="single" w:sz="2" w:space="0" w:color="D3D3D3"/>
            </w:tcBorders>
          </w:tcPr>
          <w:p>
            <w:pPr>
              <w:pStyle w:val="TableParagraph"/>
              <w:ind w:left="108"/>
              <w:rPr>
                <w:b/>
                <w:sz w:val="12"/>
              </w:rPr>
            </w:pPr>
            <w:r>
              <w:rPr>
                <w:b/>
                <w:color w:val="44536A"/>
                <w:sz w:val="12"/>
              </w:rPr>
              <w:t>Consumer</w:t>
            </w:r>
          </w:p>
          <w:p>
            <w:pPr>
              <w:pStyle w:val="TableParagraph"/>
              <w:spacing w:line="131" w:lineRule="exact" w:before="11"/>
              <w:ind w:left="203"/>
              <w:rPr>
                <w:b/>
                <w:sz w:val="12"/>
              </w:rPr>
            </w:pPr>
            <w:r>
              <w:rPr>
                <w:b/>
                <w:color w:val="44536A"/>
                <w:sz w:val="12"/>
              </w:rPr>
              <w:t>Goods</w:t>
            </w:r>
          </w:p>
        </w:tc>
      </w:tr>
      <w:tr>
        <w:trPr>
          <w:trHeight w:val="308" w:hRule="atLeast"/>
        </w:trPr>
        <w:tc>
          <w:tcPr>
            <w:tcW w:w="989" w:type="dxa"/>
            <w:vMerge w:val="restart"/>
            <w:tcBorders>
              <w:top w:val="single" w:sz="4" w:space="0" w:color="9BC2E6"/>
              <w:left w:val="single" w:sz="2" w:space="0" w:color="D3D3D3"/>
              <w:bottom w:val="double" w:sz="1" w:space="0" w:color="5B9BD4"/>
              <w:right w:val="single" w:sz="2" w:space="0" w:color="D3D3D3"/>
            </w:tcBorders>
          </w:tcPr>
          <w:p>
            <w:pPr>
              <w:pStyle w:val="TableParagraph"/>
              <w:spacing w:before="5"/>
              <w:ind w:left="18"/>
              <w:rPr>
                <w:b/>
                <w:sz w:val="12"/>
              </w:rPr>
            </w:pPr>
            <w:r>
              <w:rPr>
                <w:b/>
                <w:sz w:val="12"/>
              </w:rPr>
              <w:t>Governance</w:t>
            </w:r>
          </w:p>
        </w:tc>
        <w:tc>
          <w:tcPr>
            <w:tcW w:w="1531" w:type="dxa"/>
            <w:tcBorders>
              <w:top w:val="single" w:sz="4" w:space="0" w:color="9BC2E6"/>
              <w:left w:val="single" w:sz="2" w:space="0" w:color="D3D3D3"/>
              <w:bottom w:val="double" w:sz="1" w:space="0" w:color="5B9BD4"/>
            </w:tcBorders>
          </w:tcPr>
          <w:p>
            <w:pPr>
              <w:pStyle w:val="TableParagraph"/>
              <w:spacing w:before="8"/>
              <w:rPr>
                <w:rFonts w:ascii="Arial"/>
                <w:b/>
                <w:sz w:val="13"/>
              </w:rPr>
            </w:pPr>
          </w:p>
          <w:p>
            <w:pPr>
              <w:pStyle w:val="TableParagraph"/>
              <w:spacing w:line="130" w:lineRule="exact" w:before="0"/>
              <w:ind w:left="18"/>
              <w:rPr>
                <w:b/>
                <w:sz w:val="12"/>
              </w:rPr>
            </w:pPr>
            <w:r>
              <w:rPr>
                <w:b/>
                <w:sz w:val="12"/>
              </w:rPr>
              <w:t>a. Board Oversight</w:t>
            </w:r>
          </w:p>
        </w:tc>
        <w:tc>
          <w:tcPr>
            <w:tcW w:w="733" w:type="dxa"/>
            <w:tcBorders>
              <w:top w:val="single" w:sz="4" w:space="0" w:color="9BC2E6"/>
            </w:tcBorders>
            <w:shd w:val="clear" w:color="auto" w:fill="B1DEBE"/>
          </w:tcPr>
          <w:p>
            <w:pPr>
              <w:pStyle w:val="TableParagraph"/>
              <w:spacing w:before="11"/>
              <w:rPr>
                <w:rFonts w:ascii="Arial"/>
                <w:b/>
                <w:sz w:val="13"/>
              </w:rPr>
            </w:pPr>
          </w:p>
          <w:p>
            <w:pPr>
              <w:pStyle w:val="TableParagraph"/>
              <w:spacing w:before="0"/>
              <w:ind w:left="237" w:right="232"/>
              <w:jc w:val="center"/>
              <w:rPr>
                <w:rFonts w:ascii="Arial"/>
                <w:sz w:val="11"/>
              </w:rPr>
            </w:pPr>
            <w:r>
              <w:rPr>
                <w:rFonts w:ascii="Arial"/>
                <w:sz w:val="11"/>
              </w:rPr>
              <w:t>48%</w:t>
            </w:r>
          </w:p>
        </w:tc>
        <w:tc>
          <w:tcPr>
            <w:tcW w:w="734" w:type="dxa"/>
            <w:tcBorders>
              <w:top w:val="single" w:sz="4" w:space="0" w:color="9BC2E6"/>
            </w:tcBorders>
            <w:shd w:val="clear" w:color="auto" w:fill="FAECEF"/>
          </w:tcPr>
          <w:p>
            <w:pPr>
              <w:pStyle w:val="TableParagraph"/>
              <w:spacing w:before="11"/>
              <w:rPr>
                <w:rFonts w:ascii="Arial"/>
                <w:b/>
                <w:sz w:val="13"/>
              </w:rPr>
            </w:pPr>
          </w:p>
          <w:p>
            <w:pPr>
              <w:pStyle w:val="TableParagraph"/>
              <w:spacing w:before="0"/>
              <w:ind w:left="238" w:right="235"/>
              <w:jc w:val="center"/>
              <w:rPr>
                <w:rFonts w:ascii="Arial"/>
                <w:sz w:val="11"/>
              </w:rPr>
            </w:pPr>
            <w:r>
              <w:rPr>
                <w:rFonts w:ascii="Arial"/>
                <w:sz w:val="11"/>
              </w:rPr>
              <w:t>29%</w:t>
            </w:r>
          </w:p>
        </w:tc>
        <w:tc>
          <w:tcPr>
            <w:tcW w:w="1464" w:type="dxa"/>
            <w:gridSpan w:val="2"/>
            <w:tcBorders>
              <w:top w:val="single" w:sz="4" w:space="0" w:color="9BC2E6"/>
            </w:tcBorders>
            <w:shd w:val="clear" w:color="auto" w:fill="E4F3EB"/>
          </w:tcPr>
          <w:p>
            <w:pPr>
              <w:pStyle w:val="TableParagraph"/>
              <w:spacing w:before="11"/>
              <w:rPr>
                <w:rFonts w:ascii="Arial"/>
                <w:b/>
                <w:sz w:val="13"/>
              </w:rPr>
            </w:pPr>
          </w:p>
          <w:p>
            <w:pPr>
              <w:pStyle w:val="TableParagraph"/>
              <w:tabs>
                <w:tab w:pos="988" w:val="left" w:leader="none"/>
              </w:tabs>
              <w:spacing w:before="0"/>
              <w:ind w:left="255"/>
              <w:rPr>
                <w:rFonts w:ascii="Arial"/>
                <w:sz w:val="11"/>
              </w:rPr>
            </w:pPr>
            <w:r>
              <w:rPr>
                <w:rFonts w:ascii="Arial"/>
                <w:sz w:val="11"/>
              </w:rPr>
              <w:t>38%</w:t>
              <w:tab/>
              <w:t>37%</w:t>
            </w:r>
          </w:p>
        </w:tc>
        <w:tc>
          <w:tcPr>
            <w:tcW w:w="734" w:type="dxa"/>
            <w:tcBorders>
              <w:top w:val="single" w:sz="4" w:space="0" w:color="9BC2E6"/>
            </w:tcBorders>
            <w:shd w:val="clear" w:color="auto" w:fill="FAD9DC"/>
          </w:tcPr>
          <w:p>
            <w:pPr>
              <w:pStyle w:val="TableParagraph"/>
              <w:spacing w:before="11"/>
              <w:rPr>
                <w:rFonts w:ascii="Arial"/>
                <w:b/>
                <w:sz w:val="13"/>
              </w:rPr>
            </w:pPr>
          </w:p>
          <w:p>
            <w:pPr>
              <w:pStyle w:val="TableParagraph"/>
              <w:spacing w:before="0"/>
              <w:ind w:left="238" w:right="235"/>
              <w:jc w:val="center"/>
              <w:rPr>
                <w:rFonts w:ascii="Arial"/>
                <w:sz w:val="11"/>
              </w:rPr>
            </w:pPr>
            <w:r>
              <w:rPr>
                <w:rFonts w:ascii="Arial"/>
                <w:sz w:val="11"/>
              </w:rPr>
              <w:t>25%</w:t>
            </w:r>
          </w:p>
        </w:tc>
        <w:tc>
          <w:tcPr>
            <w:tcW w:w="732" w:type="dxa"/>
            <w:tcBorders>
              <w:top w:val="single" w:sz="4" w:space="0" w:color="9BC2E6"/>
            </w:tcBorders>
            <w:shd w:val="clear" w:color="auto" w:fill="F9CACD"/>
          </w:tcPr>
          <w:p>
            <w:pPr>
              <w:pStyle w:val="TableParagraph"/>
              <w:spacing w:before="11"/>
              <w:rPr>
                <w:rFonts w:ascii="Arial"/>
                <w:b/>
                <w:sz w:val="13"/>
              </w:rPr>
            </w:pPr>
          </w:p>
          <w:p>
            <w:pPr>
              <w:pStyle w:val="TableParagraph"/>
              <w:spacing w:before="0"/>
              <w:ind w:left="236" w:right="234"/>
              <w:jc w:val="center"/>
              <w:rPr>
                <w:rFonts w:ascii="Arial"/>
                <w:sz w:val="11"/>
              </w:rPr>
            </w:pPr>
            <w:r>
              <w:rPr>
                <w:rFonts w:ascii="Arial"/>
                <w:sz w:val="11"/>
              </w:rPr>
              <w:t>22%</w:t>
            </w:r>
          </w:p>
        </w:tc>
        <w:tc>
          <w:tcPr>
            <w:tcW w:w="733" w:type="dxa"/>
            <w:vMerge w:val="restart"/>
            <w:tcBorders>
              <w:top w:val="single" w:sz="4" w:space="0" w:color="9BC2E6"/>
            </w:tcBorders>
            <w:shd w:val="clear" w:color="auto" w:fill="F9B1B5"/>
          </w:tcPr>
          <w:p>
            <w:pPr>
              <w:pStyle w:val="TableParagraph"/>
              <w:spacing w:before="11"/>
              <w:rPr>
                <w:rFonts w:ascii="Arial"/>
                <w:b/>
                <w:sz w:val="13"/>
              </w:rPr>
            </w:pPr>
          </w:p>
          <w:p>
            <w:pPr>
              <w:pStyle w:val="TableParagraph"/>
              <w:spacing w:before="0"/>
              <w:ind w:left="235" w:right="233"/>
              <w:jc w:val="center"/>
              <w:rPr>
                <w:rFonts w:ascii="Arial"/>
                <w:sz w:val="11"/>
              </w:rPr>
            </w:pPr>
            <w:r>
              <w:rPr>
                <w:rFonts w:ascii="Arial"/>
                <w:sz w:val="11"/>
              </w:rPr>
              <w:t>19%</w:t>
            </w:r>
          </w:p>
          <w:p>
            <w:pPr>
              <w:pStyle w:val="TableParagraph"/>
              <w:spacing w:before="8"/>
              <w:rPr>
                <w:rFonts w:ascii="Arial"/>
                <w:b/>
                <w:sz w:val="16"/>
              </w:rPr>
            </w:pPr>
          </w:p>
          <w:p>
            <w:pPr>
              <w:pStyle w:val="TableParagraph"/>
              <w:ind w:left="235" w:right="233"/>
              <w:jc w:val="center"/>
              <w:rPr>
                <w:rFonts w:ascii="Arial"/>
                <w:sz w:val="11"/>
              </w:rPr>
            </w:pPr>
            <w:r>
              <w:rPr>
                <w:rFonts w:ascii="Arial"/>
                <w:sz w:val="11"/>
              </w:rPr>
              <w:t>17%</w:t>
            </w:r>
          </w:p>
        </w:tc>
        <w:tc>
          <w:tcPr>
            <w:tcW w:w="732" w:type="dxa"/>
            <w:tcBorders>
              <w:top w:val="single" w:sz="4" w:space="0" w:color="9BC2E6"/>
            </w:tcBorders>
            <w:shd w:val="clear" w:color="auto" w:fill="FAECEF"/>
          </w:tcPr>
          <w:p>
            <w:pPr>
              <w:pStyle w:val="TableParagraph"/>
              <w:spacing w:before="11"/>
              <w:rPr>
                <w:rFonts w:ascii="Arial"/>
                <w:b/>
                <w:sz w:val="13"/>
              </w:rPr>
            </w:pPr>
          </w:p>
          <w:p>
            <w:pPr>
              <w:pStyle w:val="TableParagraph"/>
              <w:spacing w:before="0"/>
              <w:ind w:left="255"/>
              <w:rPr>
                <w:rFonts w:ascii="Arial"/>
                <w:sz w:val="11"/>
              </w:rPr>
            </w:pPr>
            <w:r>
              <w:rPr>
                <w:rFonts w:ascii="Arial"/>
                <w:sz w:val="11"/>
              </w:rPr>
              <w:t>29%</w:t>
            </w:r>
          </w:p>
        </w:tc>
      </w:tr>
      <w:tr>
        <w:trPr>
          <w:trHeight w:val="303" w:hRule="atLeast"/>
        </w:trPr>
        <w:tc>
          <w:tcPr>
            <w:tcW w:w="989" w:type="dxa"/>
            <w:vMerge/>
            <w:tcBorders>
              <w:top w:val="nil"/>
              <w:left w:val="single" w:sz="2" w:space="0" w:color="D3D3D3"/>
              <w:bottom w:val="double" w:sz="1" w:space="0" w:color="5B9BD4"/>
              <w:right w:val="single" w:sz="2" w:space="0" w:color="D3D3D3"/>
            </w:tcBorders>
          </w:tcPr>
          <w:p>
            <w:pPr>
              <w:rPr>
                <w:sz w:val="2"/>
                <w:szCs w:val="2"/>
              </w:rPr>
            </w:pPr>
          </w:p>
        </w:tc>
        <w:tc>
          <w:tcPr>
            <w:tcW w:w="1531" w:type="dxa"/>
            <w:tcBorders>
              <w:top w:val="double" w:sz="1" w:space="0" w:color="5B9BD4"/>
              <w:left w:val="single" w:sz="2" w:space="0" w:color="D3D3D3"/>
              <w:bottom w:val="double" w:sz="1" w:space="0" w:color="5B9BD4"/>
            </w:tcBorders>
          </w:tcPr>
          <w:p>
            <w:pPr>
              <w:pStyle w:val="TableParagraph"/>
              <w:spacing w:before="4"/>
              <w:rPr>
                <w:rFonts w:ascii="Arial"/>
                <w:b/>
                <w:sz w:val="13"/>
              </w:rPr>
            </w:pPr>
          </w:p>
          <w:p>
            <w:pPr>
              <w:pStyle w:val="TableParagraph"/>
              <w:spacing w:line="130" w:lineRule="exact" w:before="0"/>
              <w:ind w:left="18"/>
              <w:rPr>
                <w:b/>
                <w:sz w:val="12"/>
              </w:rPr>
            </w:pPr>
            <w:r>
              <w:rPr>
                <w:b/>
                <w:sz w:val="12"/>
              </w:rPr>
              <w:t>b. Management's Role</w:t>
            </w:r>
          </w:p>
        </w:tc>
        <w:tc>
          <w:tcPr>
            <w:tcW w:w="733" w:type="dxa"/>
            <w:shd w:val="clear" w:color="auto" w:fill="95D2A7"/>
          </w:tcPr>
          <w:p>
            <w:pPr>
              <w:pStyle w:val="TableParagraph"/>
              <w:spacing w:before="6"/>
              <w:rPr>
                <w:rFonts w:ascii="Arial"/>
                <w:b/>
                <w:sz w:val="13"/>
              </w:rPr>
            </w:pPr>
          </w:p>
          <w:p>
            <w:pPr>
              <w:pStyle w:val="TableParagraph"/>
              <w:ind w:left="237" w:right="232"/>
              <w:jc w:val="center"/>
              <w:rPr>
                <w:rFonts w:ascii="Arial"/>
                <w:sz w:val="11"/>
              </w:rPr>
            </w:pPr>
            <w:r>
              <w:rPr>
                <w:rFonts w:ascii="Arial"/>
                <w:sz w:val="11"/>
              </w:rPr>
              <w:t>54%</w:t>
            </w:r>
          </w:p>
        </w:tc>
        <w:tc>
          <w:tcPr>
            <w:tcW w:w="734" w:type="dxa"/>
            <w:shd w:val="clear" w:color="auto" w:fill="EEF7F4"/>
          </w:tcPr>
          <w:p>
            <w:pPr>
              <w:pStyle w:val="TableParagraph"/>
              <w:spacing w:before="6"/>
              <w:rPr>
                <w:rFonts w:ascii="Arial"/>
                <w:b/>
                <w:sz w:val="13"/>
              </w:rPr>
            </w:pPr>
          </w:p>
          <w:p>
            <w:pPr>
              <w:pStyle w:val="TableParagraph"/>
              <w:ind w:left="238" w:right="235"/>
              <w:jc w:val="center"/>
              <w:rPr>
                <w:rFonts w:ascii="Arial"/>
                <w:sz w:val="11"/>
              </w:rPr>
            </w:pPr>
            <w:r>
              <w:rPr>
                <w:rFonts w:ascii="Arial"/>
                <w:sz w:val="11"/>
              </w:rPr>
              <w:t>35%</w:t>
            </w:r>
          </w:p>
        </w:tc>
        <w:tc>
          <w:tcPr>
            <w:tcW w:w="733" w:type="dxa"/>
            <w:shd w:val="clear" w:color="auto" w:fill="FBFBFF"/>
          </w:tcPr>
          <w:p>
            <w:pPr>
              <w:pStyle w:val="TableParagraph"/>
              <w:spacing w:before="6"/>
              <w:rPr>
                <w:rFonts w:ascii="Arial"/>
                <w:b/>
                <w:sz w:val="13"/>
              </w:rPr>
            </w:pPr>
          </w:p>
          <w:p>
            <w:pPr>
              <w:pStyle w:val="TableParagraph"/>
              <w:ind w:left="255"/>
              <w:rPr>
                <w:rFonts w:ascii="Arial"/>
                <w:sz w:val="11"/>
              </w:rPr>
            </w:pPr>
            <w:r>
              <w:rPr>
                <w:rFonts w:ascii="Arial"/>
                <w:sz w:val="11"/>
              </w:rPr>
              <w:t>32%</w:t>
            </w:r>
          </w:p>
        </w:tc>
        <w:tc>
          <w:tcPr>
            <w:tcW w:w="731" w:type="dxa"/>
            <w:shd w:val="clear" w:color="auto" w:fill="EEF7F4"/>
          </w:tcPr>
          <w:p>
            <w:pPr>
              <w:pStyle w:val="TableParagraph"/>
              <w:spacing w:before="6"/>
              <w:rPr>
                <w:rFonts w:ascii="Arial"/>
                <w:b/>
                <w:sz w:val="13"/>
              </w:rPr>
            </w:pPr>
          </w:p>
          <w:p>
            <w:pPr>
              <w:pStyle w:val="TableParagraph"/>
              <w:ind w:left="236" w:right="233"/>
              <w:jc w:val="center"/>
              <w:rPr>
                <w:rFonts w:ascii="Arial"/>
                <w:sz w:val="11"/>
              </w:rPr>
            </w:pPr>
            <w:r>
              <w:rPr>
                <w:rFonts w:ascii="Arial"/>
                <w:sz w:val="11"/>
              </w:rPr>
              <w:t>35%</w:t>
            </w:r>
          </w:p>
        </w:tc>
        <w:tc>
          <w:tcPr>
            <w:tcW w:w="734" w:type="dxa"/>
            <w:shd w:val="clear" w:color="auto" w:fill="F9B7B8"/>
          </w:tcPr>
          <w:p>
            <w:pPr>
              <w:pStyle w:val="TableParagraph"/>
              <w:spacing w:before="6"/>
              <w:rPr>
                <w:rFonts w:ascii="Arial"/>
                <w:b/>
                <w:sz w:val="13"/>
              </w:rPr>
            </w:pPr>
          </w:p>
          <w:p>
            <w:pPr>
              <w:pStyle w:val="TableParagraph"/>
              <w:ind w:left="238" w:right="235"/>
              <w:jc w:val="center"/>
              <w:rPr>
                <w:rFonts w:ascii="Arial"/>
                <w:sz w:val="11"/>
              </w:rPr>
            </w:pPr>
            <w:r>
              <w:rPr>
                <w:rFonts w:ascii="Arial"/>
                <w:sz w:val="11"/>
              </w:rPr>
              <w:t>18%</w:t>
            </w:r>
          </w:p>
        </w:tc>
        <w:tc>
          <w:tcPr>
            <w:tcW w:w="732" w:type="dxa"/>
            <w:shd w:val="clear" w:color="auto" w:fill="FADEE0"/>
          </w:tcPr>
          <w:p>
            <w:pPr>
              <w:pStyle w:val="TableParagraph"/>
              <w:spacing w:before="6"/>
              <w:rPr>
                <w:rFonts w:ascii="Arial"/>
                <w:b/>
                <w:sz w:val="13"/>
              </w:rPr>
            </w:pPr>
          </w:p>
          <w:p>
            <w:pPr>
              <w:pStyle w:val="TableParagraph"/>
              <w:ind w:left="236" w:right="234"/>
              <w:jc w:val="center"/>
              <w:rPr>
                <w:rFonts w:ascii="Arial"/>
                <w:sz w:val="11"/>
              </w:rPr>
            </w:pPr>
            <w:r>
              <w:rPr>
                <w:rFonts w:ascii="Arial"/>
                <w:sz w:val="11"/>
              </w:rPr>
              <w:t>26%</w:t>
            </w:r>
          </w:p>
        </w:tc>
        <w:tc>
          <w:tcPr>
            <w:tcW w:w="733" w:type="dxa"/>
            <w:vMerge/>
            <w:tcBorders>
              <w:top w:val="nil"/>
            </w:tcBorders>
            <w:shd w:val="clear" w:color="auto" w:fill="F9B1B5"/>
          </w:tcPr>
          <w:p>
            <w:pPr>
              <w:rPr>
                <w:sz w:val="2"/>
                <w:szCs w:val="2"/>
              </w:rPr>
            </w:pPr>
          </w:p>
        </w:tc>
        <w:tc>
          <w:tcPr>
            <w:tcW w:w="732" w:type="dxa"/>
            <w:shd w:val="clear" w:color="auto" w:fill="D6ECDF"/>
          </w:tcPr>
          <w:p>
            <w:pPr>
              <w:pStyle w:val="TableParagraph"/>
              <w:spacing w:before="6"/>
              <w:rPr>
                <w:rFonts w:ascii="Arial"/>
                <w:b/>
                <w:sz w:val="13"/>
              </w:rPr>
            </w:pPr>
          </w:p>
          <w:p>
            <w:pPr>
              <w:pStyle w:val="TableParagraph"/>
              <w:ind w:left="255"/>
              <w:rPr>
                <w:rFonts w:ascii="Arial"/>
                <w:sz w:val="11"/>
              </w:rPr>
            </w:pPr>
            <w:r>
              <w:rPr>
                <w:rFonts w:ascii="Arial"/>
                <w:sz w:val="11"/>
              </w:rPr>
              <w:t>40%</w:t>
            </w:r>
          </w:p>
        </w:tc>
      </w:tr>
      <w:tr>
        <w:trPr>
          <w:trHeight w:val="303" w:hRule="atLeast"/>
        </w:trPr>
        <w:tc>
          <w:tcPr>
            <w:tcW w:w="989" w:type="dxa"/>
            <w:vMerge w:val="restart"/>
            <w:tcBorders>
              <w:top w:val="double" w:sz="1" w:space="0" w:color="5B9BD4"/>
              <w:left w:val="single" w:sz="2" w:space="0" w:color="D3D3D3"/>
              <w:bottom w:val="double" w:sz="1" w:space="0" w:color="5B9BD4"/>
              <w:right w:val="single" w:sz="2" w:space="0" w:color="D3D3D3"/>
            </w:tcBorders>
          </w:tcPr>
          <w:p>
            <w:pPr>
              <w:pStyle w:val="TableParagraph"/>
              <w:spacing w:before="0"/>
              <w:ind w:left="18"/>
              <w:rPr>
                <w:b/>
                <w:sz w:val="12"/>
              </w:rPr>
            </w:pPr>
            <w:r>
              <w:rPr>
                <w:b/>
                <w:sz w:val="12"/>
              </w:rPr>
              <w:t>Strategy</w:t>
            </w:r>
          </w:p>
        </w:tc>
        <w:tc>
          <w:tcPr>
            <w:tcW w:w="1531" w:type="dxa"/>
            <w:tcBorders>
              <w:top w:val="double" w:sz="1" w:space="0" w:color="5B9BD4"/>
              <w:left w:val="single" w:sz="2" w:space="0" w:color="D3D3D3"/>
              <w:bottom w:val="double" w:sz="1" w:space="0" w:color="5B9BD4"/>
            </w:tcBorders>
          </w:tcPr>
          <w:p>
            <w:pPr>
              <w:pStyle w:val="TableParagraph"/>
              <w:spacing w:before="4"/>
              <w:rPr>
                <w:rFonts w:ascii="Arial"/>
                <w:b/>
                <w:sz w:val="13"/>
              </w:rPr>
            </w:pPr>
          </w:p>
          <w:p>
            <w:pPr>
              <w:pStyle w:val="TableParagraph"/>
              <w:spacing w:line="130" w:lineRule="exact" w:before="0"/>
              <w:ind w:left="18"/>
              <w:rPr>
                <w:b/>
                <w:sz w:val="12"/>
              </w:rPr>
            </w:pPr>
            <w:r>
              <w:rPr>
                <w:b/>
                <w:sz w:val="12"/>
              </w:rPr>
              <w:t>a. Risks and Opportunities</w:t>
            </w:r>
          </w:p>
        </w:tc>
        <w:tc>
          <w:tcPr>
            <w:tcW w:w="733" w:type="dxa"/>
            <w:shd w:val="clear" w:color="auto" w:fill="A3D9B4"/>
          </w:tcPr>
          <w:p>
            <w:pPr>
              <w:pStyle w:val="TableParagraph"/>
              <w:spacing w:before="6"/>
              <w:rPr>
                <w:rFonts w:ascii="Arial"/>
                <w:b/>
                <w:sz w:val="13"/>
              </w:rPr>
            </w:pPr>
          </w:p>
          <w:p>
            <w:pPr>
              <w:pStyle w:val="TableParagraph"/>
              <w:ind w:left="237" w:right="232"/>
              <w:jc w:val="center"/>
              <w:rPr>
                <w:rFonts w:ascii="Arial"/>
                <w:sz w:val="11"/>
              </w:rPr>
            </w:pPr>
            <w:r>
              <w:rPr>
                <w:rFonts w:ascii="Arial"/>
                <w:sz w:val="11"/>
              </w:rPr>
              <w:t>51%</w:t>
            </w:r>
          </w:p>
        </w:tc>
        <w:tc>
          <w:tcPr>
            <w:tcW w:w="734" w:type="dxa"/>
            <w:shd w:val="clear" w:color="auto" w:fill="DCEEE2"/>
          </w:tcPr>
          <w:p>
            <w:pPr>
              <w:pStyle w:val="TableParagraph"/>
              <w:spacing w:before="6"/>
              <w:rPr>
                <w:rFonts w:ascii="Arial"/>
                <w:b/>
                <w:sz w:val="13"/>
              </w:rPr>
            </w:pPr>
          </w:p>
          <w:p>
            <w:pPr>
              <w:pStyle w:val="TableParagraph"/>
              <w:ind w:left="238" w:right="235"/>
              <w:jc w:val="center"/>
              <w:rPr>
                <w:rFonts w:ascii="Arial"/>
                <w:sz w:val="11"/>
              </w:rPr>
            </w:pPr>
            <w:r>
              <w:rPr>
                <w:rFonts w:ascii="Arial"/>
                <w:sz w:val="11"/>
              </w:rPr>
              <w:t>39%</w:t>
            </w:r>
          </w:p>
        </w:tc>
        <w:tc>
          <w:tcPr>
            <w:tcW w:w="733" w:type="dxa"/>
            <w:shd w:val="clear" w:color="auto" w:fill="88CE9C"/>
          </w:tcPr>
          <w:p>
            <w:pPr>
              <w:pStyle w:val="TableParagraph"/>
              <w:spacing w:before="6"/>
              <w:rPr>
                <w:rFonts w:ascii="Arial"/>
                <w:b/>
                <w:sz w:val="13"/>
              </w:rPr>
            </w:pPr>
          </w:p>
          <w:p>
            <w:pPr>
              <w:pStyle w:val="TableParagraph"/>
              <w:ind w:left="255"/>
              <w:rPr>
                <w:rFonts w:ascii="Arial"/>
                <w:sz w:val="11"/>
              </w:rPr>
            </w:pPr>
            <w:r>
              <w:rPr>
                <w:rFonts w:ascii="Arial"/>
                <w:sz w:val="11"/>
              </w:rPr>
              <w:t>57%</w:t>
            </w:r>
          </w:p>
        </w:tc>
        <w:tc>
          <w:tcPr>
            <w:tcW w:w="731" w:type="dxa"/>
            <w:shd w:val="clear" w:color="auto" w:fill="A9DBB7"/>
          </w:tcPr>
          <w:p>
            <w:pPr>
              <w:pStyle w:val="TableParagraph"/>
              <w:spacing w:before="6"/>
              <w:rPr>
                <w:rFonts w:ascii="Arial"/>
                <w:b/>
                <w:sz w:val="13"/>
              </w:rPr>
            </w:pPr>
          </w:p>
          <w:p>
            <w:pPr>
              <w:pStyle w:val="TableParagraph"/>
              <w:ind w:left="236" w:right="233"/>
              <w:jc w:val="center"/>
              <w:rPr>
                <w:rFonts w:ascii="Arial"/>
                <w:sz w:val="11"/>
              </w:rPr>
            </w:pPr>
            <w:r>
              <w:rPr>
                <w:rFonts w:ascii="Arial"/>
                <w:sz w:val="11"/>
              </w:rPr>
              <w:t>50%</w:t>
            </w:r>
          </w:p>
        </w:tc>
        <w:tc>
          <w:tcPr>
            <w:tcW w:w="734" w:type="dxa"/>
            <w:shd w:val="clear" w:color="auto" w:fill="D6ECDF"/>
          </w:tcPr>
          <w:p>
            <w:pPr>
              <w:pStyle w:val="TableParagraph"/>
              <w:spacing w:before="6"/>
              <w:rPr>
                <w:rFonts w:ascii="Arial"/>
                <w:b/>
                <w:sz w:val="13"/>
              </w:rPr>
            </w:pPr>
          </w:p>
          <w:p>
            <w:pPr>
              <w:pStyle w:val="TableParagraph"/>
              <w:ind w:left="238" w:right="235"/>
              <w:jc w:val="center"/>
              <w:rPr>
                <w:rFonts w:ascii="Arial"/>
                <w:sz w:val="11"/>
              </w:rPr>
            </w:pPr>
            <w:r>
              <w:rPr>
                <w:rFonts w:ascii="Arial"/>
                <w:sz w:val="11"/>
              </w:rPr>
              <w:t>39%</w:t>
            </w:r>
          </w:p>
        </w:tc>
        <w:tc>
          <w:tcPr>
            <w:tcW w:w="732" w:type="dxa"/>
            <w:shd w:val="clear" w:color="auto" w:fill="D6ECDF"/>
          </w:tcPr>
          <w:p>
            <w:pPr>
              <w:pStyle w:val="TableParagraph"/>
              <w:spacing w:before="6"/>
              <w:rPr>
                <w:rFonts w:ascii="Arial"/>
                <w:b/>
                <w:sz w:val="13"/>
              </w:rPr>
            </w:pPr>
          </w:p>
          <w:p>
            <w:pPr>
              <w:pStyle w:val="TableParagraph"/>
              <w:ind w:left="236" w:right="234"/>
              <w:jc w:val="center"/>
              <w:rPr>
                <w:rFonts w:ascii="Arial"/>
                <w:sz w:val="11"/>
              </w:rPr>
            </w:pPr>
            <w:r>
              <w:rPr>
                <w:rFonts w:ascii="Arial"/>
                <w:sz w:val="11"/>
              </w:rPr>
              <w:t>40%</w:t>
            </w:r>
          </w:p>
        </w:tc>
        <w:tc>
          <w:tcPr>
            <w:tcW w:w="733" w:type="dxa"/>
            <w:shd w:val="clear" w:color="auto" w:fill="E0F0E7"/>
          </w:tcPr>
          <w:p>
            <w:pPr>
              <w:pStyle w:val="TableParagraph"/>
              <w:spacing w:before="6"/>
              <w:rPr>
                <w:rFonts w:ascii="Arial"/>
                <w:b/>
                <w:sz w:val="13"/>
              </w:rPr>
            </w:pPr>
          </w:p>
          <w:p>
            <w:pPr>
              <w:pStyle w:val="TableParagraph"/>
              <w:ind w:left="235" w:right="233"/>
              <w:jc w:val="center"/>
              <w:rPr>
                <w:rFonts w:ascii="Arial"/>
                <w:sz w:val="11"/>
              </w:rPr>
            </w:pPr>
            <w:r>
              <w:rPr>
                <w:rFonts w:ascii="Arial"/>
                <w:sz w:val="11"/>
              </w:rPr>
              <w:t>38%</w:t>
            </w:r>
          </w:p>
        </w:tc>
        <w:tc>
          <w:tcPr>
            <w:tcW w:w="732" w:type="dxa"/>
            <w:shd w:val="clear" w:color="auto" w:fill="A9DBB7"/>
          </w:tcPr>
          <w:p>
            <w:pPr>
              <w:pStyle w:val="TableParagraph"/>
              <w:spacing w:before="6"/>
              <w:rPr>
                <w:rFonts w:ascii="Arial"/>
                <w:b/>
                <w:sz w:val="13"/>
              </w:rPr>
            </w:pPr>
          </w:p>
          <w:p>
            <w:pPr>
              <w:pStyle w:val="TableParagraph"/>
              <w:ind w:left="255"/>
              <w:rPr>
                <w:rFonts w:ascii="Arial"/>
                <w:sz w:val="11"/>
              </w:rPr>
            </w:pPr>
            <w:r>
              <w:rPr>
                <w:rFonts w:ascii="Arial"/>
                <w:sz w:val="11"/>
              </w:rPr>
              <w:t>50%</w:t>
            </w:r>
          </w:p>
        </w:tc>
      </w:tr>
      <w:tr>
        <w:trPr>
          <w:trHeight w:val="303" w:hRule="atLeast"/>
        </w:trPr>
        <w:tc>
          <w:tcPr>
            <w:tcW w:w="989" w:type="dxa"/>
            <w:vMerge/>
            <w:tcBorders>
              <w:top w:val="nil"/>
              <w:left w:val="single" w:sz="2" w:space="0" w:color="D3D3D3"/>
              <w:bottom w:val="double" w:sz="1" w:space="0" w:color="5B9BD4"/>
              <w:right w:val="single" w:sz="2" w:space="0" w:color="D3D3D3"/>
            </w:tcBorders>
          </w:tcPr>
          <w:p>
            <w:pPr>
              <w:rPr>
                <w:sz w:val="2"/>
                <w:szCs w:val="2"/>
              </w:rPr>
            </w:pPr>
          </w:p>
        </w:tc>
        <w:tc>
          <w:tcPr>
            <w:tcW w:w="1531" w:type="dxa"/>
            <w:tcBorders>
              <w:top w:val="double" w:sz="1" w:space="0" w:color="5B9BD4"/>
              <w:left w:val="single" w:sz="2" w:space="0" w:color="D3D3D3"/>
              <w:bottom w:val="double" w:sz="1" w:space="0" w:color="5B9BD4"/>
            </w:tcBorders>
          </w:tcPr>
          <w:p>
            <w:pPr>
              <w:pStyle w:val="TableParagraph"/>
              <w:spacing w:before="4"/>
              <w:rPr>
                <w:rFonts w:ascii="Arial"/>
                <w:b/>
                <w:sz w:val="13"/>
              </w:rPr>
            </w:pPr>
          </w:p>
          <w:p>
            <w:pPr>
              <w:pStyle w:val="TableParagraph"/>
              <w:spacing w:line="130" w:lineRule="exact" w:before="0"/>
              <w:ind w:left="18"/>
              <w:rPr>
                <w:b/>
                <w:sz w:val="12"/>
              </w:rPr>
            </w:pPr>
            <w:r>
              <w:rPr>
                <w:b/>
                <w:sz w:val="12"/>
              </w:rPr>
              <w:t>b. Impact on Organisation</w:t>
            </w:r>
          </w:p>
        </w:tc>
        <w:tc>
          <w:tcPr>
            <w:tcW w:w="733" w:type="dxa"/>
            <w:shd w:val="clear" w:color="auto" w:fill="92D1A2"/>
          </w:tcPr>
          <w:p>
            <w:pPr>
              <w:pStyle w:val="TableParagraph"/>
              <w:spacing w:before="6"/>
              <w:rPr>
                <w:rFonts w:ascii="Arial"/>
                <w:b/>
                <w:sz w:val="13"/>
              </w:rPr>
            </w:pPr>
          </w:p>
          <w:p>
            <w:pPr>
              <w:pStyle w:val="TableParagraph"/>
              <w:ind w:left="237" w:right="232"/>
              <w:jc w:val="center"/>
              <w:rPr>
                <w:rFonts w:ascii="Arial"/>
                <w:sz w:val="11"/>
              </w:rPr>
            </w:pPr>
            <w:r>
              <w:rPr>
                <w:rFonts w:ascii="Arial"/>
                <w:sz w:val="11"/>
              </w:rPr>
              <w:t>55%</w:t>
            </w:r>
          </w:p>
        </w:tc>
        <w:tc>
          <w:tcPr>
            <w:tcW w:w="734" w:type="dxa"/>
            <w:shd w:val="clear" w:color="auto" w:fill="FADEE0"/>
          </w:tcPr>
          <w:p>
            <w:pPr>
              <w:pStyle w:val="TableParagraph"/>
              <w:spacing w:before="6"/>
              <w:rPr>
                <w:rFonts w:ascii="Arial"/>
                <w:b/>
                <w:sz w:val="13"/>
              </w:rPr>
            </w:pPr>
          </w:p>
          <w:p>
            <w:pPr>
              <w:pStyle w:val="TableParagraph"/>
              <w:ind w:left="238" w:right="235"/>
              <w:jc w:val="center"/>
              <w:rPr>
                <w:rFonts w:ascii="Arial"/>
                <w:sz w:val="11"/>
              </w:rPr>
            </w:pPr>
            <w:r>
              <w:rPr>
                <w:rFonts w:ascii="Arial"/>
                <w:sz w:val="11"/>
              </w:rPr>
              <w:t>26%</w:t>
            </w:r>
          </w:p>
        </w:tc>
        <w:tc>
          <w:tcPr>
            <w:tcW w:w="1464" w:type="dxa"/>
            <w:gridSpan w:val="2"/>
            <w:shd w:val="clear" w:color="auto" w:fill="62BD7A"/>
          </w:tcPr>
          <w:p>
            <w:pPr>
              <w:pStyle w:val="TableParagraph"/>
              <w:spacing w:before="6"/>
              <w:rPr>
                <w:rFonts w:ascii="Arial"/>
                <w:b/>
                <w:sz w:val="13"/>
              </w:rPr>
            </w:pPr>
          </w:p>
          <w:p>
            <w:pPr>
              <w:pStyle w:val="TableParagraph"/>
              <w:tabs>
                <w:tab w:pos="988" w:val="left" w:leader="none"/>
              </w:tabs>
              <w:ind w:left="255"/>
              <w:rPr>
                <w:rFonts w:ascii="Arial"/>
                <w:sz w:val="11"/>
              </w:rPr>
            </w:pPr>
            <w:r>
              <w:rPr>
                <w:rFonts w:ascii="Arial"/>
                <w:sz w:val="11"/>
              </w:rPr>
              <w:t>64%</w:t>
              <w:tab/>
              <w:t>65%</w:t>
            </w:r>
          </w:p>
        </w:tc>
        <w:tc>
          <w:tcPr>
            <w:tcW w:w="734" w:type="dxa"/>
            <w:shd w:val="clear" w:color="auto" w:fill="F3F8F8"/>
          </w:tcPr>
          <w:p>
            <w:pPr>
              <w:pStyle w:val="TableParagraph"/>
              <w:spacing w:before="6"/>
              <w:rPr>
                <w:rFonts w:ascii="Arial"/>
                <w:b/>
                <w:sz w:val="13"/>
              </w:rPr>
            </w:pPr>
          </w:p>
          <w:p>
            <w:pPr>
              <w:pStyle w:val="TableParagraph"/>
              <w:ind w:left="238" w:right="235"/>
              <w:jc w:val="center"/>
              <w:rPr>
                <w:rFonts w:ascii="Arial"/>
                <w:sz w:val="11"/>
              </w:rPr>
            </w:pPr>
            <w:r>
              <w:rPr>
                <w:rFonts w:ascii="Arial"/>
                <w:sz w:val="11"/>
              </w:rPr>
              <w:t>34%</w:t>
            </w:r>
          </w:p>
        </w:tc>
        <w:tc>
          <w:tcPr>
            <w:tcW w:w="732" w:type="dxa"/>
            <w:shd w:val="clear" w:color="auto" w:fill="C0E3CA"/>
          </w:tcPr>
          <w:p>
            <w:pPr>
              <w:pStyle w:val="TableParagraph"/>
              <w:spacing w:before="6"/>
              <w:rPr>
                <w:rFonts w:ascii="Arial"/>
                <w:b/>
                <w:sz w:val="13"/>
              </w:rPr>
            </w:pPr>
          </w:p>
          <w:p>
            <w:pPr>
              <w:pStyle w:val="TableParagraph"/>
              <w:ind w:left="236" w:right="234"/>
              <w:jc w:val="center"/>
              <w:rPr>
                <w:rFonts w:ascii="Arial"/>
                <w:sz w:val="11"/>
              </w:rPr>
            </w:pPr>
            <w:r>
              <w:rPr>
                <w:rFonts w:ascii="Arial"/>
                <w:sz w:val="11"/>
              </w:rPr>
              <w:t>45%</w:t>
            </w:r>
          </w:p>
        </w:tc>
        <w:tc>
          <w:tcPr>
            <w:tcW w:w="733" w:type="dxa"/>
            <w:shd w:val="clear" w:color="auto" w:fill="FAD9DC"/>
          </w:tcPr>
          <w:p>
            <w:pPr>
              <w:pStyle w:val="TableParagraph"/>
              <w:spacing w:before="6"/>
              <w:rPr>
                <w:rFonts w:ascii="Arial"/>
                <w:b/>
                <w:sz w:val="13"/>
              </w:rPr>
            </w:pPr>
          </w:p>
          <w:p>
            <w:pPr>
              <w:pStyle w:val="TableParagraph"/>
              <w:ind w:left="235" w:right="233"/>
              <w:jc w:val="center"/>
              <w:rPr>
                <w:rFonts w:ascii="Arial"/>
                <w:sz w:val="11"/>
              </w:rPr>
            </w:pPr>
            <w:r>
              <w:rPr>
                <w:rFonts w:ascii="Arial"/>
                <w:sz w:val="11"/>
              </w:rPr>
              <w:t>25%</w:t>
            </w:r>
          </w:p>
        </w:tc>
        <w:tc>
          <w:tcPr>
            <w:tcW w:w="732" w:type="dxa"/>
            <w:shd w:val="clear" w:color="auto" w:fill="9FD6AF"/>
          </w:tcPr>
          <w:p>
            <w:pPr>
              <w:pStyle w:val="TableParagraph"/>
              <w:spacing w:before="6"/>
              <w:rPr>
                <w:rFonts w:ascii="Arial"/>
                <w:b/>
                <w:sz w:val="13"/>
              </w:rPr>
            </w:pPr>
          </w:p>
          <w:p>
            <w:pPr>
              <w:pStyle w:val="TableParagraph"/>
              <w:ind w:left="255"/>
              <w:rPr>
                <w:rFonts w:ascii="Arial"/>
                <w:sz w:val="11"/>
              </w:rPr>
            </w:pPr>
            <w:r>
              <w:rPr>
                <w:rFonts w:ascii="Arial"/>
                <w:sz w:val="11"/>
              </w:rPr>
              <w:t>52%</w:t>
            </w:r>
          </w:p>
        </w:tc>
      </w:tr>
      <w:tr>
        <w:trPr>
          <w:trHeight w:val="303" w:hRule="atLeast"/>
        </w:trPr>
        <w:tc>
          <w:tcPr>
            <w:tcW w:w="989" w:type="dxa"/>
            <w:vMerge/>
            <w:tcBorders>
              <w:top w:val="nil"/>
              <w:left w:val="single" w:sz="2" w:space="0" w:color="D3D3D3"/>
              <w:bottom w:val="double" w:sz="1" w:space="0" w:color="5B9BD4"/>
              <w:right w:val="single" w:sz="2" w:space="0" w:color="D3D3D3"/>
            </w:tcBorders>
          </w:tcPr>
          <w:p>
            <w:pPr>
              <w:rPr>
                <w:sz w:val="2"/>
                <w:szCs w:val="2"/>
              </w:rPr>
            </w:pPr>
          </w:p>
        </w:tc>
        <w:tc>
          <w:tcPr>
            <w:tcW w:w="1531" w:type="dxa"/>
            <w:tcBorders>
              <w:top w:val="double" w:sz="1" w:space="0" w:color="5B9BD4"/>
              <w:left w:val="single" w:sz="2" w:space="0" w:color="D3D3D3"/>
              <w:bottom w:val="double" w:sz="1" w:space="0" w:color="5B9BD4"/>
            </w:tcBorders>
          </w:tcPr>
          <w:p>
            <w:pPr>
              <w:pStyle w:val="TableParagraph"/>
              <w:spacing w:before="4"/>
              <w:rPr>
                <w:rFonts w:ascii="Arial"/>
                <w:b/>
                <w:sz w:val="13"/>
              </w:rPr>
            </w:pPr>
          </w:p>
          <w:p>
            <w:pPr>
              <w:pStyle w:val="TableParagraph"/>
              <w:spacing w:line="130" w:lineRule="exact" w:before="0"/>
              <w:ind w:left="18"/>
              <w:rPr>
                <w:b/>
                <w:sz w:val="12"/>
              </w:rPr>
            </w:pPr>
            <w:r>
              <w:rPr>
                <w:b/>
                <w:sz w:val="12"/>
              </w:rPr>
              <w:t>c. Resilience of Strategy</w:t>
            </w:r>
          </w:p>
        </w:tc>
        <w:tc>
          <w:tcPr>
            <w:tcW w:w="733" w:type="dxa"/>
            <w:shd w:val="clear" w:color="auto" w:fill="F9C1C3"/>
          </w:tcPr>
          <w:p>
            <w:pPr>
              <w:pStyle w:val="TableParagraph"/>
              <w:spacing w:before="7"/>
              <w:rPr>
                <w:rFonts w:ascii="Arial"/>
                <w:b/>
                <w:sz w:val="13"/>
              </w:rPr>
            </w:pPr>
          </w:p>
          <w:p>
            <w:pPr>
              <w:pStyle w:val="TableParagraph"/>
              <w:spacing w:before="0"/>
              <w:ind w:left="237" w:right="232"/>
              <w:jc w:val="center"/>
              <w:rPr>
                <w:rFonts w:ascii="Arial"/>
                <w:sz w:val="11"/>
              </w:rPr>
            </w:pPr>
            <w:r>
              <w:rPr>
                <w:rFonts w:ascii="Arial"/>
                <w:sz w:val="11"/>
              </w:rPr>
              <w:t>20%</w:t>
            </w:r>
          </w:p>
        </w:tc>
        <w:tc>
          <w:tcPr>
            <w:tcW w:w="2198" w:type="dxa"/>
            <w:gridSpan w:val="3"/>
            <w:shd w:val="clear" w:color="auto" w:fill="F89EA0"/>
          </w:tcPr>
          <w:p>
            <w:pPr>
              <w:pStyle w:val="TableParagraph"/>
              <w:spacing w:before="7"/>
              <w:rPr>
                <w:rFonts w:ascii="Arial"/>
                <w:b/>
                <w:sz w:val="13"/>
              </w:rPr>
            </w:pPr>
          </w:p>
          <w:p>
            <w:pPr>
              <w:pStyle w:val="TableParagraph"/>
              <w:tabs>
                <w:tab w:pos="989" w:val="left" w:leader="none"/>
                <w:tab w:pos="1722" w:val="left" w:leader="none"/>
              </w:tabs>
              <w:spacing w:before="0"/>
              <w:ind w:left="256"/>
              <w:rPr>
                <w:rFonts w:ascii="Arial"/>
                <w:sz w:val="11"/>
              </w:rPr>
            </w:pPr>
            <w:r>
              <w:rPr>
                <w:rFonts w:ascii="Arial"/>
                <w:sz w:val="11"/>
              </w:rPr>
              <w:t>12%</w:t>
              <w:tab/>
              <w:t>13%</w:t>
              <w:tab/>
              <w:t>12%</w:t>
            </w:r>
          </w:p>
        </w:tc>
        <w:tc>
          <w:tcPr>
            <w:tcW w:w="734" w:type="dxa"/>
            <w:shd w:val="clear" w:color="auto" w:fill="F87174"/>
          </w:tcPr>
          <w:p>
            <w:pPr>
              <w:pStyle w:val="TableParagraph"/>
              <w:spacing w:before="7"/>
              <w:rPr>
                <w:rFonts w:ascii="Arial"/>
                <w:b/>
                <w:sz w:val="13"/>
              </w:rPr>
            </w:pPr>
          </w:p>
          <w:p>
            <w:pPr>
              <w:pStyle w:val="TableParagraph"/>
              <w:spacing w:before="0"/>
              <w:ind w:left="234" w:right="235"/>
              <w:jc w:val="center"/>
              <w:rPr>
                <w:rFonts w:ascii="Arial"/>
                <w:sz w:val="11"/>
              </w:rPr>
            </w:pPr>
            <w:r>
              <w:rPr>
                <w:rFonts w:ascii="Arial"/>
                <w:sz w:val="11"/>
              </w:rPr>
              <w:t>5%</w:t>
            </w:r>
          </w:p>
        </w:tc>
        <w:tc>
          <w:tcPr>
            <w:tcW w:w="732" w:type="dxa"/>
            <w:shd w:val="clear" w:color="auto" w:fill="F87174"/>
          </w:tcPr>
          <w:p>
            <w:pPr>
              <w:pStyle w:val="TableParagraph"/>
              <w:spacing w:before="7"/>
              <w:rPr>
                <w:rFonts w:ascii="Arial"/>
                <w:b/>
                <w:sz w:val="13"/>
              </w:rPr>
            </w:pPr>
          </w:p>
          <w:p>
            <w:pPr>
              <w:pStyle w:val="TableParagraph"/>
              <w:spacing w:before="0"/>
              <w:ind w:left="233" w:right="234"/>
              <w:jc w:val="center"/>
              <w:rPr>
                <w:rFonts w:ascii="Arial"/>
                <w:sz w:val="11"/>
              </w:rPr>
            </w:pPr>
            <w:r>
              <w:rPr>
                <w:rFonts w:ascii="Arial"/>
                <w:sz w:val="11"/>
              </w:rPr>
              <w:t>4%</w:t>
            </w:r>
          </w:p>
        </w:tc>
        <w:tc>
          <w:tcPr>
            <w:tcW w:w="733" w:type="dxa"/>
            <w:shd w:val="clear" w:color="auto" w:fill="F87174"/>
          </w:tcPr>
          <w:p>
            <w:pPr>
              <w:pStyle w:val="TableParagraph"/>
              <w:spacing w:before="7"/>
              <w:rPr>
                <w:rFonts w:ascii="Arial"/>
                <w:b/>
                <w:sz w:val="13"/>
              </w:rPr>
            </w:pPr>
          </w:p>
          <w:p>
            <w:pPr>
              <w:pStyle w:val="TableParagraph"/>
              <w:spacing w:before="0"/>
              <w:ind w:left="232" w:right="233"/>
              <w:jc w:val="center"/>
              <w:rPr>
                <w:rFonts w:ascii="Arial"/>
                <w:sz w:val="11"/>
              </w:rPr>
            </w:pPr>
            <w:r>
              <w:rPr>
                <w:rFonts w:ascii="Arial"/>
                <w:sz w:val="11"/>
              </w:rPr>
              <w:t>2%</w:t>
            </w:r>
          </w:p>
        </w:tc>
        <w:tc>
          <w:tcPr>
            <w:tcW w:w="732" w:type="dxa"/>
            <w:shd w:val="clear" w:color="auto" w:fill="F87B7D"/>
          </w:tcPr>
          <w:p>
            <w:pPr>
              <w:pStyle w:val="TableParagraph"/>
              <w:spacing w:before="7"/>
              <w:rPr>
                <w:rFonts w:ascii="Arial"/>
                <w:b/>
                <w:sz w:val="13"/>
              </w:rPr>
            </w:pPr>
          </w:p>
          <w:p>
            <w:pPr>
              <w:pStyle w:val="TableParagraph"/>
              <w:spacing w:before="0"/>
              <w:ind w:left="284"/>
              <w:rPr>
                <w:rFonts w:ascii="Arial"/>
                <w:sz w:val="11"/>
              </w:rPr>
            </w:pPr>
            <w:r>
              <w:rPr>
                <w:rFonts w:ascii="Arial"/>
                <w:sz w:val="11"/>
              </w:rPr>
              <w:t>6%</w:t>
            </w:r>
          </w:p>
        </w:tc>
      </w:tr>
      <w:tr>
        <w:trPr>
          <w:trHeight w:val="302" w:hRule="atLeast"/>
        </w:trPr>
        <w:tc>
          <w:tcPr>
            <w:tcW w:w="989" w:type="dxa"/>
            <w:vMerge w:val="restart"/>
            <w:tcBorders>
              <w:top w:val="double" w:sz="1" w:space="0" w:color="5B9BD4"/>
              <w:left w:val="single" w:sz="2" w:space="0" w:color="D3D3D3"/>
              <w:bottom w:val="double" w:sz="1" w:space="0" w:color="5B9BD4"/>
              <w:right w:val="single" w:sz="2" w:space="0" w:color="D3D3D3"/>
            </w:tcBorders>
          </w:tcPr>
          <w:p>
            <w:pPr>
              <w:pStyle w:val="TableParagraph"/>
              <w:spacing w:before="0"/>
              <w:ind w:left="18"/>
              <w:rPr>
                <w:b/>
                <w:sz w:val="12"/>
              </w:rPr>
            </w:pPr>
            <w:r>
              <w:rPr>
                <w:b/>
                <w:sz w:val="12"/>
              </w:rPr>
              <w:t>Risk Management</w:t>
            </w:r>
          </w:p>
        </w:tc>
        <w:tc>
          <w:tcPr>
            <w:tcW w:w="1531" w:type="dxa"/>
            <w:tcBorders>
              <w:top w:val="double" w:sz="1" w:space="0" w:color="5B9BD4"/>
              <w:left w:val="single" w:sz="2" w:space="0" w:color="D3D3D3"/>
              <w:bottom w:val="double" w:sz="1" w:space="0" w:color="5B9BD4"/>
            </w:tcBorders>
          </w:tcPr>
          <w:p>
            <w:pPr>
              <w:pStyle w:val="TableParagraph"/>
              <w:spacing w:line="143" w:lineRule="exact" w:before="0"/>
              <w:ind w:left="18"/>
              <w:rPr>
                <w:b/>
                <w:sz w:val="12"/>
              </w:rPr>
            </w:pPr>
            <w:r>
              <w:rPr>
                <w:b/>
                <w:sz w:val="12"/>
              </w:rPr>
              <w:t>a. Risk ID and Assessment</w:t>
            </w:r>
          </w:p>
          <w:p>
            <w:pPr>
              <w:pStyle w:val="TableParagraph"/>
              <w:spacing w:line="129" w:lineRule="exact" w:before="11"/>
              <w:ind w:left="18"/>
              <w:rPr>
                <w:b/>
                <w:sz w:val="12"/>
              </w:rPr>
            </w:pPr>
            <w:r>
              <w:rPr>
                <w:b/>
                <w:sz w:val="12"/>
              </w:rPr>
              <w:t>Processes</w:t>
            </w:r>
          </w:p>
        </w:tc>
        <w:tc>
          <w:tcPr>
            <w:tcW w:w="733" w:type="dxa"/>
            <w:shd w:val="clear" w:color="auto" w:fill="9FD6AF"/>
          </w:tcPr>
          <w:p>
            <w:pPr>
              <w:pStyle w:val="TableParagraph"/>
              <w:spacing w:before="6"/>
              <w:rPr>
                <w:rFonts w:ascii="Arial"/>
                <w:b/>
                <w:sz w:val="13"/>
              </w:rPr>
            </w:pPr>
          </w:p>
          <w:p>
            <w:pPr>
              <w:pStyle w:val="TableParagraph"/>
              <w:ind w:left="237" w:right="232"/>
              <w:jc w:val="center"/>
              <w:rPr>
                <w:rFonts w:ascii="Arial"/>
                <w:sz w:val="11"/>
              </w:rPr>
            </w:pPr>
            <w:r>
              <w:rPr>
                <w:rFonts w:ascii="Arial"/>
                <w:sz w:val="11"/>
              </w:rPr>
              <w:t>52%</w:t>
            </w:r>
          </w:p>
        </w:tc>
        <w:tc>
          <w:tcPr>
            <w:tcW w:w="734" w:type="dxa"/>
            <w:vMerge w:val="restart"/>
            <w:shd w:val="clear" w:color="auto" w:fill="F8FAFB"/>
          </w:tcPr>
          <w:p>
            <w:pPr>
              <w:pStyle w:val="TableParagraph"/>
              <w:spacing w:before="6"/>
              <w:rPr>
                <w:rFonts w:ascii="Arial"/>
                <w:b/>
                <w:sz w:val="13"/>
              </w:rPr>
            </w:pPr>
          </w:p>
          <w:p>
            <w:pPr>
              <w:pStyle w:val="TableParagraph"/>
              <w:ind w:left="238" w:right="235"/>
              <w:jc w:val="center"/>
              <w:rPr>
                <w:rFonts w:ascii="Arial"/>
                <w:sz w:val="11"/>
              </w:rPr>
            </w:pPr>
            <w:r>
              <w:rPr>
                <w:rFonts w:ascii="Arial"/>
                <w:sz w:val="11"/>
              </w:rPr>
              <w:t>30%</w:t>
            </w:r>
          </w:p>
          <w:p>
            <w:pPr>
              <w:pStyle w:val="TableParagraph"/>
              <w:spacing w:before="8"/>
              <w:rPr>
                <w:rFonts w:ascii="Arial"/>
                <w:b/>
                <w:sz w:val="16"/>
              </w:rPr>
            </w:pPr>
          </w:p>
          <w:p>
            <w:pPr>
              <w:pStyle w:val="TableParagraph"/>
              <w:spacing w:before="0"/>
              <w:ind w:left="238" w:right="235"/>
              <w:jc w:val="center"/>
              <w:rPr>
                <w:rFonts w:ascii="Arial"/>
                <w:sz w:val="11"/>
              </w:rPr>
            </w:pPr>
            <w:r>
              <w:rPr>
                <w:rFonts w:ascii="Arial"/>
                <w:sz w:val="11"/>
              </w:rPr>
              <w:t>33%</w:t>
            </w:r>
          </w:p>
        </w:tc>
        <w:tc>
          <w:tcPr>
            <w:tcW w:w="733" w:type="dxa"/>
            <w:shd w:val="clear" w:color="auto" w:fill="E0F0E7"/>
          </w:tcPr>
          <w:p>
            <w:pPr>
              <w:pStyle w:val="TableParagraph"/>
              <w:spacing w:before="6"/>
              <w:rPr>
                <w:rFonts w:ascii="Arial"/>
                <w:b/>
                <w:sz w:val="13"/>
              </w:rPr>
            </w:pPr>
          </w:p>
          <w:p>
            <w:pPr>
              <w:pStyle w:val="TableParagraph"/>
              <w:ind w:left="255"/>
              <w:rPr>
                <w:rFonts w:ascii="Arial"/>
                <w:sz w:val="11"/>
              </w:rPr>
            </w:pPr>
            <w:r>
              <w:rPr>
                <w:rFonts w:ascii="Arial"/>
                <w:sz w:val="11"/>
              </w:rPr>
              <w:t>38%</w:t>
            </w:r>
          </w:p>
        </w:tc>
        <w:tc>
          <w:tcPr>
            <w:tcW w:w="731" w:type="dxa"/>
            <w:vMerge w:val="restart"/>
            <w:shd w:val="clear" w:color="auto" w:fill="DCEEE2"/>
          </w:tcPr>
          <w:p>
            <w:pPr>
              <w:pStyle w:val="TableParagraph"/>
              <w:spacing w:before="6"/>
              <w:rPr>
                <w:rFonts w:ascii="Arial"/>
                <w:b/>
                <w:sz w:val="13"/>
              </w:rPr>
            </w:pPr>
          </w:p>
          <w:p>
            <w:pPr>
              <w:pStyle w:val="TableParagraph"/>
              <w:ind w:left="236" w:right="233"/>
              <w:jc w:val="center"/>
              <w:rPr>
                <w:rFonts w:ascii="Arial"/>
                <w:sz w:val="11"/>
              </w:rPr>
            </w:pPr>
            <w:r>
              <w:rPr>
                <w:rFonts w:ascii="Arial"/>
                <w:sz w:val="11"/>
              </w:rPr>
              <w:t>41%</w:t>
            </w:r>
          </w:p>
          <w:p>
            <w:pPr>
              <w:pStyle w:val="TableParagraph"/>
              <w:spacing w:before="8"/>
              <w:rPr>
                <w:rFonts w:ascii="Arial"/>
                <w:b/>
                <w:sz w:val="16"/>
              </w:rPr>
            </w:pPr>
          </w:p>
          <w:p>
            <w:pPr>
              <w:pStyle w:val="TableParagraph"/>
              <w:spacing w:before="0"/>
              <w:ind w:left="236" w:right="233"/>
              <w:jc w:val="center"/>
              <w:rPr>
                <w:rFonts w:ascii="Arial"/>
                <w:sz w:val="11"/>
              </w:rPr>
            </w:pPr>
            <w:r>
              <w:rPr>
                <w:rFonts w:ascii="Arial"/>
                <w:sz w:val="11"/>
              </w:rPr>
              <w:t>39%</w:t>
            </w:r>
          </w:p>
        </w:tc>
        <w:tc>
          <w:tcPr>
            <w:tcW w:w="734" w:type="dxa"/>
            <w:shd w:val="clear" w:color="auto" w:fill="F9D3D6"/>
          </w:tcPr>
          <w:p>
            <w:pPr>
              <w:pStyle w:val="TableParagraph"/>
              <w:spacing w:before="6"/>
              <w:rPr>
                <w:rFonts w:ascii="Arial"/>
                <w:b/>
                <w:sz w:val="13"/>
              </w:rPr>
            </w:pPr>
          </w:p>
          <w:p>
            <w:pPr>
              <w:pStyle w:val="TableParagraph"/>
              <w:ind w:left="238" w:right="235"/>
              <w:jc w:val="center"/>
              <w:rPr>
                <w:rFonts w:ascii="Arial"/>
                <w:sz w:val="11"/>
              </w:rPr>
            </w:pPr>
            <w:r>
              <w:rPr>
                <w:rFonts w:ascii="Arial"/>
                <w:sz w:val="11"/>
              </w:rPr>
              <w:t>23%</w:t>
            </w:r>
          </w:p>
        </w:tc>
        <w:tc>
          <w:tcPr>
            <w:tcW w:w="732" w:type="dxa"/>
            <w:shd w:val="clear" w:color="auto" w:fill="F9D3D6"/>
          </w:tcPr>
          <w:p>
            <w:pPr>
              <w:pStyle w:val="TableParagraph"/>
              <w:spacing w:before="6"/>
              <w:rPr>
                <w:rFonts w:ascii="Arial"/>
                <w:b/>
                <w:sz w:val="13"/>
              </w:rPr>
            </w:pPr>
          </w:p>
          <w:p>
            <w:pPr>
              <w:pStyle w:val="TableParagraph"/>
              <w:ind w:left="236" w:right="234"/>
              <w:jc w:val="center"/>
              <w:rPr>
                <w:rFonts w:ascii="Arial"/>
                <w:sz w:val="11"/>
              </w:rPr>
            </w:pPr>
            <w:r>
              <w:rPr>
                <w:rFonts w:ascii="Arial"/>
                <w:sz w:val="11"/>
              </w:rPr>
              <w:t>24%</w:t>
            </w:r>
          </w:p>
        </w:tc>
        <w:tc>
          <w:tcPr>
            <w:tcW w:w="733" w:type="dxa"/>
            <w:shd w:val="clear" w:color="auto" w:fill="F9D3D6"/>
          </w:tcPr>
          <w:p>
            <w:pPr>
              <w:pStyle w:val="TableParagraph"/>
              <w:spacing w:before="6"/>
              <w:rPr>
                <w:rFonts w:ascii="Arial"/>
                <w:b/>
                <w:sz w:val="13"/>
              </w:rPr>
            </w:pPr>
          </w:p>
          <w:p>
            <w:pPr>
              <w:pStyle w:val="TableParagraph"/>
              <w:ind w:left="235" w:right="233"/>
              <w:jc w:val="center"/>
              <w:rPr>
                <w:rFonts w:ascii="Arial"/>
                <w:sz w:val="11"/>
              </w:rPr>
            </w:pPr>
            <w:r>
              <w:rPr>
                <w:rFonts w:ascii="Arial"/>
                <w:sz w:val="11"/>
              </w:rPr>
              <w:t>24%</w:t>
            </w:r>
          </w:p>
        </w:tc>
        <w:tc>
          <w:tcPr>
            <w:tcW w:w="732" w:type="dxa"/>
            <w:shd w:val="clear" w:color="auto" w:fill="F9D3D6"/>
          </w:tcPr>
          <w:p>
            <w:pPr>
              <w:pStyle w:val="TableParagraph"/>
              <w:spacing w:before="6"/>
              <w:rPr>
                <w:rFonts w:ascii="Arial"/>
                <w:b/>
                <w:sz w:val="13"/>
              </w:rPr>
            </w:pPr>
          </w:p>
          <w:p>
            <w:pPr>
              <w:pStyle w:val="TableParagraph"/>
              <w:ind w:left="255"/>
              <w:rPr>
                <w:rFonts w:ascii="Arial"/>
                <w:sz w:val="11"/>
              </w:rPr>
            </w:pPr>
            <w:r>
              <w:rPr>
                <w:rFonts w:ascii="Arial"/>
                <w:sz w:val="11"/>
              </w:rPr>
              <w:t>22%</w:t>
            </w:r>
          </w:p>
        </w:tc>
      </w:tr>
      <w:tr>
        <w:trPr>
          <w:trHeight w:val="304" w:hRule="atLeast"/>
        </w:trPr>
        <w:tc>
          <w:tcPr>
            <w:tcW w:w="989" w:type="dxa"/>
            <w:vMerge/>
            <w:tcBorders>
              <w:top w:val="nil"/>
              <w:left w:val="single" w:sz="2" w:space="0" w:color="D3D3D3"/>
              <w:bottom w:val="double" w:sz="1" w:space="0" w:color="5B9BD4"/>
              <w:right w:val="single" w:sz="2" w:space="0" w:color="D3D3D3"/>
            </w:tcBorders>
          </w:tcPr>
          <w:p>
            <w:pPr>
              <w:rPr>
                <w:sz w:val="2"/>
                <w:szCs w:val="2"/>
              </w:rPr>
            </w:pPr>
          </w:p>
        </w:tc>
        <w:tc>
          <w:tcPr>
            <w:tcW w:w="1531" w:type="dxa"/>
            <w:tcBorders>
              <w:top w:val="double" w:sz="1" w:space="0" w:color="5B9BD4"/>
              <w:left w:val="single" w:sz="2" w:space="0" w:color="D3D3D3"/>
              <w:bottom w:val="double" w:sz="1" w:space="0" w:color="5B9BD4"/>
            </w:tcBorders>
          </w:tcPr>
          <w:p>
            <w:pPr>
              <w:pStyle w:val="TableParagraph"/>
              <w:spacing w:line="144" w:lineRule="exact" w:before="0"/>
              <w:ind w:left="18"/>
              <w:rPr>
                <w:b/>
                <w:sz w:val="12"/>
              </w:rPr>
            </w:pPr>
            <w:r>
              <w:rPr>
                <w:b/>
                <w:sz w:val="12"/>
              </w:rPr>
              <w:t>b. Risk Management</w:t>
            </w:r>
          </w:p>
          <w:p>
            <w:pPr>
              <w:pStyle w:val="TableParagraph"/>
              <w:spacing w:line="130" w:lineRule="exact" w:before="10"/>
              <w:ind w:left="18"/>
              <w:rPr>
                <w:b/>
                <w:sz w:val="12"/>
              </w:rPr>
            </w:pPr>
            <w:r>
              <w:rPr>
                <w:b/>
                <w:sz w:val="12"/>
              </w:rPr>
              <w:t>Processes</w:t>
            </w:r>
          </w:p>
        </w:tc>
        <w:tc>
          <w:tcPr>
            <w:tcW w:w="733" w:type="dxa"/>
            <w:shd w:val="clear" w:color="auto" w:fill="BBE1C6"/>
          </w:tcPr>
          <w:p>
            <w:pPr>
              <w:pStyle w:val="TableParagraph"/>
              <w:spacing w:before="7"/>
              <w:rPr>
                <w:rFonts w:ascii="Arial"/>
                <w:b/>
                <w:sz w:val="13"/>
              </w:rPr>
            </w:pPr>
          </w:p>
          <w:p>
            <w:pPr>
              <w:pStyle w:val="TableParagraph"/>
              <w:ind w:left="237" w:right="232"/>
              <w:jc w:val="center"/>
              <w:rPr>
                <w:rFonts w:ascii="Arial"/>
                <w:sz w:val="11"/>
              </w:rPr>
            </w:pPr>
            <w:r>
              <w:rPr>
                <w:rFonts w:ascii="Arial"/>
                <w:sz w:val="11"/>
              </w:rPr>
              <w:t>46%</w:t>
            </w:r>
          </w:p>
        </w:tc>
        <w:tc>
          <w:tcPr>
            <w:tcW w:w="734" w:type="dxa"/>
            <w:vMerge/>
            <w:tcBorders>
              <w:top w:val="nil"/>
            </w:tcBorders>
            <w:shd w:val="clear" w:color="auto" w:fill="F8FAFB"/>
          </w:tcPr>
          <w:p>
            <w:pPr>
              <w:rPr>
                <w:sz w:val="2"/>
                <w:szCs w:val="2"/>
              </w:rPr>
            </w:pPr>
          </w:p>
        </w:tc>
        <w:tc>
          <w:tcPr>
            <w:tcW w:w="733" w:type="dxa"/>
            <w:shd w:val="clear" w:color="auto" w:fill="CEEAD7"/>
          </w:tcPr>
          <w:p>
            <w:pPr>
              <w:pStyle w:val="TableParagraph"/>
              <w:spacing w:before="7"/>
              <w:rPr>
                <w:rFonts w:ascii="Arial"/>
                <w:b/>
                <w:sz w:val="13"/>
              </w:rPr>
            </w:pPr>
          </w:p>
          <w:p>
            <w:pPr>
              <w:pStyle w:val="TableParagraph"/>
              <w:spacing w:before="0"/>
              <w:ind w:left="255"/>
              <w:rPr>
                <w:rFonts w:ascii="Arial"/>
                <w:sz w:val="11"/>
              </w:rPr>
            </w:pPr>
            <w:r>
              <w:rPr>
                <w:rFonts w:ascii="Arial"/>
                <w:sz w:val="11"/>
              </w:rPr>
              <w:t>42%</w:t>
            </w:r>
          </w:p>
        </w:tc>
        <w:tc>
          <w:tcPr>
            <w:tcW w:w="731" w:type="dxa"/>
            <w:vMerge/>
            <w:tcBorders>
              <w:top w:val="nil"/>
            </w:tcBorders>
            <w:shd w:val="clear" w:color="auto" w:fill="DCEEE2"/>
          </w:tcPr>
          <w:p>
            <w:pPr>
              <w:rPr>
                <w:sz w:val="2"/>
                <w:szCs w:val="2"/>
              </w:rPr>
            </w:pPr>
          </w:p>
        </w:tc>
        <w:tc>
          <w:tcPr>
            <w:tcW w:w="734" w:type="dxa"/>
            <w:shd w:val="clear" w:color="auto" w:fill="F9B1B5"/>
          </w:tcPr>
          <w:p>
            <w:pPr>
              <w:pStyle w:val="TableParagraph"/>
              <w:spacing w:before="7"/>
              <w:rPr>
                <w:rFonts w:ascii="Arial"/>
                <w:b/>
                <w:sz w:val="13"/>
              </w:rPr>
            </w:pPr>
          </w:p>
          <w:p>
            <w:pPr>
              <w:pStyle w:val="TableParagraph"/>
              <w:spacing w:before="0"/>
              <w:ind w:left="238" w:right="235"/>
              <w:jc w:val="center"/>
              <w:rPr>
                <w:rFonts w:ascii="Arial"/>
                <w:sz w:val="11"/>
              </w:rPr>
            </w:pPr>
            <w:r>
              <w:rPr>
                <w:rFonts w:ascii="Arial"/>
                <w:sz w:val="11"/>
              </w:rPr>
              <w:t>17%</w:t>
            </w:r>
          </w:p>
        </w:tc>
        <w:tc>
          <w:tcPr>
            <w:tcW w:w="732" w:type="dxa"/>
            <w:shd w:val="clear" w:color="auto" w:fill="FADEE0"/>
          </w:tcPr>
          <w:p>
            <w:pPr>
              <w:pStyle w:val="TableParagraph"/>
              <w:spacing w:before="7"/>
              <w:rPr>
                <w:rFonts w:ascii="Arial"/>
                <w:b/>
                <w:sz w:val="13"/>
              </w:rPr>
            </w:pPr>
          </w:p>
          <w:p>
            <w:pPr>
              <w:pStyle w:val="TableParagraph"/>
              <w:spacing w:before="0"/>
              <w:ind w:left="236" w:right="234"/>
              <w:jc w:val="center"/>
              <w:rPr>
                <w:rFonts w:ascii="Arial"/>
                <w:sz w:val="11"/>
              </w:rPr>
            </w:pPr>
            <w:r>
              <w:rPr>
                <w:rFonts w:ascii="Arial"/>
                <w:sz w:val="11"/>
              </w:rPr>
              <w:t>26%</w:t>
            </w:r>
          </w:p>
        </w:tc>
        <w:tc>
          <w:tcPr>
            <w:tcW w:w="733" w:type="dxa"/>
            <w:vMerge w:val="restart"/>
            <w:shd w:val="clear" w:color="auto" w:fill="F9B1B5"/>
          </w:tcPr>
          <w:p>
            <w:pPr>
              <w:pStyle w:val="TableParagraph"/>
              <w:spacing w:before="7"/>
              <w:rPr>
                <w:rFonts w:ascii="Arial"/>
                <w:b/>
                <w:sz w:val="13"/>
              </w:rPr>
            </w:pPr>
          </w:p>
          <w:p>
            <w:pPr>
              <w:pStyle w:val="TableParagraph"/>
              <w:spacing w:before="0"/>
              <w:ind w:left="235" w:right="233"/>
              <w:jc w:val="center"/>
              <w:rPr>
                <w:rFonts w:ascii="Arial"/>
                <w:sz w:val="11"/>
              </w:rPr>
            </w:pPr>
            <w:r>
              <w:rPr>
                <w:rFonts w:ascii="Arial"/>
                <w:sz w:val="11"/>
              </w:rPr>
              <w:t>19%</w:t>
            </w:r>
          </w:p>
          <w:p>
            <w:pPr>
              <w:pStyle w:val="TableParagraph"/>
              <w:spacing w:before="8"/>
              <w:rPr>
                <w:rFonts w:ascii="Arial"/>
                <w:b/>
                <w:sz w:val="16"/>
              </w:rPr>
            </w:pPr>
          </w:p>
          <w:p>
            <w:pPr>
              <w:pStyle w:val="TableParagraph"/>
              <w:spacing w:before="0"/>
              <w:ind w:left="235" w:right="233"/>
              <w:jc w:val="center"/>
              <w:rPr>
                <w:rFonts w:ascii="Arial"/>
                <w:sz w:val="11"/>
              </w:rPr>
            </w:pPr>
            <w:r>
              <w:rPr>
                <w:rFonts w:ascii="Arial"/>
                <w:sz w:val="11"/>
              </w:rPr>
              <w:t>17%</w:t>
            </w:r>
          </w:p>
        </w:tc>
        <w:tc>
          <w:tcPr>
            <w:tcW w:w="732" w:type="dxa"/>
            <w:shd w:val="clear" w:color="auto" w:fill="F9CFD2"/>
          </w:tcPr>
          <w:p>
            <w:pPr>
              <w:pStyle w:val="TableParagraph"/>
              <w:spacing w:before="7"/>
              <w:rPr>
                <w:rFonts w:ascii="Arial"/>
                <w:b/>
                <w:sz w:val="13"/>
              </w:rPr>
            </w:pPr>
          </w:p>
          <w:p>
            <w:pPr>
              <w:pStyle w:val="TableParagraph"/>
              <w:spacing w:before="0"/>
              <w:ind w:left="255"/>
              <w:rPr>
                <w:rFonts w:ascii="Arial"/>
                <w:sz w:val="11"/>
              </w:rPr>
            </w:pPr>
            <w:r>
              <w:rPr>
                <w:rFonts w:ascii="Arial"/>
                <w:sz w:val="11"/>
              </w:rPr>
              <w:t>23%</w:t>
            </w:r>
          </w:p>
        </w:tc>
      </w:tr>
      <w:tr>
        <w:trPr>
          <w:trHeight w:val="303" w:hRule="atLeast"/>
        </w:trPr>
        <w:tc>
          <w:tcPr>
            <w:tcW w:w="989" w:type="dxa"/>
            <w:vMerge/>
            <w:tcBorders>
              <w:top w:val="nil"/>
              <w:left w:val="single" w:sz="2" w:space="0" w:color="D3D3D3"/>
              <w:bottom w:val="double" w:sz="1" w:space="0" w:color="5B9BD4"/>
              <w:right w:val="single" w:sz="2" w:space="0" w:color="D3D3D3"/>
            </w:tcBorders>
          </w:tcPr>
          <w:p>
            <w:pPr>
              <w:rPr>
                <w:sz w:val="2"/>
                <w:szCs w:val="2"/>
              </w:rPr>
            </w:pPr>
          </w:p>
        </w:tc>
        <w:tc>
          <w:tcPr>
            <w:tcW w:w="1531" w:type="dxa"/>
            <w:tcBorders>
              <w:top w:val="double" w:sz="1" w:space="0" w:color="5B9BD4"/>
              <w:left w:val="single" w:sz="2" w:space="0" w:color="D3D3D3"/>
              <w:bottom w:val="double" w:sz="1" w:space="0" w:color="5B9BD4"/>
            </w:tcBorders>
          </w:tcPr>
          <w:p>
            <w:pPr>
              <w:pStyle w:val="TableParagraph"/>
              <w:spacing w:line="143" w:lineRule="exact" w:before="0"/>
              <w:ind w:left="18"/>
              <w:rPr>
                <w:b/>
                <w:sz w:val="12"/>
              </w:rPr>
            </w:pPr>
            <w:r>
              <w:rPr>
                <w:b/>
                <w:sz w:val="12"/>
              </w:rPr>
              <w:t>c. Integration into overall</w:t>
            </w:r>
          </w:p>
          <w:p>
            <w:pPr>
              <w:pStyle w:val="TableParagraph"/>
              <w:spacing w:line="130" w:lineRule="exact" w:before="10"/>
              <w:ind w:left="18"/>
              <w:rPr>
                <w:b/>
                <w:sz w:val="12"/>
              </w:rPr>
            </w:pPr>
            <w:r>
              <w:rPr>
                <w:b/>
                <w:sz w:val="12"/>
              </w:rPr>
              <w:t>Risk Management</w:t>
            </w:r>
          </w:p>
        </w:tc>
        <w:tc>
          <w:tcPr>
            <w:tcW w:w="733" w:type="dxa"/>
            <w:shd w:val="clear" w:color="auto" w:fill="FBFBFF"/>
          </w:tcPr>
          <w:p>
            <w:pPr>
              <w:pStyle w:val="TableParagraph"/>
              <w:spacing w:before="6"/>
              <w:rPr>
                <w:rFonts w:ascii="Arial"/>
                <w:b/>
                <w:sz w:val="13"/>
              </w:rPr>
            </w:pPr>
          </w:p>
          <w:p>
            <w:pPr>
              <w:pStyle w:val="TableParagraph"/>
              <w:ind w:left="237" w:right="232"/>
              <w:jc w:val="center"/>
              <w:rPr>
                <w:rFonts w:ascii="Arial"/>
                <w:sz w:val="11"/>
              </w:rPr>
            </w:pPr>
            <w:r>
              <w:rPr>
                <w:rFonts w:ascii="Arial"/>
                <w:sz w:val="11"/>
              </w:rPr>
              <w:t>32%</w:t>
            </w:r>
          </w:p>
        </w:tc>
        <w:tc>
          <w:tcPr>
            <w:tcW w:w="734" w:type="dxa"/>
            <w:shd w:val="clear" w:color="auto" w:fill="F8ACAF"/>
          </w:tcPr>
          <w:p>
            <w:pPr>
              <w:pStyle w:val="TableParagraph"/>
              <w:spacing w:before="6"/>
              <w:rPr>
                <w:rFonts w:ascii="Arial"/>
                <w:b/>
                <w:sz w:val="13"/>
              </w:rPr>
            </w:pPr>
          </w:p>
          <w:p>
            <w:pPr>
              <w:pStyle w:val="TableParagraph"/>
              <w:ind w:left="238" w:right="235"/>
              <w:jc w:val="center"/>
              <w:rPr>
                <w:rFonts w:ascii="Arial"/>
                <w:sz w:val="11"/>
              </w:rPr>
            </w:pPr>
            <w:r>
              <w:rPr>
                <w:rFonts w:ascii="Arial"/>
                <w:sz w:val="11"/>
              </w:rPr>
              <w:t>16%</w:t>
            </w:r>
          </w:p>
        </w:tc>
        <w:tc>
          <w:tcPr>
            <w:tcW w:w="733" w:type="dxa"/>
            <w:shd w:val="clear" w:color="auto" w:fill="F9C5C7"/>
          </w:tcPr>
          <w:p>
            <w:pPr>
              <w:pStyle w:val="TableParagraph"/>
              <w:spacing w:before="6"/>
              <w:rPr>
                <w:rFonts w:ascii="Arial"/>
                <w:b/>
                <w:sz w:val="13"/>
              </w:rPr>
            </w:pPr>
          </w:p>
          <w:p>
            <w:pPr>
              <w:pStyle w:val="TableParagraph"/>
              <w:ind w:left="255"/>
              <w:rPr>
                <w:rFonts w:ascii="Arial"/>
                <w:sz w:val="11"/>
              </w:rPr>
            </w:pPr>
            <w:r>
              <w:rPr>
                <w:rFonts w:ascii="Arial"/>
                <w:sz w:val="11"/>
              </w:rPr>
              <w:t>21%</w:t>
            </w:r>
          </w:p>
        </w:tc>
        <w:tc>
          <w:tcPr>
            <w:tcW w:w="731" w:type="dxa"/>
            <w:shd w:val="clear" w:color="auto" w:fill="F9B7B8"/>
          </w:tcPr>
          <w:p>
            <w:pPr>
              <w:pStyle w:val="TableParagraph"/>
              <w:spacing w:before="6"/>
              <w:rPr>
                <w:rFonts w:ascii="Arial"/>
                <w:b/>
                <w:sz w:val="13"/>
              </w:rPr>
            </w:pPr>
          </w:p>
          <w:p>
            <w:pPr>
              <w:pStyle w:val="TableParagraph"/>
              <w:ind w:left="236" w:right="233"/>
              <w:jc w:val="center"/>
              <w:rPr>
                <w:rFonts w:ascii="Arial"/>
                <w:sz w:val="11"/>
              </w:rPr>
            </w:pPr>
            <w:r>
              <w:rPr>
                <w:rFonts w:ascii="Arial"/>
                <w:sz w:val="11"/>
              </w:rPr>
              <w:t>18%</w:t>
            </w:r>
          </w:p>
        </w:tc>
        <w:tc>
          <w:tcPr>
            <w:tcW w:w="734" w:type="dxa"/>
            <w:shd w:val="clear" w:color="auto" w:fill="F88A8D"/>
          </w:tcPr>
          <w:p>
            <w:pPr>
              <w:pStyle w:val="TableParagraph"/>
              <w:spacing w:before="6"/>
              <w:rPr>
                <w:rFonts w:ascii="Arial"/>
                <w:b/>
                <w:sz w:val="13"/>
              </w:rPr>
            </w:pPr>
          </w:p>
          <w:p>
            <w:pPr>
              <w:pStyle w:val="TableParagraph"/>
              <w:ind w:left="238" w:right="235"/>
              <w:jc w:val="center"/>
              <w:rPr>
                <w:rFonts w:ascii="Arial"/>
                <w:sz w:val="11"/>
              </w:rPr>
            </w:pPr>
            <w:r>
              <w:rPr>
                <w:rFonts w:ascii="Arial"/>
                <w:sz w:val="11"/>
              </w:rPr>
              <w:t>11%</w:t>
            </w:r>
          </w:p>
        </w:tc>
        <w:tc>
          <w:tcPr>
            <w:tcW w:w="732" w:type="dxa"/>
            <w:shd w:val="clear" w:color="auto" w:fill="F88A8D"/>
          </w:tcPr>
          <w:p>
            <w:pPr>
              <w:pStyle w:val="TableParagraph"/>
              <w:spacing w:before="6"/>
              <w:rPr>
                <w:rFonts w:ascii="Arial"/>
                <w:b/>
                <w:sz w:val="13"/>
              </w:rPr>
            </w:pPr>
          </w:p>
          <w:p>
            <w:pPr>
              <w:pStyle w:val="TableParagraph"/>
              <w:ind w:left="233" w:right="234"/>
              <w:jc w:val="center"/>
              <w:rPr>
                <w:rFonts w:ascii="Arial"/>
                <w:sz w:val="11"/>
              </w:rPr>
            </w:pPr>
            <w:r>
              <w:rPr>
                <w:rFonts w:ascii="Arial"/>
                <w:sz w:val="11"/>
              </w:rPr>
              <w:t>9%</w:t>
            </w:r>
          </w:p>
        </w:tc>
        <w:tc>
          <w:tcPr>
            <w:tcW w:w="733" w:type="dxa"/>
            <w:vMerge/>
            <w:tcBorders>
              <w:top w:val="nil"/>
            </w:tcBorders>
            <w:shd w:val="clear" w:color="auto" w:fill="F9B1B5"/>
          </w:tcPr>
          <w:p>
            <w:pPr>
              <w:rPr>
                <w:sz w:val="2"/>
                <w:szCs w:val="2"/>
              </w:rPr>
            </w:pPr>
          </w:p>
        </w:tc>
        <w:tc>
          <w:tcPr>
            <w:tcW w:w="732" w:type="dxa"/>
            <w:shd w:val="clear" w:color="auto" w:fill="F9C5C7"/>
          </w:tcPr>
          <w:p>
            <w:pPr>
              <w:pStyle w:val="TableParagraph"/>
              <w:spacing w:before="6"/>
              <w:rPr>
                <w:rFonts w:ascii="Arial"/>
                <w:b/>
                <w:sz w:val="13"/>
              </w:rPr>
            </w:pPr>
          </w:p>
          <w:p>
            <w:pPr>
              <w:pStyle w:val="TableParagraph"/>
              <w:ind w:left="255"/>
              <w:rPr>
                <w:rFonts w:ascii="Arial"/>
                <w:sz w:val="11"/>
              </w:rPr>
            </w:pPr>
            <w:r>
              <w:rPr>
                <w:rFonts w:ascii="Arial"/>
                <w:sz w:val="11"/>
              </w:rPr>
              <w:t>21%</w:t>
            </w:r>
          </w:p>
        </w:tc>
      </w:tr>
      <w:tr>
        <w:trPr>
          <w:trHeight w:val="303" w:hRule="atLeast"/>
        </w:trPr>
        <w:tc>
          <w:tcPr>
            <w:tcW w:w="989" w:type="dxa"/>
            <w:vMerge w:val="restart"/>
            <w:tcBorders>
              <w:top w:val="double" w:sz="1" w:space="0" w:color="5B9BD4"/>
              <w:left w:val="single" w:sz="2" w:space="0" w:color="D3D3D3"/>
              <w:bottom w:val="single" w:sz="2" w:space="0" w:color="5B9BD4"/>
              <w:right w:val="single" w:sz="2" w:space="0" w:color="D3D3D3"/>
            </w:tcBorders>
          </w:tcPr>
          <w:p>
            <w:pPr>
              <w:pStyle w:val="TableParagraph"/>
              <w:spacing w:line="256" w:lineRule="auto" w:before="0"/>
              <w:ind w:left="18" w:right="353"/>
              <w:rPr>
                <w:b/>
                <w:sz w:val="12"/>
              </w:rPr>
            </w:pPr>
            <w:r>
              <w:rPr>
                <w:b/>
                <w:sz w:val="12"/>
              </w:rPr>
              <w:t>Metrics and Targets</w:t>
            </w:r>
          </w:p>
        </w:tc>
        <w:tc>
          <w:tcPr>
            <w:tcW w:w="1531" w:type="dxa"/>
            <w:tcBorders>
              <w:top w:val="double" w:sz="1" w:space="0" w:color="5B9BD4"/>
              <w:left w:val="single" w:sz="2" w:space="0" w:color="D3D3D3"/>
              <w:bottom w:val="double" w:sz="1" w:space="0" w:color="5B9BD4"/>
            </w:tcBorders>
          </w:tcPr>
          <w:p>
            <w:pPr>
              <w:pStyle w:val="TableParagraph"/>
              <w:spacing w:before="4"/>
              <w:rPr>
                <w:rFonts w:ascii="Arial"/>
                <w:b/>
                <w:sz w:val="13"/>
              </w:rPr>
            </w:pPr>
          </w:p>
          <w:p>
            <w:pPr>
              <w:pStyle w:val="TableParagraph"/>
              <w:spacing w:line="130" w:lineRule="exact" w:before="0"/>
              <w:ind w:left="18"/>
              <w:rPr>
                <w:b/>
                <w:sz w:val="12"/>
              </w:rPr>
            </w:pPr>
            <w:r>
              <w:rPr>
                <w:b/>
                <w:sz w:val="12"/>
              </w:rPr>
              <w:t>a. Climate-Related Metrics</w:t>
            </w:r>
          </w:p>
        </w:tc>
        <w:tc>
          <w:tcPr>
            <w:tcW w:w="733" w:type="dxa"/>
            <w:shd w:val="clear" w:color="auto" w:fill="A3D9B4"/>
          </w:tcPr>
          <w:p>
            <w:pPr>
              <w:pStyle w:val="TableParagraph"/>
              <w:spacing w:before="6"/>
              <w:rPr>
                <w:rFonts w:ascii="Arial"/>
                <w:b/>
                <w:sz w:val="13"/>
              </w:rPr>
            </w:pPr>
          </w:p>
          <w:p>
            <w:pPr>
              <w:pStyle w:val="TableParagraph"/>
              <w:ind w:left="237" w:right="232"/>
              <w:jc w:val="center"/>
              <w:rPr>
                <w:rFonts w:ascii="Arial"/>
                <w:sz w:val="11"/>
              </w:rPr>
            </w:pPr>
            <w:r>
              <w:rPr>
                <w:rFonts w:ascii="Arial"/>
                <w:sz w:val="11"/>
              </w:rPr>
              <w:t>51%</w:t>
            </w:r>
          </w:p>
        </w:tc>
        <w:tc>
          <w:tcPr>
            <w:tcW w:w="734" w:type="dxa"/>
            <w:shd w:val="clear" w:color="auto" w:fill="FAE2E6"/>
          </w:tcPr>
          <w:p>
            <w:pPr>
              <w:pStyle w:val="TableParagraph"/>
              <w:spacing w:before="6"/>
              <w:rPr>
                <w:rFonts w:ascii="Arial"/>
                <w:b/>
                <w:sz w:val="13"/>
              </w:rPr>
            </w:pPr>
          </w:p>
          <w:p>
            <w:pPr>
              <w:pStyle w:val="TableParagraph"/>
              <w:ind w:left="238" w:right="235"/>
              <w:jc w:val="center"/>
              <w:rPr>
                <w:rFonts w:ascii="Arial"/>
                <w:sz w:val="11"/>
              </w:rPr>
            </w:pPr>
            <w:r>
              <w:rPr>
                <w:rFonts w:ascii="Arial"/>
                <w:sz w:val="11"/>
              </w:rPr>
              <w:t>27%</w:t>
            </w:r>
          </w:p>
        </w:tc>
        <w:tc>
          <w:tcPr>
            <w:tcW w:w="733" w:type="dxa"/>
            <w:shd w:val="clear" w:color="auto" w:fill="ADDDBA"/>
          </w:tcPr>
          <w:p>
            <w:pPr>
              <w:pStyle w:val="TableParagraph"/>
              <w:spacing w:before="6"/>
              <w:rPr>
                <w:rFonts w:ascii="Arial"/>
                <w:b/>
                <w:sz w:val="13"/>
              </w:rPr>
            </w:pPr>
          </w:p>
          <w:p>
            <w:pPr>
              <w:pStyle w:val="TableParagraph"/>
              <w:ind w:left="255"/>
              <w:rPr>
                <w:rFonts w:ascii="Arial"/>
                <w:sz w:val="11"/>
              </w:rPr>
            </w:pPr>
            <w:r>
              <w:rPr>
                <w:rFonts w:ascii="Arial"/>
                <w:sz w:val="11"/>
              </w:rPr>
              <w:t>49%</w:t>
            </w:r>
          </w:p>
        </w:tc>
        <w:tc>
          <w:tcPr>
            <w:tcW w:w="731" w:type="dxa"/>
            <w:shd w:val="clear" w:color="auto" w:fill="6CC283"/>
          </w:tcPr>
          <w:p>
            <w:pPr>
              <w:pStyle w:val="TableParagraph"/>
              <w:spacing w:before="6"/>
              <w:rPr>
                <w:rFonts w:ascii="Arial"/>
                <w:b/>
                <w:sz w:val="13"/>
              </w:rPr>
            </w:pPr>
          </w:p>
          <w:p>
            <w:pPr>
              <w:pStyle w:val="TableParagraph"/>
              <w:ind w:left="236" w:right="233"/>
              <w:jc w:val="center"/>
              <w:rPr>
                <w:rFonts w:ascii="Arial"/>
                <w:sz w:val="11"/>
              </w:rPr>
            </w:pPr>
            <w:r>
              <w:rPr>
                <w:rFonts w:ascii="Arial"/>
                <w:sz w:val="11"/>
              </w:rPr>
              <w:t>63%</w:t>
            </w:r>
          </w:p>
        </w:tc>
        <w:tc>
          <w:tcPr>
            <w:tcW w:w="734" w:type="dxa"/>
            <w:shd w:val="clear" w:color="auto" w:fill="EAF5EF"/>
          </w:tcPr>
          <w:p>
            <w:pPr>
              <w:pStyle w:val="TableParagraph"/>
              <w:spacing w:before="6"/>
              <w:rPr>
                <w:rFonts w:ascii="Arial"/>
                <w:b/>
                <w:sz w:val="13"/>
              </w:rPr>
            </w:pPr>
          </w:p>
          <w:p>
            <w:pPr>
              <w:pStyle w:val="TableParagraph"/>
              <w:ind w:left="238" w:right="235"/>
              <w:jc w:val="center"/>
              <w:rPr>
                <w:rFonts w:ascii="Arial"/>
                <w:sz w:val="11"/>
              </w:rPr>
            </w:pPr>
            <w:r>
              <w:rPr>
                <w:rFonts w:ascii="Arial"/>
                <w:sz w:val="11"/>
              </w:rPr>
              <w:t>36%</w:t>
            </w:r>
          </w:p>
        </w:tc>
        <w:tc>
          <w:tcPr>
            <w:tcW w:w="732" w:type="dxa"/>
            <w:shd w:val="clear" w:color="auto" w:fill="C0E3CA"/>
          </w:tcPr>
          <w:p>
            <w:pPr>
              <w:pStyle w:val="TableParagraph"/>
              <w:spacing w:before="6"/>
              <w:rPr>
                <w:rFonts w:ascii="Arial"/>
                <w:b/>
                <w:sz w:val="13"/>
              </w:rPr>
            </w:pPr>
          </w:p>
          <w:p>
            <w:pPr>
              <w:pStyle w:val="TableParagraph"/>
              <w:ind w:left="236" w:right="234"/>
              <w:jc w:val="center"/>
              <w:rPr>
                <w:rFonts w:ascii="Arial"/>
                <w:sz w:val="11"/>
              </w:rPr>
            </w:pPr>
            <w:r>
              <w:rPr>
                <w:rFonts w:ascii="Arial"/>
                <w:sz w:val="11"/>
              </w:rPr>
              <w:t>45%</w:t>
            </w:r>
          </w:p>
        </w:tc>
        <w:tc>
          <w:tcPr>
            <w:tcW w:w="733" w:type="dxa"/>
            <w:shd w:val="clear" w:color="auto" w:fill="E4F3EB"/>
          </w:tcPr>
          <w:p>
            <w:pPr>
              <w:pStyle w:val="TableParagraph"/>
              <w:spacing w:before="6"/>
              <w:rPr>
                <w:rFonts w:ascii="Arial"/>
                <w:b/>
                <w:sz w:val="13"/>
              </w:rPr>
            </w:pPr>
          </w:p>
          <w:p>
            <w:pPr>
              <w:pStyle w:val="TableParagraph"/>
              <w:ind w:left="235" w:right="233"/>
              <w:jc w:val="center"/>
              <w:rPr>
                <w:rFonts w:ascii="Arial"/>
                <w:sz w:val="11"/>
              </w:rPr>
            </w:pPr>
            <w:r>
              <w:rPr>
                <w:rFonts w:ascii="Arial"/>
                <w:sz w:val="11"/>
              </w:rPr>
              <w:t>37%</w:t>
            </w:r>
          </w:p>
        </w:tc>
        <w:tc>
          <w:tcPr>
            <w:tcW w:w="732" w:type="dxa"/>
            <w:shd w:val="clear" w:color="auto" w:fill="92D1A2"/>
          </w:tcPr>
          <w:p>
            <w:pPr>
              <w:pStyle w:val="TableParagraph"/>
              <w:spacing w:before="6"/>
              <w:rPr>
                <w:rFonts w:ascii="Arial"/>
                <w:b/>
                <w:sz w:val="13"/>
              </w:rPr>
            </w:pPr>
          </w:p>
          <w:p>
            <w:pPr>
              <w:pStyle w:val="TableParagraph"/>
              <w:ind w:left="255"/>
              <w:rPr>
                <w:rFonts w:ascii="Arial"/>
                <w:sz w:val="11"/>
              </w:rPr>
            </w:pPr>
            <w:r>
              <w:rPr>
                <w:rFonts w:ascii="Arial"/>
                <w:sz w:val="11"/>
              </w:rPr>
              <w:t>55%</w:t>
            </w:r>
          </w:p>
        </w:tc>
      </w:tr>
      <w:tr>
        <w:trPr>
          <w:trHeight w:val="303" w:hRule="atLeast"/>
        </w:trPr>
        <w:tc>
          <w:tcPr>
            <w:tcW w:w="989" w:type="dxa"/>
            <w:vMerge/>
            <w:tcBorders>
              <w:top w:val="nil"/>
              <w:left w:val="single" w:sz="2" w:space="0" w:color="D3D3D3"/>
              <w:bottom w:val="single" w:sz="2" w:space="0" w:color="5B9BD4"/>
              <w:right w:val="single" w:sz="2" w:space="0" w:color="D3D3D3"/>
            </w:tcBorders>
          </w:tcPr>
          <w:p>
            <w:pPr>
              <w:rPr>
                <w:sz w:val="2"/>
                <w:szCs w:val="2"/>
              </w:rPr>
            </w:pPr>
          </w:p>
        </w:tc>
        <w:tc>
          <w:tcPr>
            <w:tcW w:w="1531" w:type="dxa"/>
            <w:tcBorders>
              <w:top w:val="double" w:sz="1" w:space="0" w:color="5B9BD4"/>
              <w:left w:val="single" w:sz="2" w:space="0" w:color="D3D3D3"/>
              <w:bottom w:val="double" w:sz="1" w:space="0" w:color="5B9BD4"/>
            </w:tcBorders>
          </w:tcPr>
          <w:p>
            <w:pPr>
              <w:pStyle w:val="TableParagraph"/>
              <w:spacing w:before="4"/>
              <w:rPr>
                <w:rFonts w:ascii="Arial"/>
                <w:b/>
                <w:sz w:val="13"/>
              </w:rPr>
            </w:pPr>
          </w:p>
          <w:p>
            <w:pPr>
              <w:pStyle w:val="TableParagraph"/>
              <w:spacing w:line="130" w:lineRule="exact" w:before="0"/>
              <w:ind w:left="18"/>
              <w:rPr>
                <w:b/>
                <w:sz w:val="12"/>
              </w:rPr>
            </w:pPr>
            <w:r>
              <w:rPr>
                <w:b/>
                <w:sz w:val="12"/>
              </w:rPr>
              <w:t>b. Scope 1,2,3 GHG Emissions</w:t>
            </w:r>
          </w:p>
        </w:tc>
        <w:tc>
          <w:tcPr>
            <w:tcW w:w="733" w:type="dxa"/>
            <w:shd w:val="clear" w:color="auto" w:fill="CEEAD7"/>
          </w:tcPr>
          <w:p>
            <w:pPr>
              <w:pStyle w:val="TableParagraph"/>
              <w:spacing w:before="6"/>
              <w:rPr>
                <w:rFonts w:ascii="Arial"/>
                <w:b/>
                <w:sz w:val="13"/>
              </w:rPr>
            </w:pPr>
          </w:p>
          <w:p>
            <w:pPr>
              <w:pStyle w:val="TableParagraph"/>
              <w:ind w:left="237" w:right="232"/>
              <w:jc w:val="center"/>
              <w:rPr>
                <w:rFonts w:ascii="Arial"/>
                <w:sz w:val="11"/>
              </w:rPr>
            </w:pPr>
            <w:r>
              <w:rPr>
                <w:rFonts w:ascii="Arial"/>
                <w:sz w:val="11"/>
              </w:rPr>
              <w:t>42%</w:t>
            </w:r>
          </w:p>
        </w:tc>
        <w:tc>
          <w:tcPr>
            <w:tcW w:w="734" w:type="dxa"/>
            <w:vMerge w:val="restart"/>
            <w:shd w:val="clear" w:color="auto" w:fill="F9D3D6"/>
          </w:tcPr>
          <w:p>
            <w:pPr>
              <w:pStyle w:val="TableParagraph"/>
              <w:spacing w:before="6"/>
              <w:rPr>
                <w:rFonts w:ascii="Arial"/>
                <w:b/>
                <w:sz w:val="13"/>
              </w:rPr>
            </w:pPr>
          </w:p>
          <w:p>
            <w:pPr>
              <w:pStyle w:val="TableParagraph"/>
              <w:ind w:left="238" w:right="235"/>
              <w:jc w:val="center"/>
              <w:rPr>
                <w:rFonts w:ascii="Arial"/>
                <w:sz w:val="11"/>
              </w:rPr>
            </w:pPr>
            <w:r>
              <w:rPr>
                <w:rFonts w:ascii="Arial"/>
                <w:sz w:val="11"/>
              </w:rPr>
              <w:t>22%</w:t>
            </w:r>
          </w:p>
          <w:p>
            <w:pPr>
              <w:pStyle w:val="TableParagraph"/>
              <w:spacing w:before="8"/>
              <w:rPr>
                <w:rFonts w:ascii="Arial"/>
                <w:b/>
                <w:sz w:val="16"/>
              </w:rPr>
            </w:pPr>
          </w:p>
          <w:p>
            <w:pPr>
              <w:pStyle w:val="TableParagraph"/>
              <w:spacing w:before="0"/>
              <w:ind w:left="238" w:right="235"/>
              <w:jc w:val="center"/>
              <w:rPr>
                <w:rFonts w:ascii="Arial"/>
                <w:sz w:val="11"/>
              </w:rPr>
            </w:pPr>
            <w:r>
              <w:rPr>
                <w:rFonts w:ascii="Arial"/>
                <w:sz w:val="11"/>
              </w:rPr>
              <w:t>24%</w:t>
            </w:r>
          </w:p>
        </w:tc>
        <w:tc>
          <w:tcPr>
            <w:tcW w:w="1464" w:type="dxa"/>
            <w:gridSpan w:val="2"/>
            <w:shd w:val="clear" w:color="auto" w:fill="D2EBDC"/>
          </w:tcPr>
          <w:p>
            <w:pPr>
              <w:pStyle w:val="TableParagraph"/>
              <w:spacing w:before="6"/>
              <w:rPr>
                <w:rFonts w:ascii="Arial"/>
                <w:b/>
                <w:sz w:val="13"/>
              </w:rPr>
            </w:pPr>
          </w:p>
          <w:p>
            <w:pPr>
              <w:pStyle w:val="TableParagraph"/>
              <w:tabs>
                <w:tab w:pos="988" w:val="left" w:leader="none"/>
              </w:tabs>
              <w:ind w:left="255"/>
              <w:rPr>
                <w:rFonts w:ascii="Arial"/>
                <w:sz w:val="11"/>
              </w:rPr>
            </w:pPr>
            <w:r>
              <w:rPr>
                <w:rFonts w:ascii="Arial"/>
                <w:sz w:val="11"/>
              </w:rPr>
              <w:t>39%</w:t>
              <w:tab/>
              <w:t>41%</w:t>
            </w:r>
          </w:p>
        </w:tc>
        <w:tc>
          <w:tcPr>
            <w:tcW w:w="734" w:type="dxa"/>
            <w:shd w:val="clear" w:color="auto" w:fill="FAE8EB"/>
          </w:tcPr>
          <w:p>
            <w:pPr>
              <w:pStyle w:val="TableParagraph"/>
              <w:spacing w:before="6"/>
              <w:rPr>
                <w:rFonts w:ascii="Arial"/>
                <w:b/>
                <w:sz w:val="13"/>
              </w:rPr>
            </w:pPr>
          </w:p>
          <w:p>
            <w:pPr>
              <w:pStyle w:val="TableParagraph"/>
              <w:ind w:left="238" w:right="235"/>
              <w:jc w:val="center"/>
              <w:rPr>
                <w:rFonts w:ascii="Arial"/>
                <w:sz w:val="11"/>
              </w:rPr>
            </w:pPr>
            <w:r>
              <w:rPr>
                <w:rFonts w:ascii="Arial"/>
                <w:sz w:val="11"/>
              </w:rPr>
              <w:t>28%</w:t>
            </w:r>
          </w:p>
        </w:tc>
        <w:tc>
          <w:tcPr>
            <w:tcW w:w="732" w:type="dxa"/>
            <w:shd w:val="clear" w:color="auto" w:fill="FADEE0"/>
          </w:tcPr>
          <w:p>
            <w:pPr>
              <w:pStyle w:val="TableParagraph"/>
              <w:spacing w:before="6"/>
              <w:rPr>
                <w:rFonts w:ascii="Arial"/>
                <w:b/>
                <w:sz w:val="13"/>
              </w:rPr>
            </w:pPr>
          </w:p>
          <w:p>
            <w:pPr>
              <w:pStyle w:val="TableParagraph"/>
              <w:ind w:left="236" w:right="234"/>
              <w:jc w:val="center"/>
              <w:rPr>
                <w:rFonts w:ascii="Arial"/>
                <w:sz w:val="11"/>
              </w:rPr>
            </w:pPr>
            <w:r>
              <w:rPr>
                <w:rFonts w:ascii="Arial"/>
                <w:sz w:val="11"/>
              </w:rPr>
              <w:t>26%</w:t>
            </w:r>
          </w:p>
        </w:tc>
        <w:tc>
          <w:tcPr>
            <w:tcW w:w="733" w:type="dxa"/>
            <w:shd w:val="clear" w:color="auto" w:fill="FAECEF"/>
          </w:tcPr>
          <w:p>
            <w:pPr>
              <w:pStyle w:val="TableParagraph"/>
              <w:spacing w:before="6"/>
              <w:rPr>
                <w:rFonts w:ascii="Arial"/>
                <w:b/>
                <w:sz w:val="13"/>
              </w:rPr>
            </w:pPr>
          </w:p>
          <w:p>
            <w:pPr>
              <w:pStyle w:val="TableParagraph"/>
              <w:ind w:left="235" w:right="233"/>
              <w:jc w:val="center"/>
              <w:rPr>
                <w:rFonts w:ascii="Arial"/>
                <w:sz w:val="11"/>
              </w:rPr>
            </w:pPr>
            <w:r>
              <w:rPr>
                <w:rFonts w:ascii="Arial"/>
                <w:sz w:val="11"/>
              </w:rPr>
              <w:t>29%</w:t>
            </w:r>
          </w:p>
        </w:tc>
        <w:tc>
          <w:tcPr>
            <w:tcW w:w="732" w:type="dxa"/>
            <w:shd w:val="clear" w:color="auto" w:fill="E0F0E7"/>
          </w:tcPr>
          <w:p>
            <w:pPr>
              <w:pStyle w:val="TableParagraph"/>
              <w:spacing w:before="6"/>
              <w:rPr>
                <w:rFonts w:ascii="Arial"/>
                <w:b/>
                <w:sz w:val="13"/>
              </w:rPr>
            </w:pPr>
          </w:p>
          <w:p>
            <w:pPr>
              <w:pStyle w:val="TableParagraph"/>
              <w:ind w:left="255"/>
              <w:rPr>
                <w:rFonts w:ascii="Arial"/>
                <w:sz w:val="11"/>
              </w:rPr>
            </w:pPr>
            <w:r>
              <w:rPr>
                <w:rFonts w:ascii="Arial"/>
                <w:sz w:val="11"/>
              </w:rPr>
              <w:t>38%</w:t>
            </w:r>
          </w:p>
        </w:tc>
      </w:tr>
      <w:tr>
        <w:trPr>
          <w:trHeight w:val="304" w:hRule="atLeast"/>
        </w:trPr>
        <w:tc>
          <w:tcPr>
            <w:tcW w:w="989" w:type="dxa"/>
            <w:vMerge/>
            <w:tcBorders>
              <w:top w:val="nil"/>
              <w:left w:val="single" w:sz="2" w:space="0" w:color="D3D3D3"/>
              <w:bottom w:val="single" w:sz="2" w:space="0" w:color="5B9BD4"/>
              <w:right w:val="single" w:sz="2" w:space="0" w:color="D3D3D3"/>
            </w:tcBorders>
          </w:tcPr>
          <w:p>
            <w:pPr>
              <w:rPr>
                <w:sz w:val="2"/>
                <w:szCs w:val="2"/>
              </w:rPr>
            </w:pPr>
          </w:p>
        </w:tc>
        <w:tc>
          <w:tcPr>
            <w:tcW w:w="1531" w:type="dxa"/>
            <w:tcBorders>
              <w:top w:val="double" w:sz="1" w:space="0" w:color="5B9BD4"/>
              <w:left w:val="single" w:sz="2" w:space="0" w:color="D3D3D3"/>
              <w:bottom w:val="single" w:sz="2" w:space="0" w:color="5B9BD4"/>
            </w:tcBorders>
          </w:tcPr>
          <w:p>
            <w:pPr>
              <w:pStyle w:val="TableParagraph"/>
              <w:spacing w:before="4"/>
              <w:rPr>
                <w:rFonts w:ascii="Arial"/>
                <w:b/>
                <w:sz w:val="13"/>
              </w:rPr>
            </w:pPr>
          </w:p>
          <w:p>
            <w:pPr>
              <w:pStyle w:val="TableParagraph"/>
              <w:spacing w:line="131" w:lineRule="exact" w:before="0"/>
              <w:ind w:left="18"/>
              <w:rPr>
                <w:b/>
                <w:sz w:val="12"/>
              </w:rPr>
            </w:pPr>
            <w:r>
              <w:rPr>
                <w:b/>
                <w:sz w:val="12"/>
              </w:rPr>
              <w:t>c. Climate-Related Targets</w:t>
            </w:r>
          </w:p>
        </w:tc>
        <w:tc>
          <w:tcPr>
            <w:tcW w:w="733" w:type="dxa"/>
            <w:shd w:val="clear" w:color="auto" w:fill="A9DBB7"/>
          </w:tcPr>
          <w:p>
            <w:pPr>
              <w:pStyle w:val="TableParagraph"/>
              <w:spacing w:before="6"/>
              <w:rPr>
                <w:rFonts w:ascii="Arial"/>
                <w:b/>
                <w:sz w:val="13"/>
              </w:rPr>
            </w:pPr>
          </w:p>
          <w:p>
            <w:pPr>
              <w:pStyle w:val="TableParagraph"/>
              <w:ind w:left="237" w:right="232"/>
              <w:jc w:val="center"/>
              <w:rPr>
                <w:rFonts w:ascii="Arial"/>
                <w:sz w:val="11"/>
              </w:rPr>
            </w:pPr>
            <w:r>
              <w:rPr>
                <w:rFonts w:ascii="Arial"/>
                <w:sz w:val="11"/>
              </w:rPr>
              <w:t>50%</w:t>
            </w:r>
          </w:p>
        </w:tc>
        <w:tc>
          <w:tcPr>
            <w:tcW w:w="734" w:type="dxa"/>
            <w:vMerge/>
            <w:tcBorders>
              <w:top w:val="nil"/>
            </w:tcBorders>
            <w:shd w:val="clear" w:color="auto" w:fill="F9D3D6"/>
          </w:tcPr>
          <w:p>
            <w:pPr>
              <w:rPr>
                <w:sz w:val="2"/>
                <w:szCs w:val="2"/>
              </w:rPr>
            </w:pPr>
          </w:p>
        </w:tc>
        <w:tc>
          <w:tcPr>
            <w:tcW w:w="733" w:type="dxa"/>
            <w:shd w:val="clear" w:color="auto" w:fill="C0E3CA"/>
          </w:tcPr>
          <w:p>
            <w:pPr>
              <w:pStyle w:val="TableParagraph"/>
              <w:spacing w:before="6"/>
              <w:rPr>
                <w:rFonts w:ascii="Arial"/>
                <w:b/>
                <w:sz w:val="13"/>
              </w:rPr>
            </w:pPr>
          </w:p>
          <w:p>
            <w:pPr>
              <w:pStyle w:val="TableParagraph"/>
              <w:ind w:left="255"/>
              <w:rPr>
                <w:rFonts w:ascii="Arial"/>
                <w:sz w:val="11"/>
              </w:rPr>
            </w:pPr>
            <w:r>
              <w:rPr>
                <w:rFonts w:ascii="Arial"/>
                <w:sz w:val="11"/>
              </w:rPr>
              <w:t>45%</w:t>
            </w:r>
          </w:p>
        </w:tc>
        <w:tc>
          <w:tcPr>
            <w:tcW w:w="731" w:type="dxa"/>
            <w:shd w:val="clear" w:color="auto" w:fill="9BD4AC"/>
          </w:tcPr>
          <w:p>
            <w:pPr>
              <w:pStyle w:val="TableParagraph"/>
              <w:spacing w:before="6"/>
              <w:rPr>
                <w:rFonts w:ascii="Arial"/>
                <w:b/>
                <w:sz w:val="13"/>
              </w:rPr>
            </w:pPr>
          </w:p>
          <w:p>
            <w:pPr>
              <w:pStyle w:val="TableParagraph"/>
              <w:ind w:left="236" w:right="233"/>
              <w:jc w:val="center"/>
              <w:rPr>
                <w:rFonts w:ascii="Arial"/>
                <w:sz w:val="11"/>
              </w:rPr>
            </w:pPr>
            <w:r>
              <w:rPr>
                <w:rFonts w:ascii="Arial"/>
                <w:sz w:val="11"/>
              </w:rPr>
              <w:t>53%</w:t>
            </w:r>
          </w:p>
        </w:tc>
        <w:tc>
          <w:tcPr>
            <w:tcW w:w="734" w:type="dxa"/>
            <w:shd w:val="clear" w:color="auto" w:fill="FBFBFF"/>
          </w:tcPr>
          <w:p>
            <w:pPr>
              <w:pStyle w:val="TableParagraph"/>
              <w:spacing w:before="6"/>
              <w:rPr>
                <w:rFonts w:ascii="Arial"/>
                <w:b/>
                <w:sz w:val="13"/>
              </w:rPr>
            </w:pPr>
          </w:p>
          <w:p>
            <w:pPr>
              <w:pStyle w:val="TableParagraph"/>
              <w:ind w:left="238" w:right="235"/>
              <w:jc w:val="center"/>
              <w:rPr>
                <w:rFonts w:ascii="Arial"/>
                <w:sz w:val="11"/>
              </w:rPr>
            </w:pPr>
            <w:r>
              <w:rPr>
                <w:rFonts w:ascii="Arial"/>
                <w:sz w:val="11"/>
              </w:rPr>
              <w:t>32%</w:t>
            </w:r>
          </w:p>
        </w:tc>
        <w:tc>
          <w:tcPr>
            <w:tcW w:w="732" w:type="dxa"/>
            <w:shd w:val="clear" w:color="auto" w:fill="FAF1F5"/>
          </w:tcPr>
          <w:p>
            <w:pPr>
              <w:pStyle w:val="TableParagraph"/>
              <w:spacing w:before="6"/>
              <w:rPr>
                <w:rFonts w:ascii="Arial"/>
                <w:b/>
                <w:sz w:val="13"/>
              </w:rPr>
            </w:pPr>
          </w:p>
          <w:p>
            <w:pPr>
              <w:pStyle w:val="TableParagraph"/>
              <w:ind w:left="236" w:right="234"/>
              <w:jc w:val="center"/>
              <w:rPr>
                <w:rFonts w:ascii="Arial"/>
                <w:sz w:val="11"/>
              </w:rPr>
            </w:pPr>
            <w:r>
              <w:rPr>
                <w:rFonts w:ascii="Arial"/>
                <w:sz w:val="11"/>
              </w:rPr>
              <w:t>30%</w:t>
            </w:r>
          </w:p>
        </w:tc>
        <w:tc>
          <w:tcPr>
            <w:tcW w:w="733" w:type="dxa"/>
            <w:shd w:val="clear" w:color="auto" w:fill="F9D3D6"/>
          </w:tcPr>
          <w:p>
            <w:pPr>
              <w:pStyle w:val="TableParagraph"/>
              <w:spacing w:before="6"/>
              <w:rPr>
                <w:rFonts w:ascii="Arial"/>
                <w:b/>
                <w:sz w:val="13"/>
              </w:rPr>
            </w:pPr>
          </w:p>
          <w:p>
            <w:pPr>
              <w:pStyle w:val="TableParagraph"/>
              <w:ind w:left="235" w:right="233"/>
              <w:jc w:val="center"/>
              <w:rPr>
                <w:rFonts w:ascii="Arial"/>
                <w:sz w:val="11"/>
              </w:rPr>
            </w:pPr>
            <w:r>
              <w:rPr>
                <w:rFonts w:ascii="Arial"/>
                <w:sz w:val="11"/>
              </w:rPr>
              <w:t>24%</w:t>
            </w:r>
          </w:p>
        </w:tc>
        <w:tc>
          <w:tcPr>
            <w:tcW w:w="732" w:type="dxa"/>
            <w:shd w:val="clear" w:color="auto" w:fill="A3D9B4"/>
          </w:tcPr>
          <w:p>
            <w:pPr>
              <w:pStyle w:val="TableParagraph"/>
              <w:spacing w:before="6"/>
              <w:rPr>
                <w:rFonts w:ascii="Arial"/>
                <w:b/>
                <w:sz w:val="13"/>
              </w:rPr>
            </w:pPr>
          </w:p>
          <w:p>
            <w:pPr>
              <w:pStyle w:val="TableParagraph"/>
              <w:ind w:left="255"/>
              <w:rPr>
                <w:rFonts w:ascii="Arial"/>
                <w:sz w:val="11"/>
              </w:rPr>
            </w:pPr>
            <w:r>
              <w:rPr>
                <w:rFonts w:ascii="Arial"/>
                <w:sz w:val="11"/>
              </w:rPr>
              <w:t>51%</w:t>
            </w:r>
          </w:p>
        </w:tc>
      </w:tr>
    </w:tbl>
    <w:p>
      <w:pPr>
        <w:pStyle w:val="BodyText"/>
        <w:spacing w:before="11"/>
        <w:rPr>
          <w:b/>
          <w:sz w:val="31"/>
        </w:rPr>
      </w:pPr>
    </w:p>
    <w:p>
      <w:pPr>
        <w:pStyle w:val="BodyText"/>
        <w:spacing w:line="360" w:lineRule="auto"/>
        <w:ind w:left="134" w:right="530"/>
      </w:pPr>
      <w:r>
        <w:rPr/>
        <w:t>Through multi-sector TCFD summits and more focused TCFD industry preparer forums, companies should continue to share knowledge on how, what and where they disclose information to give the market the information it needs.</w:t>
      </w:r>
    </w:p>
    <w:p>
      <w:pPr>
        <w:pStyle w:val="BodyText"/>
        <w:spacing w:before="11"/>
      </w:pPr>
    </w:p>
    <w:p>
      <w:pPr>
        <w:pStyle w:val="BodyText"/>
        <w:spacing w:line="357" w:lineRule="auto"/>
        <w:ind w:left="134" w:right="562"/>
      </w:pPr>
      <w:r>
        <w:rPr/>
        <w:t>Better TCFD disclosure is an opportunity. Research by the Bank of England and PwC finds a positive correlation between companies’ stock price and the number of TCFD disclosures that firms make.</w:t>
      </w:r>
      <w:r>
        <w:rPr>
          <w:position w:val="7"/>
          <w:sz w:val="13"/>
        </w:rPr>
        <w:t>10 </w:t>
      </w:r>
      <w:r>
        <w:rPr>
          <w:shd w:fill="FAFAFA" w:color="auto" w:val="clear"/>
        </w:rPr>
        <w:t>This</w:t>
      </w:r>
      <w:r>
        <w:rPr/>
        <w:t> </w:t>
      </w:r>
      <w:r>
        <w:rPr>
          <w:shd w:fill="FAFAFA" w:color="auto" w:val="clear"/>
        </w:rPr>
        <w:t>could be because investors reward companies that are leaders in managing climate-related risks or simply</w:t>
      </w:r>
      <w:r>
        <w:rPr/>
        <w:t> </w:t>
      </w:r>
      <w:r>
        <w:rPr>
          <w:shd w:fill="FAFAFA" w:color="auto" w:val="clear"/>
        </w:rPr>
        <w:t>because TCFD adoption identifies companies that are </w:t>
      </w:r>
      <w:r>
        <w:rPr/>
        <w:t>more naturally disposed to longer-term strategic thinking and planning.</w:t>
      </w:r>
    </w:p>
    <w:p>
      <w:pPr>
        <w:pStyle w:val="BodyText"/>
      </w:pPr>
    </w:p>
    <w:p>
      <w:pPr>
        <w:pStyle w:val="BodyText"/>
      </w:pPr>
    </w:p>
    <w:p>
      <w:pPr>
        <w:pStyle w:val="BodyText"/>
      </w:pPr>
    </w:p>
    <w:p>
      <w:pPr>
        <w:pStyle w:val="BodyText"/>
      </w:pPr>
    </w:p>
    <w:p>
      <w:pPr>
        <w:pStyle w:val="BodyText"/>
        <w:spacing w:before="4"/>
        <w:rPr>
          <w:sz w:val="23"/>
        </w:rPr>
      </w:pPr>
      <w:r>
        <w:rPr/>
        <w:pict>
          <v:shape style="position:absolute;margin-left:56.700001pt;margin-top:15.641195pt;width:144.050pt;height:.1pt;mso-position-horizontal-relative:page;mso-position-vertical-relative:paragraph;z-index:-251652096;mso-wrap-distance-left:0;mso-wrap-distance-right:0" coordorigin="1134,313" coordsize="2881,0" path="m1134,313l4014,313e" filled="false" stroked="true" strokeweight=".47998pt" strokecolor="#000000">
            <v:path arrowok="t"/>
            <v:stroke dashstyle="solid"/>
            <w10:wrap type="topAndBottom"/>
          </v:shape>
        </w:pict>
      </w:r>
    </w:p>
    <w:p>
      <w:pPr>
        <w:spacing w:line="186" w:lineRule="exact" w:before="51"/>
        <w:ind w:left="134" w:right="0" w:firstLine="0"/>
        <w:jc w:val="left"/>
        <w:rPr>
          <w:sz w:val="16"/>
        </w:rPr>
      </w:pPr>
      <w:r>
        <w:rPr>
          <w:position w:val="6"/>
          <w:sz w:val="10"/>
        </w:rPr>
        <w:t>9 </w:t>
      </w:r>
      <w:r>
        <w:rPr>
          <w:sz w:val="16"/>
        </w:rPr>
        <w:t>TCFD Status Report (2019).</w:t>
      </w:r>
    </w:p>
    <w:p>
      <w:pPr>
        <w:spacing w:line="240" w:lineRule="auto" w:before="0"/>
        <w:ind w:left="134" w:right="529" w:firstLine="0"/>
        <w:jc w:val="left"/>
        <w:rPr>
          <w:sz w:val="16"/>
        </w:rPr>
      </w:pPr>
      <w:r>
        <w:rPr>
          <w:position w:val="6"/>
          <w:sz w:val="10"/>
        </w:rPr>
        <w:t>10</w:t>
      </w:r>
      <w:r>
        <w:rPr>
          <w:sz w:val="16"/>
        </w:rPr>
        <w:t>On average, each additional TCFD disclosure correlates with a 0.18% increase in stock price. While a positive correlation between financial metric and TCFD disclosure does not indicate that TCFD disclosure caused an increase in stock price, it raises questions for further analysis about the effect of climate-related disclosures.</w:t>
      </w:r>
    </w:p>
    <w:p>
      <w:pPr>
        <w:spacing w:after="0" w:line="240" w:lineRule="auto"/>
        <w:jc w:val="left"/>
        <w:rPr>
          <w:sz w:val="16"/>
        </w:rPr>
        <w:sectPr>
          <w:footerReference w:type="default" r:id="rId17"/>
          <w:pgSz w:w="11910" w:h="16840"/>
          <w:pgMar w:footer="1338" w:header="0" w:top="1340" w:bottom="1520" w:left="1000" w:right="800"/>
          <w:pgNumType w:start="6"/>
        </w:sectPr>
      </w:pPr>
    </w:p>
    <w:p>
      <w:pPr>
        <w:pStyle w:val="Heading1"/>
        <w:spacing w:before="80"/>
      </w:pPr>
      <w:r>
        <w:rPr>
          <w:shd w:fill="FAFAFA" w:color="auto" w:val="clear"/>
        </w:rPr>
        <w:t>Chart 4: Relationship between stock price and number of TCFD disclosures made</w:t>
      </w:r>
    </w:p>
    <w:p>
      <w:pPr>
        <w:pStyle w:val="BodyText"/>
        <w:spacing w:before="6"/>
        <w:rPr>
          <w:b/>
          <w:sz w:val="27"/>
        </w:rPr>
      </w:pPr>
      <w:r>
        <w:rPr/>
        <w:pict>
          <v:group style="position:absolute;margin-left:135.860001pt;margin-top:17.800976pt;width:323.650pt;height:204.05pt;mso-position-horizontal-relative:page;mso-position-vertical-relative:paragraph;z-index:-251651072;mso-wrap-distance-left:0;mso-wrap-distance-right:0" coordorigin="2717,356" coordsize="6473,4081">
            <v:shape style="position:absolute;left:2717;top:356;width:6473;height:4081" type="#_x0000_t75" stroked="false">
              <v:imagedata r:id="rId19" o:title=""/>
            </v:shape>
            <v:line style="position:absolute" from="3298,2587" to="9015,1938" stroked="true" strokeweight="2.25pt" strokecolor="#c0504d">
              <v:stroke dashstyle="solid"/>
            </v:line>
            <w10:wrap type="topAndBottom"/>
          </v:group>
        </w:pict>
      </w:r>
    </w:p>
    <w:p>
      <w:pPr>
        <w:pStyle w:val="BodyText"/>
        <w:spacing w:before="11"/>
        <w:rPr>
          <w:b/>
          <w:sz w:val="19"/>
        </w:rPr>
      </w:pPr>
    </w:p>
    <w:p>
      <w:pPr>
        <w:pStyle w:val="BodyText"/>
        <w:spacing w:line="355" w:lineRule="auto" w:before="94"/>
        <w:ind w:left="134" w:right="729"/>
        <w:rPr>
          <w:sz w:val="13"/>
        </w:rPr>
      </w:pPr>
      <w:r>
        <w:rPr>
          <w:shd w:fill="FAFAFA" w:color="auto" w:val="clear"/>
        </w:rPr>
        <w:t>And TCFD disclosure is increasingly a responsibility, as suggested by research from the </w:t>
      </w:r>
      <w:r>
        <w:rPr/>
        <w:t>Commonwealth Climate and Law Initiative that concludes that non-disclosure is a bigger liability risk than disclosure.</w:t>
      </w:r>
      <w:r>
        <w:rPr>
          <w:position w:val="7"/>
          <w:sz w:val="13"/>
        </w:rPr>
        <w:t>11</w:t>
      </w:r>
    </w:p>
    <w:p>
      <w:pPr>
        <w:pStyle w:val="BodyText"/>
        <w:spacing w:before="3"/>
        <w:rPr>
          <w:sz w:val="21"/>
        </w:rPr>
      </w:pPr>
    </w:p>
    <w:p>
      <w:pPr>
        <w:pStyle w:val="BodyText"/>
        <w:spacing w:line="360" w:lineRule="auto"/>
        <w:ind w:left="134" w:right="629"/>
      </w:pPr>
      <w:r>
        <w:rPr/>
        <w:t>That is just one reason why jurisdictions like the UK and EU have signalled their intentions to make TCFD disclosure mandatory.</w:t>
      </w:r>
    </w:p>
    <w:p>
      <w:pPr>
        <w:pStyle w:val="BodyText"/>
        <w:spacing w:before="10"/>
        <w:rPr>
          <w:sz w:val="12"/>
        </w:rPr>
      </w:pPr>
    </w:p>
    <w:p>
      <w:pPr>
        <w:pStyle w:val="Heading1"/>
        <w:spacing w:line="360" w:lineRule="auto"/>
        <w:ind w:right="587"/>
      </w:pPr>
      <w:r>
        <w:rPr>
          <w:shd w:fill="FAFAFA" w:color="auto" w:val="clear"/>
        </w:rPr>
        <w:t>Second, the TCFD disclosure recommendations should be refined to those that investors consider</w:t>
      </w:r>
      <w:r>
        <w:rPr/>
        <w:t> </w:t>
      </w:r>
      <w:r>
        <w:rPr>
          <w:shd w:fill="FAFAFA" w:color="auto" w:val="clear"/>
        </w:rPr>
        <w:t>most decision-useful.</w:t>
      </w:r>
    </w:p>
    <w:p>
      <w:pPr>
        <w:pStyle w:val="BodyText"/>
        <w:spacing w:before="8"/>
        <w:rPr>
          <w:b/>
        </w:rPr>
      </w:pPr>
    </w:p>
    <w:p>
      <w:pPr>
        <w:pStyle w:val="BodyText"/>
        <w:spacing w:line="360" w:lineRule="auto" w:before="1"/>
        <w:ind w:left="134" w:right="551"/>
      </w:pPr>
      <w:r>
        <w:rPr/>
        <w:t>The TCFD needs to reach a definitive view of what counts as a high quality disclosure before they become mandatory. In my view, the next two reporting periods should balance the urgency of the task and the imperative of getting it right.</w:t>
      </w:r>
    </w:p>
    <w:p>
      <w:pPr>
        <w:pStyle w:val="BodyText"/>
        <w:spacing w:before="8"/>
        <w:rPr>
          <w:sz w:val="12"/>
        </w:rPr>
      </w:pPr>
    </w:p>
    <w:p>
      <w:pPr>
        <w:pStyle w:val="BodyText"/>
        <w:spacing w:line="360" w:lineRule="auto" w:before="94"/>
        <w:ind w:left="134" w:right="379"/>
        <w:jc w:val="both"/>
      </w:pPr>
      <w:r>
        <w:rPr>
          <w:shd w:fill="FAFAFA" w:color="auto" w:val="clear"/>
        </w:rPr>
        <w:t>This is best delivered by the current process of disclosure by the users of capital, reaction by the suppliers of</w:t>
      </w:r>
      <w:r>
        <w:rPr/>
        <w:t> </w:t>
      </w:r>
      <w:r>
        <w:rPr>
          <w:shd w:fill="FAFAFA" w:color="auto" w:val="clear"/>
        </w:rPr>
        <w:t>capital, and adjustment of these standards to ensure that the TCFD metrics are as comparable, efficient and</w:t>
      </w:r>
      <w:r>
        <w:rPr/>
        <w:t> </w:t>
      </w:r>
      <w:r>
        <w:rPr>
          <w:shd w:fill="FAFAFA" w:color="auto" w:val="clear"/>
        </w:rPr>
        <w:t>as decision-useful as possible.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r>
        <w:rPr/>
        <w:pict>
          <v:shape style="position:absolute;margin-left:56.700001pt;margin-top:9.852422pt;width:144.050pt;height:.1pt;mso-position-horizontal-relative:page;mso-position-vertical-relative:paragraph;z-index:-251650048;mso-wrap-distance-left:0;mso-wrap-distance-right:0" coordorigin="1134,197" coordsize="2881,0" path="m1134,197l4014,197e" filled="false" stroked="true" strokeweight=".47998pt" strokecolor="#000000">
            <v:path arrowok="t"/>
            <v:stroke dashstyle="solid"/>
            <w10:wrap type="topAndBottom"/>
          </v:shape>
        </w:pict>
      </w:r>
    </w:p>
    <w:p>
      <w:pPr>
        <w:spacing w:before="51"/>
        <w:ind w:left="134" w:right="392" w:firstLine="0"/>
        <w:jc w:val="left"/>
        <w:rPr>
          <w:sz w:val="16"/>
        </w:rPr>
      </w:pPr>
      <w:r>
        <w:rPr>
          <w:position w:val="6"/>
          <w:sz w:val="10"/>
        </w:rPr>
        <w:t>11 </w:t>
      </w:r>
      <w:r>
        <w:rPr>
          <w:sz w:val="16"/>
        </w:rPr>
        <w:t>“Laggard companies that fail to disclose climate risk in line with the TCFD recommendations may be less attractive to investors and struggle to secure loans or insurance. [F]ailure to disclose may suggest that a company has not considered climate risk, or that it has something to hide in relation to its exposure – either way, silence can send a warning signal to the market. Conversely, companies that embrace climate risk reporting will appear ahead of the curve and be well positioned to take full advantage of the commercial opportunities presented by the transition to a low carbon economy.” For full report, see: </w:t>
      </w:r>
      <w:hyperlink r:id="rId20">
        <w:r>
          <w:rPr>
            <w:color w:val="0000FF"/>
            <w:w w:val="95"/>
            <w:sz w:val="16"/>
            <w:u w:val="single" w:color="0000FF"/>
          </w:rPr>
          <w:t>https://www.smithschool.ox.ac.uk/research/sustainable-finance/publications/CCLI-TCFD-Concerns-Misplaced-Report-Final-Briefing.pdf</w:t>
        </w:r>
        <w:r>
          <w:rPr>
            <w:w w:val="95"/>
            <w:sz w:val="16"/>
          </w:rPr>
          <w:t>.</w:t>
        </w:r>
      </w:hyperlink>
    </w:p>
    <w:p>
      <w:pPr>
        <w:spacing w:after="0"/>
        <w:jc w:val="left"/>
        <w:rPr>
          <w:sz w:val="16"/>
        </w:rPr>
        <w:sectPr>
          <w:footerReference w:type="default" r:id="rId18"/>
          <w:pgSz w:w="11910" w:h="16840"/>
          <w:pgMar w:footer="1338" w:header="0" w:top="1340" w:bottom="1520" w:left="1000" w:right="800"/>
          <w:pgNumType w:start="7"/>
        </w:sectPr>
      </w:pPr>
    </w:p>
    <w:p>
      <w:pPr>
        <w:pStyle w:val="BodyText"/>
        <w:spacing w:line="360" w:lineRule="auto" w:before="79"/>
        <w:ind w:left="134" w:right="752"/>
      </w:pPr>
      <w:r>
        <w:rPr>
          <w:shd w:fill="FAFAFA" w:color="auto" w:val="clear"/>
        </w:rPr>
        <w:t>Supervisors of financial sector firms will also need to consider which metrics are most useful for different</w:t>
      </w:r>
      <w:r>
        <w:rPr/>
        <w:t> </w:t>
      </w:r>
      <w:r>
        <w:rPr>
          <w:shd w:fill="FAFAFA" w:color="auto" w:val="clear"/>
        </w:rPr>
        <w:t>levels of assessment:</w:t>
      </w:r>
    </w:p>
    <w:p>
      <w:pPr>
        <w:pStyle w:val="BodyText"/>
        <w:rPr>
          <w:sz w:val="13"/>
        </w:rPr>
      </w:pPr>
    </w:p>
    <w:p>
      <w:pPr>
        <w:pStyle w:val="ListParagraph"/>
        <w:numPr>
          <w:ilvl w:val="0"/>
          <w:numId w:val="3"/>
        </w:numPr>
        <w:tabs>
          <w:tab w:pos="854" w:val="left" w:leader="none"/>
          <w:tab w:pos="855" w:val="left" w:leader="none"/>
        </w:tabs>
        <w:spacing w:line="340" w:lineRule="auto" w:before="91" w:after="0"/>
        <w:ind w:left="854" w:right="411" w:hanging="361"/>
        <w:jc w:val="left"/>
        <w:rPr>
          <w:sz w:val="20"/>
        </w:rPr>
      </w:pPr>
      <w:r>
        <w:rPr>
          <w:sz w:val="20"/>
          <w:shd w:fill="FAFAFA" w:color="auto" w:val="clear"/>
        </w:rPr>
        <w:t>Microprudential, to assess how individual firms are managing climate-related risks – for example the impact of a physical or transition risk on a loan</w:t>
      </w:r>
      <w:r>
        <w:rPr>
          <w:spacing w:val="-7"/>
          <w:sz w:val="20"/>
          <w:shd w:fill="FAFAFA" w:color="auto" w:val="clear"/>
        </w:rPr>
        <w:t> </w:t>
      </w:r>
      <w:r>
        <w:rPr>
          <w:sz w:val="20"/>
          <w:shd w:fill="FAFAFA" w:color="auto" w:val="clear"/>
        </w:rPr>
        <w:t>book.</w:t>
      </w:r>
    </w:p>
    <w:p>
      <w:pPr>
        <w:pStyle w:val="BodyText"/>
        <w:spacing w:before="7"/>
        <w:rPr>
          <w:sz w:val="14"/>
        </w:rPr>
      </w:pPr>
    </w:p>
    <w:p>
      <w:pPr>
        <w:pStyle w:val="ListParagraph"/>
        <w:numPr>
          <w:ilvl w:val="0"/>
          <w:numId w:val="3"/>
        </w:numPr>
        <w:tabs>
          <w:tab w:pos="854" w:val="left" w:leader="none"/>
          <w:tab w:pos="855" w:val="left" w:leader="none"/>
        </w:tabs>
        <w:spacing w:line="240" w:lineRule="auto" w:before="91" w:after="0"/>
        <w:ind w:left="854" w:right="0" w:hanging="361"/>
        <w:jc w:val="left"/>
        <w:rPr>
          <w:sz w:val="20"/>
        </w:rPr>
      </w:pPr>
      <w:r>
        <w:rPr>
          <w:sz w:val="20"/>
          <w:shd w:fill="FAFAFA" w:color="auto" w:val="clear"/>
        </w:rPr>
        <w:t>Macroprudential, to consider how and whether individual exposures could scale up to systemic</w:t>
      </w:r>
      <w:r>
        <w:rPr>
          <w:spacing w:val="-7"/>
          <w:sz w:val="20"/>
          <w:shd w:fill="FAFAFA" w:color="auto" w:val="clear"/>
        </w:rPr>
        <w:t> </w:t>
      </w:r>
      <w:r>
        <w:rPr>
          <w:sz w:val="20"/>
          <w:shd w:fill="FAFAFA" w:color="auto" w:val="clear"/>
        </w:rPr>
        <w:t>risk.</w:t>
      </w:r>
    </w:p>
    <w:p>
      <w:pPr>
        <w:pStyle w:val="BodyText"/>
        <w:rPr>
          <w:sz w:val="22"/>
        </w:rPr>
      </w:pPr>
    </w:p>
    <w:p>
      <w:pPr>
        <w:pStyle w:val="ListParagraph"/>
        <w:numPr>
          <w:ilvl w:val="0"/>
          <w:numId w:val="3"/>
        </w:numPr>
        <w:tabs>
          <w:tab w:pos="854" w:val="left" w:leader="none"/>
          <w:tab w:pos="855" w:val="left" w:leader="none"/>
        </w:tabs>
        <w:spacing w:line="340" w:lineRule="auto" w:before="91" w:after="0"/>
        <w:ind w:left="854" w:right="879" w:hanging="361"/>
        <w:jc w:val="left"/>
        <w:rPr>
          <w:sz w:val="20"/>
        </w:rPr>
      </w:pPr>
      <w:r>
        <w:rPr>
          <w:sz w:val="20"/>
          <w:shd w:fill="FAFAFA" w:color="auto" w:val="clear"/>
        </w:rPr>
        <w:t>Macroeconomic, to help understand how the financial system and economy interact in different climate transition</w:t>
      </w:r>
      <w:r>
        <w:rPr>
          <w:spacing w:val="-1"/>
          <w:sz w:val="20"/>
          <w:shd w:fill="FAFAFA" w:color="auto" w:val="clear"/>
        </w:rPr>
        <w:t> </w:t>
      </w:r>
      <w:r>
        <w:rPr>
          <w:sz w:val="20"/>
          <w:shd w:fill="FAFAFA" w:color="auto" w:val="clear"/>
        </w:rPr>
        <w:t>scenarios.</w:t>
      </w:r>
    </w:p>
    <w:p>
      <w:pPr>
        <w:pStyle w:val="BodyText"/>
        <w:spacing w:before="4"/>
        <w:rPr>
          <w:sz w:val="14"/>
        </w:rPr>
      </w:pPr>
    </w:p>
    <w:p>
      <w:pPr>
        <w:pStyle w:val="BodyText"/>
        <w:spacing w:line="360" w:lineRule="auto" w:before="94"/>
        <w:ind w:left="134" w:right="363"/>
      </w:pPr>
      <w:r>
        <w:rPr>
          <w:shd w:fill="FAFAFA" w:color="auto" w:val="clear"/>
        </w:rPr>
        <w:t>Quantitative assessments could help guide these judgements. Research by the Bank and PwC found that</w:t>
      </w:r>
      <w:r>
        <w:rPr/>
        <w:t> </w:t>
      </w:r>
      <w:r>
        <w:rPr>
          <w:shd w:fill="FAFAFA" w:color="auto" w:val="clear"/>
        </w:rPr>
        <w:t>some TCFD disclosures were positively correlated with the stock price of firms that have disclosed to date,</w:t>
      </w:r>
      <w:r>
        <w:rPr/>
        <w:t> </w:t>
      </w:r>
      <w:r>
        <w:rPr>
          <w:shd w:fill="FAFAFA" w:color="auto" w:val="clear"/>
        </w:rPr>
        <w:t>with the disclosures about a firm’s targets, scope 1, 2 and 3 emissions, risk management, resilience and</w:t>
      </w:r>
      <w:r>
        <w:rPr/>
        <w:t> </w:t>
      </w:r>
      <w:r>
        <w:rPr>
          <w:shd w:fill="FAFAFA" w:color="auto" w:val="clear"/>
        </w:rPr>
        <w:t>impacts exhibiting the strongest correlations. Note that given the potential selection bias of companies with</w:t>
      </w:r>
      <w:r>
        <w:rPr/>
        <w:t> </w:t>
      </w:r>
      <w:r>
        <w:rPr>
          <w:shd w:fill="FAFAFA" w:color="auto" w:val="clear"/>
        </w:rPr>
        <w:t>climate strategies tend to be early adopters of the TCFD, these correlations were positive.</w:t>
      </w:r>
    </w:p>
    <w:p>
      <w:pPr>
        <w:pStyle w:val="BodyText"/>
        <w:spacing w:before="10"/>
        <w:rPr>
          <w:sz w:val="12"/>
        </w:rPr>
      </w:pPr>
    </w:p>
    <w:p>
      <w:pPr>
        <w:pStyle w:val="Heading1"/>
      </w:pPr>
      <w:r>
        <w:rPr>
          <w:shd w:fill="FAFAFA" w:color="auto" w:val="clear"/>
        </w:rPr>
        <w:t>Table 1: Strength of correlation between individual TCFD recommendations and stock price</w:t>
      </w:r>
    </w:p>
    <w:p>
      <w:pPr>
        <w:pStyle w:val="BodyText"/>
        <w:rPr>
          <w:b/>
        </w:rPr>
      </w:pPr>
    </w:p>
    <w:p>
      <w:pPr>
        <w:pStyle w:val="BodyText"/>
        <w:spacing w:before="11"/>
        <w:rPr>
          <w:b/>
          <w:sz w:val="10"/>
        </w:rPr>
      </w:pPr>
    </w:p>
    <w:tbl>
      <w:tblPr>
        <w:tblW w:w="0" w:type="auto"/>
        <w:jc w:val="left"/>
        <w:tblInd w:w="718" w:type="dxa"/>
        <w:tblBorders>
          <w:top w:val="single" w:sz="4" w:space="0" w:color="D3D3D3"/>
          <w:left w:val="single" w:sz="4" w:space="0" w:color="D3D3D3"/>
          <w:bottom w:val="single" w:sz="4" w:space="0" w:color="D3D3D3"/>
          <w:right w:val="single" w:sz="4" w:space="0" w:color="D3D3D3"/>
          <w:insideH w:val="single" w:sz="4" w:space="0" w:color="D3D3D3"/>
          <w:insideV w:val="single" w:sz="4" w:space="0" w:color="D3D3D3"/>
        </w:tblBorders>
        <w:tblLayout w:type="fixed"/>
        <w:tblCellMar>
          <w:top w:w="0" w:type="dxa"/>
          <w:left w:w="0" w:type="dxa"/>
          <w:bottom w:w="0" w:type="dxa"/>
          <w:right w:w="0" w:type="dxa"/>
        </w:tblCellMar>
        <w:tblLook w:val="01E0"/>
      </w:tblPr>
      <w:tblGrid>
        <w:gridCol w:w="1444"/>
        <w:gridCol w:w="4176"/>
        <w:gridCol w:w="950"/>
        <w:gridCol w:w="950"/>
        <w:gridCol w:w="950"/>
      </w:tblGrid>
      <w:tr>
        <w:trPr>
          <w:trHeight w:val="371" w:hRule="atLeast"/>
        </w:trPr>
        <w:tc>
          <w:tcPr>
            <w:tcW w:w="1444" w:type="dxa"/>
            <w:tcBorders>
              <w:bottom w:val="single" w:sz="6" w:space="0" w:color="9BC2E6"/>
            </w:tcBorders>
          </w:tcPr>
          <w:p>
            <w:pPr>
              <w:pStyle w:val="TableParagraph"/>
              <w:spacing w:before="4"/>
              <w:rPr>
                <w:rFonts w:ascii="Arial"/>
                <w:b/>
                <w:sz w:val="16"/>
              </w:rPr>
            </w:pPr>
          </w:p>
          <w:p>
            <w:pPr>
              <w:pStyle w:val="TableParagraph"/>
              <w:spacing w:before="0"/>
              <w:ind w:left="91"/>
              <w:rPr>
                <w:rFonts w:ascii="Arial"/>
                <w:b/>
                <w:sz w:val="14"/>
              </w:rPr>
            </w:pPr>
            <w:r>
              <w:rPr>
                <w:rFonts w:ascii="Arial"/>
                <w:b/>
                <w:color w:val="44536A"/>
                <w:w w:val="105"/>
                <w:sz w:val="14"/>
              </w:rPr>
              <w:t>Recommendation</w:t>
            </w:r>
          </w:p>
        </w:tc>
        <w:tc>
          <w:tcPr>
            <w:tcW w:w="4176" w:type="dxa"/>
            <w:tcBorders>
              <w:bottom w:val="single" w:sz="6" w:space="0" w:color="9BC2E6"/>
            </w:tcBorders>
          </w:tcPr>
          <w:p>
            <w:pPr>
              <w:pStyle w:val="TableParagraph"/>
              <w:spacing w:before="4"/>
              <w:rPr>
                <w:rFonts w:ascii="Arial"/>
                <w:b/>
                <w:sz w:val="16"/>
              </w:rPr>
            </w:pPr>
          </w:p>
          <w:p>
            <w:pPr>
              <w:pStyle w:val="TableParagraph"/>
              <w:spacing w:before="0"/>
              <w:ind w:left="1154"/>
              <w:rPr>
                <w:rFonts w:ascii="Arial"/>
                <w:b/>
                <w:sz w:val="14"/>
              </w:rPr>
            </w:pPr>
            <w:r>
              <w:rPr>
                <w:rFonts w:ascii="Arial"/>
                <w:b/>
                <w:color w:val="44536A"/>
                <w:w w:val="105"/>
                <w:sz w:val="14"/>
              </w:rPr>
              <w:t>Recommended disclosure</w:t>
            </w:r>
          </w:p>
        </w:tc>
        <w:tc>
          <w:tcPr>
            <w:tcW w:w="950" w:type="dxa"/>
            <w:tcBorders>
              <w:bottom w:val="single" w:sz="6" w:space="0" w:color="9BC2E6"/>
            </w:tcBorders>
          </w:tcPr>
          <w:p>
            <w:pPr>
              <w:pStyle w:val="TableParagraph"/>
              <w:spacing w:before="4"/>
              <w:rPr>
                <w:rFonts w:ascii="Arial"/>
                <w:b/>
                <w:sz w:val="16"/>
              </w:rPr>
            </w:pPr>
          </w:p>
          <w:p>
            <w:pPr>
              <w:pStyle w:val="TableParagraph"/>
              <w:spacing w:before="0"/>
              <w:ind w:left="66" w:right="66"/>
              <w:jc w:val="center"/>
              <w:rPr>
                <w:rFonts w:ascii="Arial"/>
                <w:b/>
                <w:sz w:val="14"/>
              </w:rPr>
            </w:pPr>
            <w:r>
              <w:rPr>
                <w:rFonts w:ascii="Arial"/>
                <w:b/>
                <w:color w:val="44536A"/>
                <w:w w:val="105"/>
                <w:sz w:val="14"/>
              </w:rPr>
              <w:t>Co-efficent</w:t>
            </w:r>
          </w:p>
        </w:tc>
        <w:tc>
          <w:tcPr>
            <w:tcW w:w="950" w:type="dxa"/>
            <w:tcBorders>
              <w:bottom w:val="single" w:sz="6" w:space="0" w:color="9BC2E6"/>
            </w:tcBorders>
          </w:tcPr>
          <w:p>
            <w:pPr>
              <w:pStyle w:val="TableParagraph"/>
              <w:spacing w:before="4"/>
              <w:rPr>
                <w:rFonts w:ascii="Arial"/>
                <w:b/>
                <w:sz w:val="16"/>
              </w:rPr>
            </w:pPr>
          </w:p>
          <w:p>
            <w:pPr>
              <w:pStyle w:val="TableParagraph"/>
              <w:spacing w:before="0"/>
              <w:ind w:left="66" w:right="66"/>
              <w:jc w:val="center"/>
              <w:rPr>
                <w:rFonts w:ascii="Arial"/>
                <w:b/>
                <w:sz w:val="14"/>
              </w:rPr>
            </w:pPr>
            <w:r>
              <w:rPr>
                <w:rFonts w:ascii="Arial"/>
                <w:b/>
                <w:color w:val="44536A"/>
                <w:w w:val="105"/>
                <w:sz w:val="14"/>
              </w:rPr>
              <w:t>P-value</w:t>
            </w:r>
          </w:p>
        </w:tc>
        <w:tc>
          <w:tcPr>
            <w:tcW w:w="950" w:type="dxa"/>
            <w:tcBorders>
              <w:bottom w:val="single" w:sz="6" w:space="0" w:color="9BC2E6"/>
            </w:tcBorders>
          </w:tcPr>
          <w:p>
            <w:pPr>
              <w:pStyle w:val="TableParagraph"/>
              <w:spacing w:before="0"/>
              <w:ind w:left="167"/>
              <w:rPr>
                <w:rFonts w:ascii="Arial"/>
                <w:b/>
                <w:sz w:val="14"/>
              </w:rPr>
            </w:pPr>
            <w:r>
              <w:rPr>
                <w:rFonts w:ascii="Arial"/>
                <w:b/>
                <w:color w:val="44536A"/>
                <w:w w:val="105"/>
                <w:sz w:val="14"/>
              </w:rPr>
              <w:t>Adjust</w:t>
            </w:r>
            <w:r>
              <w:rPr>
                <w:rFonts w:ascii="Arial"/>
                <w:b/>
                <w:color w:val="44536A"/>
                <w:spacing w:val="-1"/>
                <w:w w:val="105"/>
                <w:sz w:val="14"/>
              </w:rPr>
              <w:t> </w:t>
            </w:r>
            <w:r>
              <w:rPr>
                <w:rFonts w:ascii="Arial"/>
                <w:b/>
                <w:color w:val="44536A"/>
                <w:w w:val="105"/>
                <w:sz w:val="14"/>
              </w:rPr>
              <w:t>r-</w:t>
            </w:r>
          </w:p>
          <w:p>
            <w:pPr>
              <w:pStyle w:val="TableParagraph"/>
              <w:spacing w:before="27"/>
              <w:ind w:left="183"/>
              <w:rPr>
                <w:rFonts w:ascii="Arial"/>
                <w:b/>
                <w:sz w:val="14"/>
              </w:rPr>
            </w:pPr>
            <w:r>
              <w:rPr>
                <w:rFonts w:ascii="Arial"/>
                <w:b/>
                <w:color w:val="44536A"/>
                <w:w w:val="105"/>
                <w:sz w:val="14"/>
              </w:rPr>
              <w:t>squared</w:t>
            </w:r>
          </w:p>
        </w:tc>
      </w:tr>
      <w:tr>
        <w:trPr>
          <w:trHeight w:val="264" w:hRule="atLeast"/>
        </w:trPr>
        <w:tc>
          <w:tcPr>
            <w:tcW w:w="1444" w:type="dxa"/>
            <w:vMerge w:val="restart"/>
            <w:tcBorders>
              <w:top w:val="single" w:sz="6" w:space="0" w:color="9BC2E6"/>
              <w:bottom w:val="double" w:sz="1" w:space="0" w:color="5B9BD4"/>
            </w:tcBorders>
          </w:tcPr>
          <w:p>
            <w:pPr>
              <w:pStyle w:val="TableParagraph"/>
              <w:spacing w:before="11"/>
              <w:ind w:left="21"/>
              <w:rPr>
                <w:rFonts w:ascii="Arial"/>
                <w:b/>
                <w:sz w:val="14"/>
              </w:rPr>
            </w:pPr>
            <w:r>
              <w:rPr>
                <w:rFonts w:ascii="Arial"/>
                <w:b/>
                <w:w w:val="105"/>
                <w:sz w:val="14"/>
              </w:rPr>
              <w:t>Governance</w:t>
            </w:r>
          </w:p>
        </w:tc>
        <w:tc>
          <w:tcPr>
            <w:tcW w:w="4176" w:type="dxa"/>
            <w:tcBorders>
              <w:top w:val="single" w:sz="6" w:space="0" w:color="9BC2E6"/>
              <w:bottom w:val="double" w:sz="1" w:space="0" w:color="5B9BD4"/>
              <w:right w:val="nil"/>
            </w:tcBorders>
          </w:tcPr>
          <w:p>
            <w:pPr>
              <w:pStyle w:val="TableParagraph"/>
              <w:spacing w:before="11"/>
              <w:ind w:left="22"/>
              <w:rPr>
                <w:rFonts w:ascii="Arial"/>
                <w:b/>
                <w:sz w:val="14"/>
              </w:rPr>
            </w:pPr>
            <w:r>
              <w:rPr>
                <w:rFonts w:ascii="Arial"/>
                <w:b/>
                <w:w w:val="105"/>
                <w:sz w:val="14"/>
              </w:rPr>
              <w:t>a. Board Oversight</w:t>
            </w:r>
          </w:p>
        </w:tc>
        <w:tc>
          <w:tcPr>
            <w:tcW w:w="950" w:type="dxa"/>
            <w:tcBorders>
              <w:top w:val="single" w:sz="6" w:space="0" w:color="9BC2E6"/>
              <w:left w:val="nil"/>
              <w:bottom w:val="nil"/>
              <w:right w:val="nil"/>
            </w:tcBorders>
            <w:shd w:val="clear" w:color="auto" w:fill="DBDBDB"/>
          </w:tcPr>
          <w:p>
            <w:pPr>
              <w:pStyle w:val="TableParagraph"/>
              <w:spacing w:before="11"/>
              <w:ind w:left="311" w:right="310"/>
              <w:jc w:val="center"/>
              <w:rPr>
                <w:rFonts w:ascii="Arial"/>
                <w:sz w:val="14"/>
              </w:rPr>
            </w:pPr>
            <w:r>
              <w:rPr>
                <w:rFonts w:ascii="Arial"/>
                <w:w w:val="105"/>
                <w:sz w:val="14"/>
              </w:rPr>
              <w:t>0.36</w:t>
            </w:r>
          </w:p>
        </w:tc>
        <w:tc>
          <w:tcPr>
            <w:tcW w:w="950" w:type="dxa"/>
            <w:tcBorders>
              <w:top w:val="single" w:sz="6" w:space="0" w:color="9BC2E6"/>
              <w:left w:val="nil"/>
              <w:bottom w:val="nil"/>
              <w:right w:val="nil"/>
            </w:tcBorders>
            <w:shd w:val="clear" w:color="auto" w:fill="DBDBDB"/>
          </w:tcPr>
          <w:p>
            <w:pPr>
              <w:pStyle w:val="TableParagraph"/>
              <w:spacing w:before="11"/>
              <w:ind w:left="311" w:right="311"/>
              <w:jc w:val="center"/>
              <w:rPr>
                <w:rFonts w:ascii="Arial"/>
                <w:sz w:val="14"/>
              </w:rPr>
            </w:pPr>
            <w:r>
              <w:rPr>
                <w:rFonts w:ascii="Arial"/>
                <w:w w:val="105"/>
                <w:sz w:val="14"/>
              </w:rPr>
              <w:t>0.00</w:t>
            </w:r>
          </w:p>
        </w:tc>
        <w:tc>
          <w:tcPr>
            <w:tcW w:w="950" w:type="dxa"/>
            <w:tcBorders>
              <w:top w:val="single" w:sz="6" w:space="0" w:color="9BC2E6"/>
              <w:left w:val="nil"/>
              <w:bottom w:val="nil"/>
              <w:right w:val="nil"/>
            </w:tcBorders>
            <w:shd w:val="clear" w:color="auto" w:fill="DBDBDB"/>
          </w:tcPr>
          <w:p>
            <w:pPr>
              <w:pStyle w:val="TableParagraph"/>
              <w:spacing w:before="11"/>
              <w:ind w:right="330"/>
              <w:jc w:val="right"/>
              <w:rPr>
                <w:rFonts w:ascii="Arial"/>
                <w:sz w:val="14"/>
              </w:rPr>
            </w:pPr>
            <w:r>
              <w:rPr>
                <w:rFonts w:ascii="Arial"/>
                <w:sz w:val="14"/>
              </w:rPr>
              <w:t>0.40</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tcBorders>
          </w:tcPr>
          <w:p>
            <w:pPr>
              <w:pStyle w:val="TableParagraph"/>
              <w:ind w:left="22"/>
              <w:rPr>
                <w:rFonts w:ascii="Arial"/>
                <w:b/>
                <w:sz w:val="14"/>
              </w:rPr>
            </w:pPr>
            <w:r>
              <w:rPr>
                <w:rFonts w:ascii="Arial"/>
                <w:b/>
                <w:w w:val="105"/>
                <w:sz w:val="14"/>
              </w:rPr>
              <w:t>b. Management's Role</w:t>
            </w:r>
          </w:p>
        </w:tc>
        <w:tc>
          <w:tcPr>
            <w:tcW w:w="950" w:type="dxa"/>
            <w:tcBorders>
              <w:top w:val="nil"/>
              <w:bottom w:val="nil"/>
            </w:tcBorders>
          </w:tcPr>
          <w:p>
            <w:pPr>
              <w:pStyle w:val="TableParagraph"/>
              <w:ind w:left="66" w:right="65"/>
              <w:jc w:val="center"/>
              <w:rPr>
                <w:rFonts w:ascii="Arial"/>
                <w:sz w:val="14"/>
              </w:rPr>
            </w:pPr>
            <w:r>
              <w:rPr>
                <w:rFonts w:ascii="Arial"/>
                <w:w w:val="105"/>
                <w:sz w:val="14"/>
              </w:rPr>
              <w:t>0.51</w:t>
            </w:r>
          </w:p>
        </w:tc>
        <w:tc>
          <w:tcPr>
            <w:tcW w:w="950" w:type="dxa"/>
            <w:tcBorders>
              <w:top w:val="nil"/>
              <w:bottom w:val="nil"/>
            </w:tcBorders>
          </w:tcPr>
          <w:p>
            <w:pPr>
              <w:pStyle w:val="TableParagraph"/>
              <w:ind w:left="66" w:right="66"/>
              <w:jc w:val="center"/>
              <w:rPr>
                <w:rFonts w:ascii="Arial"/>
                <w:sz w:val="14"/>
              </w:rPr>
            </w:pPr>
            <w:r>
              <w:rPr>
                <w:rFonts w:ascii="Arial"/>
                <w:w w:val="105"/>
                <w:sz w:val="14"/>
              </w:rPr>
              <w:t>0.00</w:t>
            </w:r>
          </w:p>
        </w:tc>
        <w:tc>
          <w:tcPr>
            <w:tcW w:w="950" w:type="dxa"/>
            <w:tcBorders>
              <w:top w:val="nil"/>
              <w:bottom w:val="nil"/>
            </w:tcBorders>
          </w:tcPr>
          <w:p>
            <w:pPr>
              <w:pStyle w:val="TableParagraph"/>
              <w:ind w:right="325"/>
              <w:jc w:val="right"/>
              <w:rPr>
                <w:rFonts w:ascii="Arial"/>
                <w:sz w:val="14"/>
              </w:rPr>
            </w:pPr>
            <w:r>
              <w:rPr>
                <w:rFonts w:ascii="Arial"/>
                <w:sz w:val="14"/>
              </w:rPr>
              <w:t>0.40</w:t>
            </w:r>
          </w:p>
        </w:tc>
      </w:tr>
      <w:tr>
        <w:trPr>
          <w:trHeight w:val="254" w:hRule="atLeast"/>
        </w:trPr>
        <w:tc>
          <w:tcPr>
            <w:tcW w:w="1444" w:type="dxa"/>
            <w:vMerge w:val="restart"/>
            <w:tcBorders>
              <w:top w:val="double" w:sz="1" w:space="0" w:color="5B9BD4"/>
              <w:bottom w:val="double" w:sz="1" w:space="0" w:color="5B9BD4"/>
            </w:tcBorders>
          </w:tcPr>
          <w:p>
            <w:pPr>
              <w:pStyle w:val="TableParagraph"/>
              <w:ind w:left="21"/>
              <w:rPr>
                <w:rFonts w:ascii="Arial"/>
                <w:b/>
                <w:sz w:val="14"/>
              </w:rPr>
            </w:pPr>
            <w:r>
              <w:rPr>
                <w:rFonts w:ascii="Arial"/>
                <w:b/>
                <w:w w:val="105"/>
                <w:sz w:val="14"/>
              </w:rPr>
              <w:t>Strategy</w:t>
            </w:r>
          </w:p>
        </w:tc>
        <w:tc>
          <w:tcPr>
            <w:tcW w:w="4176" w:type="dxa"/>
            <w:tcBorders>
              <w:top w:val="double" w:sz="1" w:space="0" w:color="5B9BD4"/>
              <w:bottom w:val="double" w:sz="1" w:space="0" w:color="5B9BD4"/>
              <w:right w:val="nil"/>
            </w:tcBorders>
          </w:tcPr>
          <w:p>
            <w:pPr>
              <w:pStyle w:val="TableParagraph"/>
              <w:ind w:left="22"/>
              <w:rPr>
                <w:rFonts w:ascii="Arial"/>
                <w:b/>
                <w:sz w:val="14"/>
              </w:rPr>
            </w:pPr>
            <w:r>
              <w:rPr>
                <w:rFonts w:ascii="Arial"/>
                <w:b/>
                <w:w w:val="105"/>
                <w:sz w:val="14"/>
              </w:rPr>
              <w:t>a. Risks and Opportunities</w:t>
            </w:r>
          </w:p>
        </w:tc>
        <w:tc>
          <w:tcPr>
            <w:tcW w:w="950" w:type="dxa"/>
            <w:tcBorders>
              <w:top w:val="nil"/>
              <w:left w:val="nil"/>
              <w:bottom w:val="nil"/>
              <w:right w:val="nil"/>
            </w:tcBorders>
            <w:shd w:val="clear" w:color="auto" w:fill="DBDBDB"/>
          </w:tcPr>
          <w:p>
            <w:pPr>
              <w:pStyle w:val="TableParagraph"/>
              <w:ind w:left="311" w:right="310"/>
              <w:jc w:val="center"/>
              <w:rPr>
                <w:rFonts w:ascii="Arial"/>
                <w:sz w:val="14"/>
              </w:rPr>
            </w:pPr>
            <w:r>
              <w:rPr>
                <w:rFonts w:ascii="Arial"/>
                <w:w w:val="105"/>
                <w:sz w:val="14"/>
              </w:rPr>
              <w:t>0.62</w:t>
            </w:r>
          </w:p>
        </w:tc>
        <w:tc>
          <w:tcPr>
            <w:tcW w:w="950" w:type="dxa"/>
            <w:tcBorders>
              <w:top w:val="nil"/>
              <w:left w:val="nil"/>
              <w:bottom w:val="nil"/>
              <w:right w:val="nil"/>
            </w:tcBorders>
            <w:shd w:val="clear" w:color="auto" w:fill="DBDBDB"/>
          </w:tcPr>
          <w:p>
            <w:pPr>
              <w:pStyle w:val="TableParagraph"/>
              <w:ind w:left="311" w:right="311"/>
              <w:jc w:val="center"/>
              <w:rPr>
                <w:rFonts w:ascii="Arial"/>
                <w:sz w:val="14"/>
              </w:rPr>
            </w:pPr>
            <w:r>
              <w:rPr>
                <w:rFonts w:ascii="Arial"/>
                <w:w w:val="105"/>
                <w:sz w:val="14"/>
              </w:rPr>
              <w:t>0.00</w:t>
            </w:r>
          </w:p>
        </w:tc>
        <w:tc>
          <w:tcPr>
            <w:tcW w:w="950" w:type="dxa"/>
            <w:tcBorders>
              <w:top w:val="nil"/>
              <w:left w:val="nil"/>
              <w:bottom w:val="nil"/>
              <w:right w:val="nil"/>
            </w:tcBorders>
            <w:shd w:val="clear" w:color="auto" w:fill="DBDBDB"/>
          </w:tcPr>
          <w:p>
            <w:pPr>
              <w:pStyle w:val="TableParagraph"/>
              <w:ind w:right="330"/>
              <w:jc w:val="right"/>
              <w:rPr>
                <w:rFonts w:ascii="Arial"/>
                <w:sz w:val="14"/>
              </w:rPr>
            </w:pPr>
            <w:r>
              <w:rPr>
                <w:rFonts w:ascii="Arial"/>
                <w:sz w:val="14"/>
              </w:rPr>
              <w:t>0.41</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tcBorders>
          </w:tcPr>
          <w:p>
            <w:pPr>
              <w:pStyle w:val="TableParagraph"/>
              <w:ind w:left="22"/>
              <w:rPr>
                <w:rFonts w:ascii="Arial"/>
                <w:b/>
                <w:sz w:val="14"/>
              </w:rPr>
            </w:pPr>
            <w:r>
              <w:rPr>
                <w:rFonts w:ascii="Arial"/>
                <w:b/>
                <w:w w:val="105"/>
                <w:sz w:val="14"/>
              </w:rPr>
              <w:t>b. Impact on Organisation</w:t>
            </w:r>
          </w:p>
        </w:tc>
        <w:tc>
          <w:tcPr>
            <w:tcW w:w="950" w:type="dxa"/>
            <w:tcBorders>
              <w:top w:val="nil"/>
              <w:bottom w:val="nil"/>
            </w:tcBorders>
          </w:tcPr>
          <w:p>
            <w:pPr>
              <w:pStyle w:val="TableParagraph"/>
              <w:ind w:left="66" w:right="65"/>
              <w:jc w:val="center"/>
              <w:rPr>
                <w:rFonts w:ascii="Arial"/>
                <w:sz w:val="14"/>
              </w:rPr>
            </w:pPr>
            <w:r>
              <w:rPr>
                <w:rFonts w:ascii="Arial"/>
                <w:w w:val="105"/>
                <w:sz w:val="14"/>
              </w:rPr>
              <w:t>0.79</w:t>
            </w:r>
          </w:p>
        </w:tc>
        <w:tc>
          <w:tcPr>
            <w:tcW w:w="950" w:type="dxa"/>
            <w:tcBorders>
              <w:top w:val="nil"/>
              <w:bottom w:val="nil"/>
            </w:tcBorders>
          </w:tcPr>
          <w:p>
            <w:pPr>
              <w:pStyle w:val="TableParagraph"/>
              <w:ind w:left="66" w:right="66"/>
              <w:jc w:val="center"/>
              <w:rPr>
                <w:rFonts w:ascii="Arial"/>
                <w:sz w:val="14"/>
              </w:rPr>
            </w:pPr>
            <w:r>
              <w:rPr>
                <w:rFonts w:ascii="Arial"/>
                <w:w w:val="105"/>
                <w:sz w:val="14"/>
              </w:rPr>
              <w:t>0.00</w:t>
            </w:r>
          </w:p>
        </w:tc>
        <w:tc>
          <w:tcPr>
            <w:tcW w:w="950" w:type="dxa"/>
            <w:tcBorders>
              <w:top w:val="nil"/>
              <w:bottom w:val="nil"/>
            </w:tcBorders>
          </w:tcPr>
          <w:p>
            <w:pPr>
              <w:pStyle w:val="TableParagraph"/>
              <w:ind w:right="325"/>
              <w:jc w:val="right"/>
              <w:rPr>
                <w:rFonts w:ascii="Arial"/>
                <w:sz w:val="14"/>
              </w:rPr>
            </w:pPr>
            <w:r>
              <w:rPr>
                <w:rFonts w:ascii="Arial"/>
                <w:sz w:val="14"/>
              </w:rPr>
              <w:t>0.42</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right w:val="nil"/>
            </w:tcBorders>
          </w:tcPr>
          <w:p>
            <w:pPr>
              <w:pStyle w:val="TableParagraph"/>
              <w:ind w:left="22"/>
              <w:rPr>
                <w:rFonts w:ascii="Arial"/>
                <w:b/>
                <w:sz w:val="14"/>
              </w:rPr>
            </w:pPr>
            <w:r>
              <w:rPr>
                <w:rFonts w:ascii="Arial"/>
                <w:b/>
                <w:w w:val="105"/>
                <w:sz w:val="14"/>
              </w:rPr>
              <w:t>c. Resilience of Strategy</w:t>
            </w:r>
          </w:p>
        </w:tc>
        <w:tc>
          <w:tcPr>
            <w:tcW w:w="950" w:type="dxa"/>
            <w:tcBorders>
              <w:top w:val="nil"/>
              <w:left w:val="nil"/>
              <w:bottom w:val="nil"/>
              <w:right w:val="nil"/>
            </w:tcBorders>
            <w:shd w:val="clear" w:color="auto" w:fill="DBDBDB"/>
          </w:tcPr>
          <w:p>
            <w:pPr>
              <w:pStyle w:val="TableParagraph"/>
              <w:ind w:left="311" w:right="310"/>
              <w:jc w:val="center"/>
              <w:rPr>
                <w:rFonts w:ascii="Arial"/>
                <w:sz w:val="14"/>
              </w:rPr>
            </w:pPr>
            <w:r>
              <w:rPr>
                <w:rFonts w:ascii="Arial"/>
                <w:w w:val="105"/>
                <w:sz w:val="14"/>
              </w:rPr>
              <w:t>0.82</w:t>
            </w:r>
          </w:p>
        </w:tc>
        <w:tc>
          <w:tcPr>
            <w:tcW w:w="950" w:type="dxa"/>
            <w:tcBorders>
              <w:top w:val="nil"/>
              <w:left w:val="nil"/>
              <w:bottom w:val="nil"/>
              <w:right w:val="nil"/>
            </w:tcBorders>
            <w:shd w:val="clear" w:color="auto" w:fill="DBDBDB"/>
          </w:tcPr>
          <w:p>
            <w:pPr>
              <w:pStyle w:val="TableParagraph"/>
              <w:ind w:left="311" w:right="311"/>
              <w:jc w:val="center"/>
              <w:rPr>
                <w:rFonts w:ascii="Arial"/>
                <w:sz w:val="14"/>
              </w:rPr>
            </w:pPr>
            <w:r>
              <w:rPr>
                <w:rFonts w:ascii="Arial"/>
                <w:w w:val="105"/>
                <w:sz w:val="14"/>
              </w:rPr>
              <w:t>0.00</w:t>
            </w:r>
          </w:p>
        </w:tc>
        <w:tc>
          <w:tcPr>
            <w:tcW w:w="950" w:type="dxa"/>
            <w:tcBorders>
              <w:top w:val="nil"/>
              <w:left w:val="nil"/>
              <w:bottom w:val="nil"/>
              <w:right w:val="nil"/>
            </w:tcBorders>
            <w:shd w:val="clear" w:color="auto" w:fill="DBDBDB"/>
          </w:tcPr>
          <w:p>
            <w:pPr>
              <w:pStyle w:val="TableParagraph"/>
              <w:ind w:right="330"/>
              <w:jc w:val="right"/>
              <w:rPr>
                <w:rFonts w:ascii="Arial"/>
                <w:sz w:val="14"/>
              </w:rPr>
            </w:pPr>
            <w:r>
              <w:rPr>
                <w:rFonts w:ascii="Arial"/>
                <w:sz w:val="14"/>
              </w:rPr>
              <w:t>0.40</w:t>
            </w:r>
          </w:p>
        </w:tc>
      </w:tr>
      <w:tr>
        <w:trPr>
          <w:trHeight w:val="254" w:hRule="atLeast"/>
        </w:trPr>
        <w:tc>
          <w:tcPr>
            <w:tcW w:w="1444" w:type="dxa"/>
            <w:vMerge w:val="restart"/>
            <w:tcBorders>
              <w:top w:val="double" w:sz="1" w:space="0" w:color="5B9BD4"/>
              <w:bottom w:val="double" w:sz="1" w:space="0" w:color="5B9BD4"/>
            </w:tcBorders>
          </w:tcPr>
          <w:p>
            <w:pPr>
              <w:pStyle w:val="TableParagraph"/>
              <w:ind w:left="21"/>
              <w:rPr>
                <w:rFonts w:ascii="Arial"/>
                <w:b/>
                <w:sz w:val="14"/>
              </w:rPr>
            </w:pPr>
            <w:r>
              <w:rPr>
                <w:rFonts w:ascii="Arial"/>
                <w:b/>
                <w:w w:val="105"/>
                <w:sz w:val="14"/>
              </w:rPr>
              <w:t>Risk Management</w:t>
            </w:r>
          </w:p>
        </w:tc>
        <w:tc>
          <w:tcPr>
            <w:tcW w:w="4176" w:type="dxa"/>
            <w:tcBorders>
              <w:top w:val="double" w:sz="1" w:space="0" w:color="5B9BD4"/>
              <w:bottom w:val="double" w:sz="1" w:space="0" w:color="5B9BD4"/>
            </w:tcBorders>
          </w:tcPr>
          <w:p>
            <w:pPr>
              <w:pStyle w:val="TableParagraph"/>
              <w:ind w:left="22"/>
              <w:rPr>
                <w:rFonts w:ascii="Arial"/>
                <w:b/>
                <w:sz w:val="14"/>
              </w:rPr>
            </w:pPr>
            <w:r>
              <w:rPr>
                <w:rFonts w:ascii="Arial"/>
                <w:b/>
                <w:w w:val="105"/>
                <w:sz w:val="14"/>
              </w:rPr>
              <w:t>a. Risk ID and Assessment Processes</w:t>
            </w:r>
          </w:p>
        </w:tc>
        <w:tc>
          <w:tcPr>
            <w:tcW w:w="950" w:type="dxa"/>
            <w:tcBorders>
              <w:top w:val="nil"/>
              <w:bottom w:val="nil"/>
            </w:tcBorders>
          </w:tcPr>
          <w:p>
            <w:pPr>
              <w:pStyle w:val="TableParagraph"/>
              <w:ind w:left="66" w:right="65"/>
              <w:jc w:val="center"/>
              <w:rPr>
                <w:rFonts w:ascii="Arial"/>
                <w:sz w:val="14"/>
              </w:rPr>
            </w:pPr>
            <w:r>
              <w:rPr>
                <w:rFonts w:ascii="Arial"/>
                <w:w w:val="105"/>
                <w:sz w:val="14"/>
              </w:rPr>
              <w:t>0.54</w:t>
            </w:r>
          </w:p>
        </w:tc>
        <w:tc>
          <w:tcPr>
            <w:tcW w:w="950" w:type="dxa"/>
            <w:tcBorders>
              <w:top w:val="nil"/>
              <w:bottom w:val="nil"/>
            </w:tcBorders>
          </w:tcPr>
          <w:p>
            <w:pPr>
              <w:pStyle w:val="TableParagraph"/>
              <w:ind w:left="66" w:right="66"/>
              <w:jc w:val="center"/>
              <w:rPr>
                <w:rFonts w:ascii="Arial"/>
                <w:sz w:val="14"/>
              </w:rPr>
            </w:pPr>
            <w:r>
              <w:rPr>
                <w:rFonts w:ascii="Arial"/>
                <w:w w:val="105"/>
                <w:sz w:val="14"/>
              </w:rPr>
              <w:t>0.00</w:t>
            </w:r>
          </w:p>
        </w:tc>
        <w:tc>
          <w:tcPr>
            <w:tcW w:w="950" w:type="dxa"/>
            <w:tcBorders>
              <w:top w:val="nil"/>
              <w:bottom w:val="nil"/>
            </w:tcBorders>
          </w:tcPr>
          <w:p>
            <w:pPr>
              <w:pStyle w:val="TableParagraph"/>
              <w:ind w:right="325"/>
              <w:jc w:val="right"/>
              <w:rPr>
                <w:rFonts w:ascii="Arial"/>
                <w:sz w:val="14"/>
              </w:rPr>
            </w:pPr>
            <w:r>
              <w:rPr>
                <w:rFonts w:ascii="Arial"/>
                <w:sz w:val="14"/>
              </w:rPr>
              <w:t>0.40</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right w:val="nil"/>
            </w:tcBorders>
          </w:tcPr>
          <w:p>
            <w:pPr>
              <w:pStyle w:val="TableParagraph"/>
              <w:ind w:left="22"/>
              <w:rPr>
                <w:rFonts w:ascii="Arial"/>
                <w:b/>
                <w:sz w:val="14"/>
              </w:rPr>
            </w:pPr>
            <w:r>
              <w:rPr>
                <w:rFonts w:ascii="Arial"/>
                <w:b/>
                <w:w w:val="105"/>
                <w:sz w:val="14"/>
              </w:rPr>
              <w:t>b. Risk Management Processes</w:t>
            </w:r>
          </w:p>
        </w:tc>
        <w:tc>
          <w:tcPr>
            <w:tcW w:w="950" w:type="dxa"/>
            <w:tcBorders>
              <w:top w:val="nil"/>
              <w:left w:val="nil"/>
              <w:bottom w:val="nil"/>
              <w:right w:val="nil"/>
            </w:tcBorders>
            <w:shd w:val="clear" w:color="auto" w:fill="DBDBDB"/>
          </w:tcPr>
          <w:p>
            <w:pPr>
              <w:pStyle w:val="TableParagraph"/>
              <w:ind w:left="311" w:right="310"/>
              <w:jc w:val="center"/>
              <w:rPr>
                <w:rFonts w:ascii="Arial"/>
                <w:sz w:val="14"/>
              </w:rPr>
            </w:pPr>
            <w:r>
              <w:rPr>
                <w:rFonts w:ascii="Arial"/>
                <w:w w:val="105"/>
                <w:sz w:val="14"/>
              </w:rPr>
              <w:t>0.87</w:t>
            </w:r>
          </w:p>
        </w:tc>
        <w:tc>
          <w:tcPr>
            <w:tcW w:w="950" w:type="dxa"/>
            <w:tcBorders>
              <w:top w:val="nil"/>
              <w:left w:val="nil"/>
              <w:bottom w:val="nil"/>
              <w:right w:val="nil"/>
            </w:tcBorders>
            <w:shd w:val="clear" w:color="auto" w:fill="DBDBDB"/>
          </w:tcPr>
          <w:p>
            <w:pPr>
              <w:pStyle w:val="TableParagraph"/>
              <w:ind w:left="311" w:right="311"/>
              <w:jc w:val="center"/>
              <w:rPr>
                <w:rFonts w:ascii="Arial"/>
                <w:sz w:val="14"/>
              </w:rPr>
            </w:pPr>
            <w:r>
              <w:rPr>
                <w:rFonts w:ascii="Arial"/>
                <w:w w:val="105"/>
                <w:sz w:val="14"/>
              </w:rPr>
              <w:t>0.00</w:t>
            </w:r>
          </w:p>
        </w:tc>
        <w:tc>
          <w:tcPr>
            <w:tcW w:w="950" w:type="dxa"/>
            <w:tcBorders>
              <w:top w:val="nil"/>
              <w:left w:val="nil"/>
              <w:bottom w:val="nil"/>
              <w:right w:val="nil"/>
            </w:tcBorders>
            <w:shd w:val="clear" w:color="auto" w:fill="DBDBDB"/>
          </w:tcPr>
          <w:p>
            <w:pPr>
              <w:pStyle w:val="TableParagraph"/>
              <w:ind w:right="330"/>
              <w:jc w:val="right"/>
              <w:rPr>
                <w:rFonts w:ascii="Arial"/>
                <w:sz w:val="14"/>
              </w:rPr>
            </w:pPr>
            <w:r>
              <w:rPr>
                <w:rFonts w:ascii="Arial"/>
                <w:sz w:val="14"/>
              </w:rPr>
              <w:t>0.42</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tcBorders>
          </w:tcPr>
          <w:p>
            <w:pPr>
              <w:pStyle w:val="TableParagraph"/>
              <w:ind w:left="22"/>
              <w:rPr>
                <w:rFonts w:ascii="Arial"/>
                <w:b/>
                <w:sz w:val="14"/>
              </w:rPr>
            </w:pPr>
            <w:r>
              <w:rPr>
                <w:rFonts w:ascii="Arial"/>
                <w:b/>
                <w:w w:val="105"/>
                <w:sz w:val="14"/>
              </w:rPr>
              <w:t>c. Integration into overall Risk Management</w:t>
            </w:r>
          </w:p>
        </w:tc>
        <w:tc>
          <w:tcPr>
            <w:tcW w:w="950" w:type="dxa"/>
            <w:tcBorders>
              <w:top w:val="nil"/>
              <w:bottom w:val="nil"/>
            </w:tcBorders>
          </w:tcPr>
          <w:p>
            <w:pPr>
              <w:pStyle w:val="TableParagraph"/>
              <w:ind w:left="66" w:right="65"/>
              <w:jc w:val="center"/>
              <w:rPr>
                <w:rFonts w:ascii="Arial"/>
                <w:sz w:val="14"/>
              </w:rPr>
            </w:pPr>
            <w:r>
              <w:rPr>
                <w:rFonts w:ascii="Arial"/>
                <w:w w:val="105"/>
                <w:sz w:val="14"/>
              </w:rPr>
              <w:t>0.66</w:t>
            </w:r>
          </w:p>
        </w:tc>
        <w:tc>
          <w:tcPr>
            <w:tcW w:w="950" w:type="dxa"/>
            <w:tcBorders>
              <w:top w:val="nil"/>
              <w:bottom w:val="nil"/>
            </w:tcBorders>
          </w:tcPr>
          <w:p>
            <w:pPr>
              <w:pStyle w:val="TableParagraph"/>
              <w:ind w:left="66" w:right="66"/>
              <w:jc w:val="center"/>
              <w:rPr>
                <w:rFonts w:ascii="Arial"/>
                <w:sz w:val="14"/>
              </w:rPr>
            </w:pPr>
            <w:r>
              <w:rPr>
                <w:rFonts w:ascii="Arial"/>
                <w:w w:val="105"/>
                <w:sz w:val="14"/>
              </w:rPr>
              <w:t>0.00</w:t>
            </w:r>
          </w:p>
        </w:tc>
        <w:tc>
          <w:tcPr>
            <w:tcW w:w="950" w:type="dxa"/>
            <w:tcBorders>
              <w:top w:val="nil"/>
              <w:bottom w:val="nil"/>
            </w:tcBorders>
          </w:tcPr>
          <w:p>
            <w:pPr>
              <w:pStyle w:val="TableParagraph"/>
              <w:ind w:right="325"/>
              <w:jc w:val="right"/>
              <w:rPr>
                <w:rFonts w:ascii="Arial"/>
                <w:sz w:val="14"/>
              </w:rPr>
            </w:pPr>
            <w:r>
              <w:rPr>
                <w:rFonts w:ascii="Arial"/>
                <w:sz w:val="14"/>
              </w:rPr>
              <w:t>0.40</w:t>
            </w:r>
          </w:p>
        </w:tc>
      </w:tr>
      <w:tr>
        <w:trPr>
          <w:trHeight w:val="254" w:hRule="atLeast"/>
        </w:trPr>
        <w:tc>
          <w:tcPr>
            <w:tcW w:w="1444" w:type="dxa"/>
            <w:vMerge w:val="restart"/>
            <w:tcBorders>
              <w:top w:val="double" w:sz="1" w:space="0" w:color="5B9BD4"/>
              <w:bottom w:val="double" w:sz="1" w:space="0" w:color="5B9BD4"/>
            </w:tcBorders>
          </w:tcPr>
          <w:p>
            <w:pPr>
              <w:pStyle w:val="TableParagraph"/>
              <w:ind w:left="21"/>
              <w:rPr>
                <w:rFonts w:ascii="Arial"/>
                <w:b/>
                <w:sz w:val="14"/>
              </w:rPr>
            </w:pPr>
            <w:r>
              <w:rPr>
                <w:rFonts w:ascii="Arial"/>
                <w:b/>
                <w:w w:val="105"/>
                <w:sz w:val="14"/>
              </w:rPr>
              <w:t>Metrics and Targets</w:t>
            </w:r>
          </w:p>
        </w:tc>
        <w:tc>
          <w:tcPr>
            <w:tcW w:w="4176" w:type="dxa"/>
            <w:tcBorders>
              <w:top w:val="double" w:sz="1" w:space="0" w:color="5B9BD4"/>
              <w:bottom w:val="double" w:sz="1" w:space="0" w:color="5B9BD4"/>
              <w:right w:val="nil"/>
            </w:tcBorders>
          </w:tcPr>
          <w:p>
            <w:pPr>
              <w:pStyle w:val="TableParagraph"/>
              <w:ind w:left="22"/>
              <w:rPr>
                <w:rFonts w:ascii="Arial"/>
                <w:b/>
                <w:sz w:val="14"/>
              </w:rPr>
            </w:pPr>
            <w:r>
              <w:rPr>
                <w:rFonts w:ascii="Arial"/>
                <w:b/>
                <w:w w:val="105"/>
                <w:sz w:val="14"/>
              </w:rPr>
              <w:t>a. Climate-Related Metrics</w:t>
            </w:r>
          </w:p>
        </w:tc>
        <w:tc>
          <w:tcPr>
            <w:tcW w:w="950" w:type="dxa"/>
            <w:tcBorders>
              <w:top w:val="nil"/>
              <w:left w:val="nil"/>
              <w:bottom w:val="nil"/>
              <w:right w:val="nil"/>
            </w:tcBorders>
            <w:shd w:val="clear" w:color="auto" w:fill="DBDBDB"/>
          </w:tcPr>
          <w:p>
            <w:pPr>
              <w:pStyle w:val="TableParagraph"/>
              <w:ind w:left="311" w:right="310"/>
              <w:jc w:val="center"/>
              <w:rPr>
                <w:rFonts w:ascii="Arial"/>
                <w:sz w:val="14"/>
              </w:rPr>
            </w:pPr>
            <w:r>
              <w:rPr>
                <w:rFonts w:ascii="Arial"/>
                <w:w w:val="105"/>
                <w:sz w:val="14"/>
              </w:rPr>
              <w:t>0.70</w:t>
            </w:r>
          </w:p>
        </w:tc>
        <w:tc>
          <w:tcPr>
            <w:tcW w:w="950" w:type="dxa"/>
            <w:tcBorders>
              <w:top w:val="nil"/>
              <w:left w:val="nil"/>
              <w:bottom w:val="nil"/>
              <w:right w:val="nil"/>
            </w:tcBorders>
            <w:shd w:val="clear" w:color="auto" w:fill="DBDBDB"/>
          </w:tcPr>
          <w:p>
            <w:pPr>
              <w:pStyle w:val="TableParagraph"/>
              <w:ind w:left="311" w:right="311"/>
              <w:jc w:val="center"/>
              <w:rPr>
                <w:rFonts w:ascii="Arial"/>
                <w:sz w:val="14"/>
              </w:rPr>
            </w:pPr>
            <w:r>
              <w:rPr>
                <w:rFonts w:ascii="Arial"/>
                <w:w w:val="105"/>
                <w:sz w:val="14"/>
              </w:rPr>
              <w:t>0.00</w:t>
            </w:r>
          </w:p>
        </w:tc>
        <w:tc>
          <w:tcPr>
            <w:tcW w:w="950" w:type="dxa"/>
            <w:tcBorders>
              <w:top w:val="nil"/>
              <w:left w:val="nil"/>
              <w:bottom w:val="nil"/>
              <w:right w:val="nil"/>
            </w:tcBorders>
            <w:shd w:val="clear" w:color="auto" w:fill="DBDBDB"/>
          </w:tcPr>
          <w:p>
            <w:pPr>
              <w:pStyle w:val="TableParagraph"/>
              <w:ind w:right="330"/>
              <w:jc w:val="right"/>
              <w:rPr>
                <w:rFonts w:ascii="Arial"/>
                <w:sz w:val="14"/>
              </w:rPr>
            </w:pPr>
            <w:r>
              <w:rPr>
                <w:rFonts w:ascii="Arial"/>
                <w:sz w:val="14"/>
              </w:rPr>
              <w:t>0.41</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tcBorders>
          </w:tcPr>
          <w:p>
            <w:pPr>
              <w:pStyle w:val="TableParagraph"/>
              <w:ind w:left="22"/>
              <w:rPr>
                <w:rFonts w:ascii="Arial"/>
                <w:b/>
                <w:sz w:val="14"/>
              </w:rPr>
            </w:pPr>
            <w:r>
              <w:rPr>
                <w:rFonts w:ascii="Arial"/>
                <w:b/>
                <w:w w:val="105"/>
                <w:sz w:val="14"/>
              </w:rPr>
              <w:t>b. Scope 1,2,3 GHG Emissions</w:t>
            </w:r>
          </w:p>
        </w:tc>
        <w:tc>
          <w:tcPr>
            <w:tcW w:w="950" w:type="dxa"/>
            <w:tcBorders>
              <w:top w:val="nil"/>
              <w:bottom w:val="nil"/>
            </w:tcBorders>
          </w:tcPr>
          <w:p>
            <w:pPr>
              <w:pStyle w:val="TableParagraph"/>
              <w:ind w:left="66" w:right="65"/>
              <w:jc w:val="center"/>
              <w:rPr>
                <w:rFonts w:ascii="Arial"/>
                <w:sz w:val="14"/>
              </w:rPr>
            </w:pPr>
            <w:r>
              <w:rPr>
                <w:rFonts w:ascii="Arial"/>
                <w:w w:val="105"/>
                <w:sz w:val="14"/>
              </w:rPr>
              <w:t>0.82</w:t>
            </w:r>
          </w:p>
        </w:tc>
        <w:tc>
          <w:tcPr>
            <w:tcW w:w="950" w:type="dxa"/>
            <w:tcBorders>
              <w:top w:val="nil"/>
              <w:bottom w:val="nil"/>
            </w:tcBorders>
          </w:tcPr>
          <w:p>
            <w:pPr>
              <w:pStyle w:val="TableParagraph"/>
              <w:ind w:left="66" w:right="66"/>
              <w:jc w:val="center"/>
              <w:rPr>
                <w:rFonts w:ascii="Arial"/>
                <w:sz w:val="14"/>
              </w:rPr>
            </w:pPr>
            <w:r>
              <w:rPr>
                <w:rFonts w:ascii="Arial"/>
                <w:w w:val="105"/>
                <w:sz w:val="14"/>
              </w:rPr>
              <w:t>0.00</w:t>
            </w:r>
          </w:p>
        </w:tc>
        <w:tc>
          <w:tcPr>
            <w:tcW w:w="950" w:type="dxa"/>
            <w:tcBorders>
              <w:top w:val="nil"/>
              <w:bottom w:val="nil"/>
            </w:tcBorders>
          </w:tcPr>
          <w:p>
            <w:pPr>
              <w:pStyle w:val="TableParagraph"/>
              <w:ind w:right="325"/>
              <w:jc w:val="right"/>
              <w:rPr>
                <w:rFonts w:ascii="Arial"/>
                <w:sz w:val="14"/>
              </w:rPr>
            </w:pPr>
            <w:r>
              <w:rPr>
                <w:rFonts w:ascii="Arial"/>
                <w:sz w:val="14"/>
              </w:rPr>
              <w:t>0.42</w:t>
            </w:r>
          </w:p>
        </w:tc>
      </w:tr>
      <w:tr>
        <w:trPr>
          <w:trHeight w:val="254" w:hRule="atLeast"/>
        </w:trPr>
        <w:tc>
          <w:tcPr>
            <w:tcW w:w="1444" w:type="dxa"/>
            <w:vMerge/>
            <w:tcBorders>
              <w:top w:val="nil"/>
              <w:bottom w:val="double" w:sz="1" w:space="0" w:color="5B9BD4"/>
            </w:tcBorders>
          </w:tcPr>
          <w:p>
            <w:pPr>
              <w:rPr>
                <w:sz w:val="2"/>
                <w:szCs w:val="2"/>
              </w:rPr>
            </w:pPr>
          </w:p>
        </w:tc>
        <w:tc>
          <w:tcPr>
            <w:tcW w:w="4176" w:type="dxa"/>
            <w:tcBorders>
              <w:top w:val="double" w:sz="1" w:space="0" w:color="5B9BD4"/>
              <w:bottom w:val="double" w:sz="1" w:space="0" w:color="5B9BD4"/>
              <w:right w:val="nil"/>
            </w:tcBorders>
          </w:tcPr>
          <w:p>
            <w:pPr>
              <w:pStyle w:val="TableParagraph"/>
              <w:ind w:left="22"/>
              <w:rPr>
                <w:rFonts w:ascii="Arial"/>
                <w:b/>
                <w:sz w:val="14"/>
              </w:rPr>
            </w:pPr>
            <w:r>
              <w:rPr>
                <w:rFonts w:ascii="Arial"/>
                <w:b/>
                <w:w w:val="105"/>
                <w:sz w:val="14"/>
              </w:rPr>
              <w:t>c. Climate-Related Targets</w:t>
            </w:r>
          </w:p>
        </w:tc>
        <w:tc>
          <w:tcPr>
            <w:tcW w:w="950" w:type="dxa"/>
            <w:tcBorders>
              <w:top w:val="nil"/>
              <w:left w:val="nil"/>
              <w:bottom w:val="nil"/>
              <w:right w:val="nil"/>
            </w:tcBorders>
            <w:shd w:val="clear" w:color="auto" w:fill="DBDBDB"/>
          </w:tcPr>
          <w:p>
            <w:pPr>
              <w:pStyle w:val="TableParagraph"/>
              <w:ind w:left="311" w:right="310"/>
              <w:jc w:val="center"/>
              <w:rPr>
                <w:rFonts w:ascii="Arial"/>
                <w:sz w:val="14"/>
              </w:rPr>
            </w:pPr>
            <w:r>
              <w:rPr>
                <w:rFonts w:ascii="Arial"/>
                <w:w w:val="105"/>
                <w:sz w:val="14"/>
              </w:rPr>
              <w:t>0.99</w:t>
            </w:r>
          </w:p>
        </w:tc>
        <w:tc>
          <w:tcPr>
            <w:tcW w:w="950" w:type="dxa"/>
            <w:tcBorders>
              <w:top w:val="nil"/>
              <w:left w:val="nil"/>
              <w:bottom w:val="nil"/>
              <w:right w:val="nil"/>
            </w:tcBorders>
            <w:shd w:val="clear" w:color="auto" w:fill="DBDBDB"/>
          </w:tcPr>
          <w:p>
            <w:pPr>
              <w:pStyle w:val="TableParagraph"/>
              <w:ind w:left="311" w:right="311"/>
              <w:jc w:val="center"/>
              <w:rPr>
                <w:rFonts w:ascii="Arial"/>
                <w:sz w:val="14"/>
              </w:rPr>
            </w:pPr>
            <w:r>
              <w:rPr>
                <w:rFonts w:ascii="Arial"/>
                <w:w w:val="105"/>
                <w:sz w:val="14"/>
              </w:rPr>
              <w:t>0.00</w:t>
            </w:r>
          </w:p>
        </w:tc>
        <w:tc>
          <w:tcPr>
            <w:tcW w:w="950" w:type="dxa"/>
            <w:tcBorders>
              <w:top w:val="nil"/>
              <w:left w:val="nil"/>
              <w:bottom w:val="nil"/>
              <w:right w:val="nil"/>
            </w:tcBorders>
            <w:shd w:val="clear" w:color="auto" w:fill="DBDBDB"/>
          </w:tcPr>
          <w:p>
            <w:pPr>
              <w:pStyle w:val="TableParagraph"/>
              <w:ind w:right="330"/>
              <w:jc w:val="right"/>
              <w:rPr>
                <w:rFonts w:ascii="Arial"/>
                <w:sz w:val="14"/>
              </w:rPr>
            </w:pPr>
            <w:r>
              <w:rPr>
                <w:rFonts w:ascii="Arial"/>
                <w:sz w:val="14"/>
              </w:rPr>
              <w:t>0.43</w:t>
            </w:r>
          </w:p>
        </w:tc>
      </w:tr>
    </w:tbl>
    <w:p>
      <w:pPr>
        <w:tabs>
          <w:tab w:pos="8228" w:val="left" w:leader="none"/>
          <w:tab w:pos="9178" w:val="left" w:leader="none"/>
        </w:tabs>
        <w:spacing w:line="20" w:lineRule="exact"/>
        <w:ind w:left="7278" w:right="0" w:firstLine="0"/>
        <w:rPr>
          <w:sz w:val="2"/>
        </w:rPr>
      </w:pPr>
      <w:r>
        <w:rPr>
          <w:sz w:val="2"/>
        </w:rPr>
        <w:pict>
          <v:group style="width:.3pt;height:.3pt;mso-position-horizontal-relative:char;mso-position-vertical-relative:line" coordorigin="0,0" coordsize="6,6">
            <v:line style="position:absolute" from="3,3" to="3,3" stroked="true" strokeweight=".268026pt" strokecolor="#d3d3d3">
              <v:stroke dashstyle="solid"/>
            </v:line>
            <v:shape style="position:absolute;left:0;top:0;width:6;height:2" coordorigin="0,0" coordsize="6,0" path="m5,0l0,0,5,0xe" filled="true" fillcolor="#d3d3d3" stroked="false">
              <v:path arrowok="t"/>
              <v:fill type="solid"/>
            </v:shape>
          </v:group>
        </w:pict>
      </w:r>
      <w:r>
        <w:rPr>
          <w:sz w:val="2"/>
        </w:rPr>
      </w:r>
      <w:r>
        <w:rPr>
          <w:sz w:val="2"/>
        </w:rPr>
        <w:tab/>
      </w:r>
      <w:r>
        <w:rPr>
          <w:sz w:val="2"/>
        </w:rPr>
        <w:pict>
          <v:group style="width:.3pt;height:.3pt;mso-position-horizontal-relative:char;mso-position-vertical-relative:line" coordorigin="0,0" coordsize="6,6">
            <v:line style="position:absolute" from="3,3" to="3,3" stroked="true" strokeweight=".268026pt" strokecolor="#d3d3d3">
              <v:stroke dashstyle="solid"/>
            </v:line>
            <v:shape style="position:absolute;left:0;top:0;width:6;height:2" coordorigin="0,0" coordsize="6,0" path="m5,0l0,0,5,0xe" filled="true" fillcolor="#d3d3d3" stroked="false">
              <v:path arrowok="t"/>
              <v:fill type="solid"/>
            </v:shape>
          </v:group>
        </w:pict>
      </w:r>
      <w:r>
        <w:rPr>
          <w:sz w:val="2"/>
        </w:rPr>
      </w:r>
      <w:r>
        <w:rPr>
          <w:sz w:val="2"/>
        </w:rPr>
        <w:tab/>
      </w:r>
      <w:r>
        <w:rPr>
          <w:sz w:val="2"/>
        </w:rPr>
        <w:pict>
          <v:group style="width:.45pt;height:.550pt;mso-position-horizontal-relative:char;mso-position-vertical-relative:line" coordorigin="0,0" coordsize="9,11">
            <v:line style="position:absolute" from="3,8" to="3,8" stroked="true" strokeweight=".268026pt" strokecolor="#d3d3d3">
              <v:stroke dashstyle="solid"/>
            </v:line>
            <v:shape style="position:absolute;left:0;top:5;width:6;height:2" coordorigin="0,5" coordsize="6,0" path="m5,5l0,5,5,5xe" filled="true" fillcolor="#d3d3d3" stroked="false">
              <v:path arrowok="t"/>
              <v:fill type="solid"/>
            </v:shape>
            <v:line style="position:absolute" from="8,3" to="8,3" stroked="true" strokeweight=".268026pt" strokecolor="#d3d3d3">
              <v:stroke dashstyle="solid"/>
            </v:line>
          </v:group>
        </w:pict>
      </w:r>
      <w:r>
        <w:rPr>
          <w:sz w:val="2"/>
        </w:rPr>
      </w:r>
    </w:p>
    <w:p>
      <w:pPr>
        <w:pStyle w:val="BodyText"/>
        <w:spacing w:before="10"/>
        <w:rPr>
          <w:b/>
          <w:sz w:val="28"/>
        </w:rPr>
      </w:pPr>
    </w:p>
    <w:p>
      <w:pPr>
        <w:pStyle w:val="BodyText"/>
        <w:spacing w:line="360" w:lineRule="auto" w:before="1"/>
        <w:ind w:left="134" w:right="639"/>
      </w:pPr>
      <w:r>
        <w:rPr>
          <w:shd w:fill="FAFAFA" w:color="auto" w:val="clear"/>
        </w:rPr>
        <w:t>This still nascent field will be important to understanding the utility of different climate disclosures. To this</w:t>
      </w:r>
      <w:r>
        <w:rPr/>
        <w:t> </w:t>
      </w:r>
      <w:r>
        <w:rPr>
          <w:shd w:fill="FAFAFA" w:color="auto" w:val="clear"/>
        </w:rPr>
        <w:t>end, the Bank will continue its research.</w:t>
      </w:r>
    </w:p>
    <w:p>
      <w:pPr>
        <w:pStyle w:val="BodyText"/>
        <w:spacing w:before="9"/>
        <w:rPr>
          <w:sz w:val="12"/>
        </w:rPr>
      </w:pPr>
    </w:p>
    <w:p>
      <w:pPr>
        <w:pStyle w:val="Heading1"/>
        <w:spacing w:line="360" w:lineRule="auto"/>
        <w:ind w:right="487"/>
      </w:pPr>
      <w:r>
        <w:rPr>
          <w:shd w:fill="FAFAFA" w:color="auto" w:val="clear"/>
        </w:rPr>
        <w:t>Third, we must spread knowledge on how to measure and use information on strategic resilience to</w:t>
      </w:r>
      <w:r>
        <w:rPr/>
        <w:t> </w:t>
      </w:r>
      <w:r>
        <w:rPr>
          <w:shd w:fill="FAFAFA" w:color="auto" w:val="clear"/>
        </w:rPr>
        <w:t>manage risks and realise opportunities.</w:t>
      </w:r>
    </w:p>
    <w:p>
      <w:pPr>
        <w:pStyle w:val="BodyText"/>
        <w:spacing w:before="7"/>
        <w:rPr>
          <w:b/>
          <w:sz w:val="12"/>
        </w:rPr>
      </w:pPr>
    </w:p>
    <w:p>
      <w:pPr>
        <w:pStyle w:val="BodyText"/>
        <w:spacing w:line="360" w:lineRule="auto" w:before="94"/>
        <w:ind w:left="134" w:right="495"/>
      </w:pPr>
      <w:r>
        <w:rPr>
          <w:shd w:fill="FAFAFA" w:color="auto" w:val="clear"/>
        </w:rPr>
        <w:t>Consistent with the Paris Accord’s objective to stabilise temperature increases to below two degrees, many</w:t>
      </w:r>
      <w:r>
        <w:rPr/>
        <w:t> </w:t>
      </w:r>
      <w:r>
        <w:rPr>
          <w:shd w:fill="FAFAFA" w:color="auto" w:val="clear"/>
        </w:rPr>
        <w:t>governments are now committing to reaching net zero carbon by 2050.</w:t>
      </w:r>
    </w:p>
    <w:p>
      <w:pPr>
        <w:pStyle w:val="BodyText"/>
        <w:spacing w:before="10"/>
      </w:pPr>
    </w:p>
    <w:p>
      <w:pPr>
        <w:pStyle w:val="BodyText"/>
        <w:spacing w:line="360" w:lineRule="auto"/>
        <w:ind w:left="134" w:right="529"/>
      </w:pPr>
      <w:r>
        <w:rPr/>
        <w:t>In convening this Summit, Prime Minister Abe has rightly highlighted the enormous investments that will be necessary to deliver these objectives.</w:t>
      </w:r>
    </w:p>
    <w:p>
      <w:pPr>
        <w:spacing w:after="0" w:line="360" w:lineRule="auto"/>
        <w:sectPr>
          <w:pgSz w:w="11910" w:h="16840"/>
          <w:pgMar w:header="0" w:footer="1338" w:top="1340" w:bottom="1520" w:left="1000" w:right="800"/>
        </w:sectPr>
      </w:pPr>
    </w:p>
    <w:p>
      <w:pPr>
        <w:pStyle w:val="BodyText"/>
        <w:spacing w:line="360" w:lineRule="auto" w:before="79"/>
        <w:ind w:left="134" w:right="839"/>
      </w:pPr>
      <w:r>
        <w:rPr/>
        <w:t>With an estimated US $90 trillion of infrastructure spending expected between 2015 and 2030, the right decisions now can make sure those investments are both financially rewarding and environmentally sustainable.</w:t>
      </w:r>
    </w:p>
    <w:p>
      <w:pPr>
        <w:pStyle w:val="BodyText"/>
        <w:spacing w:before="9"/>
      </w:pPr>
    </w:p>
    <w:p>
      <w:pPr>
        <w:pStyle w:val="BodyText"/>
        <w:spacing w:line="360" w:lineRule="auto"/>
        <w:ind w:left="134" w:right="817"/>
      </w:pPr>
      <w:r>
        <w:rPr/>
        <w:t>There has been a recent surge of environmentally focused investment funds. In Japan alone, Environmental, Social and Governance (ESG) assets quadrupled from 2016 to 2018 to reach $2 trillion.</w:t>
      </w:r>
    </w:p>
    <w:p>
      <w:pPr>
        <w:pStyle w:val="BodyText"/>
        <w:spacing w:before="8"/>
        <w:rPr>
          <w:sz w:val="12"/>
        </w:rPr>
      </w:pPr>
    </w:p>
    <w:p>
      <w:pPr>
        <w:pStyle w:val="BodyText"/>
        <w:spacing w:before="94"/>
        <w:ind w:left="134"/>
      </w:pPr>
      <w:r>
        <w:rPr/>
        <w:pict>
          <v:shape style="position:absolute;margin-left:56.700001pt;margin-top:22.059885pt;width:227.4pt;height:11.55pt;mso-position-horizontal-relative:page;mso-position-vertical-relative:paragraph;z-index:-251645952;mso-wrap-distance-left:0;mso-wrap-distance-right:0" type="#_x0000_t202" filled="true" fillcolor="#fafafa" stroked="false">
            <v:textbox inset="0,0,0,0">
              <w:txbxContent>
                <w:p>
                  <w:pPr>
                    <w:pStyle w:val="BodyText"/>
                    <w:spacing w:line="228" w:lineRule="exact"/>
                    <w:ind w:right="-15"/>
                    <w:rPr>
                      <w:sz w:val="13"/>
                    </w:rPr>
                  </w:pPr>
                  <w:r>
                    <w:rPr/>
                    <w:t>companies’ strategic resilience to climate</w:t>
                  </w:r>
                  <w:r>
                    <w:rPr>
                      <w:spacing w:val="-13"/>
                    </w:rPr>
                    <w:t> </w:t>
                  </w:r>
                  <w:r>
                    <w:rPr/>
                    <w:t>change.</w:t>
                  </w:r>
                  <w:r>
                    <w:rPr>
                      <w:position w:val="7"/>
                      <w:sz w:val="13"/>
                    </w:rPr>
                    <w:t>12</w:t>
                  </w:r>
                </w:p>
              </w:txbxContent>
            </v:textbox>
            <v:fill type="solid"/>
            <w10:wrap type="topAndBottom"/>
          </v:shape>
        </w:pict>
      </w:r>
      <w:r>
        <w:rPr>
          <w:shd w:fill="FAFAFA" w:color="auto" w:val="clear"/>
        </w:rPr>
        <w:t>As the transition gains traction, it is likely that both ESG and mainstream investors will increasingly focus on</w:t>
      </w:r>
    </w:p>
    <w:p>
      <w:pPr>
        <w:pStyle w:val="BodyText"/>
        <w:spacing w:before="2"/>
        <w:rPr>
          <w:sz w:val="21"/>
        </w:rPr>
      </w:pPr>
    </w:p>
    <w:p>
      <w:pPr>
        <w:pStyle w:val="BodyText"/>
        <w:spacing w:before="94"/>
        <w:ind w:left="134"/>
      </w:pPr>
      <w:r>
        <w:rPr/>
        <w:pict>
          <v:shape style="position:absolute;margin-left:56.700001pt;margin-top:22.059885pt;width:455.85pt;height:11.55pt;mso-position-horizontal-relative:page;mso-position-vertical-relative:paragraph;z-index:-251644928;mso-wrap-distance-left:0;mso-wrap-distance-right:0" type="#_x0000_t202" filled="true" fillcolor="#fafafa" stroked="false">
            <v:textbox inset="0,0,0,0">
              <w:txbxContent>
                <w:p>
                  <w:pPr>
                    <w:pStyle w:val="BodyText"/>
                    <w:spacing w:line="228" w:lineRule="exact"/>
                  </w:pPr>
                  <w:r>
                    <w:rPr/>
                    <w:t>financial impacts.</w:t>
                  </w:r>
                  <w:r>
                    <w:rPr>
                      <w:position w:val="7"/>
                      <w:sz w:val="13"/>
                    </w:rPr>
                    <w:t>13 </w:t>
                  </w:r>
                  <w:r>
                    <w:rPr/>
                    <w:t>This year’s report to the Osaka G20 Summit found that, while firms were starting to</w:t>
                  </w:r>
                </w:p>
              </w:txbxContent>
            </v:textbox>
            <v:fill type="solid"/>
            <w10:wrap type="topAndBottom"/>
          </v:shape>
        </w:pict>
      </w:r>
      <w:r>
        <w:rPr>
          <w:shd w:fill="FAFAFA" w:color="auto" w:val="clear"/>
        </w:rPr>
        <w:t>95% of users found TCFD information on strategy useful, but three quarters want more information on the</w:t>
      </w:r>
    </w:p>
    <w:p>
      <w:pPr>
        <w:pStyle w:val="BodyText"/>
        <w:spacing w:before="97" w:after="118"/>
        <w:ind w:left="134"/>
      </w:pPr>
      <w:r>
        <w:rPr>
          <w:shd w:fill="FAFAFA" w:color="auto" w:val="clear"/>
        </w:rPr>
        <w:t>consider strategic resilience, only about 50% systematically conducted scenario analysis and of those that</w:t>
      </w:r>
    </w:p>
    <w:p>
      <w:pPr>
        <w:pStyle w:val="BodyText"/>
        <w:spacing w:line="230" w:lineRule="exact"/>
        <w:ind w:left="134"/>
      </w:pPr>
      <w:r>
        <w:rPr>
          <w:position w:val="-4"/>
        </w:rPr>
        <w:pict>
          <v:shape style="width:451.45pt;height:11.55pt;mso-position-horizontal-relative:char;mso-position-vertical-relative:line" type="#_x0000_t202" filled="true" fillcolor="#fafafa" stroked="false">
            <w10:anchorlock/>
            <v:textbox inset="0,0,0,0">
              <w:txbxContent>
                <w:p>
                  <w:pPr>
                    <w:pStyle w:val="BodyText"/>
                    <w:spacing w:line="228" w:lineRule="exact"/>
                  </w:pPr>
                  <w:r>
                    <w:rPr/>
                    <w:t>did, three fifths did not disclose the information.</w:t>
                  </w:r>
                  <w:r>
                    <w:rPr>
                      <w:position w:val="7"/>
                      <w:sz w:val="13"/>
                    </w:rPr>
                    <w:t>14 </w:t>
                  </w:r>
                  <w:r>
                    <w:rPr/>
                    <w:t>Almost 80% considered the assessment of strategic</w:t>
                  </w:r>
                </w:p>
              </w:txbxContent>
            </v:textbox>
            <v:fill type="solid"/>
          </v:shape>
        </w:pict>
      </w:r>
      <w:r>
        <w:rPr>
          <w:position w:val="-4"/>
        </w:rPr>
      </w:r>
    </w:p>
    <w:p>
      <w:pPr>
        <w:pStyle w:val="BodyText"/>
        <w:spacing w:line="360" w:lineRule="auto" w:before="113"/>
        <w:ind w:left="134" w:right="1117"/>
      </w:pPr>
      <w:r>
        <w:rPr>
          <w:shd w:fill="FAFAFA" w:color="auto" w:val="clear"/>
        </w:rPr>
        <w:t>resilience somewhat or very difficult, identifying a lack of relevant and granular data, the difficulty in</w:t>
      </w:r>
      <w:r>
        <w:rPr/>
        <w:t> </w:t>
      </w:r>
      <w:r>
        <w:rPr>
          <w:shd w:fill="FAFAFA" w:color="auto" w:val="clear"/>
        </w:rPr>
        <w:t>determining scenarios to use, and the quantification of climate risks and opportunities as the biggest</w:t>
      </w:r>
    </w:p>
    <w:p>
      <w:pPr>
        <w:pStyle w:val="BodyText"/>
        <w:spacing w:line="230" w:lineRule="exact"/>
        <w:ind w:left="134"/>
      </w:pPr>
      <w:r>
        <w:rPr>
          <w:position w:val="-4"/>
        </w:rPr>
        <w:pict>
          <v:shape style="width:42.8pt;height:11.55pt;mso-position-horizontal-relative:char;mso-position-vertical-relative:line" type="#_x0000_t202" filled="true" fillcolor="#fafafa" stroked="false">
            <w10:anchorlock/>
            <v:textbox inset="0,0,0,0">
              <w:txbxContent>
                <w:p>
                  <w:pPr>
                    <w:pStyle w:val="BodyText"/>
                    <w:spacing w:line="228" w:lineRule="exact"/>
                    <w:ind w:right="-15"/>
                    <w:rPr>
                      <w:sz w:val="13"/>
                    </w:rPr>
                  </w:pPr>
                  <w:r>
                    <w:rPr/>
                    <w:t>hurdles.</w:t>
                  </w:r>
                  <w:r>
                    <w:rPr>
                      <w:position w:val="7"/>
                      <w:sz w:val="13"/>
                    </w:rPr>
                    <w:t>15</w:t>
                  </w:r>
                </w:p>
              </w:txbxContent>
            </v:textbox>
            <v:fill type="solid"/>
          </v:shape>
        </w:pict>
      </w:r>
      <w:r>
        <w:rPr>
          <w:position w:val="-4"/>
        </w:rPr>
      </w:r>
    </w:p>
    <w:p>
      <w:pPr>
        <w:pStyle w:val="BodyText"/>
        <w:spacing w:before="7"/>
        <w:rPr>
          <w:sz w:val="22"/>
        </w:rPr>
      </w:pPr>
    </w:p>
    <w:p>
      <w:pPr>
        <w:pStyle w:val="BodyText"/>
        <w:spacing w:line="360" w:lineRule="auto" w:before="94"/>
        <w:ind w:left="134" w:right="462"/>
      </w:pPr>
      <w:r>
        <w:rPr>
          <w:shd w:fill="FAFAFA" w:color="auto" w:val="clear"/>
        </w:rPr>
        <w:t>This is not surprising – scenario analysis is a new and complex practice. And most of the off-the-shelf</w:t>
      </w:r>
      <w:r>
        <w:rPr/>
        <w:t> </w:t>
      </w:r>
      <w:r>
        <w:rPr>
          <w:shd w:fill="FAFAFA" w:color="auto" w:val="clear"/>
        </w:rPr>
        <w:t>climate scenarios (such as the IEA and IPCC publications) are intended for policy or research, not business</w:t>
      </w:r>
      <w:r>
        <w:rPr/>
        <w:t> </w:t>
      </w:r>
      <w:r>
        <w:rPr>
          <w:shd w:fill="FAFAFA" w:color="auto" w:val="clear"/>
        </w:rPr>
        <w:t>analysis. Improvements will be best achieved with collective force.</w:t>
      </w:r>
    </w:p>
    <w:p>
      <w:pPr>
        <w:pStyle w:val="BodyText"/>
        <w:spacing w:before="9"/>
      </w:pPr>
    </w:p>
    <w:p>
      <w:pPr>
        <w:pStyle w:val="BodyText"/>
        <w:spacing w:line="360" w:lineRule="auto" w:before="1"/>
        <w:ind w:left="134"/>
      </w:pPr>
      <w:r>
        <w:rPr/>
        <w:t>For some companies, scenario analysis is already part of their business planning and risk management. The TCFD report provides case studies – from Rio Tinto to Unilever to Citi – and finds common characteristics of good scenario analysis:</w:t>
      </w:r>
    </w:p>
    <w:p>
      <w:pPr>
        <w:pStyle w:val="BodyText"/>
        <w:rPr>
          <w:sz w:val="21"/>
        </w:rPr>
      </w:pPr>
    </w:p>
    <w:p>
      <w:pPr>
        <w:pStyle w:val="ListParagraph"/>
        <w:numPr>
          <w:ilvl w:val="0"/>
          <w:numId w:val="1"/>
        </w:numPr>
        <w:tabs>
          <w:tab w:pos="854" w:val="left" w:leader="none"/>
          <w:tab w:pos="855" w:val="left" w:leader="none"/>
        </w:tabs>
        <w:spacing w:line="240" w:lineRule="auto" w:before="0" w:after="0"/>
        <w:ind w:left="854" w:right="0" w:hanging="361"/>
        <w:jc w:val="left"/>
        <w:rPr>
          <w:sz w:val="20"/>
        </w:rPr>
      </w:pPr>
      <w:r>
        <w:rPr>
          <w:sz w:val="20"/>
        </w:rPr>
        <w:t>Using multiple climate-related scenarios to assess strategic</w:t>
      </w:r>
      <w:r>
        <w:rPr>
          <w:spacing w:val="-5"/>
          <w:sz w:val="20"/>
        </w:rPr>
        <w:t> </w:t>
      </w:r>
      <w:r>
        <w:rPr>
          <w:sz w:val="20"/>
        </w:rPr>
        <w:t>resilience</w:t>
      </w:r>
    </w:p>
    <w:p>
      <w:pPr>
        <w:pStyle w:val="ListParagraph"/>
        <w:numPr>
          <w:ilvl w:val="0"/>
          <w:numId w:val="1"/>
        </w:numPr>
        <w:tabs>
          <w:tab w:pos="854" w:val="left" w:leader="none"/>
          <w:tab w:pos="855" w:val="left" w:leader="none"/>
        </w:tabs>
        <w:spacing w:line="240" w:lineRule="auto" w:before="112" w:after="0"/>
        <w:ind w:left="854" w:right="0" w:hanging="361"/>
        <w:jc w:val="left"/>
        <w:rPr>
          <w:sz w:val="20"/>
        </w:rPr>
      </w:pPr>
      <w:r>
        <w:rPr>
          <w:sz w:val="20"/>
        </w:rPr>
        <w:t>Describing assumptions and parameters specific to the</w:t>
      </w:r>
      <w:r>
        <w:rPr>
          <w:spacing w:val="-5"/>
          <w:sz w:val="20"/>
        </w:rPr>
        <w:t> </w:t>
      </w:r>
      <w:r>
        <w:rPr>
          <w:sz w:val="20"/>
        </w:rPr>
        <w:t>company</w:t>
      </w:r>
    </w:p>
    <w:p>
      <w:pPr>
        <w:pStyle w:val="ListParagraph"/>
        <w:numPr>
          <w:ilvl w:val="0"/>
          <w:numId w:val="1"/>
        </w:numPr>
        <w:tabs>
          <w:tab w:pos="854" w:val="left" w:leader="none"/>
          <w:tab w:pos="855" w:val="left" w:leader="none"/>
        </w:tabs>
        <w:spacing w:line="240" w:lineRule="auto" w:before="114" w:after="0"/>
        <w:ind w:left="854" w:right="0" w:hanging="361"/>
        <w:jc w:val="left"/>
        <w:rPr>
          <w:sz w:val="20"/>
        </w:rPr>
      </w:pPr>
      <w:r>
        <w:rPr>
          <w:sz w:val="20"/>
        </w:rPr>
        <w:t>Identifying potential impacts of climate-related risks or</w:t>
      </w:r>
      <w:r>
        <w:rPr>
          <w:spacing w:val="-2"/>
          <w:sz w:val="20"/>
        </w:rPr>
        <w:t> </w:t>
      </w:r>
      <w:r>
        <w:rPr>
          <w:sz w:val="20"/>
        </w:rPr>
        <w:t>opportunities</w:t>
      </w:r>
    </w:p>
    <w:p>
      <w:pPr>
        <w:pStyle w:val="ListParagraph"/>
        <w:numPr>
          <w:ilvl w:val="0"/>
          <w:numId w:val="1"/>
        </w:numPr>
        <w:tabs>
          <w:tab w:pos="854" w:val="left" w:leader="none"/>
          <w:tab w:pos="855" w:val="left" w:leader="none"/>
        </w:tabs>
        <w:spacing w:line="240" w:lineRule="auto" w:before="114" w:after="0"/>
        <w:ind w:left="854" w:right="0" w:hanging="361"/>
        <w:jc w:val="left"/>
        <w:rPr>
          <w:sz w:val="20"/>
        </w:rPr>
      </w:pPr>
      <w:r>
        <w:rPr>
          <w:sz w:val="20"/>
        </w:rPr>
        <w:t>Disclosing potential strategic resilience under different climate-related</w:t>
      </w:r>
      <w:r>
        <w:rPr>
          <w:spacing w:val="-5"/>
          <w:sz w:val="20"/>
        </w:rPr>
        <w:t> </w:t>
      </w:r>
      <w:r>
        <w:rPr>
          <w:sz w:val="20"/>
        </w:rPr>
        <w:t>scenarios</w:t>
      </w:r>
    </w:p>
    <w:p>
      <w:pPr>
        <w:pStyle w:val="BodyText"/>
        <w:spacing w:before="5"/>
        <w:rPr>
          <w:sz w:val="22"/>
        </w:rPr>
      </w:pPr>
    </w:p>
    <w:p>
      <w:pPr>
        <w:pStyle w:val="BodyText"/>
        <w:spacing w:line="355" w:lineRule="auto" w:before="94"/>
        <w:ind w:left="134" w:right="684"/>
        <w:rPr>
          <w:sz w:val="13"/>
        </w:rPr>
      </w:pPr>
      <w:r>
        <w:rPr>
          <w:shd w:fill="FAFAFA" w:color="auto" w:val="clear"/>
        </w:rPr>
        <w:t>To develop leading practices</w:t>
      </w:r>
      <w:r>
        <w:rPr/>
        <w:t>, the TCFD has created a Knowledge Hub that provides guidance, research, tools, standards, frameworks and webinars.</w:t>
      </w:r>
      <w:r>
        <w:rPr>
          <w:position w:val="7"/>
          <w:sz w:val="13"/>
        </w:rPr>
        <w:t>16</w:t>
      </w:r>
    </w:p>
    <w:p>
      <w:pPr>
        <w:pStyle w:val="BodyText"/>
      </w:pPr>
    </w:p>
    <w:p>
      <w:pPr>
        <w:pStyle w:val="BodyText"/>
        <w:spacing w:before="4"/>
        <w:rPr>
          <w:sz w:val="24"/>
        </w:rPr>
      </w:pPr>
      <w:r>
        <w:rPr/>
        <w:pict>
          <v:shape style="position:absolute;margin-left:56.700001pt;margin-top:16.24087pt;width:144.050pt;height:.1pt;mso-position-horizontal-relative:page;mso-position-vertical-relative:paragraph;z-index:-251641856;mso-wrap-distance-left:0;mso-wrap-distance-right:0" coordorigin="1134,325" coordsize="2881,0" path="m1134,325l4014,325e" filled="false" stroked="true" strokeweight=".47998pt" strokecolor="#000000">
            <v:path arrowok="t"/>
            <v:stroke dashstyle="solid"/>
            <w10:wrap type="topAndBottom"/>
          </v:shape>
        </w:pict>
      </w:r>
    </w:p>
    <w:p>
      <w:pPr>
        <w:spacing w:before="51"/>
        <w:ind w:left="134" w:right="363" w:firstLine="0"/>
        <w:jc w:val="left"/>
        <w:rPr>
          <w:sz w:val="16"/>
        </w:rPr>
      </w:pPr>
      <w:r>
        <w:rPr>
          <w:position w:val="6"/>
          <w:sz w:val="10"/>
        </w:rPr>
        <w:t>12 </w:t>
      </w:r>
      <w:r>
        <w:rPr>
          <w:sz w:val="16"/>
        </w:rPr>
        <w:t>The Task Force encourages companies to describe the characteristics of their strategies that allow them to adapt to climate-related changes materially affecting their business while maintaining operations and profitability and safeguarding people, assets, and overall reputation. The TCFD report identifies that investors are likely to need information on the range of scenarios considered by a company; implications of each scenario for the business; strategic options considered; and the reasoning around the strategy adopted. Another factor that may warrant disclosure is the company’s ability – and flexibility – to adjust its strategy in response to emerging climate conditions, including alternative ways to use resources and the robustness and redundancy of business processes.</w:t>
      </w:r>
    </w:p>
    <w:p>
      <w:pPr>
        <w:spacing w:line="182" w:lineRule="exact" w:before="0"/>
        <w:ind w:left="134" w:right="0" w:firstLine="0"/>
        <w:jc w:val="left"/>
        <w:rPr>
          <w:sz w:val="16"/>
        </w:rPr>
      </w:pPr>
      <w:r>
        <w:rPr>
          <w:position w:val="6"/>
          <w:sz w:val="10"/>
        </w:rPr>
        <w:t>13  </w:t>
      </w:r>
      <w:r>
        <w:rPr>
          <w:sz w:val="16"/>
        </w:rPr>
        <w:t>TCFD Status Report (2019) pg.</w:t>
      </w:r>
      <w:r>
        <w:rPr>
          <w:spacing w:val="-20"/>
          <w:sz w:val="16"/>
        </w:rPr>
        <w:t> </w:t>
      </w:r>
      <w:r>
        <w:rPr>
          <w:sz w:val="16"/>
        </w:rPr>
        <w:t>64.</w:t>
      </w:r>
    </w:p>
    <w:p>
      <w:pPr>
        <w:spacing w:line="184" w:lineRule="exact" w:before="0"/>
        <w:ind w:left="134" w:right="0" w:firstLine="0"/>
        <w:jc w:val="left"/>
        <w:rPr>
          <w:sz w:val="16"/>
        </w:rPr>
      </w:pPr>
      <w:r>
        <w:rPr>
          <w:position w:val="6"/>
          <w:sz w:val="10"/>
        </w:rPr>
        <w:t>14  </w:t>
      </w:r>
      <w:r>
        <w:rPr>
          <w:sz w:val="16"/>
        </w:rPr>
        <w:t>TCFD Status Report (2019) pg.</w:t>
      </w:r>
      <w:r>
        <w:rPr>
          <w:spacing w:val="-21"/>
          <w:sz w:val="16"/>
        </w:rPr>
        <w:t> </w:t>
      </w:r>
      <w:r>
        <w:rPr>
          <w:sz w:val="16"/>
        </w:rPr>
        <w:t>63.</w:t>
      </w:r>
    </w:p>
    <w:p>
      <w:pPr>
        <w:spacing w:line="184" w:lineRule="exact" w:before="0"/>
        <w:ind w:left="134" w:right="0" w:firstLine="0"/>
        <w:jc w:val="left"/>
        <w:rPr>
          <w:sz w:val="16"/>
        </w:rPr>
      </w:pPr>
      <w:r>
        <w:rPr>
          <w:position w:val="6"/>
          <w:sz w:val="10"/>
        </w:rPr>
        <w:t>15  </w:t>
      </w:r>
      <w:r>
        <w:rPr>
          <w:sz w:val="16"/>
        </w:rPr>
        <w:t>TCFD Status Report (2019) pg.</w:t>
      </w:r>
      <w:r>
        <w:rPr>
          <w:spacing w:val="-21"/>
          <w:sz w:val="16"/>
        </w:rPr>
        <w:t> </w:t>
      </w:r>
      <w:r>
        <w:rPr>
          <w:sz w:val="16"/>
        </w:rPr>
        <w:t>62.</w:t>
      </w:r>
    </w:p>
    <w:p>
      <w:pPr>
        <w:spacing w:line="240" w:lineRule="auto" w:before="0"/>
        <w:ind w:left="134" w:right="363" w:firstLine="0"/>
        <w:jc w:val="left"/>
        <w:rPr>
          <w:sz w:val="16"/>
        </w:rPr>
      </w:pPr>
      <w:r>
        <w:rPr>
          <w:position w:val="6"/>
          <w:sz w:val="10"/>
        </w:rPr>
        <w:t>16 </w:t>
      </w:r>
      <w:r>
        <w:rPr>
          <w:sz w:val="16"/>
        </w:rPr>
        <w:t>This includes several industry associations and non-governmental organisations that have brought companies together to work through sector-specific approaches to climate change issues. For example, the World Business Council for Sustainable Development (WBCSD) has convened or announced “preparer forums” for various sectors and industries: oil and gas; electric utilities; chemicals;</w:t>
      </w:r>
    </w:p>
    <w:p>
      <w:pPr>
        <w:spacing w:after="0" w:line="240" w:lineRule="auto"/>
        <w:jc w:val="left"/>
        <w:rPr>
          <w:sz w:val="16"/>
        </w:rPr>
        <w:sectPr>
          <w:pgSz w:w="11910" w:h="16840"/>
          <w:pgMar w:header="0" w:footer="1338" w:top="1340" w:bottom="1520" w:left="1000" w:right="800"/>
        </w:sectPr>
      </w:pPr>
    </w:p>
    <w:p>
      <w:pPr>
        <w:pStyle w:val="BodyText"/>
        <w:spacing w:before="79"/>
        <w:ind w:left="134"/>
      </w:pPr>
      <w:r>
        <w:rPr/>
        <w:t>Looking ahead, the TCFD is currently considering how to:</w:t>
      </w:r>
    </w:p>
    <w:p>
      <w:pPr>
        <w:pStyle w:val="BodyText"/>
        <w:spacing w:before="10"/>
        <w:rPr>
          <w:sz w:val="30"/>
        </w:rPr>
      </w:pPr>
    </w:p>
    <w:p>
      <w:pPr>
        <w:pStyle w:val="ListParagraph"/>
        <w:numPr>
          <w:ilvl w:val="0"/>
          <w:numId w:val="1"/>
        </w:numPr>
        <w:tabs>
          <w:tab w:pos="854" w:val="left" w:leader="none"/>
          <w:tab w:pos="855" w:val="left" w:leader="none"/>
        </w:tabs>
        <w:spacing w:line="240" w:lineRule="auto" w:before="0" w:after="0"/>
        <w:ind w:left="854" w:right="0" w:hanging="361"/>
        <w:jc w:val="left"/>
        <w:rPr>
          <w:sz w:val="20"/>
        </w:rPr>
      </w:pPr>
      <w:r>
        <w:rPr>
          <w:sz w:val="20"/>
        </w:rPr>
        <w:t>Provide additional guidance on how to conduct scenario</w:t>
      </w:r>
      <w:r>
        <w:rPr>
          <w:spacing w:val="-4"/>
          <w:sz w:val="20"/>
        </w:rPr>
        <w:t> </w:t>
      </w:r>
      <w:r>
        <w:rPr>
          <w:sz w:val="20"/>
        </w:rPr>
        <w:t>analysis;</w:t>
      </w:r>
    </w:p>
    <w:p>
      <w:pPr>
        <w:pStyle w:val="ListParagraph"/>
        <w:numPr>
          <w:ilvl w:val="0"/>
          <w:numId w:val="1"/>
        </w:numPr>
        <w:tabs>
          <w:tab w:pos="854" w:val="left" w:leader="none"/>
          <w:tab w:pos="855" w:val="left" w:leader="none"/>
        </w:tabs>
        <w:spacing w:line="350" w:lineRule="auto" w:before="114" w:after="0"/>
        <w:ind w:left="854" w:right="400" w:hanging="361"/>
        <w:jc w:val="left"/>
        <w:rPr>
          <w:sz w:val="20"/>
        </w:rPr>
      </w:pPr>
      <w:r>
        <w:rPr>
          <w:sz w:val="20"/>
        </w:rPr>
        <w:t>Publish business-relevant scenario templates to lower implementation costs; improve understanding and improve comparability;</w:t>
      </w:r>
      <w:r>
        <w:rPr>
          <w:spacing w:val="-4"/>
          <w:sz w:val="20"/>
        </w:rPr>
        <w:t> </w:t>
      </w:r>
      <w:r>
        <w:rPr>
          <w:sz w:val="20"/>
        </w:rPr>
        <w:t>and</w:t>
      </w:r>
    </w:p>
    <w:p>
      <w:pPr>
        <w:pStyle w:val="ListParagraph"/>
        <w:numPr>
          <w:ilvl w:val="0"/>
          <w:numId w:val="1"/>
        </w:numPr>
        <w:tabs>
          <w:tab w:pos="854" w:val="left" w:leader="none"/>
          <w:tab w:pos="855" w:val="left" w:leader="none"/>
        </w:tabs>
        <w:spacing w:line="350" w:lineRule="auto" w:before="10" w:after="0"/>
        <w:ind w:left="854" w:right="755" w:hanging="361"/>
        <w:jc w:val="left"/>
        <w:rPr>
          <w:sz w:val="20"/>
        </w:rPr>
      </w:pPr>
      <w:r>
        <w:rPr>
          <w:sz w:val="20"/>
        </w:rPr>
        <w:t>Start a work stream on how to roll out these approaches to portfolio measurement to more asset owners.</w:t>
      </w:r>
    </w:p>
    <w:p>
      <w:pPr>
        <w:pStyle w:val="BodyText"/>
        <w:spacing w:before="8"/>
        <w:rPr>
          <w:sz w:val="21"/>
        </w:rPr>
      </w:pPr>
    </w:p>
    <w:p>
      <w:pPr>
        <w:pStyle w:val="BodyText"/>
        <w:spacing w:line="357" w:lineRule="auto"/>
        <w:ind w:left="134" w:right="706"/>
        <w:rPr>
          <w:sz w:val="13"/>
        </w:rPr>
      </w:pPr>
      <w:r>
        <w:rPr/>
        <w:t>The Bank of England is doing its part by assessing the strategic resilience of the world’s leading financial centre. The Bank will be the first regulator to stress test its financial system against different climate pathways, including the catastrophic business as usual scenario and the ideal </w:t>
      </w:r>
      <w:r>
        <w:rPr>
          <w:sz w:val="16"/>
        </w:rPr>
        <w:t>– </w:t>
      </w:r>
      <w:r>
        <w:rPr/>
        <w:t>but still challenging </w:t>
      </w:r>
      <w:r>
        <w:rPr>
          <w:sz w:val="16"/>
        </w:rPr>
        <w:t>– </w:t>
      </w:r>
      <w:r>
        <w:rPr/>
        <w:t>transition to net zero by 2050 consistent with the UK’s legislated objective.</w:t>
      </w:r>
      <w:r>
        <w:rPr>
          <w:position w:val="7"/>
          <w:sz w:val="13"/>
        </w:rPr>
        <w:t>17</w:t>
      </w:r>
    </w:p>
    <w:p>
      <w:pPr>
        <w:pStyle w:val="BodyText"/>
        <w:spacing w:before="2"/>
        <w:rPr>
          <w:sz w:val="21"/>
        </w:rPr>
      </w:pPr>
    </w:p>
    <w:p>
      <w:pPr>
        <w:pStyle w:val="BodyText"/>
        <w:spacing w:line="360" w:lineRule="auto" w:before="1"/>
        <w:ind w:left="134" w:right="884"/>
      </w:pPr>
      <w:r>
        <w:rPr/>
        <w:t>In response, banks will need to establish how their borrowers are managing current and future climate- related risks and opportunities. Those assessments will reveal:</w:t>
      </w:r>
    </w:p>
    <w:p>
      <w:pPr>
        <w:pStyle w:val="BodyText"/>
        <w:spacing w:before="10"/>
      </w:pPr>
    </w:p>
    <w:p>
      <w:pPr>
        <w:pStyle w:val="ListParagraph"/>
        <w:numPr>
          <w:ilvl w:val="0"/>
          <w:numId w:val="1"/>
        </w:numPr>
        <w:tabs>
          <w:tab w:pos="848" w:val="left" w:leader="none"/>
          <w:tab w:pos="849" w:val="left" w:leader="none"/>
        </w:tabs>
        <w:spacing w:line="240" w:lineRule="auto" w:before="1" w:after="0"/>
        <w:ind w:left="848" w:right="0" w:hanging="359"/>
        <w:jc w:val="left"/>
        <w:rPr>
          <w:sz w:val="20"/>
        </w:rPr>
      </w:pPr>
      <w:r>
        <w:rPr>
          <w:sz w:val="20"/>
        </w:rPr>
        <w:t>Which firms have strategies for the transition to a net zero</w:t>
      </w:r>
      <w:r>
        <w:rPr>
          <w:spacing w:val="-5"/>
          <w:sz w:val="20"/>
        </w:rPr>
        <w:t> </w:t>
      </w:r>
      <w:r>
        <w:rPr>
          <w:sz w:val="20"/>
        </w:rPr>
        <w:t>economy;</w:t>
      </w:r>
    </w:p>
    <w:p>
      <w:pPr>
        <w:pStyle w:val="ListParagraph"/>
        <w:numPr>
          <w:ilvl w:val="0"/>
          <w:numId w:val="1"/>
        </w:numPr>
        <w:tabs>
          <w:tab w:pos="848" w:val="left" w:leader="none"/>
          <w:tab w:pos="849" w:val="left" w:leader="none"/>
        </w:tabs>
        <w:spacing w:line="240" w:lineRule="auto" w:before="113" w:after="0"/>
        <w:ind w:left="848" w:right="0" w:hanging="359"/>
        <w:jc w:val="left"/>
        <w:rPr>
          <w:sz w:val="20"/>
        </w:rPr>
      </w:pPr>
      <w:r>
        <w:rPr>
          <w:sz w:val="20"/>
        </w:rPr>
        <w:t>Which are gambling on new technologies or government inaction;</w:t>
      </w:r>
      <w:r>
        <w:rPr>
          <w:spacing w:val="-3"/>
          <w:sz w:val="20"/>
        </w:rPr>
        <w:t> </w:t>
      </w:r>
      <w:r>
        <w:rPr>
          <w:sz w:val="20"/>
        </w:rPr>
        <w:t>and</w:t>
      </w:r>
    </w:p>
    <w:p>
      <w:pPr>
        <w:pStyle w:val="ListParagraph"/>
        <w:numPr>
          <w:ilvl w:val="0"/>
          <w:numId w:val="1"/>
        </w:numPr>
        <w:tabs>
          <w:tab w:pos="854" w:val="left" w:leader="none"/>
          <w:tab w:pos="855" w:val="left" w:leader="none"/>
        </w:tabs>
        <w:spacing w:line="240" w:lineRule="auto" w:before="114" w:after="0"/>
        <w:ind w:left="854" w:right="0" w:hanging="361"/>
        <w:jc w:val="left"/>
        <w:rPr>
          <w:sz w:val="20"/>
        </w:rPr>
      </w:pPr>
      <w:r>
        <w:rPr>
          <w:sz w:val="20"/>
        </w:rPr>
        <w:t>Which haven’t yet thought through the risks and</w:t>
      </w:r>
      <w:r>
        <w:rPr>
          <w:spacing w:val="-6"/>
          <w:sz w:val="20"/>
        </w:rPr>
        <w:t> </w:t>
      </w:r>
      <w:r>
        <w:rPr>
          <w:sz w:val="20"/>
        </w:rPr>
        <w:t>opportunities.</w:t>
      </w:r>
    </w:p>
    <w:p>
      <w:pPr>
        <w:pStyle w:val="BodyText"/>
        <w:spacing w:before="8"/>
        <w:rPr>
          <w:sz w:val="30"/>
        </w:rPr>
      </w:pPr>
    </w:p>
    <w:p>
      <w:pPr>
        <w:pStyle w:val="BodyText"/>
        <w:spacing w:line="360" w:lineRule="auto"/>
        <w:ind w:left="134" w:right="653"/>
        <w:jc w:val="both"/>
      </w:pPr>
      <w:r>
        <w:rPr/>
        <w:t>The test will help develop and mainstream cutting-edge risk management techniques, and it will make the heart of the global financial system more responsive to changes in the climate and to government climate policies.</w:t>
      </w:r>
    </w:p>
    <w:p>
      <w:pPr>
        <w:pStyle w:val="BodyText"/>
        <w:spacing w:before="10"/>
      </w:pPr>
    </w:p>
    <w:p>
      <w:pPr>
        <w:pStyle w:val="BodyText"/>
        <w:spacing w:line="360" w:lineRule="auto"/>
        <w:ind w:left="134" w:right="363"/>
      </w:pPr>
      <w:r>
        <w:rPr/>
        <w:t>As with climate disclosure, such strategic assessments will need to go global if the world is going to stabilise temperatures below two degrees. That is one reason why the Bank is developing its stress testing approach in consultation with industry, the Credit Rating Agencies and the Network for Greening the Financial System (NGFS) – a group of 42 central banks and supervisors (including the JFSA) that represent half of global emissions.</w:t>
      </w:r>
    </w:p>
    <w:p>
      <w:pPr>
        <w:pStyle w:val="BodyText"/>
        <w:spacing w:before="10"/>
      </w:pPr>
    </w:p>
    <w:p>
      <w:pPr>
        <w:pStyle w:val="Heading1"/>
        <w:spacing w:line="360" w:lineRule="auto" w:before="1"/>
        <w:ind w:right="624"/>
        <w:jc w:val="both"/>
      </w:pPr>
      <w:r>
        <w:rPr/>
        <w:t>Fourth and finally, the TCFD should consider how asset owners could best disclose how well their portfolios are positioned for the transition to net zero.</w:t>
      </w:r>
    </w:p>
    <w:p>
      <w:pPr>
        <w:pStyle w:val="BodyText"/>
        <w:spacing w:before="8"/>
        <w:rPr>
          <w:b/>
        </w:rPr>
      </w:pPr>
    </w:p>
    <w:p>
      <w:pPr>
        <w:pStyle w:val="BodyText"/>
        <w:spacing w:line="360" w:lineRule="auto" w:before="1"/>
        <w:ind w:left="134" w:right="363"/>
      </w:pPr>
      <w:r>
        <w:rPr/>
        <w:t>For sustainable investment to go truly mainstream, it needs to do more than exclude incorrigibly brown industries and finance new, deep green technologies. Sustainable investing must catalyse and support </w:t>
      </w:r>
      <w:r>
        <w:rPr>
          <w:i/>
        </w:rPr>
        <w:t>all </w:t>
      </w:r>
      <w:r>
        <w:rPr/>
        <w:t>companies that are working to transition from brown to green.</w:t>
      </w:r>
    </w:p>
    <w:p>
      <w:pPr>
        <w:pStyle w:val="BodyText"/>
      </w:pPr>
    </w:p>
    <w:p>
      <w:pPr>
        <w:pStyle w:val="BodyText"/>
      </w:pPr>
    </w:p>
    <w:p>
      <w:pPr>
        <w:pStyle w:val="BodyText"/>
        <w:spacing w:before="8"/>
        <w:rPr>
          <w:sz w:val="16"/>
        </w:rPr>
      </w:pPr>
      <w:r>
        <w:rPr/>
        <w:pict>
          <v:shape style="position:absolute;margin-left:56.700001pt;margin-top:11.848672pt;width:144.050pt;height:.1pt;mso-position-horizontal-relative:page;mso-position-vertical-relative:paragraph;z-index:-251640832;mso-wrap-distance-left:0;mso-wrap-distance-right:0" coordorigin="1134,237" coordsize="2881,0" path="m1134,237l4014,237e" filled="false" stroked="true" strokeweight=".47998pt" strokecolor="#000000">
            <v:path arrowok="t"/>
            <v:stroke dashstyle="solid"/>
            <w10:wrap type="topAndBottom"/>
          </v:shape>
        </w:pict>
      </w:r>
    </w:p>
    <w:p>
      <w:pPr>
        <w:spacing w:before="55"/>
        <w:ind w:left="134" w:right="363" w:firstLine="0"/>
        <w:jc w:val="left"/>
        <w:rPr>
          <w:sz w:val="16"/>
        </w:rPr>
      </w:pPr>
      <w:r>
        <w:rPr>
          <w:sz w:val="16"/>
        </w:rPr>
        <w:t>construction; automobiles; and food, agriculture, and forest products. The United Nations Environment Programme Finance Initiative worked with 16 large global banks to pilot the TCFD recommendations and develop a scenario-based approach for assessing the potential impact of climate change on the banks’ lending portfolios.</w:t>
      </w:r>
    </w:p>
    <w:p>
      <w:pPr>
        <w:spacing w:line="240" w:lineRule="auto" w:before="0"/>
        <w:ind w:left="134" w:right="363" w:firstLine="0"/>
        <w:jc w:val="left"/>
        <w:rPr>
          <w:sz w:val="16"/>
        </w:rPr>
      </w:pPr>
      <w:r>
        <w:rPr>
          <w:position w:val="6"/>
          <w:sz w:val="10"/>
        </w:rPr>
        <w:t>17 </w:t>
      </w:r>
      <w:r>
        <w:rPr>
          <w:sz w:val="16"/>
        </w:rPr>
        <w:t>The Bank of England set out in its July 2019 FSR its intention to test the UK financial system’s </w:t>
      </w:r>
      <w:r>
        <w:rPr>
          <w:color w:val="1E1E1E"/>
          <w:sz w:val="16"/>
        </w:rPr>
        <w:t>resilience to the physical and transition risks of climate change. It will gather views on the design of the exercise and, as a first step, will publish a discussion paper in autumn 2019. More information available at: </w:t>
      </w:r>
      <w:hyperlink r:id="rId22">
        <w:r>
          <w:rPr>
            <w:color w:val="0000FF"/>
            <w:sz w:val="16"/>
            <w:u w:val="single" w:color="0000FF"/>
          </w:rPr>
          <w:t>https://www.bankofengland.co.uk/-/media/boe/files/financial-stability-report/2019/july-2019.pdf</w:t>
        </w:r>
        <w:r>
          <w:rPr>
            <w:sz w:val="16"/>
          </w:rPr>
          <w:t>.</w:t>
        </w:r>
      </w:hyperlink>
    </w:p>
    <w:p>
      <w:pPr>
        <w:spacing w:after="0" w:line="240" w:lineRule="auto"/>
        <w:jc w:val="left"/>
        <w:rPr>
          <w:sz w:val="16"/>
        </w:rPr>
        <w:sectPr>
          <w:footerReference w:type="default" r:id="rId21"/>
          <w:pgSz w:w="11910" w:h="16840"/>
          <w:pgMar w:footer="1338" w:header="0" w:top="1340" w:bottom="1520" w:left="1000" w:right="800"/>
          <w:pgNumType w:start="10"/>
        </w:sectPr>
      </w:pPr>
    </w:p>
    <w:p>
      <w:pPr>
        <w:pStyle w:val="BodyText"/>
        <w:spacing w:line="360" w:lineRule="auto" w:before="79"/>
        <w:ind w:left="134" w:right="352"/>
      </w:pPr>
      <w:r>
        <w:rPr/>
        <w:t>Such “tilt” investment strategies, which overweight high ESG stocks, and “momentum” investment strategies, which focus on companies that have improved their ESG ratings, have outperformed global benchmarks for close to a decade.</w:t>
      </w:r>
    </w:p>
    <w:p>
      <w:pPr>
        <w:pStyle w:val="BodyText"/>
        <w:spacing w:before="9"/>
      </w:pPr>
    </w:p>
    <w:p>
      <w:pPr>
        <w:pStyle w:val="BodyText"/>
        <w:spacing w:line="355" w:lineRule="auto"/>
        <w:ind w:left="134" w:right="363"/>
        <w:rPr>
          <w:sz w:val="13"/>
        </w:rPr>
      </w:pPr>
      <w:r>
        <w:rPr/>
        <w:t>More widespread adoption of such strategies is essential. At present, one of the biggest hurdles to doing so is the huge variation in the measurement of ESG.</w:t>
      </w:r>
      <w:r>
        <w:rPr>
          <w:position w:val="7"/>
          <w:sz w:val="13"/>
        </w:rPr>
        <w:t>18</w:t>
      </w:r>
    </w:p>
    <w:p>
      <w:pPr>
        <w:pStyle w:val="BodyText"/>
        <w:spacing w:before="4"/>
        <w:rPr>
          <w:sz w:val="21"/>
        </w:rPr>
      </w:pPr>
    </w:p>
    <w:p>
      <w:pPr>
        <w:pStyle w:val="BodyText"/>
        <w:spacing w:line="360" w:lineRule="auto"/>
        <w:ind w:left="134" w:right="451"/>
      </w:pPr>
      <w:r>
        <w:rPr/>
        <w:t>Common taxonomies to identify environmental outperformance, such as the EU’s Green Taxonomy and the Green Bond Standard can help but they tend to be binary (either dark green or all brown).</w:t>
      </w:r>
    </w:p>
    <w:p>
      <w:pPr>
        <w:pStyle w:val="BodyText"/>
        <w:spacing w:before="10"/>
      </w:pPr>
    </w:p>
    <w:p>
      <w:pPr>
        <w:pStyle w:val="BodyText"/>
        <w:ind w:left="134"/>
      </w:pPr>
      <w:r>
        <w:rPr/>
        <w:t>Mainstreaming sustainable investing will require a richer taxonomy – 50 shades of green.</w:t>
      </w:r>
    </w:p>
    <w:p>
      <w:pPr>
        <w:pStyle w:val="BodyText"/>
        <w:spacing w:before="10"/>
        <w:rPr>
          <w:sz w:val="30"/>
        </w:rPr>
      </w:pPr>
    </w:p>
    <w:p>
      <w:pPr>
        <w:pStyle w:val="BodyText"/>
        <w:spacing w:line="360" w:lineRule="auto" w:before="1"/>
        <w:ind w:left="134" w:right="751"/>
      </w:pPr>
      <w:r>
        <w:rPr/>
        <w:t>One promising option highlighted by the UN’s Climate Financial Leaders is the development of transition indices composed of corporations in high-carbon sectors that have adopted low carbon strategies.</w:t>
      </w:r>
    </w:p>
    <w:p>
      <w:pPr>
        <w:pStyle w:val="BodyText"/>
        <w:spacing w:before="9"/>
      </w:pPr>
    </w:p>
    <w:p>
      <w:pPr>
        <w:pStyle w:val="BodyText"/>
        <w:spacing w:line="360" w:lineRule="auto" w:before="1"/>
        <w:ind w:left="134" w:right="950"/>
      </w:pPr>
      <w:r>
        <w:rPr/>
        <w:t>Consideration should also be given to the new assessments by leading asset owners of how well their portfolios are positioned for a two degree target.</w:t>
      </w:r>
    </w:p>
    <w:p>
      <w:pPr>
        <w:pStyle w:val="BodyText"/>
        <w:spacing w:before="10"/>
      </w:pPr>
    </w:p>
    <w:p>
      <w:pPr>
        <w:pStyle w:val="BodyText"/>
        <w:spacing w:line="360" w:lineRule="auto"/>
        <w:ind w:left="134" w:right="408"/>
        <w:rPr>
          <w:sz w:val="13"/>
        </w:rPr>
      </w:pPr>
      <w:r>
        <w:rPr/>
        <w:t>Once again, Japan is leading the way. GPIF, the world’s largest pension fund, calculates that its portfolio is aligned to a 3.5 degree world. Allianz assesses that it is on 3.7 degree path and has committed to get to 1.5 degrees by 2050. AXA estimates that its assets are currently consistent with a 3.7 degree path, and it has developed an innovative climate Value-at-Risk model to measure the opportunities as well as risks from the climate-related exposures of its investments.</w:t>
      </w:r>
      <w:r>
        <w:rPr>
          <w:position w:val="7"/>
          <w:sz w:val="13"/>
        </w:rPr>
        <w:t>19</w:t>
      </w:r>
    </w:p>
    <w:p>
      <w:pPr>
        <w:pStyle w:val="BodyText"/>
        <w:spacing w:before="5"/>
      </w:pPr>
    </w:p>
    <w:p>
      <w:pPr>
        <w:pStyle w:val="BodyText"/>
        <w:spacing w:line="360" w:lineRule="auto"/>
        <w:ind w:left="134" w:right="384"/>
      </w:pPr>
      <w:r>
        <w:rPr/>
        <w:t>With our citizens – led by the young – demanding climate action, it is becoming essential for asset owners to disclose the extent to which their clients’ money is being invested in line with their values.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0"/>
        </w:rPr>
      </w:pPr>
      <w:r>
        <w:rPr/>
        <w:pict>
          <v:shape style="position:absolute;margin-left:56.700001pt;margin-top:8.353184pt;width:144.050pt;height:.1pt;mso-position-horizontal-relative:page;mso-position-vertical-relative:paragraph;z-index:-251639808;mso-wrap-distance-left:0;mso-wrap-distance-right:0" coordorigin="1134,167" coordsize="2881,0" path="m1134,167l4014,167e" filled="false" stroked="true" strokeweight=".47998pt" strokecolor="#000000">
            <v:path arrowok="t"/>
            <v:stroke dashstyle="solid"/>
            <w10:wrap type="topAndBottom"/>
          </v:shape>
        </w:pict>
      </w:r>
    </w:p>
    <w:p>
      <w:pPr>
        <w:spacing w:line="240" w:lineRule="auto" w:before="51"/>
        <w:ind w:left="134" w:right="534" w:firstLine="0"/>
        <w:jc w:val="left"/>
        <w:rPr>
          <w:sz w:val="16"/>
        </w:rPr>
      </w:pPr>
      <w:r>
        <w:rPr>
          <w:position w:val="6"/>
          <w:sz w:val="10"/>
        </w:rPr>
        <w:t>18 </w:t>
      </w:r>
      <w:r>
        <w:rPr>
          <w:sz w:val="16"/>
        </w:rPr>
        <w:t>With the growth of different ESG measurement approaches, scores have been shown to vary greatly between providers. Barclays found positive but low correlations across all three ESG dimensions (14% for governance and 13% for environment) when comparing MSCI and Sustainalytics. Similarly, State Street Global Advisors found a correlation of 0.53 for constituents of the MSCI World Index. </w:t>
      </w:r>
      <w:r>
        <w:rPr>
          <w:position w:val="6"/>
          <w:sz w:val="10"/>
        </w:rPr>
        <w:t>19 </w:t>
      </w:r>
      <w:r>
        <w:rPr>
          <w:sz w:val="16"/>
        </w:rPr>
        <w:t>See Axa 2019 Climate Report, available at: </w:t>
      </w:r>
      <w:hyperlink r:id="rId24">
        <w:r>
          <w:rPr>
            <w:color w:val="0000FF"/>
            <w:sz w:val="16"/>
            <w:u w:val="single" w:color="0000FF"/>
          </w:rPr>
          <w:t>https://www-axa-com.cdn.axa-contento-118412.eu/www-axa-com%2F308285a0-f209-</w:t>
        </w:r>
      </w:hyperlink>
      <w:r>
        <w:rPr>
          <w:color w:val="0000FF"/>
          <w:sz w:val="16"/>
        </w:rPr>
        <w:t> </w:t>
      </w:r>
      <w:hyperlink r:id="rId24">
        <w:r>
          <w:rPr>
            <w:color w:val="0000FF"/>
            <w:sz w:val="16"/>
            <w:u w:val="single" w:color="0000FF"/>
          </w:rPr>
          <w:t>4b04-9a3e-41d8df848445_axa2019_ra_en_climate_report_19_07_2019_pdf_mel.pdf</w:t>
        </w:r>
        <w:r>
          <w:rPr>
            <w:sz w:val="16"/>
          </w:rPr>
          <w:t>.</w:t>
        </w:r>
      </w:hyperlink>
    </w:p>
    <w:p>
      <w:pPr>
        <w:spacing w:after="0" w:line="240" w:lineRule="auto"/>
        <w:jc w:val="left"/>
        <w:rPr>
          <w:sz w:val="16"/>
        </w:rPr>
        <w:sectPr>
          <w:footerReference w:type="default" r:id="rId23"/>
          <w:pgSz w:w="11910" w:h="16840"/>
          <w:pgMar w:footer="1338" w:header="0" w:top="1340" w:bottom="1520" w:left="1000" w:right="800"/>
          <w:pgNumType w:start="11"/>
        </w:sectPr>
      </w:pPr>
    </w:p>
    <w:p>
      <w:pPr>
        <w:pStyle w:val="Heading1"/>
        <w:spacing w:before="80"/>
      </w:pPr>
      <w:r>
        <w:rPr/>
        <w:t>Conclusion</w:t>
      </w:r>
    </w:p>
    <w:p>
      <w:pPr>
        <w:pStyle w:val="BodyText"/>
        <w:spacing w:before="8"/>
        <w:rPr>
          <w:b/>
          <w:sz w:val="30"/>
        </w:rPr>
      </w:pPr>
    </w:p>
    <w:p>
      <w:pPr>
        <w:pStyle w:val="BodyText"/>
        <w:spacing w:line="360" w:lineRule="auto"/>
        <w:ind w:left="134" w:right="573"/>
      </w:pPr>
      <w:r>
        <w:rPr/>
        <w:t>The TCFD provides the necessary foundation for the financial sector’s role in the transition to net zero that our planet needs and our citizens demand.</w:t>
      </w:r>
    </w:p>
    <w:p>
      <w:pPr>
        <w:pStyle w:val="BodyText"/>
        <w:spacing w:before="10"/>
      </w:pPr>
    </w:p>
    <w:p>
      <w:pPr>
        <w:pStyle w:val="BodyText"/>
        <w:spacing w:line="360" w:lineRule="auto"/>
        <w:ind w:left="134" w:right="429"/>
      </w:pPr>
      <w:r>
        <w:rPr/>
        <w:t>So whether the TCFD is used to manage the growing physical and transition risks from climate change or to finance the enormous opportunities to develop more resilient and sustainable economies, your work to develop the TCFD and spread its adoption is literally vital.</w:t>
      </w:r>
    </w:p>
    <w:sectPr>
      <w:pgSz w:w="11910" w:h="16840"/>
      <w:pgMar w:header="0" w:footer="1338" w:top="1340" w:bottom="1520" w:left="10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83968"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56592pt;width:2.6pt;height:3.15pt;mso-position-horizontal-relative:page;mso-position-vertical-relative:page;z-index:-252882944" type="#_x0000_t202" filled="false" stroked="false">
          <v:textbox inset="0,0,0,0">
            <w:txbxContent>
              <w:p>
                <w:pPr>
                  <w:pStyle w:val="BodyText"/>
                  <w:rPr>
                    <w:rFonts w:ascii="Times New Roman"/>
                    <w:sz w:val="2"/>
                  </w:rPr>
                </w:pPr>
              </w:p>
              <w:p>
                <w:pPr>
                  <w:spacing w:before="0"/>
                  <w:ind w:left="0" w:right="0" w:firstLine="0"/>
                  <w:jc w:val="center"/>
                  <w:rPr>
                    <w:sz w:val="2"/>
                  </w:rPr>
                </w:pPr>
                <w:r>
                  <w:rPr>
                    <w:w w:val="101"/>
                    <w:sz w:val="2"/>
                  </w:rPr>
                  <w:t>1</w:t>
                </w:r>
              </w:p>
            </w:txbxContent>
          </v:textbox>
          <w10:wrap type="none"/>
        </v:shape>
      </w:pict>
    </w:r>
    <w:r>
      <w:rPr/>
      <w:pict>
        <v:shape style="position:absolute;margin-left:43.400002pt;margin-top:771.969116pt;width:349.95pt;height:13.2pt;mso-position-horizontal-relative:page;mso-position-vertical-relative:page;z-index:-25288192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80896"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6592pt;width:6.6pt;height:3.15pt;mso-position-horizontal-relative:page;mso-position-vertical-relative:page;z-index:-25287987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400002pt;margin-top:771.969116pt;width:349.95pt;height:13.2pt;mso-position-horizontal-relative:page;mso-position-vertical-relative:page;z-index:-25287884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60022pt;margin-top:773.109131pt;width:7.6pt;height:13.2pt;mso-position-horizontal-relative:page;mso-position-vertical-relative:page;z-index:-25287782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76800"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6592pt;width:6.6pt;height:3.15pt;mso-position-horizontal-relative:page;mso-position-vertical-relative:page;z-index:-25287577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43.400002pt;margin-top:771.969116pt;width:349.95pt;height:13.2pt;mso-position-horizontal-relative:page;mso-position-vertical-relative:page;z-index:-2528747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60022pt;margin-top:773.109131pt;width:7.6pt;height:13.2pt;mso-position-horizontal-relative:page;mso-position-vertical-relative:page;z-index:-252873728" type="#_x0000_t202" filled="false" stroked="false">
          <v:textbox inset="0,0,0,0">
            <w:txbxContent>
              <w:p>
                <w:pPr>
                  <w:pStyle w:val="BodyText"/>
                  <w:spacing w:before="14"/>
                  <w:ind w:left="20"/>
                </w:pPr>
                <w:r>
                  <w:rPr>
                    <w:w w:val="100"/>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72704"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6592pt;width:6.6pt;height:3.15pt;mso-position-horizontal-relative:page;mso-position-vertical-relative:page;z-index:-2528716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6</w:t>
                </w:r>
                <w:r>
                  <w:rPr/>
                  <w:fldChar w:fldCharType="end"/>
                </w:r>
              </w:p>
            </w:txbxContent>
          </v:textbox>
          <w10:wrap type="none"/>
        </v:shape>
      </w:pict>
    </w:r>
    <w:r>
      <w:rPr/>
      <w:pict>
        <v:shape style="position:absolute;margin-left:43.400002pt;margin-top:771.969116pt;width:349.95pt;height:13.2pt;mso-position-horizontal-relative:page;mso-position-vertical-relative:page;z-index:-25287065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60022pt;margin-top:773.109131pt;width:7.6pt;height:13.2pt;mso-position-horizontal-relative:page;mso-position-vertical-relative:page;z-index:-252869632"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68608"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6592pt;width:6.6pt;height:3.15pt;mso-position-horizontal-relative:page;mso-position-vertical-relative:page;z-index:-2528675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43.400002pt;margin-top:771.969116pt;width:349.95pt;height:13.2pt;mso-position-horizontal-relative:page;mso-position-vertical-relative:page;z-index:-25286656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460022pt;margin-top:773.109131pt;width:7.6pt;height:13.2pt;mso-position-horizontal-relative:page;mso-position-vertical-relative:page;z-index:-252865536"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64512"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6592pt;width:7.1pt;height:3.15pt;mso-position-horizontal-relative:page;mso-position-vertical-relative:page;z-index:-2528634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69116pt;width:349.95pt;height:13.2pt;mso-position-horizontal-relative:page;mso-position-vertical-relative:page;z-index:-25286246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940002pt;margin-top:773.109131pt;width:13.2pt;height:13.2pt;mso-position-horizontal-relative:page;mso-position-vertical-relative:page;z-index:-252861440"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9pt;margin-top:761.039978pt;width:517.4500pt;height:.25pt;mso-position-horizontal-relative:page;mso-position-vertical-relative:page;z-index:-252860416" coordorigin="780,15221" coordsize="10349,5">
          <v:line style="position:absolute" from="780,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56592pt;width:7.1pt;height:3.15pt;mso-position-horizontal-relative:page;mso-position-vertical-relative:page;z-index:-2528593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69116pt;width:349.95pt;height:13.2pt;mso-position-horizontal-relative:page;mso-position-vertical-relative:page;z-index:-2528583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940002pt;margin-top:773.109131pt;width:13.2pt;height:13.2pt;mso-position-horizontal-relative:page;mso-position-vertical-relative:page;z-index:-252857344"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8" w:hanging="358"/>
      </w:pPr>
      <w:rPr>
        <w:rFonts w:hint="default" w:ascii="Symbol" w:hAnsi="Symbol" w:eastAsia="Symbol" w:cs="Symbol"/>
        <w:w w:val="100"/>
        <w:sz w:val="20"/>
        <w:szCs w:val="20"/>
        <w:lang w:val="en-gb" w:eastAsia="en-gb" w:bidi="en-gb"/>
      </w:rPr>
    </w:lvl>
    <w:lvl w:ilvl="1">
      <w:start w:val="0"/>
      <w:numFmt w:val="bullet"/>
      <w:lvlText w:val="•"/>
      <w:lvlJc w:val="left"/>
      <w:pPr>
        <w:ind w:left="1766" w:hanging="358"/>
      </w:pPr>
      <w:rPr>
        <w:rFonts w:hint="default"/>
        <w:lang w:val="en-gb" w:eastAsia="en-gb" w:bidi="en-gb"/>
      </w:rPr>
    </w:lvl>
    <w:lvl w:ilvl="2">
      <w:start w:val="0"/>
      <w:numFmt w:val="bullet"/>
      <w:lvlText w:val="•"/>
      <w:lvlJc w:val="left"/>
      <w:pPr>
        <w:ind w:left="2693" w:hanging="358"/>
      </w:pPr>
      <w:rPr>
        <w:rFonts w:hint="default"/>
        <w:lang w:val="en-gb" w:eastAsia="en-gb" w:bidi="en-gb"/>
      </w:rPr>
    </w:lvl>
    <w:lvl w:ilvl="3">
      <w:start w:val="0"/>
      <w:numFmt w:val="bullet"/>
      <w:lvlText w:val="•"/>
      <w:lvlJc w:val="left"/>
      <w:pPr>
        <w:ind w:left="3619" w:hanging="358"/>
      </w:pPr>
      <w:rPr>
        <w:rFonts w:hint="default"/>
        <w:lang w:val="en-gb" w:eastAsia="en-gb" w:bidi="en-gb"/>
      </w:rPr>
    </w:lvl>
    <w:lvl w:ilvl="4">
      <w:start w:val="0"/>
      <w:numFmt w:val="bullet"/>
      <w:lvlText w:val="•"/>
      <w:lvlJc w:val="left"/>
      <w:pPr>
        <w:ind w:left="4546" w:hanging="358"/>
      </w:pPr>
      <w:rPr>
        <w:rFonts w:hint="default"/>
        <w:lang w:val="en-gb" w:eastAsia="en-gb" w:bidi="en-gb"/>
      </w:rPr>
    </w:lvl>
    <w:lvl w:ilvl="5">
      <w:start w:val="0"/>
      <w:numFmt w:val="bullet"/>
      <w:lvlText w:val="•"/>
      <w:lvlJc w:val="left"/>
      <w:pPr>
        <w:ind w:left="5473" w:hanging="358"/>
      </w:pPr>
      <w:rPr>
        <w:rFonts w:hint="default"/>
        <w:lang w:val="en-gb" w:eastAsia="en-gb" w:bidi="en-gb"/>
      </w:rPr>
    </w:lvl>
    <w:lvl w:ilvl="6">
      <w:start w:val="0"/>
      <w:numFmt w:val="bullet"/>
      <w:lvlText w:val="•"/>
      <w:lvlJc w:val="left"/>
      <w:pPr>
        <w:ind w:left="6399" w:hanging="358"/>
      </w:pPr>
      <w:rPr>
        <w:rFonts w:hint="default"/>
        <w:lang w:val="en-gb" w:eastAsia="en-gb" w:bidi="en-gb"/>
      </w:rPr>
    </w:lvl>
    <w:lvl w:ilvl="7">
      <w:start w:val="0"/>
      <w:numFmt w:val="bullet"/>
      <w:lvlText w:val="•"/>
      <w:lvlJc w:val="left"/>
      <w:pPr>
        <w:ind w:left="7326" w:hanging="358"/>
      </w:pPr>
      <w:rPr>
        <w:rFonts w:hint="default"/>
        <w:lang w:val="en-gb" w:eastAsia="en-gb" w:bidi="en-gb"/>
      </w:rPr>
    </w:lvl>
    <w:lvl w:ilvl="8">
      <w:start w:val="0"/>
      <w:numFmt w:val="bullet"/>
      <w:lvlText w:val="•"/>
      <w:lvlJc w:val="left"/>
      <w:pPr>
        <w:ind w:left="8253" w:hanging="358"/>
      </w:pPr>
      <w:rPr>
        <w:rFonts w:hint="default"/>
        <w:lang w:val="en-gb" w:eastAsia="en-gb" w:bidi="en-gb"/>
      </w:rPr>
    </w:lvl>
  </w:abstractNum>
  <w:abstractNum w:abstractNumId="2">
    <w:multiLevelType w:val="hybridMultilevel"/>
    <w:lvl w:ilvl="0">
      <w:start w:val="0"/>
      <w:numFmt w:val="bullet"/>
      <w:lvlText w:val="-"/>
      <w:lvlJc w:val="left"/>
      <w:pPr>
        <w:ind w:left="854" w:hanging="361"/>
      </w:pPr>
      <w:rPr>
        <w:rFonts w:hint="default" w:ascii="Calibri" w:hAnsi="Calibri" w:eastAsia="Calibri" w:cs="Calibri"/>
        <w:w w:val="100"/>
        <w:sz w:val="20"/>
        <w:szCs w:val="20"/>
        <w:lang w:val="en-gb" w:eastAsia="en-gb" w:bidi="en-gb"/>
      </w:rPr>
    </w:lvl>
    <w:lvl w:ilvl="1">
      <w:start w:val="0"/>
      <w:numFmt w:val="bullet"/>
      <w:lvlText w:val="•"/>
      <w:lvlJc w:val="left"/>
      <w:pPr>
        <w:ind w:left="1784" w:hanging="361"/>
      </w:pPr>
      <w:rPr>
        <w:rFonts w:hint="default"/>
        <w:lang w:val="en-gb" w:eastAsia="en-gb" w:bidi="en-gb"/>
      </w:rPr>
    </w:lvl>
    <w:lvl w:ilvl="2">
      <w:start w:val="0"/>
      <w:numFmt w:val="bullet"/>
      <w:lvlText w:val="•"/>
      <w:lvlJc w:val="left"/>
      <w:pPr>
        <w:ind w:left="2709" w:hanging="361"/>
      </w:pPr>
      <w:rPr>
        <w:rFonts w:hint="default"/>
        <w:lang w:val="en-gb" w:eastAsia="en-gb" w:bidi="en-gb"/>
      </w:rPr>
    </w:lvl>
    <w:lvl w:ilvl="3">
      <w:start w:val="0"/>
      <w:numFmt w:val="bullet"/>
      <w:lvlText w:val="•"/>
      <w:lvlJc w:val="left"/>
      <w:pPr>
        <w:ind w:left="3633" w:hanging="361"/>
      </w:pPr>
      <w:rPr>
        <w:rFonts w:hint="default"/>
        <w:lang w:val="en-gb" w:eastAsia="en-gb" w:bidi="en-gb"/>
      </w:rPr>
    </w:lvl>
    <w:lvl w:ilvl="4">
      <w:start w:val="0"/>
      <w:numFmt w:val="bullet"/>
      <w:lvlText w:val="•"/>
      <w:lvlJc w:val="left"/>
      <w:pPr>
        <w:ind w:left="4558" w:hanging="361"/>
      </w:pPr>
      <w:rPr>
        <w:rFonts w:hint="default"/>
        <w:lang w:val="en-gb" w:eastAsia="en-gb" w:bidi="en-gb"/>
      </w:rPr>
    </w:lvl>
    <w:lvl w:ilvl="5">
      <w:start w:val="0"/>
      <w:numFmt w:val="bullet"/>
      <w:lvlText w:val="•"/>
      <w:lvlJc w:val="left"/>
      <w:pPr>
        <w:ind w:left="5483" w:hanging="361"/>
      </w:pPr>
      <w:rPr>
        <w:rFonts w:hint="default"/>
        <w:lang w:val="en-gb" w:eastAsia="en-gb" w:bidi="en-gb"/>
      </w:rPr>
    </w:lvl>
    <w:lvl w:ilvl="6">
      <w:start w:val="0"/>
      <w:numFmt w:val="bullet"/>
      <w:lvlText w:val="•"/>
      <w:lvlJc w:val="left"/>
      <w:pPr>
        <w:ind w:left="6407" w:hanging="361"/>
      </w:pPr>
      <w:rPr>
        <w:rFonts w:hint="default"/>
        <w:lang w:val="en-gb" w:eastAsia="en-gb" w:bidi="en-gb"/>
      </w:rPr>
    </w:lvl>
    <w:lvl w:ilvl="7">
      <w:start w:val="0"/>
      <w:numFmt w:val="bullet"/>
      <w:lvlText w:val="•"/>
      <w:lvlJc w:val="left"/>
      <w:pPr>
        <w:ind w:left="7332" w:hanging="361"/>
      </w:pPr>
      <w:rPr>
        <w:rFonts w:hint="default"/>
        <w:lang w:val="en-gb" w:eastAsia="en-gb" w:bidi="en-gb"/>
      </w:rPr>
    </w:lvl>
    <w:lvl w:ilvl="8">
      <w:start w:val="0"/>
      <w:numFmt w:val="bullet"/>
      <w:lvlText w:val="•"/>
      <w:lvlJc w:val="left"/>
      <w:pPr>
        <w:ind w:left="8257" w:hanging="361"/>
      </w:pPr>
      <w:rPr>
        <w:rFonts w:hint="default"/>
        <w:lang w:val="en-gb" w:eastAsia="en-gb" w:bidi="en-gb"/>
      </w:rPr>
    </w:lvl>
  </w:abstractNum>
  <w:abstractNum w:abstractNumId="1">
    <w:multiLevelType w:val="hybridMultilevel"/>
    <w:lvl w:ilvl="0">
      <w:start w:val="1"/>
      <w:numFmt w:val="decimal"/>
      <w:lvlText w:val="%1."/>
      <w:lvlJc w:val="left"/>
      <w:pPr>
        <w:ind w:left="848" w:hanging="358"/>
        <w:jc w:val="left"/>
      </w:pPr>
      <w:rPr>
        <w:rFonts w:hint="default" w:ascii="Arial" w:hAnsi="Arial" w:eastAsia="Arial" w:cs="Arial"/>
        <w:w w:val="100"/>
        <w:sz w:val="20"/>
        <w:szCs w:val="20"/>
        <w:lang w:val="en-gb" w:eastAsia="en-gb" w:bidi="en-gb"/>
      </w:rPr>
    </w:lvl>
    <w:lvl w:ilvl="1">
      <w:start w:val="0"/>
      <w:numFmt w:val="bullet"/>
      <w:lvlText w:val="•"/>
      <w:lvlJc w:val="left"/>
      <w:pPr>
        <w:ind w:left="1766" w:hanging="358"/>
      </w:pPr>
      <w:rPr>
        <w:rFonts w:hint="default"/>
        <w:lang w:val="en-gb" w:eastAsia="en-gb" w:bidi="en-gb"/>
      </w:rPr>
    </w:lvl>
    <w:lvl w:ilvl="2">
      <w:start w:val="0"/>
      <w:numFmt w:val="bullet"/>
      <w:lvlText w:val="•"/>
      <w:lvlJc w:val="left"/>
      <w:pPr>
        <w:ind w:left="2693" w:hanging="358"/>
      </w:pPr>
      <w:rPr>
        <w:rFonts w:hint="default"/>
        <w:lang w:val="en-gb" w:eastAsia="en-gb" w:bidi="en-gb"/>
      </w:rPr>
    </w:lvl>
    <w:lvl w:ilvl="3">
      <w:start w:val="0"/>
      <w:numFmt w:val="bullet"/>
      <w:lvlText w:val="•"/>
      <w:lvlJc w:val="left"/>
      <w:pPr>
        <w:ind w:left="3619" w:hanging="358"/>
      </w:pPr>
      <w:rPr>
        <w:rFonts w:hint="default"/>
        <w:lang w:val="en-gb" w:eastAsia="en-gb" w:bidi="en-gb"/>
      </w:rPr>
    </w:lvl>
    <w:lvl w:ilvl="4">
      <w:start w:val="0"/>
      <w:numFmt w:val="bullet"/>
      <w:lvlText w:val="•"/>
      <w:lvlJc w:val="left"/>
      <w:pPr>
        <w:ind w:left="4546" w:hanging="358"/>
      </w:pPr>
      <w:rPr>
        <w:rFonts w:hint="default"/>
        <w:lang w:val="en-gb" w:eastAsia="en-gb" w:bidi="en-gb"/>
      </w:rPr>
    </w:lvl>
    <w:lvl w:ilvl="5">
      <w:start w:val="0"/>
      <w:numFmt w:val="bullet"/>
      <w:lvlText w:val="•"/>
      <w:lvlJc w:val="left"/>
      <w:pPr>
        <w:ind w:left="5473" w:hanging="358"/>
      </w:pPr>
      <w:rPr>
        <w:rFonts w:hint="default"/>
        <w:lang w:val="en-gb" w:eastAsia="en-gb" w:bidi="en-gb"/>
      </w:rPr>
    </w:lvl>
    <w:lvl w:ilvl="6">
      <w:start w:val="0"/>
      <w:numFmt w:val="bullet"/>
      <w:lvlText w:val="•"/>
      <w:lvlJc w:val="left"/>
      <w:pPr>
        <w:ind w:left="6399" w:hanging="358"/>
      </w:pPr>
      <w:rPr>
        <w:rFonts w:hint="default"/>
        <w:lang w:val="en-gb" w:eastAsia="en-gb" w:bidi="en-gb"/>
      </w:rPr>
    </w:lvl>
    <w:lvl w:ilvl="7">
      <w:start w:val="0"/>
      <w:numFmt w:val="bullet"/>
      <w:lvlText w:val="•"/>
      <w:lvlJc w:val="left"/>
      <w:pPr>
        <w:ind w:left="7326" w:hanging="358"/>
      </w:pPr>
      <w:rPr>
        <w:rFonts w:hint="default"/>
        <w:lang w:val="en-gb" w:eastAsia="en-gb" w:bidi="en-gb"/>
      </w:rPr>
    </w:lvl>
    <w:lvl w:ilvl="8">
      <w:start w:val="0"/>
      <w:numFmt w:val="bullet"/>
      <w:lvlText w:val="•"/>
      <w:lvlJc w:val="left"/>
      <w:pPr>
        <w:ind w:left="8253" w:hanging="358"/>
      </w:pPr>
      <w:rPr>
        <w:rFonts w:hint="default"/>
        <w:lang w:val="en-gb" w:eastAsia="en-gb" w:bidi="en-gb"/>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4"/>
      <w:ind w:left="13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14"/>
      <w:ind w:left="854" w:hanging="361"/>
    </w:pPr>
    <w:rPr>
      <w:rFonts w:ascii="Arial" w:hAnsi="Arial" w:eastAsia="Arial" w:cs="Arial"/>
      <w:lang w:val="en-gb" w:eastAsia="en-gb" w:bidi="en-gb"/>
    </w:rPr>
  </w:style>
  <w:style w:styleId="TableParagraph" w:type="paragraph">
    <w:name w:val="Table Paragraph"/>
    <w:basedOn w:val="Normal"/>
    <w:uiPriority w:val="1"/>
    <w:qFormat/>
    <w:pPr>
      <w:spacing w:before="1"/>
    </w:pPr>
    <w:rPr>
      <w:rFonts w:ascii="Calibri" w:hAnsi="Calibri" w:eastAsia="Calibri" w:cs="Calibri"/>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hyperlink" Target="https://www.fsb-tcfd.org/tcfd-supporters/" TargetMode="External"/><Relationship Id="rId10" Type="http://schemas.openxmlformats.org/officeDocument/2006/relationships/hyperlink" Target="https://climate.nasa.gov/vital-signs/sea-level/" TargetMode="External"/><Relationship Id="rId11" Type="http://schemas.openxmlformats.org/officeDocument/2006/relationships/hyperlink" Target="https://climateactiontracker.org/global/temperatures/" TargetMode="External"/><Relationship Id="rId12" Type="http://schemas.openxmlformats.org/officeDocument/2006/relationships/footer" Target="footer3.xml"/><Relationship Id="rId13" Type="http://schemas.openxmlformats.org/officeDocument/2006/relationships/hyperlink" Target="https://www.fsb-tcfd.org/wp-content/uploads/2019/06/2019-TCFD-Status-Report-FINAL-053119.pdf" TargetMode="External"/><Relationship Id="rId14" Type="http://schemas.openxmlformats.org/officeDocument/2006/relationships/image" Target="media/image3.png"/><Relationship Id="rId15" Type="http://schemas.openxmlformats.org/officeDocument/2006/relationships/hyperlink" Target="https://www.bankofengland.co.uk/-/media/boe/files/prudential-regulation/report/transition-in-thinking-the-impact-of-climate-change-on-the-uk-banking-sector.pdf" TargetMode="External"/><Relationship Id="rId16" Type="http://schemas.openxmlformats.org/officeDocument/2006/relationships/hyperlink" Target="https://www.bankofengland.co.uk/-/media/boe/files/prudential-regulation/supervisorystatement/2019/ss319.pdf?la=en&amp;hash=7BA9824BAC5FB313F42C00889D4E3A6104881C44"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image" Target="media/image4.png"/><Relationship Id="rId20" Type="http://schemas.openxmlformats.org/officeDocument/2006/relationships/hyperlink" Target="https://www.smithschool.ox.ac.uk/research/sustainable-finance/publications/CCLI-TCFD-Concerns-Misplaced-Report-Final-Briefing.pdf" TargetMode="External"/><Relationship Id="rId21" Type="http://schemas.openxmlformats.org/officeDocument/2006/relationships/footer" Target="footer6.xml"/><Relationship Id="rId22" Type="http://schemas.openxmlformats.org/officeDocument/2006/relationships/hyperlink" Target="https://www.bankofengland.co.uk/-/media/boe/files/financial-stability-report/2019/july-2019.pdf" TargetMode="External"/><Relationship Id="rId23" Type="http://schemas.openxmlformats.org/officeDocument/2006/relationships/footer" Target="footer7.xml"/><Relationship Id="rId24" Type="http://schemas.openxmlformats.org/officeDocument/2006/relationships/hyperlink" Target="https://www-axa-com.cdn.axa-contento-118412.eu/www-axa-com%2F308285a0-f209-4b04-9a3e-41d8df848445_axa2019_ra_en_climate_report_19_07_2019_pdf_mel.pdf" TargetMode="External"/><Relationship Id="rId2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Mark Carney at the Task Force on Climate-related Financial Disclosure Summit, Tokyo, on Tuesday 8 October</dc:title>
  <dcterms:created xsi:type="dcterms:W3CDTF">2020-06-02T18:31:50Z</dcterms:created>
  <dcterms:modified xsi:type="dcterms:W3CDTF">2020-06-02T18:31:50Z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2019-10-09T00:00:00Z</vt:filetime>
  </property>
  <property fmtid="{D5CDD505-2E9C-101B-9397-08002B2CF9AE}" pid="3" name="LastSaved">
    <vt:filetime>2020-06-02T00:00:00Z</vt:filetime>
  </property>
</Properties>
</file>