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5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spacing w:before="7"/>
        <w:rPr>
          <w:rFonts w:ascii="Times New Roman"/>
          <w:sz w:val="11"/>
        </w:rPr>
      </w:pPr>
    </w:p>
    <w:p>
      <w:pPr>
        <w:spacing w:before="89"/>
        <w:ind w:left="673" w:right="933" w:firstLine="0"/>
        <w:jc w:val="left"/>
        <w:rPr>
          <w:b/>
          <w:sz w:val="32"/>
        </w:rPr>
      </w:pPr>
      <w:r>
        <w:rPr>
          <w:b/>
          <w:color w:val="6A709F"/>
          <w:sz w:val="32"/>
        </w:rPr>
        <w:t>Ten months after the EU Referendum: How is the economy doing?</w:t>
      </w:r>
    </w:p>
    <w:p>
      <w:pPr>
        <w:pStyle w:val="BodyText"/>
        <w:rPr>
          <w:b/>
          <w:sz w:val="36"/>
        </w:rPr>
      </w:pPr>
    </w:p>
    <w:p>
      <w:pPr>
        <w:spacing w:before="233"/>
        <w:ind w:left="673" w:right="0" w:firstLine="0"/>
        <w:jc w:val="left"/>
        <w:rPr>
          <w:sz w:val="24"/>
        </w:rPr>
      </w:pPr>
      <w:r>
        <w:rPr>
          <w:sz w:val="24"/>
        </w:rPr>
        <w:t>Speech given by</w:t>
      </w:r>
    </w:p>
    <w:p>
      <w:pPr>
        <w:spacing w:before="140"/>
        <w:ind w:left="673" w:right="0" w:firstLine="0"/>
        <w:jc w:val="left"/>
        <w:rPr>
          <w:sz w:val="24"/>
        </w:rPr>
      </w:pPr>
      <w:r>
        <w:rPr>
          <w:sz w:val="24"/>
        </w:rPr>
        <w:t>Michael Saunders, External MPC Member, Bank of England</w:t>
      </w:r>
    </w:p>
    <w:p>
      <w:pPr>
        <w:pStyle w:val="BodyText"/>
        <w:rPr>
          <w:sz w:val="26"/>
        </w:rPr>
      </w:pPr>
    </w:p>
    <w:p>
      <w:pPr>
        <w:pStyle w:val="BodyText"/>
        <w:rPr>
          <w:sz w:val="26"/>
        </w:rPr>
      </w:pPr>
    </w:p>
    <w:p>
      <w:pPr>
        <w:pStyle w:val="BodyText"/>
        <w:spacing w:before="10"/>
        <w:rPr>
          <w:sz w:val="31"/>
        </w:rPr>
      </w:pPr>
    </w:p>
    <w:p>
      <w:pPr>
        <w:spacing w:line="360" w:lineRule="auto" w:before="1"/>
        <w:ind w:left="673" w:right="5567" w:firstLine="0"/>
        <w:jc w:val="left"/>
        <w:rPr>
          <w:sz w:val="24"/>
        </w:rPr>
      </w:pPr>
      <w:r>
        <w:rPr>
          <w:sz w:val="24"/>
        </w:rPr>
        <w:t>Federation of Small Businesses, London 21 April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pStyle w:val="BodyText"/>
        <w:ind w:left="673" w:right="1072"/>
      </w:pPr>
      <w:r>
        <w:rPr/>
        <w:t>I would like to thank Thomas Belsham, Stuart Berry, Ben Broadbent, Pavandeep Dhami, Will Dison, Kristin Forbes, Dena Jacobs, Joanna Konings, Tamara Li, Clare Macallan, Gareth Ramsay,</w:t>
      </w:r>
    </w:p>
    <w:p>
      <w:pPr>
        <w:pStyle w:val="BodyText"/>
        <w:ind w:left="673" w:right="1039"/>
      </w:pPr>
      <w:r>
        <w:rPr/>
        <w:t>Chris Redl, Matthew Trott, Alex Tuckett, Carleton Webb, and Garry Young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460" w:right="880"/>
        </w:sectPr>
      </w:pPr>
    </w:p>
    <w:p>
      <w:pPr>
        <w:pStyle w:val="BodyText"/>
        <w:spacing w:line="360" w:lineRule="auto" w:before="79"/>
        <w:ind w:left="673" w:right="314"/>
      </w:pPr>
      <w:r>
        <w:rPr/>
        <w:t>On Sunday it will be ten months since the UK’s vote to leave the EU in June 2016. In that context, I would like to discuss two main points. The first is backward-looking, and relates to the economy's recent marked outperformance compared to expectations just after the Brexit vote. The second is more forward-looking, and</w:t>
      </w:r>
      <w:r>
        <w:rPr>
          <w:spacing w:val="-4"/>
        </w:rPr>
        <w:t> </w:t>
      </w:r>
      <w:r>
        <w:rPr/>
        <w:t>relates</w:t>
      </w:r>
      <w:r>
        <w:rPr>
          <w:spacing w:val="-3"/>
        </w:rPr>
        <w:t> </w:t>
      </w:r>
      <w:r>
        <w:rPr/>
        <w:t>to</w:t>
      </w:r>
      <w:r>
        <w:rPr>
          <w:spacing w:val="-4"/>
        </w:rPr>
        <w:t> </w:t>
      </w:r>
      <w:r>
        <w:rPr/>
        <w:t>the</w:t>
      </w:r>
      <w:r>
        <w:rPr>
          <w:spacing w:val="-2"/>
        </w:rPr>
        <w:t> </w:t>
      </w:r>
      <w:r>
        <w:rPr/>
        <w:t>economy’s</w:t>
      </w:r>
      <w:r>
        <w:rPr>
          <w:spacing w:val="-3"/>
        </w:rPr>
        <w:t> </w:t>
      </w:r>
      <w:r>
        <w:rPr/>
        <w:t>adjustment</w:t>
      </w:r>
      <w:r>
        <w:rPr>
          <w:spacing w:val="-4"/>
        </w:rPr>
        <w:t> </w:t>
      </w:r>
      <w:r>
        <w:rPr/>
        <w:t>in</w:t>
      </w:r>
      <w:r>
        <w:rPr>
          <w:spacing w:val="-4"/>
        </w:rPr>
        <w:t> </w:t>
      </w:r>
      <w:r>
        <w:rPr/>
        <w:t>the</w:t>
      </w:r>
      <w:r>
        <w:rPr>
          <w:spacing w:val="-2"/>
        </w:rPr>
        <w:t> </w:t>
      </w:r>
      <w:r>
        <w:rPr/>
        <w:t>next</w:t>
      </w:r>
      <w:r>
        <w:rPr>
          <w:spacing w:val="1"/>
        </w:rPr>
        <w:t> </w:t>
      </w:r>
      <w:r>
        <w:rPr/>
        <w:t>year</w:t>
      </w:r>
      <w:r>
        <w:rPr>
          <w:spacing w:val="-4"/>
        </w:rPr>
        <w:t> </w:t>
      </w:r>
      <w:r>
        <w:rPr/>
        <w:t>or</w:t>
      </w:r>
      <w:r>
        <w:rPr>
          <w:spacing w:val="-3"/>
        </w:rPr>
        <w:t> </w:t>
      </w:r>
      <w:r>
        <w:rPr/>
        <w:t>two</w:t>
      </w:r>
      <w:r>
        <w:rPr>
          <w:spacing w:val="-2"/>
        </w:rPr>
        <w:t> </w:t>
      </w:r>
      <w:r>
        <w:rPr/>
        <w:t>to</w:t>
      </w:r>
      <w:r>
        <w:rPr>
          <w:spacing w:val="-3"/>
        </w:rPr>
        <w:t> </w:t>
      </w:r>
      <w:r>
        <w:rPr/>
        <w:t>the</w:t>
      </w:r>
      <w:r>
        <w:rPr>
          <w:spacing w:val="-3"/>
        </w:rPr>
        <w:t> </w:t>
      </w:r>
      <w:r>
        <w:rPr/>
        <w:t>Brexit</w:t>
      </w:r>
      <w:r>
        <w:rPr>
          <w:spacing w:val="-2"/>
        </w:rPr>
        <w:t> </w:t>
      </w:r>
      <w:r>
        <w:rPr/>
        <w:t>process</w:t>
      </w:r>
      <w:r>
        <w:rPr>
          <w:spacing w:val="-3"/>
        </w:rPr>
        <w:t> </w:t>
      </w:r>
      <w:r>
        <w:rPr/>
        <w:t>and</w:t>
      </w:r>
      <w:r>
        <w:rPr>
          <w:spacing w:val="-3"/>
        </w:rPr>
        <w:t> </w:t>
      </w:r>
      <w:r>
        <w:rPr/>
        <w:t>how</w:t>
      </w:r>
      <w:r>
        <w:rPr>
          <w:spacing w:val="-4"/>
        </w:rPr>
        <w:t> </w:t>
      </w:r>
      <w:r>
        <w:rPr/>
        <w:t>it</w:t>
      </w:r>
      <w:r>
        <w:rPr>
          <w:spacing w:val="-4"/>
        </w:rPr>
        <w:t> </w:t>
      </w:r>
      <w:r>
        <w:rPr/>
        <w:t>is</w:t>
      </w:r>
      <w:r>
        <w:rPr>
          <w:spacing w:val="-1"/>
        </w:rPr>
        <w:t> </w:t>
      </w:r>
      <w:r>
        <w:rPr/>
        <w:t>unlikely</w:t>
      </w:r>
      <w:r>
        <w:rPr>
          <w:spacing w:val="-6"/>
        </w:rPr>
        <w:t> </w:t>
      </w:r>
      <w:r>
        <w:rPr/>
        <w:t>to be simply a microcosm of Brexit’s long-run effects. In other words, the path </w:t>
      </w:r>
      <w:r>
        <w:rPr>
          <w:spacing w:val="2"/>
        </w:rPr>
        <w:t>to </w:t>
      </w:r>
      <w:r>
        <w:rPr/>
        <w:t>a post-Brexit Britain may not be a straight</w:t>
      </w:r>
      <w:r>
        <w:rPr>
          <w:spacing w:val="-4"/>
        </w:rPr>
        <w:t> </w:t>
      </w:r>
      <w:r>
        <w:rPr/>
        <w:t>line.</w:t>
      </w:r>
    </w:p>
    <w:p>
      <w:pPr>
        <w:pStyle w:val="BodyText"/>
        <w:spacing w:before="11"/>
        <w:rPr>
          <w:sz w:val="29"/>
        </w:rPr>
      </w:pPr>
    </w:p>
    <w:p>
      <w:pPr>
        <w:pStyle w:val="BodyText"/>
        <w:spacing w:line="360" w:lineRule="auto"/>
        <w:ind w:left="673" w:right="361"/>
      </w:pPr>
      <w:r>
        <w:rPr/>
        <w:t>I’ll start with the first of those points: the economy’s recent – and welcome – resilience. In the August 2016 IR, just after the Brexit vote, the MPC forecast that the economy would slow markedly, with quarterly growth close to zero in H2 2016 and early 2017. The BoE was not alone in expecting weaker growth: the IMF and OECD made similar forecasts, and in general the consensus was slightly gloomier than the BoE (see</w:t>
      </w:r>
    </w:p>
    <w:p>
      <w:pPr>
        <w:pStyle w:val="BodyText"/>
        <w:spacing w:line="357" w:lineRule="auto"/>
        <w:ind w:left="673" w:right="314"/>
      </w:pPr>
      <w:r>
        <w:rPr/>
        <w:t>figure 1)</w:t>
      </w:r>
      <w:r>
        <w:rPr>
          <w:vertAlign w:val="superscript"/>
        </w:rPr>
        <w:t>1</w:t>
      </w:r>
      <w:r>
        <w:rPr>
          <w:vertAlign w:val="baseline"/>
        </w:rPr>
        <w:t>. In practice, growth has remained solid. Indeed, on the current vintage of the ONS data, quarterly GDP growth in H2 2016 was slightly stronger than H1.</w:t>
      </w:r>
    </w:p>
    <w:p>
      <w:pPr>
        <w:pStyle w:val="BodyText"/>
        <w:spacing w:before="5"/>
        <w:rPr>
          <w:sz w:val="30"/>
        </w:rPr>
      </w:pPr>
    </w:p>
    <w:p>
      <w:pPr>
        <w:pStyle w:val="BodyText"/>
        <w:spacing w:line="360" w:lineRule="auto"/>
        <w:ind w:left="673" w:right="239"/>
      </w:pPr>
      <w:r>
        <w:rPr/>
        <w:t>Compared to the BoE’s forecasts from last August, the economy’s outperformance in H2 2016 was spread widely across consumer spending, housing and business investment. Exports and imports both did better than expected, but net trade overall was less supportive than forecast last August (see figure 2). In terms of contributions to QoQ GDP growth in H2 2016, the upside in business and housing investment combined was worth slightly more than the upside in consumer spending. Real wages turned out slightly softer than expected, with slightly higher inflation and lower pay growth than forecast. Household savings have fallen more than expected.</w:t>
      </w:r>
    </w:p>
    <w:p>
      <w:pPr>
        <w:pStyle w:val="BodyText"/>
        <w:rPr>
          <w:sz w:val="30"/>
        </w:rPr>
      </w:pPr>
    </w:p>
    <w:p>
      <w:pPr>
        <w:pStyle w:val="BodyText"/>
        <w:spacing w:line="360" w:lineRule="auto"/>
        <w:ind w:left="673" w:right="438"/>
      </w:pPr>
      <w:r>
        <w:rPr/>
        <w:t>Even with weakness in retail sales volumes, most recent evidence suggests that the economy continued to grow in Q1 of this year. For example, most business surveys are around longrun averages, job growth has picked up, and NIESR estimate Q1 growth at 0.5% QoQ. The latest survey from the Federation of Small Businesses is broadly consistent with this picture (see figure 3).</w:t>
      </w:r>
    </w:p>
    <w:p>
      <w:pPr>
        <w:pStyle w:val="BodyText"/>
        <w:spacing w:before="10"/>
        <w:rPr>
          <w:sz w:val="29"/>
        </w:rPr>
      </w:pPr>
    </w:p>
    <w:p>
      <w:pPr>
        <w:pStyle w:val="BodyText"/>
        <w:ind w:left="673"/>
      </w:pPr>
      <w:r>
        <w:rPr/>
        <w:t>The BoE’s post-referendum forecast reflected three major factors.</w:t>
      </w:r>
    </w:p>
    <w:p>
      <w:pPr>
        <w:pStyle w:val="BodyText"/>
        <w:rPr>
          <w:sz w:val="22"/>
        </w:rPr>
      </w:pPr>
    </w:p>
    <w:p>
      <w:pPr>
        <w:pStyle w:val="BodyText"/>
        <w:spacing w:before="1"/>
        <w:rPr>
          <w:sz w:val="18"/>
        </w:rPr>
      </w:pPr>
    </w:p>
    <w:p>
      <w:pPr>
        <w:pStyle w:val="BodyText"/>
        <w:spacing w:line="360" w:lineRule="auto" w:before="1"/>
        <w:ind w:left="673" w:right="239"/>
      </w:pPr>
      <w:r>
        <w:rPr/>
        <w:t>First, the judgment that the possible longrun effects of Brexit would produce a modest adverse effect on actual and potential growth nearterm. Analysis by the IMF and OECD suggests that Brexit will reduce UK potential growth slightly over time, the next 15 years or so</w:t>
      </w:r>
      <w:r>
        <w:rPr>
          <w:vertAlign w:val="superscript"/>
        </w:rPr>
        <w:t>2</w:t>
      </w:r>
      <w:r>
        <w:rPr>
          <w:vertAlign w:val="baseline"/>
        </w:rPr>
        <w:t>. Possible factors at work include reduced trade openness, reduced inward investment, reduced competition in some sectors, lower net inward migration, and the need to reallocate resources between different sectors. Of course, the long-run effects of EU exit are highly uncertain, and perceptions may well change markedly as the details become clearer.</w:t>
      </w:r>
    </w:p>
    <w:p>
      <w:pPr>
        <w:pStyle w:val="BodyText"/>
      </w:pPr>
    </w:p>
    <w:p>
      <w:pPr>
        <w:pStyle w:val="BodyText"/>
        <w:spacing w:before="3"/>
        <w:rPr>
          <w:sz w:val="17"/>
        </w:rPr>
      </w:pPr>
      <w:r>
        <w:rPr/>
        <w:pict>
          <v:shape style="position:absolute;margin-left:56.664001pt;margin-top:12.132109pt;width:144.050pt;height:.1pt;mso-position-horizontal-relative:page;mso-position-vertical-relative:paragraph;z-index:-251657216;mso-wrap-distance-left:0;mso-wrap-distance-right:0" coordorigin="1133,243" coordsize="2881,0" path="m1133,243l4014,243e" filled="false" stroked="true" strokeweight=".48004pt" strokecolor="#000000">
            <v:path arrowok="t"/>
            <v:stroke dashstyle="solid"/>
            <w10:wrap type="topAndBottom"/>
          </v:shape>
        </w:pict>
      </w:r>
    </w:p>
    <w:p>
      <w:pPr>
        <w:spacing w:before="30"/>
        <w:ind w:left="673" w:right="239" w:firstLine="0"/>
        <w:jc w:val="left"/>
        <w:rPr>
          <w:sz w:val="16"/>
        </w:rPr>
      </w:pPr>
      <w:r>
        <w:rPr>
          <w:position w:val="8"/>
          <w:sz w:val="10"/>
        </w:rPr>
        <w:t>1 </w:t>
      </w:r>
      <w:r>
        <w:rPr>
          <w:sz w:val="16"/>
        </w:rPr>
        <w:t>Using the Treasury survey of outside forecasters, the consensus for UK real GDP growth in mid-June (before the EU referendum) was 1.8% for 2016 and 2.1% for 2017. The consensus in August 2016 was for growth of 1.6% in 2016 and 0.7% in 2017. See also IMF (2016b), OECD (2016b).</w:t>
      </w:r>
    </w:p>
    <w:p>
      <w:pPr>
        <w:spacing w:line="184" w:lineRule="exact" w:before="0"/>
        <w:ind w:left="673" w:right="0" w:firstLine="0"/>
        <w:jc w:val="left"/>
        <w:rPr>
          <w:sz w:val="16"/>
        </w:rPr>
      </w:pPr>
      <w:r>
        <w:rPr>
          <w:position w:val="8"/>
          <w:sz w:val="10"/>
        </w:rPr>
        <w:t>2 </w:t>
      </w:r>
      <w:r>
        <w:rPr>
          <w:sz w:val="16"/>
        </w:rPr>
        <w:t>See OECD (2016a) and IMF (2016a).</w:t>
      </w:r>
    </w:p>
    <w:p>
      <w:pPr>
        <w:spacing w:after="0" w:line="184" w:lineRule="exact"/>
        <w:jc w:val="left"/>
        <w:rPr>
          <w:sz w:val="16"/>
        </w:rPr>
        <w:sectPr>
          <w:footerReference w:type="default" r:id="rId7"/>
          <w:pgSz w:w="11910" w:h="16840"/>
          <w:pgMar w:footer="1338" w:header="0" w:top="1520" w:bottom="1520" w:left="460" w:right="880"/>
        </w:sectPr>
      </w:pPr>
    </w:p>
    <w:p>
      <w:pPr>
        <w:pStyle w:val="BodyText"/>
        <w:spacing w:line="357" w:lineRule="auto" w:before="79"/>
        <w:ind w:left="673" w:right="427"/>
      </w:pPr>
      <w:r>
        <w:rPr/>
        <w:t>The BoE’s forecast assumed these longrun Brexit effects would come in linearly, hence having some effect even in the first year or two, before Brexit actually occurs.</w:t>
      </w:r>
    </w:p>
    <w:p>
      <w:pPr>
        <w:pStyle w:val="BodyText"/>
        <w:spacing w:before="4"/>
        <w:rPr>
          <w:sz w:val="30"/>
        </w:rPr>
      </w:pPr>
    </w:p>
    <w:p>
      <w:pPr>
        <w:pStyle w:val="BodyText"/>
        <w:spacing w:line="360" w:lineRule="auto"/>
        <w:ind w:left="673" w:right="270"/>
      </w:pPr>
      <w:r>
        <w:rPr/>
        <w:t>Second, and more importantly, the BoE interpreted the sharp dive in business surveys just after the referendum as indicating that heightened uncertainty over the UK’s future trading arrangements would weigh heavily on nearterm growth, notably consumer spending, business investment, housing and commercial property. This appeared consistent with evidence that uncertainty often causes businesses and households to defer major spending decisions</w:t>
      </w:r>
      <w:r>
        <w:rPr>
          <w:vertAlign w:val="superscript"/>
        </w:rPr>
        <w:t>3</w:t>
      </w:r>
      <w:r>
        <w:rPr>
          <w:vertAlign w:val="baseline"/>
        </w:rPr>
        <w:t>.</w:t>
      </w:r>
    </w:p>
    <w:p>
      <w:pPr>
        <w:pStyle w:val="BodyText"/>
        <w:spacing w:before="10"/>
        <w:rPr>
          <w:sz w:val="29"/>
        </w:rPr>
      </w:pPr>
    </w:p>
    <w:p>
      <w:pPr>
        <w:pStyle w:val="BodyText"/>
        <w:spacing w:line="360" w:lineRule="auto"/>
        <w:ind w:left="673" w:right="352"/>
      </w:pPr>
      <w:r>
        <w:rPr/>
        <w:t>No single measure can always reflect all aspects of uncertainty. The BoE’s approach is to combine various indicators, including financial market data, surveys of households and businesses, and media citations of uncertainty</w:t>
      </w:r>
      <w:r>
        <w:rPr>
          <w:vertAlign w:val="superscript"/>
        </w:rPr>
        <w:t>4</w:t>
      </w:r>
      <w:r>
        <w:rPr>
          <w:vertAlign w:val="baseline"/>
        </w:rPr>
        <w:t>. There was a sharp spike in this and other uncertainty gauges just after the Brexit vote</w:t>
      </w:r>
      <w:r>
        <w:rPr>
          <w:vertAlign w:val="superscript"/>
        </w:rPr>
        <w:t>5</w:t>
      </w:r>
      <w:r>
        <w:rPr>
          <w:vertAlign w:val="baseline"/>
        </w:rPr>
        <w:t>. This was accompanied by a marked deterioration in business surveys, commercial and residential real estate markets, and other signs (eg a preference for hiring temporary, rather than permanent, staff) that seemed to reflect heightened business caution (see figure 4)</w:t>
      </w:r>
      <w:r>
        <w:rPr>
          <w:vertAlign w:val="superscript"/>
        </w:rPr>
        <w:t>6</w:t>
      </w:r>
      <w:r>
        <w:rPr>
          <w:vertAlign w:val="baseline"/>
        </w:rPr>
        <w:t>. The BoE’s mid-August forecast put a lot of weight on that sudden deterioration, although the forecast was actually less pessimistic than the surveys implied.</w:t>
      </w:r>
    </w:p>
    <w:p>
      <w:pPr>
        <w:pStyle w:val="BodyText"/>
        <w:spacing w:before="1"/>
        <w:rPr>
          <w:sz w:val="30"/>
        </w:rPr>
      </w:pPr>
    </w:p>
    <w:p>
      <w:pPr>
        <w:pStyle w:val="BodyText"/>
        <w:spacing w:line="360" w:lineRule="auto"/>
        <w:ind w:left="673" w:right="314"/>
      </w:pPr>
      <w:r>
        <w:rPr/>
        <w:t>The third factor was the sharp drop in sterling, which is down by 16-17% since late-2015, with about two thirds of that depreciation occurring after the referendum. The BoE judged that this depreciation would lift inflation above target in 2017-19, eroding consumers’ real incomes and spending. But, reflecting</w:t>
      </w:r>
    </w:p>
    <w:p>
      <w:pPr>
        <w:pStyle w:val="BodyText"/>
        <w:spacing w:line="360" w:lineRule="auto"/>
        <w:ind w:left="673"/>
      </w:pPr>
      <w:r>
        <w:rPr/>
        <w:t>Brexit-related factors (including long run issues discussed above), the forecast assumed the lift to export volumes from sterling’s depreciation would be less than usual.</w:t>
      </w:r>
    </w:p>
    <w:p>
      <w:pPr>
        <w:pStyle w:val="BodyText"/>
        <w:spacing w:before="2"/>
        <w:rPr>
          <w:sz w:val="30"/>
        </w:rPr>
      </w:pPr>
    </w:p>
    <w:p>
      <w:pPr>
        <w:pStyle w:val="BodyText"/>
        <w:spacing w:line="360" w:lineRule="auto"/>
        <w:ind w:left="673" w:right="270"/>
      </w:pPr>
      <w:r>
        <w:rPr/>
        <w:t>Of course, forecasts are fallible</w:t>
      </w:r>
      <w:r>
        <w:rPr>
          <w:vertAlign w:val="superscript"/>
        </w:rPr>
        <w:t>7</w:t>
      </w:r>
      <w:r>
        <w:rPr>
          <w:vertAlign w:val="baseline"/>
        </w:rPr>
        <w:t>. They will always be wrong in some respect. This does not mean that forecasts are useless. It typically takes one to three years for the full effects of monetary policy actions on growth and inflation to come through. Forecasts help the central bank to distinguish between transitory developments in the economy – which usually do not warrant a monetary policy response – and more important underlying trends. It is better to include forecasts in the policy process – accepting that the forecasts are imperfect – rather than to only consider the economy's recent trends</w:t>
      </w:r>
      <w:r>
        <w:rPr>
          <w:vertAlign w:val="superscript"/>
        </w:rPr>
        <w:t>8</w:t>
      </w:r>
      <w:r>
        <w:rPr>
          <w:vertAlign w:val="baseline"/>
        </w:rPr>
        <w:t>. Moreover, it is useful for central banks to </w:t>
      </w:r>
      <w:r>
        <w:rPr>
          <w:i/>
          <w:vertAlign w:val="baseline"/>
        </w:rPr>
        <w:t>publish </w:t>
      </w:r>
      <w:r>
        <w:rPr>
          <w:vertAlign w:val="baseline"/>
        </w:rPr>
        <w:t>their forecasts to achieve public accountability for their actions, and to explain why monetary policy has been set a certain way to meet the inflation target</w:t>
      </w:r>
      <w:r>
        <w:rPr>
          <w:vertAlign w:val="superscript"/>
        </w:rPr>
        <w:t>9</w:t>
      </w:r>
      <w:r>
        <w:rPr>
          <w:vertAlign w:val="baseline"/>
        </w:rPr>
        <w:t>. Such forecasts also should make it easier for observers with different views about the outlook to gauge how policy might evolve if they rather than the central bank turn out to be right.</w:t>
      </w:r>
    </w:p>
    <w:p>
      <w:pPr>
        <w:pStyle w:val="BodyText"/>
      </w:pPr>
    </w:p>
    <w:p>
      <w:pPr>
        <w:pStyle w:val="BodyText"/>
        <w:spacing w:before="1"/>
        <w:rPr>
          <w:sz w:val="13"/>
        </w:rPr>
      </w:pPr>
      <w:r>
        <w:rPr/>
        <w:pict>
          <v:shape style="position:absolute;margin-left:56.664001pt;margin-top:9.764258pt;width:144.050pt;height:.1pt;mso-position-horizontal-relative:page;mso-position-vertical-relative:paragraph;z-index:-251656192;mso-wrap-distance-left:0;mso-wrap-distance-right:0" coordorigin="1133,195" coordsize="2881,0" path="m1133,195l4014,195e" filled="false" stroked="true" strokeweight=".47998pt" strokecolor="#000000">
            <v:path arrowok="t"/>
            <v:stroke dashstyle="solid"/>
            <w10:wrap type="topAndBottom"/>
          </v:shape>
        </w:pict>
      </w:r>
    </w:p>
    <w:p>
      <w:pPr>
        <w:spacing w:line="196" w:lineRule="exact" w:before="30"/>
        <w:ind w:left="673" w:right="0" w:firstLine="0"/>
        <w:jc w:val="left"/>
        <w:rPr>
          <w:sz w:val="16"/>
        </w:rPr>
      </w:pPr>
      <w:r>
        <w:rPr>
          <w:position w:val="8"/>
          <w:sz w:val="10"/>
        </w:rPr>
        <w:t>3 </w:t>
      </w:r>
      <w:r>
        <w:rPr>
          <w:sz w:val="16"/>
        </w:rPr>
        <w:t>See, for example, Haddow et al (2013) and Caldara et al (2016).</w:t>
      </w:r>
    </w:p>
    <w:p>
      <w:pPr>
        <w:spacing w:line="184" w:lineRule="exact" w:before="0"/>
        <w:ind w:left="673" w:right="0" w:firstLine="0"/>
        <w:jc w:val="left"/>
        <w:rPr>
          <w:sz w:val="16"/>
        </w:rPr>
      </w:pPr>
      <w:r>
        <w:rPr>
          <w:position w:val="8"/>
          <w:sz w:val="10"/>
        </w:rPr>
        <w:t>4 </w:t>
      </w:r>
      <w:r>
        <w:rPr>
          <w:sz w:val="16"/>
        </w:rPr>
        <w:t>See Haddow et al (2013).</w:t>
      </w:r>
    </w:p>
    <w:p>
      <w:pPr>
        <w:spacing w:line="184" w:lineRule="exact" w:before="0"/>
        <w:ind w:left="673" w:right="0" w:firstLine="0"/>
        <w:jc w:val="left"/>
        <w:rPr>
          <w:sz w:val="16"/>
        </w:rPr>
      </w:pPr>
      <w:r>
        <w:rPr>
          <w:position w:val="8"/>
          <w:sz w:val="10"/>
        </w:rPr>
        <w:t>5 </w:t>
      </w:r>
      <w:r>
        <w:rPr>
          <w:sz w:val="16"/>
        </w:rPr>
        <w:t>See, for example, the economic policy uncertainty index described in Baker, Bloom and Davis (2015).</w:t>
      </w:r>
    </w:p>
    <w:p>
      <w:pPr>
        <w:spacing w:line="185" w:lineRule="exact" w:before="0"/>
        <w:ind w:left="673" w:right="0" w:firstLine="0"/>
        <w:jc w:val="left"/>
        <w:rPr>
          <w:sz w:val="16"/>
        </w:rPr>
      </w:pPr>
      <w:r>
        <w:rPr>
          <w:position w:val="8"/>
          <w:sz w:val="10"/>
        </w:rPr>
        <w:t>6 </w:t>
      </w:r>
      <w:r>
        <w:rPr>
          <w:sz w:val="16"/>
        </w:rPr>
        <w:t>See Broadbent (2016).</w:t>
      </w:r>
    </w:p>
    <w:p>
      <w:pPr>
        <w:spacing w:line="184" w:lineRule="exact" w:before="0"/>
        <w:ind w:left="673" w:right="0" w:firstLine="0"/>
        <w:jc w:val="left"/>
        <w:rPr>
          <w:sz w:val="16"/>
        </w:rPr>
      </w:pPr>
      <w:r>
        <w:rPr>
          <w:position w:val="8"/>
          <w:sz w:val="10"/>
        </w:rPr>
        <w:t>7 </w:t>
      </w:r>
      <w:r>
        <w:rPr>
          <w:sz w:val="16"/>
        </w:rPr>
        <w:t>See Vlieghe (2017).</w:t>
      </w:r>
    </w:p>
    <w:p>
      <w:pPr>
        <w:spacing w:line="184" w:lineRule="exact" w:before="13"/>
        <w:ind w:left="673" w:right="314" w:firstLine="0"/>
        <w:jc w:val="left"/>
        <w:rPr>
          <w:sz w:val="16"/>
        </w:rPr>
      </w:pPr>
      <w:r>
        <w:rPr>
          <w:position w:val="8"/>
          <w:sz w:val="10"/>
        </w:rPr>
        <w:t>8 </w:t>
      </w:r>
      <w:r>
        <w:rPr>
          <w:sz w:val="16"/>
        </w:rPr>
        <w:t>See Budd (1998). See also Giannoni and Woodford (2003a and 2003b), who argue that argue central banks can be less forward- looking if economic agents and interest-rate expectations are more forward-looking.</w:t>
      </w:r>
    </w:p>
    <w:p>
      <w:pPr>
        <w:spacing w:line="183" w:lineRule="exact" w:before="0"/>
        <w:ind w:left="673" w:right="0" w:firstLine="0"/>
        <w:jc w:val="left"/>
        <w:rPr>
          <w:sz w:val="16"/>
        </w:rPr>
      </w:pPr>
      <w:r>
        <w:rPr>
          <w:position w:val="8"/>
          <w:sz w:val="10"/>
        </w:rPr>
        <w:t>9 </w:t>
      </w:r>
      <w:r>
        <w:rPr>
          <w:sz w:val="16"/>
        </w:rPr>
        <w:t>See Stockton (2012).</w:t>
      </w:r>
    </w:p>
    <w:p>
      <w:pPr>
        <w:spacing w:after="0" w:line="183" w:lineRule="exact"/>
        <w:jc w:val="left"/>
        <w:rPr>
          <w:sz w:val="16"/>
        </w:rPr>
        <w:sectPr>
          <w:footerReference w:type="default" r:id="rId8"/>
          <w:pgSz w:w="11910" w:h="16840"/>
          <w:pgMar w:footer="1338" w:header="0" w:top="1520" w:bottom="1520" w:left="460" w:right="880"/>
        </w:sectPr>
      </w:pPr>
    </w:p>
    <w:p>
      <w:pPr>
        <w:pStyle w:val="BodyText"/>
        <w:spacing w:line="357" w:lineRule="auto" w:before="79"/>
        <w:ind w:left="673" w:right="933"/>
      </w:pPr>
      <w:r>
        <w:rPr/>
        <w:t>In that spirit, I would like to highlight several factors that probably help explain the economy’s recent outperformance.</w:t>
      </w:r>
    </w:p>
    <w:p>
      <w:pPr>
        <w:pStyle w:val="BodyText"/>
        <w:spacing w:before="1"/>
        <w:rPr>
          <w:sz w:val="30"/>
        </w:rPr>
      </w:pPr>
    </w:p>
    <w:p>
      <w:pPr>
        <w:pStyle w:val="BodyText"/>
        <w:spacing w:line="360" w:lineRule="auto" w:before="1"/>
        <w:ind w:left="673" w:right="361"/>
      </w:pPr>
      <w:r>
        <w:rPr/>
        <w:t>First, </w:t>
      </w:r>
      <w:r>
        <w:rPr>
          <w:b/>
        </w:rPr>
        <w:t>Brexit-related uncertainty probably mattered less than expected</w:t>
      </w:r>
      <w:r>
        <w:rPr/>
        <w:t>. The post-referendum spike in the BoE’s uncertainty index proved short-lived and this measure now roughly matches its long-run norm. This has been reflected in a commensurate rebound in business confidence and hiring attitudes, with a relatively stable housing market. Moreover, the measurement of uncertainty is itself uncertain</w:t>
      </w:r>
      <w:r>
        <w:rPr>
          <w:vertAlign w:val="superscript"/>
        </w:rPr>
        <w:t>10</w:t>
      </w:r>
      <w:r>
        <w:rPr>
          <w:vertAlign w:val="baseline"/>
        </w:rPr>
        <w:t>.</w:t>
      </w:r>
    </w:p>
    <w:p>
      <w:pPr>
        <w:pStyle w:val="BodyText"/>
        <w:rPr>
          <w:sz w:val="30"/>
        </w:rPr>
      </w:pPr>
    </w:p>
    <w:p>
      <w:pPr>
        <w:pStyle w:val="BodyText"/>
        <w:spacing w:line="360" w:lineRule="auto"/>
        <w:ind w:left="673" w:right="239"/>
      </w:pPr>
      <w:r>
        <w:rPr/>
        <w:t>The mid-2016 jump in the BoE uncertainty index was driven heavily by components that are less well correlated to economic growth (eg media mentions of “uncertainty”), see figure 5. The uncertainty indicators that are best correlated to economic growth (eg net balance of households expecting higher unemployment) generally did not deteriorate anything like so much, and maybe should be accorded higher weight in gauging the overall level of uncertainty.</w:t>
      </w:r>
    </w:p>
    <w:p>
      <w:pPr>
        <w:pStyle w:val="BodyText"/>
        <w:rPr>
          <w:sz w:val="30"/>
        </w:rPr>
      </w:pPr>
    </w:p>
    <w:p>
      <w:pPr>
        <w:pStyle w:val="BodyText"/>
        <w:spacing w:line="360" w:lineRule="auto"/>
        <w:ind w:left="673" w:right="314"/>
      </w:pPr>
      <w:r>
        <w:rPr/>
        <w:t>Second, </w:t>
      </w:r>
      <w:r>
        <w:rPr>
          <w:b/>
        </w:rPr>
        <w:t>UK monetary conditions loosened significantly </w:t>
      </w:r>
      <w:r>
        <w:rPr/>
        <w:t>in response to the Brexit vote. The MPC cut Bank Rate and resumed asset purchases, the Term Funding Scheme helped ensure that the rate cut was fully passed through, while the FPC’s reduction in the counter-cyclical capital buffer cut risks that the referendum outcome led to tighter credit conditions.</w:t>
      </w:r>
    </w:p>
    <w:p>
      <w:pPr>
        <w:pStyle w:val="BodyText"/>
        <w:spacing w:before="3"/>
        <w:rPr>
          <w:sz w:val="30"/>
        </w:rPr>
      </w:pPr>
    </w:p>
    <w:p>
      <w:pPr>
        <w:pStyle w:val="BodyText"/>
        <w:spacing w:line="360" w:lineRule="auto"/>
        <w:ind w:left="673" w:right="314"/>
      </w:pPr>
      <w:r>
        <w:rPr/>
        <w:t>All this, plus the lift to export profitability from sterling’s sharp depreciation, probably gave some boost to demand and confidence in recent quarters. Of course, forecasts made at the time largely included these factors, but their combined effect may have been greater than expected. The boost from these looser financial conditions is not yet over.</w:t>
      </w:r>
    </w:p>
    <w:p>
      <w:pPr>
        <w:pStyle w:val="BodyText"/>
        <w:spacing w:before="8"/>
        <w:rPr>
          <w:sz w:val="29"/>
        </w:rPr>
      </w:pPr>
    </w:p>
    <w:p>
      <w:pPr>
        <w:pStyle w:val="BodyText"/>
        <w:spacing w:line="360" w:lineRule="auto"/>
        <w:ind w:left="673" w:right="317"/>
      </w:pPr>
      <w:r>
        <w:rPr/>
        <w:t>Third, </w:t>
      </w:r>
      <w:r>
        <w:rPr>
          <w:b/>
        </w:rPr>
        <w:t>global activity has been stronger</w:t>
      </w:r>
      <w:r>
        <w:rPr/>
        <w:t>, with better trends in world trade, business surveys and consumer surveys. This has given some lift to UK export prospects – but, perhaps more importantly, probably also boosted asset prices and UK growth expectations</w:t>
      </w:r>
      <w:r>
        <w:rPr>
          <w:vertAlign w:val="superscript"/>
        </w:rPr>
        <w:t>11</w:t>
      </w:r>
      <w:r>
        <w:rPr>
          <w:vertAlign w:val="baseline"/>
        </w:rPr>
        <w:t>. This is nothing to do with the Brexit vote, it just happened to occur at around the same time.</w:t>
      </w:r>
    </w:p>
    <w:p>
      <w:pPr>
        <w:pStyle w:val="BodyText"/>
        <w:rPr>
          <w:sz w:val="30"/>
        </w:rPr>
      </w:pPr>
    </w:p>
    <w:p>
      <w:pPr>
        <w:spacing w:line="360" w:lineRule="auto" w:before="1"/>
        <w:ind w:left="673" w:right="270" w:firstLine="0"/>
        <w:jc w:val="left"/>
        <w:rPr>
          <w:sz w:val="20"/>
        </w:rPr>
      </w:pPr>
      <w:r>
        <w:rPr>
          <w:sz w:val="20"/>
        </w:rPr>
        <w:t>Fourth, the </w:t>
      </w:r>
      <w:r>
        <w:rPr>
          <w:b/>
          <w:sz w:val="20"/>
        </w:rPr>
        <w:t>uncertainty spike was not – unlike prior episodes -- accompanied by a major deterioration in the cost and availability of credit</w:t>
      </w:r>
      <w:r>
        <w:rPr>
          <w:sz w:val="20"/>
        </w:rPr>
        <w:t>, partly reflecting the factors noted above but perhaps also the greater resilience of the banking system</w:t>
      </w:r>
      <w:r>
        <w:rPr>
          <w:sz w:val="20"/>
          <w:vertAlign w:val="superscript"/>
        </w:rPr>
        <w:t>12</w:t>
      </w:r>
      <w:r>
        <w:rPr>
          <w:sz w:val="20"/>
          <w:vertAlign w:val="baseline"/>
        </w:rPr>
        <w:t>. The BoE Credit Conditions survey suggests there has been little overall change in credit availability for households and businesses since the referendum</w:t>
      </w:r>
      <w:r>
        <w:rPr>
          <w:sz w:val="20"/>
          <w:vertAlign w:val="superscript"/>
        </w:rPr>
        <w:t>13</w:t>
      </w:r>
      <w:r>
        <w:rPr>
          <w:sz w:val="20"/>
          <w:vertAlign w:val="baseline"/>
        </w:rPr>
        <w:t>: the FSB and Deloitte CFO surveys confirm that picture for businesses (see figure 6). UK bank lending spreads have been roughly stable and bank lending rates remain around record lows (see figure 7). Indeed, the average 2-year fixed</w:t>
      </w:r>
    </w:p>
    <w:p>
      <w:pPr>
        <w:pStyle w:val="BodyText"/>
        <w:spacing w:before="4"/>
        <w:rPr>
          <w:sz w:val="21"/>
        </w:rPr>
      </w:pPr>
      <w:r>
        <w:rPr/>
        <w:pict>
          <v:shape style="position:absolute;margin-left:56.664001pt;margin-top:14.516181pt;width:144.050pt;height:.1pt;mso-position-horizontal-relative:page;mso-position-vertical-relative:paragraph;z-index:-251655168;mso-wrap-distance-left:0;mso-wrap-distance-right:0" coordorigin="1133,290" coordsize="2881,0" path="m1133,290l4014,290e" filled="false" stroked="true" strokeweight=".48004pt" strokecolor="#000000">
            <v:path arrowok="t"/>
            <v:stroke dashstyle="solid"/>
            <w10:wrap type="topAndBottom"/>
          </v:shape>
        </w:pict>
      </w:r>
    </w:p>
    <w:p>
      <w:pPr>
        <w:spacing w:line="196" w:lineRule="exact" w:before="30"/>
        <w:ind w:left="673" w:right="0" w:firstLine="0"/>
        <w:jc w:val="left"/>
        <w:rPr>
          <w:sz w:val="16"/>
        </w:rPr>
      </w:pPr>
      <w:r>
        <w:rPr>
          <w:position w:val="8"/>
          <w:sz w:val="10"/>
        </w:rPr>
        <w:t>10 </w:t>
      </w:r>
      <w:r>
        <w:rPr>
          <w:sz w:val="16"/>
        </w:rPr>
        <w:t>See Forbes (2016).</w:t>
      </w:r>
    </w:p>
    <w:p>
      <w:pPr>
        <w:spacing w:line="182" w:lineRule="exact" w:before="16"/>
        <w:ind w:left="673" w:right="363" w:firstLine="0"/>
        <w:jc w:val="left"/>
        <w:rPr>
          <w:sz w:val="16"/>
        </w:rPr>
      </w:pPr>
      <w:r>
        <w:rPr>
          <w:position w:val="8"/>
          <w:sz w:val="10"/>
        </w:rPr>
        <w:t>11 </w:t>
      </w:r>
      <w:r>
        <w:rPr>
          <w:sz w:val="16"/>
        </w:rPr>
        <w:t>The CPB reports that the 3-month/3-month change in world trade volumes was 2.4% in January 2017 (9.9% annualised), the highest pace since 2011, with especially strong import growth in emerging markets.</w:t>
      </w:r>
    </w:p>
    <w:p>
      <w:pPr>
        <w:spacing w:line="171" w:lineRule="exact" w:before="0"/>
        <w:ind w:left="673" w:right="0" w:firstLine="0"/>
        <w:jc w:val="left"/>
        <w:rPr>
          <w:sz w:val="16"/>
        </w:rPr>
      </w:pPr>
      <w:r>
        <w:rPr>
          <w:position w:val="8"/>
          <w:sz w:val="10"/>
        </w:rPr>
        <w:t>12 </w:t>
      </w:r>
      <w:r>
        <w:rPr>
          <w:sz w:val="16"/>
        </w:rPr>
        <w:t>See Caldara et al (2016).</w:t>
      </w:r>
    </w:p>
    <w:p>
      <w:pPr>
        <w:spacing w:line="196" w:lineRule="exact" w:before="0"/>
        <w:ind w:left="673" w:right="0" w:firstLine="0"/>
        <w:jc w:val="left"/>
        <w:rPr>
          <w:sz w:val="16"/>
        </w:rPr>
      </w:pPr>
      <w:r>
        <w:rPr>
          <w:position w:val="8"/>
          <w:sz w:val="10"/>
        </w:rPr>
        <w:t>13 </w:t>
      </w:r>
      <w:r>
        <w:rPr>
          <w:sz w:val="16"/>
        </w:rPr>
        <w:t>Although there are signs of tighter credit conditions for unsecured consumer loans in the Q1 2017 survey.</w:t>
      </w:r>
    </w:p>
    <w:p>
      <w:pPr>
        <w:spacing w:after="0" w:line="196" w:lineRule="exact"/>
        <w:jc w:val="left"/>
        <w:rPr>
          <w:sz w:val="16"/>
        </w:rPr>
        <w:sectPr>
          <w:footerReference w:type="default" r:id="rId9"/>
          <w:pgSz w:w="11910" w:h="16840"/>
          <w:pgMar w:footer="1338" w:header="0" w:top="1520" w:bottom="1520" w:left="460" w:right="880"/>
        </w:sectPr>
      </w:pPr>
    </w:p>
    <w:p>
      <w:pPr>
        <w:pStyle w:val="BodyText"/>
        <w:spacing w:line="360" w:lineRule="auto" w:before="79"/>
        <w:ind w:left="673" w:right="314"/>
      </w:pPr>
      <w:r>
        <w:rPr/>
        <w:t>mortgage rate with 75% LTV has fallen by over 50bp since last May. It is hard to disentangle effects of uncertainty from changes in credit conditions, because they often move closely together. But the UK’s 2016 experience supports the idea that uncertainty matters much less for growth if credit conditions do not worsen</w:t>
      </w:r>
      <w:r>
        <w:rPr>
          <w:vertAlign w:val="superscript"/>
        </w:rPr>
        <w:t>14</w:t>
      </w:r>
      <w:r>
        <w:rPr>
          <w:vertAlign w:val="baseline"/>
        </w:rPr>
        <w:t>.</w:t>
      </w:r>
    </w:p>
    <w:p>
      <w:pPr>
        <w:pStyle w:val="BodyText"/>
        <w:spacing w:before="7"/>
        <w:rPr>
          <w:sz w:val="29"/>
        </w:rPr>
      </w:pPr>
    </w:p>
    <w:p>
      <w:pPr>
        <w:pStyle w:val="BodyText"/>
        <w:spacing w:line="360" w:lineRule="auto"/>
        <w:ind w:left="673" w:right="239"/>
      </w:pPr>
      <w:r>
        <w:rPr/>
        <w:t>And fifth, </w:t>
      </w:r>
      <w:r>
        <w:rPr>
          <w:b/>
        </w:rPr>
        <w:t>it is also possible that, unconnected to the Brexit vote, the UK expansion has developed greater momentum and resilience</w:t>
      </w:r>
      <w:r>
        <w:rPr/>
        <w:t>, reflecting low unemployment, several years of solid real income growth, and a reduced emphasis on balance sheet repair following the 2008-09 recession. Aggregate corporate liquidity is relatively high, the ratio of household wealth to income is at a record high, and private sector money growth has been reasonably firm since late-2012 (see figures 8 and 9). Once the post-Brexit uncertainty spike faded, these positive underlying drivers have helped sustain demand in recent quarters.</w:t>
      </w:r>
    </w:p>
    <w:p>
      <w:pPr>
        <w:pStyle w:val="BodyText"/>
        <w:spacing w:before="3"/>
        <w:rPr>
          <w:sz w:val="30"/>
        </w:rPr>
      </w:pPr>
    </w:p>
    <w:p>
      <w:pPr>
        <w:pStyle w:val="BodyText"/>
        <w:spacing w:line="360" w:lineRule="auto"/>
        <w:ind w:left="673" w:right="327"/>
      </w:pPr>
      <w:r>
        <w:rPr/>
        <w:t>These factors, some of which are mutually reinforcing, probably help to explain why demand has held up better than expected. Many of these factors are likely to carry forward, supported also by the reduced pace of UK fiscal tightening announced in the Autumn Statement and recent Budget. As a result, the BoE has several times raised its near-term growth forecasts, and our central forecast for 2017 growth (published in the February IR) is above the external consensus. As it became clear that the economy was doing better than expected, the MPC moved from an easing bias last August to a neutral position in late 2016. Our latest forecast, based on market rates, assumes a gently rising path of interest rates.</w:t>
      </w:r>
    </w:p>
    <w:p>
      <w:pPr>
        <w:pStyle w:val="BodyText"/>
        <w:rPr>
          <w:sz w:val="30"/>
        </w:rPr>
      </w:pPr>
    </w:p>
    <w:p>
      <w:pPr>
        <w:pStyle w:val="BodyText"/>
        <w:ind w:left="673"/>
      </w:pPr>
      <w:r>
        <w:rPr/>
        <w:t>Having looked back, let me now try to look forward.</w:t>
      </w:r>
    </w:p>
    <w:p>
      <w:pPr>
        <w:pStyle w:val="BodyText"/>
        <w:rPr>
          <w:sz w:val="22"/>
        </w:rPr>
      </w:pPr>
    </w:p>
    <w:p>
      <w:pPr>
        <w:pStyle w:val="BodyText"/>
        <w:spacing w:before="1"/>
        <w:rPr>
          <w:sz w:val="18"/>
        </w:rPr>
      </w:pPr>
    </w:p>
    <w:p>
      <w:pPr>
        <w:pStyle w:val="BodyText"/>
        <w:spacing w:line="360" w:lineRule="auto"/>
        <w:ind w:left="673" w:right="314"/>
      </w:pPr>
      <w:r>
        <w:rPr/>
        <w:t>For the sake of argument, let’s assume for now that the work by the IMF and OECD is valid, and that Brexit will lead to a slightly worse outlook for trade openness, investment, and productivity growth over time. Over the long run, this is unlikely to affect either way the MPC's ability to keep inflation close to the 2% target, although it would affect the rate of economic growth consistent with that inflation path.</w:t>
      </w:r>
    </w:p>
    <w:p>
      <w:pPr>
        <w:pStyle w:val="BodyText"/>
        <w:spacing w:before="11"/>
        <w:rPr>
          <w:sz w:val="29"/>
        </w:rPr>
      </w:pPr>
    </w:p>
    <w:p>
      <w:pPr>
        <w:pStyle w:val="BodyText"/>
        <w:ind w:left="673"/>
      </w:pPr>
      <w:r>
        <w:rPr/>
        <w:t>The near-term adjustment to Brexit may well differ from those long run trends in several respects.</w:t>
      </w:r>
    </w:p>
    <w:p>
      <w:pPr>
        <w:pStyle w:val="BodyText"/>
        <w:spacing w:line="360" w:lineRule="auto" w:before="115"/>
        <w:ind w:left="673" w:right="361"/>
      </w:pPr>
      <w:r>
        <w:rPr/>
        <w:t>This is partly because the full effect of supply-side changes usually takes time to come through, especially for productivity growth</w:t>
      </w:r>
      <w:r>
        <w:rPr>
          <w:vertAlign w:val="superscript"/>
        </w:rPr>
        <w:t>15</w:t>
      </w:r>
      <w:r>
        <w:rPr>
          <w:vertAlign w:val="baseline"/>
        </w:rPr>
        <w:t>. It is also because the Brexit vote triggered a large depreciation of sterling, and this depreciation will have powerful effects on the economy in the next year or two. It is also because the UK economy is evolving in ways that have nothing to do with Brexit. Overall, I suspect that the next year or two will see steady growth, above-target inflation, stronger exports, and a pickup in business investment. And there are no signs so far that productivity trends are weakening.</w:t>
      </w:r>
    </w:p>
    <w:p>
      <w:pPr>
        <w:pStyle w:val="BodyText"/>
        <w:spacing w:before="9"/>
        <w:rPr>
          <w:sz w:val="29"/>
        </w:rPr>
      </w:pPr>
    </w:p>
    <w:p>
      <w:pPr>
        <w:pStyle w:val="BodyText"/>
        <w:spacing w:line="362" w:lineRule="auto" w:before="1"/>
        <w:ind w:left="673" w:right="739"/>
      </w:pPr>
      <w:r>
        <w:rPr>
          <w:b/>
        </w:rPr>
        <w:t>CPI inflation </w:t>
      </w:r>
      <w:r>
        <w:rPr/>
        <w:t>has already risen from around zero in early 2016 to 2.3% in February/March this year, the highest since late-2013. And the pace of price hikes has quickened notably in recent months. The</w:t>
      </w:r>
    </w:p>
    <w:p>
      <w:pPr>
        <w:pStyle w:val="BodyText"/>
        <w:rPr>
          <w:sz w:val="9"/>
        </w:rPr>
      </w:pPr>
      <w:r>
        <w:rPr/>
        <w:pict>
          <v:shape style="position:absolute;margin-left:56.664001pt;margin-top:7.408594pt;width:144.050pt;height:.1pt;mso-position-horizontal-relative:page;mso-position-vertical-relative:paragraph;z-index:-251654144;mso-wrap-distance-left:0;mso-wrap-distance-right:0" coordorigin="1133,148" coordsize="2881,0" path="m1133,148l4014,148e" filled="false" stroked="true" strokeweight=".47998pt" strokecolor="#000000">
            <v:path arrowok="t"/>
            <v:stroke dashstyle="solid"/>
            <w10:wrap type="topAndBottom"/>
          </v:shape>
        </w:pict>
      </w:r>
    </w:p>
    <w:p>
      <w:pPr>
        <w:spacing w:line="196" w:lineRule="exact" w:before="30"/>
        <w:ind w:left="673" w:right="0" w:firstLine="0"/>
        <w:jc w:val="left"/>
        <w:rPr>
          <w:sz w:val="16"/>
        </w:rPr>
      </w:pPr>
      <w:r>
        <w:rPr>
          <w:position w:val="8"/>
          <w:sz w:val="10"/>
        </w:rPr>
        <w:t>14 </w:t>
      </w:r>
      <w:r>
        <w:rPr>
          <w:sz w:val="16"/>
        </w:rPr>
        <w:t>See Alfaroy, Bloom and Linx (2016).</w:t>
      </w:r>
    </w:p>
    <w:p>
      <w:pPr>
        <w:spacing w:line="196" w:lineRule="exact" w:before="0"/>
        <w:ind w:left="673" w:right="0" w:firstLine="0"/>
        <w:jc w:val="left"/>
        <w:rPr>
          <w:sz w:val="16"/>
        </w:rPr>
      </w:pPr>
      <w:r>
        <w:rPr>
          <w:position w:val="8"/>
          <w:sz w:val="10"/>
        </w:rPr>
        <w:t>15 </w:t>
      </w:r>
      <w:r>
        <w:rPr>
          <w:sz w:val="16"/>
        </w:rPr>
        <w:t>See OECD (2016c).</w:t>
      </w:r>
    </w:p>
    <w:p>
      <w:pPr>
        <w:spacing w:after="0" w:line="196" w:lineRule="exact"/>
        <w:jc w:val="left"/>
        <w:rPr>
          <w:sz w:val="16"/>
        </w:rPr>
        <w:sectPr>
          <w:footerReference w:type="default" r:id="rId10"/>
          <w:pgSz w:w="11910" w:h="16840"/>
          <w:pgMar w:footer="1338" w:header="0" w:top="1520" w:bottom="1520" w:left="460" w:right="880"/>
        </w:sectPr>
      </w:pPr>
    </w:p>
    <w:p>
      <w:pPr>
        <w:pStyle w:val="BodyText"/>
        <w:spacing w:before="79"/>
        <w:ind w:left="673"/>
      </w:pPr>
      <w:r>
        <w:rPr/>
        <w:t>3-month/3-month seasonally adjusted annualized rate is running at about 4% for the headline CPI and</w:t>
      </w:r>
    </w:p>
    <w:p>
      <w:pPr>
        <w:pStyle w:val="BodyText"/>
        <w:spacing w:line="360" w:lineRule="auto" w:before="113"/>
        <w:ind w:left="673" w:right="293"/>
      </w:pPr>
      <w:r>
        <w:rPr/>
        <w:t>2½- 3% for core inflation. Both are the highest for over 4 years. These short-term measures are volatile, and our target is for the 12-month change in the CPI. But these short-term growth rates help illustrate the extent to which price hikes already are coming through, and beginning to squeeze consumers’ real incomes.</w:t>
      </w:r>
    </w:p>
    <w:p>
      <w:pPr>
        <w:pStyle w:val="BodyText"/>
        <w:rPr>
          <w:sz w:val="30"/>
        </w:rPr>
      </w:pPr>
    </w:p>
    <w:p>
      <w:pPr>
        <w:pStyle w:val="BodyText"/>
        <w:spacing w:line="360" w:lineRule="auto"/>
        <w:ind w:left="673" w:right="177"/>
      </w:pPr>
      <w:r>
        <w:rPr/>
        <w:t>Part of this rise in YoY inflation rates reflects the pass-through to prices of tradable goods and services from sterling’s depreciation, including that before the referendum. But there are other factors, including global trends in oil and commodity prices. Indeed, YoY CPI inflation has risen by a similar amount in the OECD as a whole, and only slightly less in the Euro Area (see figure 10)</w:t>
      </w:r>
      <w:r>
        <w:rPr>
          <w:vertAlign w:val="superscript"/>
        </w:rPr>
        <w:t>16</w:t>
      </w:r>
      <w:r>
        <w:rPr>
          <w:vertAlign w:val="baseline"/>
        </w:rPr>
        <w:t>.</w:t>
      </w:r>
    </w:p>
    <w:p>
      <w:pPr>
        <w:pStyle w:val="BodyText"/>
        <w:spacing w:before="1"/>
        <w:rPr>
          <w:sz w:val="30"/>
        </w:rPr>
      </w:pPr>
    </w:p>
    <w:p>
      <w:pPr>
        <w:pStyle w:val="BodyText"/>
        <w:spacing w:line="360" w:lineRule="auto"/>
        <w:ind w:left="673" w:right="270"/>
      </w:pPr>
      <w:r>
        <w:rPr/>
        <w:t>Given the usual lags, most of the post-referendum depreciation has not yet been reflected in consumer prices. As this continues to feed through, the MPC's base case, described in the February IR, is for YoY CPI inflation to rise to roughly 2¾% late this year and in early 2018. The full pass-through will probably take several years.</w:t>
      </w:r>
    </w:p>
    <w:p>
      <w:pPr>
        <w:pStyle w:val="BodyText"/>
        <w:spacing w:before="1"/>
        <w:rPr>
          <w:sz w:val="30"/>
        </w:rPr>
      </w:pPr>
    </w:p>
    <w:p>
      <w:pPr>
        <w:pStyle w:val="BodyText"/>
        <w:spacing w:line="360" w:lineRule="auto"/>
        <w:ind w:left="673" w:right="360"/>
      </w:pPr>
      <w:r>
        <w:rPr/>
        <w:t>In my view, there are risks that the near-term boost to inflation from sterling’s depreciation will be somewhat steeper than the February IR base case, even with modest wage growth. In particular, a range of indicators point to sizeable cost pressures in sectors focused on tradable items, a message backed up by the latest FSB survey</w:t>
      </w:r>
      <w:r>
        <w:rPr>
          <w:vertAlign w:val="superscript"/>
        </w:rPr>
        <w:t>17</w:t>
      </w:r>
      <w:r>
        <w:rPr>
          <w:vertAlign w:val="baseline"/>
        </w:rPr>
        <w:t>. These surveys mostly measure the breadth, rather than the pace, of price increases. But in the past, they have been a useful guide to inflation trends for CPI items with a relatively high import content, and point to considerable further upside in CPI prices in the next few quarters (see figure 11)</w:t>
      </w:r>
      <w:r>
        <w:rPr>
          <w:vertAlign w:val="superscript"/>
        </w:rPr>
        <w:t>18</w:t>
      </w:r>
      <w:r>
        <w:rPr>
          <w:vertAlign w:val="baseline"/>
        </w:rPr>
        <w:t>.</w:t>
      </w:r>
    </w:p>
    <w:p>
      <w:pPr>
        <w:pStyle w:val="BodyText"/>
        <w:rPr>
          <w:sz w:val="30"/>
        </w:rPr>
      </w:pPr>
    </w:p>
    <w:p>
      <w:pPr>
        <w:pStyle w:val="BodyText"/>
        <w:spacing w:line="360" w:lineRule="auto"/>
        <w:ind w:left="673" w:right="239"/>
      </w:pPr>
      <w:r>
        <w:rPr/>
        <w:t>With the average levels of sterling and commodity prices over the last few weeks, I would not be surprised if CPI inflation reaches 3% later this year or early next. Such an outcome might well imply that the near-term squeeze on household real incomes and spending, and on profits in sectors with high import content, will be sharper than the IR base case. In theory, these readings could simply reflect faster pass through of sterling's depreciation. In this case, higher near-term inflation would probably be followed by a faster subsequent drop in inflation. But currently I suspect it is more likely to reflect a greater total pass-through, as after sterling's depreciation in 2007-09. This would be consistent with evidence that currency swings driven by changes in the economy's supply side (and Brexit probably falls into this category) tend to produce above-average pass through to consumer prices</w:t>
      </w:r>
      <w:r>
        <w:rPr>
          <w:vertAlign w:val="superscript"/>
        </w:rPr>
        <w:t>19</w:t>
      </w:r>
      <w:r>
        <w:rPr>
          <w:vertAlign w:val="baseline"/>
        </w:rPr>
        <w:t>. In this case, higher near-term inflation may well also signal some upside risks to medium-term inflation, and hence to long-term inflation expectations.</w:t>
      </w:r>
    </w:p>
    <w:p>
      <w:pPr>
        <w:pStyle w:val="BodyText"/>
        <w:rPr>
          <w:sz w:val="30"/>
        </w:rPr>
      </w:pPr>
    </w:p>
    <w:p>
      <w:pPr>
        <w:pStyle w:val="BodyText"/>
        <w:spacing w:line="362" w:lineRule="auto"/>
        <w:ind w:left="673" w:right="428"/>
      </w:pPr>
      <w:r>
        <w:rPr/>
        <w:t>Either way, I want to stress that this prospective near-term inflation pickup does not imply that Brexit Britain will face persistently high inflation. Nor does it signal that the MPC has gone soft on our low inflation remit.</w:t>
      </w:r>
    </w:p>
    <w:p>
      <w:pPr>
        <w:pStyle w:val="BodyText"/>
        <w:spacing w:before="9"/>
      </w:pPr>
      <w:r>
        <w:rPr/>
        <w:pict>
          <v:shape style="position:absolute;margin-left:56.664001pt;margin-top:14.18078pt;width:144.050pt;height:.1pt;mso-position-horizontal-relative:page;mso-position-vertical-relative:paragraph;z-index:-251653120;mso-wrap-distance-left:0;mso-wrap-distance-right:0" coordorigin="1133,284" coordsize="2881,0" path="m1133,284l4014,284e" filled="false" stroked="true" strokeweight=".48004pt" strokecolor="#000000">
            <v:path arrowok="t"/>
            <v:stroke dashstyle="solid"/>
            <w10:wrap type="topAndBottom"/>
          </v:shape>
        </w:pict>
      </w:r>
    </w:p>
    <w:p>
      <w:pPr>
        <w:spacing w:before="30"/>
        <w:ind w:left="673" w:right="314" w:firstLine="0"/>
        <w:jc w:val="left"/>
        <w:rPr>
          <w:sz w:val="16"/>
        </w:rPr>
      </w:pPr>
      <w:r>
        <w:rPr>
          <w:position w:val="8"/>
          <w:sz w:val="10"/>
        </w:rPr>
        <w:t>16 </w:t>
      </w:r>
      <w:r>
        <w:rPr>
          <w:sz w:val="16"/>
        </w:rPr>
        <w:t>Since March 2016, EA CPI YoY inflation has risen from zero to +1.5% YoY, with no change in core inflation. Over the same period, UK CPI inflation has risen from 0.5% YoY to 2.3% YoY, a rise of 1.8pp, with a 0.3pp rise in core inflation (from 1.5% YoY to 1.8%).</w:t>
      </w:r>
    </w:p>
    <w:p>
      <w:pPr>
        <w:spacing w:line="172" w:lineRule="exact" w:before="0"/>
        <w:ind w:left="673" w:right="0" w:firstLine="0"/>
        <w:jc w:val="left"/>
        <w:rPr>
          <w:sz w:val="16"/>
        </w:rPr>
      </w:pPr>
      <w:r>
        <w:rPr>
          <w:position w:val="8"/>
          <w:sz w:val="10"/>
        </w:rPr>
        <w:t>17 </w:t>
      </w:r>
      <w:r>
        <w:rPr>
          <w:sz w:val="16"/>
        </w:rPr>
        <w:t>See “</w:t>
      </w:r>
      <w:r>
        <w:rPr>
          <w:i/>
          <w:sz w:val="16"/>
        </w:rPr>
        <w:t>Agents’ Summary of Business Conditions, 2017 Q1</w:t>
      </w:r>
      <w:r>
        <w:rPr>
          <w:sz w:val="16"/>
        </w:rPr>
        <w:t>”, Bank of England.</w:t>
      </w:r>
    </w:p>
    <w:p>
      <w:pPr>
        <w:spacing w:line="185" w:lineRule="exact" w:before="0"/>
        <w:ind w:left="673" w:right="0" w:firstLine="0"/>
        <w:jc w:val="left"/>
        <w:rPr>
          <w:sz w:val="16"/>
        </w:rPr>
      </w:pPr>
      <w:r>
        <w:rPr>
          <w:position w:val="8"/>
          <w:sz w:val="10"/>
        </w:rPr>
        <w:t>18 </w:t>
      </w:r>
      <w:r>
        <w:rPr>
          <w:sz w:val="16"/>
        </w:rPr>
        <w:t>There have also been some announced increases in energy prices that will take effect in coming months.</w:t>
      </w:r>
    </w:p>
    <w:p>
      <w:pPr>
        <w:spacing w:line="196" w:lineRule="exact" w:before="0"/>
        <w:ind w:left="673" w:right="0" w:firstLine="0"/>
        <w:jc w:val="left"/>
        <w:rPr>
          <w:sz w:val="16"/>
        </w:rPr>
      </w:pPr>
      <w:r>
        <w:rPr>
          <w:position w:val="8"/>
          <w:sz w:val="10"/>
        </w:rPr>
        <w:t>19 </w:t>
      </w:r>
      <w:r>
        <w:rPr>
          <w:sz w:val="16"/>
        </w:rPr>
        <w:t>See Forbes (2015).</w:t>
      </w:r>
    </w:p>
    <w:p>
      <w:pPr>
        <w:spacing w:after="0" w:line="196" w:lineRule="exact"/>
        <w:jc w:val="left"/>
        <w:rPr>
          <w:sz w:val="16"/>
        </w:rPr>
        <w:sectPr>
          <w:footerReference w:type="default" r:id="rId11"/>
          <w:pgSz w:w="11910" w:h="16840"/>
          <w:pgMar w:footer="1338" w:header="0" w:top="1520" w:bottom="1520" w:left="460" w:right="880"/>
        </w:sectPr>
      </w:pPr>
    </w:p>
    <w:p>
      <w:pPr>
        <w:pStyle w:val="BodyText"/>
        <w:spacing w:line="357" w:lineRule="auto" w:before="79"/>
        <w:ind w:left="673" w:right="933"/>
      </w:pPr>
      <w:r>
        <w:rPr/>
        <w:t>Over time, the appropriate monetary policy can and will ensure that inflation returns to the 2% target, consistent with our remit.</w:t>
      </w:r>
    </w:p>
    <w:p>
      <w:pPr>
        <w:pStyle w:val="BodyText"/>
        <w:spacing w:before="1"/>
        <w:rPr>
          <w:sz w:val="30"/>
        </w:rPr>
      </w:pPr>
    </w:p>
    <w:p>
      <w:pPr>
        <w:pStyle w:val="BodyText"/>
        <w:spacing w:line="360" w:lineRule="auto" w:before="1"/>
        <w:ind w:left="673" w:right="314"/>
      </w:pPr>
      <w:r>
        <w:rPr>
          <w:b/>
        </w:rPr>
        <w:t>Exports </w:t>
      </w:r>
      <w:r>
        <w:rPr/>
        <w:t>did not play much role in the economy’s resilience in the last few quarters</w:t>
      </w:r>
      <w:r>
        <w:rPr>
          <w:vertAlign w:val="superscript"/>
        </w:rPr>
        <w:t>20</w:t>
      </w:r>
      <w:r>
        <w:rPr>
          <w:vertAlign w:val="baseline"/>
        </w:rPr>
        <w:t>. However, most recent business surveys (including the FSB survey) show buoyant readings for export orders, confidence and deliveries (see figure 12). These surveys suggest that in aggregate, UK exports are now likely to benefit more or less as usual from sterling's depreciation rather than the more muted response implied by consensus and BoE forecasts.</w:t>
      </w:r>
    </w:p>
    <w:p>
      <w:pPr>
        <w:pStyle w:val="BodyText"/>
        <w:spacing w:before="1"/>
        <w:rPr>
          <w:sz w:val="30"/>
        </w:rPr>
      </w:pPr>
    </w:p>
    <w:p>
      <w:pPr>
        <w:pStyle w:val="BodyText"/>
        <w:spacing w:line="360" w:lineRule="auto"/>
        <w:ind w:left="673" w:right="270"/>
      </w:pPr>
      <w:r>
        <w:rPr/>
        <w:t>This produces something of a paradox: the referendum triggered a substantial sterling depreciation, probably reflecting the view that Brexit will, over time, hinder UK exports in some way. But, for now, the UK remains a full EU member with corresponding trade access. There is the possibility of an implementation phase that might keep the UK’s trade arrangements fairly close to their current status for a period beyond the expiry of the normal 2-year Article 50 deadline. The possibility of less-favourable trading arrangements post-Brexit may still be too uncertain and distant to constrain exports in many sectors.</w:t>
      </w:r>
    </w:p>
    <w:p>
      <w:pPr>
        <w:pStyle w:val="BodyText"/>
        <w:rPr>
          <w:sz w:val="30"/>
        </w:rPr>
      </w:pPr>
    </w:p>
    <w:p>
      <w:pPr>
        <w:pStyle w:val="BodyText"/>
        <w:spacing w:line="360" w:lineRule="auto"/>
        <w:ind w:left="673" w:right="350"/>
      </w:pPr>
      <w:r>
        <w:rPr/>
        <w:t>Hence, as my colleague Ben Broadbent noted, UK exporters are currently in something of a ‘sweet spot’</w:t>
      </w:r>
      <w:r>
        <w:rPr>
          <w:vertAlign w:val="superscript"/>
        </w:rPr>
        <w:t>21</w:t>
      </w:r>
      <w:r>
        <w:rPr>
          <w:vertAlign w:val="baseline"/>
        </w:rPr>
        <w:t>. In the near-term, the boost from sterling’s depreciation may well outweigh any adverse Brexit effects and generate quite strong export growth, especially given signs of better external growth. CBI surveys suggest that a record share of manufacturing firms report improved competitiveness versus EU and non-EU markets in recent quarters (see figure 13).</w:t>
      </w:r>
    </w:p>
    <w:p>
      <w:pPr>
        <w:pStyle w:val="BodyText"/>
        <w:spacing w:before="1"/>
        <w:rPr>
          <w:sz w:val="30"/>
        </w:rPr>
      </w:pPr>
    </w:p>
    <w:p>
      <w:pPr>
        <w:pStyle w:val="BodyText"/>
        <w:spacing w:line="360" w:lineRule="auto" w:before="1"/>
        <w:ind w:left="673" w:right="314"/>
      </w:pPr>
      <w:r>
        <w:rPr/>
        <w:t>Indeed, even though the improvement in export orders has yet to be fully reflected in export volumes, increases in export prices are already lifting the relative profitability of export-focused sectors. For example, ONS data show a sharp rise in H2 2016 in the growth of nominal value added in sectors for which exports play a major role (see figure 14), with a marked disparity between domestic-focused and export-focused sectors.</w:t>
      </w:r>
    </w:p>
    <w:p>
      <w:pPr>
        <w:pStyle w:val="BodyText"/>
        <w:spacing w:before="10"/>
        <w:rPr>
          <w:sz w:val="29"/>
        </w:rPr>
      </w:pPr>
    </w:p>
    <w:p>
      <w:pPr>
        <w:pStyle w:val="BodyText"/>
        <w:spacing w:line="360" w:lineRule="auto"/>
        <w:ind w:left="673" w:right="275"/>
      </w:pPr>
      <w:r>
        <w:rPr/>
        <w:t>Not all export-related sectors are benefiting equally. In particular, optimism over export prospects has risen more sharply in sectors which usually have relatively short order books. On balance, in sectors with very long order books (eg aerospace) -- and whose order books are perhaps more likely to extend into post-Brexit conditions – optimism over export prospects has fallen slightly (see figure 15). Some sectors may be constrained by limited spare capacity. Moreover, service sector exporters are generally</w:t>
      </w:r>
      <w:r>
        <w:rPr>
          <w:spacing w:val="-15"/>
        </w:rPr>
        <w:t> </w:t>
      </w:r>
      <w:r>
        <w:rPr/>
        <w:t>less</w:t>
      </w:r>
    </w:p>
    <w:p>
      <w:pPr>
        <w:pStyle w:val="BodyText"/>
        <w:spacing w:line="360" w:lineRule="auto" w:before="1"/>
        <w:ind w:left="673" w:right="239"/>
      </w:pPr>
      <w:r>
        <w:rPr/>
        <w:t>currency-sensitive than manufacturing, and, correspondingly, report less recent improvement in external competitiveness and export prospects. Nevertheless, there are signs of a sizeable boost from the low pound in some service sectors, especially those focused on tourism in the UK.</w:t>
      </w:r>
    </w:p>
    <w:p>
      <w:pPr>
        <w:pStyle w:val="BodyText"/>
        <w:spacing w:before="4"/>
        <w:rPr>
          <w:sz w:val="23"/>
        </w:rPr>
      </w:pPr>
      <w:r>
        <w:rPr/>
        <w:pict>
          <v:shape style="position:absolute;margin-left:56.664001pt;margin-top:15.647676pt;width:144.050pt;height:.1pt;mso-position-horizontal-relative:page;mso-position-vertical-relative:paragraph;z-index:-251652096;mso-wrap-distance-left:0;mso-wrap-distance-right:0" coordorigin="1133,313" coordsize="2881,0" path="m1133,313l4014,313e" filled="false" stroked="true" strokeweight=".47998pt" strokecolor="#000000">
            <v:path arrowok="t"/>
            <v:stroke dashstyle="solid"/>
            <w10:wrap type="topAndBottom"/>
          </v:shape>
        </w:pict>
      </w:r>
    </w:p>
    <w:p>
      <w:pPr>
        <w:spacing w:before="27"/>
        <w:ind w:left="673" w:right="0" w:firstLine="0"/>
        <w:jc w:val="left"/>
        <w:rPr>
          <w:sz w:val="16"/>
        </w:rPr>
      </w:pPr>
      <w:r>
        <w:rPr>
          <w:position w:val="8"/>
          <w:sz w:val="10"/>
        </w:rPr>
        <w:t>20 </w:t>
      </w:r>
      <w:r>
        <w:rPr>
          <w:sz w:val="16"/>
        </w:rPr>
        <w:t>The current account deficit did fall sharply in Q4, but this owed a lot to swings in flows of non-monetary gold, which often are erratic. Excluding erratic items, the trade deficit was little changed between H1 and H2 2016.</w:t>
      </w:r>
    </w:p>
    <w:p>
      <w:pPr>
        <w:spacing w:line="186" w:lineRule="exact" w:before="0"/>
        <w:ind w:left="673" w:right="0" w:firstLine="0"/>
        <w:jc w:val="left"/>
        <w:rPr>
          <w:sz w:val="16"/>
        </w:rPr>
      </w:pPr>
      <w:r>
        <w:rPr>
          <w:position w:val="8"/>
          <w:sz w:val="10"/>
        </w:rPr>
        <w:t>21 </w:t>
      </w:r>
      <w:r>
        <w:rPr>
          <w:sz w:val="16"/>
        </w:rPr>
        <w:t>See Broadbent (2017).</w:t>
      </w:r>
    </w:p>
    <w:p>
      <w:pPr>
        <w:spacing w:after="0" w:line="186" w:lineRule="exact"/>
        <w:jc w:val="left"/>
        <w:rPr>
          <w:sz w:val="16"/>
        </w:rPr>
        <w:sectPr>
          <w:footerReference w:type="default" r:id="rId12"/>
          <w:pgSz w:w="11910" w:h="16840"/>
          <w:pgMar w:footer="1338" w:header="0" w:top="1520" w:bottom="1520" w:left="460" w:right="880"/>
        </w:sectPr>
      </w:pPr>
    </w:p>
    <w:p>
      <w:pPr>
        <w:pStyle w:val="BodyText"/>
        <w:spacing w:before="5"/>
        <w:rPr>
          <w:sz w:val="23"/>
        </w:rPr>
      </w:pPr>
    </w:p>
    <w:p>
      <w:pPr>
        <w:pStyle w:val="BodyText"/>
        <w:spacing w:line="360" w:lineRule="auto" w:before="93"/>
        <w:ind w:left="673" w:right="314"/>
      </w:pPr>
      <w:r>
        <w:rPr/>
        <w:t>If we have been too early in assuming that Brexit will reduce the economy’s openness, imports may also prove to be stronger. Even so, I suspect that exports and net trade will add a bit more to growth this year, and perhaps also 2018, than generally expected. Of course, this does not prove or disprove the notion (which seems to be implicit in sterling’s depreciation) that Brexit might constrain UK exports longer term.</w:t>
      </w:r>
    </w:p>
    <w:p>
      <w:pPr>
        <w:pStyle w:val="BodyText"/>
        <w:spacing w:before="9"/>
        <w:rPr>
          <w:sz w:val="29"/>
        </w:rPr>
      </w:pPr>
    </w:p>
    <w:p>
      <w:pPr>
        <w:pStyle w:val="BodyText"/>
        <w:spacing w:line="360" w:lineRule="auto"/>
        <w:ind w:left="673" w:right="314"/>
      </w:pPr>
      <w:r>
        <w:rPr/>
        <w:t>Regarding </w:t>
      </w:r>
      <w:r>
        <w:rPr>
          <w:b/>
        </w:rPr>
        <w:t>business investment </w:t>
      </w:r>
      <w:r>
        <w:rPr/>
        <w:t>– again, in contrast to worries of Brexit’s long-run effects – surveys suggest that firms’ investment intentions have improved recently and are slightly above average overall, especially in manufacturing (see figure 16). Reflecting the boost from sterling’s depreciation, the share of manufacturing firms citing capacity expansion as a key reason to invest is the highest since 1979, with particularly high readings among larger firms (more than 500 employees).</w:t>
      </w:r>
    </w:p>
    <w:p>
      <w:pPr>
        <w:pStyle w:val="BodyText"/>
        <w:spacing w:before="2"/>
        <w:rPr>
          <w:sz w:val="30"/>
        </w:rPr>
      </w:pPr>
    </w:p>
    <w:p>
      <w:pPr>
        <w:pStyle w:val="BodyText"/>
        <w:spacing w:line="360" w:lineRule="auto"/>
        <w:ind w:left="673" w:right="314"/>
      </w:pPr>
      <w:r>
        <w:rPr/>
        <w:t>Investment may be supported also by the strength of corporate profits. The ratio of private non-oil corporate profits to GDP in Q4 last year was the highest since 2000 (see figure 17). Taking annual data, the return on capital for nonoil non-financial companies in 2016 was the highest since 1998. Overall corporate liquidity is strong, and both the cost and availability of credit are favourable. Moreover,the BoE agents report that for some firms, the need to increase efficiency in the face of increases in energy, labour and materials costs is an additional spur to nearterm investment</w:t>
      </w:r>
      <w:r>
        <w:rPr>
          <w:vertAlign w:val="superscript"/>
        </w:rPr>
        <w:t>22</w:t>
      </w:r>
      <w:r>
        <w:rPr>
          <w:vertAlign w:val="baseline"/>
        </w:rPr>
        <w:t>.</w:t>
      </w:r>
    </w:p>
    <w:p>
      <w:pPr>
        <w:pStyle w:val="BodyText"/>
        <w:spacing w:before="2"/>
        <w:rPr>
          <w:sz w:val="30"/>
        </w:rPr>
      </w:pPr>
    </w:p>
    <w:p>
      <w:pPr>
        <w:pStyle w:val="BodyText"/>
        <w:spacing w:line="360" w:lineRule="auto"/>
        <w:ind w:left="673" w:right="239"/>
      </w:pPr>
      <w:r>
        <w:rPr/>
        <w:t>To be sure, Brexit uncertainties may limit the extent to which current favourable trading conditions lead to strong investment growth and increased export capacity. But even so, for now, the indications from business surveys seem to me to be less weak than implied by the consensus.</w:t>
      </w:r>
    </w:p>
    <w:p>
      <w:pPr>
        <w:pStyle w:val="BodyText"/>
        <w:spacing w:before="10"/>
        <w:rPr>
          <w:sz w:val="29"/>
        </w:rPr>
      </w:pPr>
    </w:p>
    <w:p>
      <w:pPr>
        <w:pStyle w:val="BodyText"/>
        <w:spacing w:line="360" w:lineRule="auto"/>
        <w:ind w:left="673" w:right="604"/>
      </w:pPr>
      <w:r>
        <w:rPr>
          <w:b/>
        </w:rPr>
        <w:t>Productivity </w:t>
      </w:r>
      <w:r>
        <w:rPr/>
        <w:t>trends are more mixed. The BoE’s view has been that any adverse effects of Brexit on productivity will be very gradual. In practice, with faster output growth but slower job growth, productivity (output per hour) picked up to 1.2% YoY in Q4 2016, roughly half-way between the recent pace (2010-15 average of 0.5% YoY) and the pre-crisis average (1995-2007 average was 2.0% YoY).</w:t>
      </w:r>
    </w:p>
    <w:p>
      <w:pPr>
        <w:pStyle w:val="BodyText"/>
        <w:spacing w:before="1"/>
        <w:rPr>
          <w:sz w:val="30"/>
        </w:rPr>
      </w:pPr>
    </w:p>
    <w:p>
      <w:pPr>
        <w:pStyle w:val="BodyText"/>
        <w:spacing w:line="360" w:lineRule="auto"/>
        <w:ind w:left="673" w:right="933"/>
      </w:pPr>
      <w:r>
        <w:rPr/>
        <w:t>It is possible that, with the economy probably near full employment and uncertainties over the future availability of foreign workers, firms may now be more likely to increase investment in training and</w:t>
      </w:r>
    </w:p>
    <w:p>
      <w:pPr>
        <w:pStyle w:val="BodyText"/>
        <w:spacing w:line="357" w:lineRule="auto" w:before="1"/>
        <w:ind w:left="673" w:right="482"/>
      </w:pPr>
      <w:r>
        <w:rPr/>
        <w:t>labour-saving technology, or to undertake difficult decisions to re-engineer internal processes, in ways that deliver more lasting productivity gains. Conversely, in recent years, the ample availability of</w:t>
      </w:r>
    </w:p>
    <w:p>
      <w:pPr>
        <w:pStyle w:val="BodyText"/>
        <w:spacing w:line="360" w:lineRule="auto" w:before="4"/>
        <w:ind w:left="673" w:right="394"/>
      </w:pPr>
      <w:r>
        <w:rPr/>
        <w:t>labour -- including foreign workers – may have encouraged some firms to adopt labour-intensive production methods, and fuelled growth in labour-intensive sectors.</w:t>
      </w:r>
    </w:p>
    <w:p>
      <w:pPr>
        <w:pStyle w:val="BodyText"/>
        <w:spacing w:before="11"/>
        <w:rPr>
          <w:sz w:val="29"/>
        </w:rPr>
      </w:pPr>
    </w:p>
    <w:p>
      <w:pPr>
        <w:pStyle w:val="BodyText"/>
        <w:spacing w:line="360" w:lineRule="auto"/>
        <w:ind w:left="673" w:right="428"/>
      </w:pPr>
      <w:r>
        <w:rPr/>
        <w:t>But it is also possible that the productivity pickup in H2 2016 was partly temporary, with Brexit uncertainties leading firms to defer hiring despite solid activity growth. Hence, there may now be a catch-up in labour</w:t>
      </w:r>
    </w:p>
    <w:p>
      <w:pPr>
        <w:pStyle w:val="BodyText"/>
        <w:spacing w:before="4"/>
        <w:rPr>
          <w:sz w:val="25"/>
        </w:rPr>
      </w:pPr>
      <w:r>
        <w:rPr/>
        <w:pict>
          <v:shape style="position:absolute;margin-left:56.664001pt;margin-top:16.783701pt;width:144.050pt;height:.1pt;mso-position-horizontal-relative:page;mso-position-vertical-relative:paragraph;z-index:-251651072;mso-wrap-distance-left:0;mso-wrap-distance-right:0" coordorigin="1133,336" coordsize="2881,0" path="m1133,336l4014,336e" filled="false" stroked="true" strokeweight=".47998pt" strokecolor="#000000">
            <v:path arrowok="t"/>
            <v:stroke dashstyle="solid"/>
            <w10:wrap type="topAndBottom"/>
          </v:shape>
        </w:pict>
      </w:r>
    </w:p>
    <w:p>
      <w:pPr>
        <w:spacing w:before="29"/>
        <w:ind w:left="673" w:right="0" w:firstLine="0"/>
        <w:jc w:val="left"/>
        <w:rPr>
          <w:sz w:val="16"/>
        </w:rPr>
      </w:pPr>
      <w:r>
        <w:rPr>
          <w:position w:val="8"/>
          <w:sz w:val="10"/>
        </w:rPr>
        <w:t>22 </w:t>
      </w:r>
      <w:r>
        <w:rPr>
          <w:sz w:val="16"/>
        </w:rPr>
        <w:t>See “</w:t>
      </w:r>
      <w:r>
        <w:rPr>
          <w:i/>
          <w:sz w:val="16"/>
        </w:rPr>
        <w:t>Agents’ Summary of Business Conditions, 2017 Q1</w:t>
      </w:r>
      <w:r>
        <w:rPr>
          <w:sz w:val="16"/>
        </w:rPr>
        <w:t>”, Bank of England.</w:t>
      </w:r>
    </w:p>
    <w:p>
      <w:pPr>
        <w:spacing w:after="0"/>
        <w:jc w:val="left"/>
        <w:rPr>
          <w:sz w:val="16"/>
        </w:rPr>
        <w:sectPr>
          <w:footerReference w:type="default" r:id="rId13"/>
          <w:pgSz w:w="11910" w:h="16840"/>
          <w:pgMar w:footer="1338" w:header="0" w:top="1580" w:bottom="1520" w:left="460" w:right="880"/>
        </w:sectPr>
      </w:pPr>
    </w:p>
    <w:p>
      <w:pPr>
        <w:pStyle w:val="BodyText"/>
        <w:spacing w:line="360" w:lineRule="auto" w:before="79"/>
        <w:ind w:left="673" w:right="394"/>
      </w:pPr>
      <w:r>
        <w:rPr/>
        <w:t>demand. Indeed, the latest ONS figures show a sharp rise in hours worked in early 2017 (see figure 18). The BoE agents report a slight pickup in firms’ hiring intentions (see figure 19), while the FSB survey points to quite a marked rise in hiring plans</w:t>
      </w:r>
      <w:r>
        <w:rPr>
          <w:vertAlign w:val="superscript"/>
        </w:rPr>
        <w:t>23</w:t>
      </w:r>
      <w:r>
        <w:rPr>
          <w:vertAlign w:val="baseline"/>
        </w:rPr>
        <w:t>. So it currently appears that the late-2016 productivity pickup is not being sustained.</w:t>
      </w:r>
    </w:p>
    <w:p>
      <w:pPr>
        <w:pStyle w:val="BodyText"/>
        <w:spacing w:before="10"/>
        <w:rPr>
          <w:sz w:val="29"/>
        </w:rPr>
      </w:pPr>
    </w:p>
    <w:p>
      <w:pPr>
        <w:pStyle w:val="BodyText"/>
        <w:spacing w:line="360" w:lineRule="auto"/>
        <w:ind w:left="673" w:right="583"/>
      </w:pPr>
      <w:r>
        <w:rPr/>
        <w:t>I stress that these recent and prospective near-term trends in prices, productivity, exports and investment probably tell us very little either way over the long-run effects of Brexit over the next 10-20 years.</w:t>
      </w:r>
    </w:p>
    <w:p>
      <w:pPr>
        <w:pStyle w:val="BodyText"/>
        <w:spacing w:before="11"/>
        <w:rPr>
          <w:sz w:val="29"/>
        </w:rPr>
      </w:pPr>
    </w:p>
    <w:p>
      <w:pPr>
        <w:pStyle w:val="BodyText"/>
        <w:ind w:left="673"/>
      </w:pPr>
      <w:r>
        <w:rPr/>
        <w:t>Let me try to tie this together.</w:t>
      </w:r>
    </w:p>
    <w:p>
      <w:pPr>
        <w:pStyle w:val="BodyText"/>
        <w:rPr>
          <w:sz w:val="22"/>
        </w:rPr>
      </w:pPr>
    </w:p>
    <w:p>
      <w:pPr>
        <w:pStyle w:val="BodyText"/>
        <w:spacing w:before="1"/>
        <w:rPr>
          <w:sz w:val="18"/>
        </w:rPr>
      </w:pPr>
    </w:p>
    <w:p>
      <w:pPr>
        <w:pStyle w:val="BodyText"/>
        <w:spacing w:line="360" w:lineRule="auto"/>
        <w:ind w:left="673" w:right="661"/>
      </w:pPr>
      <w:r>
        <w:rPr/>
        <w:t>My hunch is that in 2017-18 we will see higher near-term inflation, plus a greater rotation of growth away from consumer spending and towards investment and net trade, than the February IR base case. The upturns in exports and investment may keep the economy growing at around 2% YoY across 2017-18 combined even as consumer spending slows. To me, growth seems more likely to exceed the external consensus (which is for around 1½% in 2017-18 combined) that to undershoot.</w:t>
      </w:r>
    </w:p>
    <w:p>
      <w:pPr>
        <w:pStyle w:val="BodyText"/>
        <w:spacing w:before="11"/>
        <w:rPr>
          <w:sz w:val="29"/>
        </w:rPr>
      </w:pPr>
    </w:p>
    <w:p>
      <w:pPr>
        <w:pStyle w:val="BodyText"/>
        <w:spacing w:line="360" w:lineRule="auto"/>
        <w:ind w:left="673" w:right="258"/>
      </w:pPr>
      <w:r>
        <w:rPr/>
        <w:t>The continued modest pace of pay growth suggests that the output gap is not fully closed.  Nevertheless, with the jobless rate down to 4.7%, matching the lows of the last 40 years, slack is probably quite limited. Moreover, recent months have seen quite a sharp drop in the numbers of under-employed part-time workers and in the numbers of people who would like to work but are loosely attached to the workforce. As a result, a U6-style under-employment rate - which adds these groups to the official jobless rate – has fallen from 9.7% four months ago to 9.0% now, and is only slightly above the 2000-07 average</w:t>
      </w:r>
      <w:r>
        <w:rPr>
          <w:spacing w:val="-10"/>
        </w:rPr>
        <w:t> </w:t>
      </w:r>
      <w:r>
        <w:rPr/>
        <w:t>(8.4%).</w:t>
      </w:r>
    </w:p>
    <w:p>
      <w:pPr>
        <w:pStyle w:val="BodyText"/>
        <w:spacing w:before="2"/>
        <w:rPr>
          <w:sz w:val="30"/>
        </w:rPr>
      </w:pPr>
    </w:p>
    <w:p>
      <w:pPr>
        <w:pStyle w:val="BodyText"/>
        <w:spacing w:line="360" w:lineRule="auto"/>
        <w:ind w:left="673" w:right="327"/>
      </w:pPr>
      <w:r>
        <w:rPr/>
        <w:t>Unless the recent productivity pick up of H2 2016 is maintained – for which (as noted) evidence currently is slim – economic growth of around 2% implies that unemployment and under-employment are unlikely to rise in coming quarters and may well fall further.</w:t>
      </w:r>
    </w:p>
    <w:p>
      <w:pPr>
        <w:pStyle w:val="BodyText"/>
        <w:spacing w:before="9"/>
        <w:rPr>
          <w:sz w:val="29"/>
        </w:rPr>
      </w:pPr>
    </w:p>
    <w:p>
      <w:pPr>
        <w:pStyle w:val="BodyText"/>
        <w:spacing w:line="360" w:lineRule="auto" w:before="1"/>
        <w:ind w:left="673" w:right="361"/>
      </w:pPr>
      <w:r>
        <w:rPr/>
        <w:t>Of course, there are many uncertainties. For example, consumers might retrench more than expected in response to the currency-driven erosion of their real incomes. Exports might fail to live up to hopes evident in business surveys. The process of Brexit might be bumpy, creating new waves of uncertainties. But there are also upside risks to growth. For example, consumers might view the real wage squeeze as temporary and, amidst ample credit availability, save less and maintain spending more than expected. Moreover, the factors behind the economy's recent outperformance, including better global growth, may continue to propel the economy more than expected going forward.</w:t>
      </w:r>
    </w:p>
    <w:p>
      <w:pPr>
        <w:pStyle w:val="BodyText"/>
        <w:rPr>
          <w:sz w:val="30"/>
        </w:rPr>
      </w:pPr>
    </w:p>
    <w:p>
      <w:pPr>
        <w:pStyle w:val="BodyText"/>
        <w:spacing w:before="1"/>
        <w:ind w:left="673"/>
      </w:pPr>
      <w:r>
        <w:rPr/>
        <w:t>I would like to conclude with some comments on monetary policy.</w:t>
      </w:r>
    </w:p>
    <w:p>
      <w:pPr>
        <w:pStyle w:val="BodyText"/>
      </w:pPr>
    </w:p>
    <w:p>
      <w:pPr>
        <w:pStyle w:val="BodyText"/>
      </w:pPr>
    </w:p>
    <w:p>
      <w:pPr>
        <w:pStyle w:val="BodyText"/>
        <w:spacing w:before="3"/>
        <w:rPr>
          <w:sz w:val="25"/>
        </w:rPr>
      </w:pPr>
      <w:r>
        <w:rPr/>
        <w:pict>
          <v:shape style="position:absolute;margin-left:56.664001pt;margin-top:16.754013pt;width:144.050pt;height:.1pt;mso-position-horizontal-relative:page;mso-position-vertical-relative:paragraph;z-index:-251650048;mso-wrap-distance-left:0;mso-wrap-distance-right:0" coordorigin="1133,335" coordsize="2881,0" path="m1133,335l4014,335e" filled="false" stroked="true" strokeweight=".47998pt" strokecolor="#000000">
            <v:path arrowok="t"/>
            <v:stroke dashstyle="solid"/>
            <w10:wrap type="topAndBottom"/>
          </v:shape>
        </w:pict>
      </w:r>
    </w:p>
    <w:p>
      <w:pPr>
        <w:spacing w:before="29"/>
        <w:ind w:left="673" w:right="0" w:firstLine="0"/>
        <w:jc w:val="left"/>
        <w:rPr>
          <w:sz w:val="16"/>
        </w:rPr>
      </w:pPr>
      <w:r>
        <w:rPr>
          <w:position w:val="8"/>
          <w:sz w:val="10"/>
        </w:rPr>
        <w:t>23 </w:t>
      </w:r>
      <w:r>
        <w:rPr>
          <w:sz w:val="16"/>
        </w:rPr>
        <w:t>The figure for Q1 2017 is the second highest for any quarter since the start of 2010.</w:t>
      </w:r>
    </w:p>
    <w:p>
      <w:pPr>
        <w:spacing w:after="0"/>
        <w:jc w:val="left"/>
        <w:rPr>
          <w:sz w:val="16"/>
        </w:rPr>
        <w:sectPr>
          <w:footerReference w:type="default" r:id="rId14"/>
          <w:pgSz w:w="11910" w:h="16840"/>
          <w:pgMar w:footer="1338" w:header="0" w:top="1520" w:bottom="1520" w:left="460" w:right="880"/>
          <w:pgNumType w:start="9"/>
        </w:sectPr>
      </w:pPr>
    </w:p>
    <w:p>
      <w:pPr>
        <w:pStyle w:val="BodyText"/>
        <w:spacing w:line="360" w:lineRule="auto" w:before="119"/>
        <w:ind w:left="673" w:right="353"/>
      </w:pPr>
      <w:r>
        <w:rPr/>
        <w:t>The neutral interest rate is probably significantly lower than in the period before 2007</w:t>
      </w:r>
      <w:r>
        <w:rPr>
          <w:vertAlign w:val="superscript"/>
        </w:rPr>
        <w:t>24</w:t>
      </w:r>
      <w:r>
        <w:rPr>
          <w:vertAlign w:val="baseline"/>
        </w:rPr>
        <w:t>, but even so, I judge that the current policy stance is clearly accommodative. The lower neutral rate implies that, if the MPC were to lift rates at some stage, the tightening path probably would be limited and gradual. Moreover – and, again, while not prejudging what I or the MPC might decide on monetary policy – a modest rise in rates would still imply that considerable stimulus remains in place, helping to support output and</w:t>
      </w:r>
      <w:r>
        <w:rPr>
          <w:spacing w:val="-14"/>
          <w:vertAlign w:val="baseline"/>
        </w:rPr>
        <w:t> </w:t>
      </w:r>
      <w:r>
        <w:rPr>
          <w:vertAlign w:val="baseline"/>
        </w:rPr>
        <w:t>jobs.</w:t>
      </w:r>
    </w:p>
    <w:p>
      <w:pPr>
        <w:pStyle w:val="BodyText"/>
        <w:spacing w:before="10"/>
        <w:rPr>
          <w:sz w:val="29"/>
        </w:rPr>
      </w:pPr>
    </w:p>
    <w:p>
      <w:pPr>
        <w:pStyle w:val="BodyText"/>
        <w:spacing w:line="360" w:lineRule="auto"/>
        <w:ind w:left="673" w:right="270"/>
      </w:pPr>
      <w:r>
        <w:rPr/>
        <w:t>At the MPC’s most recent meeting, in March, I voted for unchanged policy, especially on the grounds that it would be useful to see a bit more economic data for early 2017. I am not going to announce today how I will vote at the May meeting. There is plenty of data still to receive, and insights to be gained. So that decision will be made and announced at the proper time. I am not a big fan of using code words or language to signal or pre-announce policy decisions before they have been made. But, I do believe it is important that any monetary policy decisions, and the context underlying them – whether they are policy changes or not – are clearly explained.</w:t>
      </w:r>
    </w:p>
    <w:p>
      <w:pPr>
        <w:pStyle w:val="BodyText"/>
        <w:spacing w:before="1"/>
        <w:rPr>
          <w:sz w:val="30"/>
        </w:rPr>
      </w:pPr>
    </w:p>
    <w:p>
      <w:pPr>
        <w:pStyle w:val="BodyText"/>
        <w:spacing w:line="360" w:lineRule="auto"/>
        <w:ind w:left="673" w:right="324"/>
      </w:pPr>
      <w:r>
        <w:rPr/>
        <w:t>Finally, I do not believe the MPC is necessarily obliged to delay any policy moves until we have certainty over the exact shape of Brexit and its long-run effects on the economy. We make our decisions from meeting to meeting, and will fulfil our remit during the Brexit process and after it. Any policy decision carries risks that subsequent events make the decision controversial, but that is always the case. Perceptions of the economic outlook have already changed markedly in recent months and may well continue to do so. It is natural for policy to respond to the changing outlook if needed, consistent with our low inflation remit.</w:t>
      </w:r>
    </w:p>
    <w:p>
      <w:pPr>
        <w:pStyle w:val="BodyText"/>
      </w:pPr>
    </w:p>
    <w:p>
      <w:pPr>
        <w:pStyle w:val="BodyText"/>
        <w:spacing w:before="2" w:after="1"/>
        <w:rPr>
          <w:sz w:val="10"/>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600"/>
        <w:gridCol w:w="429"/>
        <w:gridCol w:w="110"/>
        <w:gridCol w:w="4641"/>
        <w:gridCol w:w="456"/>
      </w:tblGrid>
      <w:tr>
        <w:trPr>
          <w:trHeight w:val="690" w:hRule="atLeast"/>
        </w:trPr>
        <w:tc>
          <w:tcPr>
            <w:tcW w:w="5140" w:type="dxa"/>
            <w:gridSpan w:val="3"/>
            <w:tcBorders>
              <w:bottom w:val="single" w:sz="6" w:space="0" w:color="000000"/>
            </w:tcBorders>
          </w:tcPr>
          <w:p>
            <w:pPr>
              <w:pStyle w:val="TableParagraph"/>
              <w:spacing w:line="227" w:lineRule="exact"/>
              <w:ind w:left="107"/>
              <w:rPr>
                <w:rFonts w:ascii="Arial"/>
                <w:sz w:val="20"/>
              </w:rPr>
            </w:pPr>
            <w:r>
              <w:rPr>
                <w:rFonts w:ascii="Arial"/>
                <w:sz w:val="20"/>
              </w:rPr>
              <w:t>Figure 1. Forecasts for Real GDP Growth in 2016 and</w:t>
            </w:r>
          </w:p>
          <w:p>
            <w:pPr>
              <w:pStyle w:val="TableParagraph"/>
              <w:spacing w:before="115"/>
              <w:ind w:left="107"/>
              <w:rPr>
                <w:rFonts w:ascii="Arial"/>
                <w:sz w:val="20"/>
              </w:rPr>
            </w:pPr>
            <w:r>
              <w:rPr>
                <w:rFonts w:ascii="Arial"/>
                <w:sz w:val="20"/>
              </w:rPr>
              <w:t>2017 (BoE Forecasts for 2016, 7517101)</w:t>
            </w:r>
          </w:p>
        </w:tc>
        <w:tc>
          <w:tcPr>
            <w:tcW w:w="5207" w:type="dxa"/>
            <w:gridSpan w:val="3"/>
            <w:tcBorders>
              <w:bottom w:val="single" w:sz="6" w:space="0" w:color="000000"/>
            </w:tcBorders>
          </w:tcPr>
          <w:p>
            <w:pPr>
              <w:pStyle w:val="TableParagraph"/>
              <w:spacing w:line="227" w:lineRule="exact"/>
              <w:ind w:left="107"/>
              <w:rPr>
                <w:rFonts w:ascii="Arial"/>
                <w:sz w:val="20"/>
              </w:rPr>
            </w:pPr>
            <w:r>
              <w:rPr>
                <w:rFonts w:ascii="Arial"/>
                <w:sz w:val="20"/>
              </w:rPr>
              <w:t>Figure 2. Average QoQ Real Economic Growth in Q3</w:t>
            </w:r>
          </w:p>
          <w:p>
            <w:pPr>
              <w:pStyle w:val="TableParagraph"/>
              <w:spacing w:before="115"/>
              <w:ind w:left="107"/>
              <w:rPr>
                <w:rFonts w:ascii="Arial"/>
                <w:sz w:val="20"/>
              </w:rPr>
            </w:pPr>
            <w:r>
              <w:rPr>
                <w:rFonts w:ascii="Arial"/>
                <w:sz w:val="20"/>
              </w:rPr>
              <w:t>and Q4 2016, and MPC Forecast made in August 2016</w:t>
            </w:r>
          </w:p>
        </w:tc>
      </w:tr>
      <w:tr>
        <w:trPr>
          <w:trHeight w:val="3829" w:hRule="atLeast"/>
        </w:trPr>
        <w:tc>
          <w:tcPr>
            <w:tcW w:w="111" w:type="dxa"/>
            <w:vMerge w:val="restart"/>
            <w:tcBorders>
              <w:bottom w:val="nil"/>
              <w:right w:val="single" w:sz="4" w:space="0" w:color="858585"/>
            </w:tcBorders>
          </w:tcPr>
          <w:p>
            <w:pPr>
              <w:pStyle w:val="TableParagraph"/>
              <w:rPr>
                <w:rFonts w:ascii="Times New Roman"/>
                <w:sz w:val="18"/>
              </w:rPr>
            </w:pPr>
          </w:p>
        </w:tc>
        <w:tc>
          <w:tcPr>
            <w:tcW w:w="4600" w:type="dxa"/>
            <w:vMerge w:val="restart"/>
            <w:tcBorders>
              <w:top w:val="single" w:sz="6" w:space="0" w:color="000000"/>
              <w:left w:val="single" w:sz="4" w:space="0" w:color="858585"/>
              <w:bottom w:val="single" w:sz="4" w:space="0" w:color="858585"/>
              <w:right w:val="single" w:sz="4" w:space="0" w:color="858585"/>
            </w:tcBorders>
          </w:tcPr>
          <w:p>
            <w:pPr>
              <w:pStyle w:val="TableParagraph"/>
              <w:spacing w:before="5"/>
              <w:ind w:left="9"/>
              <w:rPr>
                <w:b/>
                <w:sz w:val="20"/>
              </w:rPr>
            </w:pPr>
            <w:r>
              <w:rPr>
                <w:b/>
                <w:w w:val="85"/>
                <w:sz w:val="20"/>
              </w:rPr>
              <w:t>2.8</w:t>
            </w:r>
          </w:p>
          <w:p>
            <w:pPr>
              <w:pStyle w:val="TableParagraph"/>
              <w:tabs>
                <w:tab w:pos="454" w:val="left" w:leader="none"/>
              </w:tabs>
              <w:spacing w:line="265" w:lineRule="exact" w:before="12"/>
              <w:ind w:left="9"/>
              <w:rPr>
                <w:sz w:val="20"/>
              </w:rPr>
            </w:pPr>
            <w:r>
              <w:rPr>
                <w:b/>
                <w:w w:val="85"/>
                <w:sz w:val="20"/>
              </w:rPr>
              <w:t>2.6</w:t>
              <w:tab/>
            </w:r>
            <w:r>
              <w:rPr>
                <w:w w:val="85"/>
                <w:position w:val="-2"/>
                <w:sz w:val="20"/>
              </w:rPr>
              <w:t>%</w:t>
            </w:r>
          </w:p>
          <w:p>
            <w:pPr>
              <w:pStyle w:val="TableParagraph"/>
              <w:spacing w:line="235" w:lineRule="exact"/>
              <w:ind w:left="9"/>
              <w:rPr>
                <w:b/>
                <w:sz w:val="20"/>
              </w:rPr>
            </w:pPr>
            <w:r>
              <w:rPr>
                <w:b/>
                <w:w w:val="85"/>
                <w:sz w:val="20"/>
              </w:rPr>
              <w:t>2.4</w:t>
            </w:r>
          </w:p>
          <w:p>
            <w:pPr>
              <w:pStyle w:val="TableParagraph"/>
              <w:spacing w:before="12"/>
              <w:ind w:left="9"/>
              <w:rPr>
                <w:b/>
                <w:sz w:val="20"/>
              </w:rPr>
            </w:pPr>
            <w:r>
              <w:rPr>
                <w:b/>
                <w:w w:val="85"/>
                <w:sz w:val="20"/>
              </w:rPr>
              <w:t>2.2</w:t>
            </w:r>
          </w:p>
          <w:p>
            <w:pPr>
              <w:pStyle w:val="TableParagraph"/>
              <w:spacing w:before="12"/>
              <w:ind w:left="9"/>
              <w:rPr>
                <w:b/>
                <w:sz w:val="20"/>
              </w:rPr>
            </w:pPr>
            <w:r>
              <w:rPr>
                <w:b/>
                <w:w w:val="85"/>
                <w:sz w:val="20"/>
              </w:rPr>
              <w:t>2.0</w:t>
            </w:r>
          </w:p>
          <w:p>
            <w:pPr>
              <w:pStyle w:val="TableParagraph"/>
              <w:spacing w:before="12"/>
              <w:ind w:left="9"/>
              <w:rPr>
                <w:b/>
                <w:sz w:val="20"/>
              </w:rPr>
            </w:pPr>
            <w:r>
              <w:rPr>
                <w:b/>
                <w:w w:val="85"/>
                <w:sz w:val="20"/>
              </w:rPr>
              <w:t>1.8</w:t>
            </w:r>
          </w:p>
          <w:p>
            <w:pPr>
              <w:pStyle w:val="TableParagraph"/>
              <w:spacing w:line="205" w:lineRule="exact" w:before="12"/>
              <w:ind w:left="9"/>
              <w:rPr>
                <w:b/>
                <w:sz w:val="20"/>
              </w:rPr>
            </w:pPr>
            <w:r>
              <w:rPr>
                <w:b/>
                <w:w w:val="85"/>
                <w:sz w:val="20"/>
              </w:rPr>
              <w:t>1.6</w:t>
            </w:r>
          </w:p>
          <w:p>
            <w:pPr>
              <w:pStyle w:val="TableParagraph"/>
              <w:tabs>
                <w:tab w:pos="511" w:val="left" w:leader="none"/>
              </w:tabs>
              <w:spacing w:line="165" w:lineRule="auto"/>
              <w:ind w:left="9"/>
              <w:rPr>
                <w:b/>
                <w:sz w:val="18"/>
              </w:rPr>
            </w:pPr>
            <w:r>
              <w:rPr>
                <w:b/>
                <w:w w:val="85"/>
                <w:position w:val="-10"/>
                <w:sz w:val="20"/>
              </w:rPr>
              <w:t>1.4</w:t>
              <w:tab/>
            </w:r>
            <w:r>
              <w:rPr>
                <w:b/>
                <w:w w:val="80"/>
                <w:sz w:val="18"/>
              </w:rPr>
              <w:t>BoE</w:t>
            </w:r>
            <w:r>
              <w:rPr>
                <w:b/>
                <w:spacing w:val="-20"/>
                <w:w w:val="80"/>
                <w:sz w:val="18"/>
              </w:rPr>
              <w:t> </w:t>
            </w:r>
            <w:r>
              <w:rPr>
                <w:b/>
                <w:w w:val="80"/>
                <w:sz w:val="18"/>
              </w:rPr>
              <w:t>Forecast</w:t>
            </w:r>
            <w:r>
              <w:rPr>
                <w:b/>
                <w:spacing w:val="-19"/>
                <w:w w:val="80"/>
                <w:sz w:val="18"/>
              </w:rPr>
              <w:t> </w:t>
            </w:r>
            <w:r>
              <w:rPr>
                <w:b/>
                <w:w w:val="80"/>
                <w:sz w:val="18"/>
              </w:rPr>
              <w:t>for</w:t>
            </w:r>
            <w:r>
              <w:rPr>
                <w:b/>
                <w:spacing w:val="-19"/>
                <w:w w:val="80"/>
                <w:sz w:val="18"/>
              </w:rPr>
              <w:t> </w:t>
            </w:r>
            <w:r>
              <w:rPr>
                <w:b/>
                <w:w w:val="80"/>
                <w:sz w:val="18"/>
              </w:rPr>
              <w:t>2016</w:t>
            </w:r>
          </w:p>
          <w:p>
            <w:pPr>
              <w:pStyle w:val="TableParagraph"/>
              <w:tabs>
                <w:tab w:pos="511" w:val="left" w:leader="none"/>
              </w:tabs>
              <w:spacing w:before="22"/>
              <w:ind w:left="9"/>
              <w:rPr>
                <w:b/>
                <w:sz w:val="18"/>
              </w:rPr>
            </w:pPr>
            <w:r>
              <w:rPr>
                <w:b/>
                <w:w w:val="85"/>
                <w:position w:val="-4"/>
                <w:sz w:val="20"/>
              </w:rPr>
              <w:t>1.2</w:t>
              <w:tab/>
            </w:r>
            <w:r>
              <w:rPr>
                <w:b/>
                <w:w w:val="80"/>
                <w:sz w:val="18"/>
              </w:rPr>
              <w:t>BoE</w:t>
            </w:r>
            <w:r>
              <w:rPr>
                <w:b/>
                <w:spacing w:val="-20"/>
                <w:w w:val="80"/>
                <w:sz w:val="18"/>
              </w:rPr>
              <w:t> </w:t>
            </w:r>
            <w:r>
              <w:rPr>
                <w:b/>
                <w:w w:val="80"/>
                <w:sz w:val="18"/>
              </w:rPr>
              <w:t>Forecast</w:t>
            </w:r>
            <w:r>
              <w:rPr>
                <w:b/>
                <w:spacing w:val="-19"/>
                <w:w w:val="80"/>
                <w:sz w:val="18"/>
              </w:rPr>
              <w:t> </w:t>
            </w:r>
            <w:r>
              <w:rPr>
                <w:b/>
                <w:w w:val="80"/>
                <w:sz w:val="18"/>
              </w:rPr>
              <w:t>for</w:t>
            </w:r>
            <w:r>
              <w:rPr>
                <w:b/>
                <w:spacing w:val="-19"/>
                <w:w w:val="80"/>
                <w:sz w:val="18"/>
              </w:rPr>
              <w:t> </w:t>
            </w:r>
            <w:r>
              <w:rPr>
                <w:b/>
                <w:w w:val="80"/>
                <w:sz w:val="18"/>
              </w:rPr>
              <w:t>2017</w:t>
            </w:r>
          </w:p>
          <w:p>
            <w:pPr>
              <w:pStyle w:val="TableParagraph"/>
              <w:tabs>
                <w:tab w:pos="511" w:val="left" w:leader="none"/>
              </w:tabs>
              <w:spacing w:before="6"/>
              <w:ind w:left="9"/>
              <w:rPr>
                <w:b/>
                <w:sz w:val="18"/>
              </w:rPr>
            </w:pPr>
            <w:r>
              <w:rPr>
                <w:b/>
                <w:w w:val="85"/>
                <w:position w:val="2"/>
                <w:sz w:val="20"/>
              </w:rPr>
              <w:t>1.0</w:t>
              <w:tab/>
            </w:r>
            <w:r>
              <w:rPr>
                <w:b/>
                <w:w w:val="75"/>
                <w:sz w:val="18"/>
              </w:rPr>
              <w:t>Consensus</w:t>
            </w:r>
            <w:r>
              <w:rPr>
                <w:b/>
                <w:spacing w:val="30"/>
                <w:w w:val="75"/>
                <w:sz w:val="18"/>
              </w:rPr>
              <w:t> </w:t>
            </w:r>
            <w:r>
              <w:rPr>
                <w:b/>
                <w:w w:val="75"/>
                <w:sz w:val="18"/>
              </w:rPr>
              <w:t>Forecast for</w:t>
            </w:r>
            <w:r>
              <w:rPr>
                <w:b/>
                <w:spacing w:val="-3"/>
                <w:w w:val="75"/>
                <w:sz w:val="18"/>
              </w:rPr>
              <w:t> </w:t>
            </w:r>
            <w:r>
              <w:rPr>
                <w:b/>
                <w:w w:val="75"/>
                <w:sz w:val="18"/>
              </w:rPr>
              <w:t>2016</w:t>
            </w:r>
          </w:p>
          <w:p>
            <w:pPr>
              <w:pStyle w:val="TableParagraph"/>
              <w:spacing w:line="286" w:lineRule="exact" w:before="1"/>
              <w:ind w:left="9"/>
              <w:rPr>
                <w:b/>
                <w:sz w:val="18"/>
              </w:rPr>
            </w:pPr>
            <w:r>
              <w:rPr>
                <w:b/>
                <w:w w:val="85"/>
                <w:position w:val="8"/>
                <w:sz w:val="20"/>
              </w:rPr>
              <w:t>0.8 </w:t>
            </w:r>
            <w:r>
              <w:rPr>
                <w:b/>
                <w:w w:val="85"/>
                <w:position w:val="8"/>
                <w:sz w:val="20"/>
                <w:u w:val="thick" w:color="FF9900"/>
              </w:rPr>
              <w:t> </w:t>
            </w:r>
            <w:r>
              <w:rPr>
                <w:b/>
                <w:spacing w:val="2"/>
                <w:w w:val="85"/>
                <w:position w:val="8"/>
                <w:sz w:val="20"/>
              </w:rPr>
              <w:t> </w:t>
            </w:r>
            <w:r>
              <w:rPr>
                <w:b/>
                <w:w w:val="85"/>
                <w:sz w:val="18"/>
              </w:rPr>
              <w:t>Consensus Forecast for 2017</w:t>
            </w:r>
          </w:p>
          <w:p>
            <w:pPr>
              <w:pStyle w:val="TableParagraph"/>
              <w:spacing w:line="212" w:lineRule="exact"/>
              <w:ind w:left="9"/>
              <w:rPr>
                <w:b/>
                <w:sz w:val="20"/>
              </w:rPr>
            </w:pPr>
            <w:r>
              <w:rPr>
                <w:b/>
                <w:w w:val="85"/>
                <w:sz w:val="20"/>
              </w:rPr>
              <w:t>0.6</w:t>
            </w:r>
          </w:p>
          <w:p>
            <w:pPr>
              <w:pStyle w:val="TableParagraph"/>
              <w:spacing w:before="12"/>
              <w:ind w:left="9"/>
              <w:rPr>
                <w:b/>
                <w:sz w:val="20"/>
              </w:rPr>
            </w:pPr>
            <w:r>
              <w:rPr>
                <w:b/>
                <w:w w:val="85"/>
                <w:sz w:val="20"/>
              </w:rPr>
              <w:t>0.4</w:t>
            </w:r>
          </w:p>
          <w:p>
            <w:pPr>
              <w:pStyle w:val="TableParagraph"/>
              <w:tabs>
                <w:tab w:pos="1212" w:val="left" w:leader="none"/>
                <w:tab w:pos="2034" w:val="left" w:leader="none"/>
                <w:tab w:pos="2857" w:val="left" w:leader="none"/>
                <w:tab w:pos="3510" w:val="left" w:leader="none"/>
              </w:tabs>
              <w:spacing w:line="226" w:lineRule="exact" w:before="15"/>
              <w:ind w:left="219"/>
              <w:rPr>
                <w:b/>
                <w:sz w:val="20"/>
              </w:rPr>
            </w:pPr>
            <w:r>
              <w:rPr>
                <w:b/>
                <w:w w:val="85"/>
                <w:sz w:val="20"/>
              </w:rPr>
              <w:t>2016</w:t>
            </w:r>
            <w:r>
              <w:rPr>
                <w:b/>
                <w:spacing w:val="-19"/>
                <w:w w:val="85"/>
                <w:sz w:val="20"/>
              </w:rPr>
              <w:t> </w:t>
            </w:r>
            <w:r>
              <w:rPr>
                <w:b/>
                <w:w w:val="85"/>
                <w:sz w:val="20"/>
              </w:rPr>
              <w:t>Q1</w:t>
              <w:tab/>
              <w:t>Q2</w:t>
              <w:tab/>
              <w:t>Q3</w:t>
              <w:tab/>
              <w:t>Q4</w:t>
              <w:tab/>
              <w:t>2017</w:t>
            </w:r>
            <w:r>
              <w:rPr>
                <w:b/>
                <w:spacing w:val="-9"/>
                <w:w w:val="85"/>
                <w:sz w:val="20"/>
              </w:rPr>
              <w:t> </w:t>
            </w:r>
            <w:r>
              <w:rPr>
                <w:b/>
                <w:w w:val="85"/>
                <w:sz w:val="20"/>
              </w:rPr>
              <w:t>Q1</w:t>
            </w:r>
          </w:p>
          <w:p>
            <w:pPr>
              <w:pStyle w:val="TableParagraph"/>
              <w:spacing w:line="226" w:lineRule="exact"/>
              <w:ind w:left="1428"/>
              <w:rPr>
                <w:b/>
                <w:sz w:val="20"/>
              </w:rPr>
            </w:pPr>
            <w:r>
              <w:rPr>
                <w:b/>
                <w:w w:val="85"/>
                <w:sz w:val="20"/>
              </w:rPr>
              <w:t>Date of Forecast</w:t>
            </w:r>
          </w:p>
        </w:tc>
        <w:tc>
          <w:tcPr>
            <w:tcW w:w="429" w:type="dxa"/>
            <w:vMerge w:val="restart"/>
            <w:tcBorders>
              <w:left w:val="single" w:sz="4" w:space="0" w:color="858585"/>
            </w:tcBorders>
          </w:tcPr>
          <w:p>
            <w:pPr>
              <w:pStyle w:val="TableParagraph"/>
              <w:rPr>
                <w:rFonts w:ascii="Times New Roman"/>
                <w:sz w:val="18"/>
              </w:rPr>
            </w:pPr>
          </w:p>
        </w:tc>
        <w:tc>
          <w:tcPr>
            <w:tcW w:w="110" w:type="dxa"/>
            <w:tcBorders>
              <w:bottom w:val="nil"/>
              <w:right w:val="single" w:sz="4" w:space="0" w:color="858585"/>
            </w:tcBorders>
          </w:tcPr>
          <w:p>
            <w:pPr>
              <w:pStyle w:val="TableParagraph"/>
              <w:rPr>
                <w:rFonts w:ascii="Times New Roman"/>
                <w:sz w:val="18"/>
              </w:rPr>
            </w:pPr>
          </w:p>
        </w:tc>
        <w:tc>
          <w:tcPr>
            <w:tcW w:w="4641" w:type="dxa"/>
            <w:tcBorders>
              <w:top w:val="single" w:sz="6" w:space="0" w:color="000000"/>
              <w:left w:val="single" w:sz="4" w:space="0" w:color="858585"/>
              <w:bottom w:val="single" w:sz="4" w:space="0" w:color="858585"/>
              <w:right w:val="single" w:sz="4" w:space="0" w:color="858585"/>
            </w:tcBorders>
          </w:tcPr>
          <w:p>
            <w:pPr>
              <w:pStyle w:val="TableParagraph"/>
              <w:spacing w:line="220" w:lineRule="exact"/>
              <w:ind w:left="55"/>
              <w:rPr>
                <w:b/>
                <w:sz w:val="19"/>
              </w:rPr>
            </w:pPr>
            <w:r>
              <w:rPr>
                <w:b/>
                <w:w w:val="90"/>
                <w:sz w:val="19"/>
              </w:rPr>
              <w:t>3.0</w:t>
            </w:r>
          </w:p>
          <w:p>
            <w:pPr>
              <w:pStyle w:val="TableParagraph"/>
              <w:spacing w:before="77"/>
              <w:ind w:left="384"/>
              <w:rPr>
                <w:sz w:val="16"/>
              </w:rPr>
            </w:pPr>
            <w:r>
              <w:rPr>
                <w:w w:val="90"/>
                <w:sz w:val="16"/>
              </w:rPr>
              <w:t>%p</w:t>
            </w:r>
          </w:p>
          <w:p>
            <w:pPr>
              <w:pStyle w:val="TableParagraph"/>
              <w:spacing w:before="15"/>
              <w:ind w:left="55"/>
              <w:rPr>
                <w:b/>
                <w:sz w:val="19"/>
              </w:rPr>
            </w:pPr>
            <w:r>
              <w:rPr>
                <w:b/>
                <w:w w:val="90"/>
                <w:sz w:val="19"/>
              </w:rPr>
              <w:t>2.0</w:t>
            </w:r>
          </w:p>
          <w:p>
            <w:pPr>
              <w:pStyle w:val="TableParagraph"/>
              <w:rPr>
                <w:rFonts w:ascii="Arial"/>
                <w:sz w:val="25"/>
              </w:rPr>
            </w:pPr>
          </w:p>
          <w:p>
            <w:pPr>
              <w:pStyle w:val="TableParagraph"/>
              <w:ind w:left="55"/>
              <w:rPr>
                <w:b/>
                <w:sz w:val="19"/>
              </w:rPr>
            </w:pPr>
            <w:r>
              <w:rPr>
                <w:b/>
                <w:w w:val="90"/>
                <w:sz w:val="19"/>
              </w:rPr>
              <w:t>1.0</w:t>
            </w:r>
          </w:p>
          <w:p>
            <w:pPr>
              <w:pStyle w:val="TableParagraph"/>
              <w:rPr>
                <w:rFonts w:ascii="Arial"/>
                <w:sz w:val="25"/>
              </w:rPr>
            </w:pPr>
          </w:p>
          <w:p>
            <w:pPr>
              <w:pStyle w:val="TableParagraph"/>
              <w:spacing w:before="1"/>
              <w:ind w:left="55"/>
              <w:rPr>
                <w:b/>
                <w:sz w:val="19"/>
              </w:rPr>
            </w:pPr>
            <w:r>
              <w:rPr>
                <w:b/>
                <w:w w:val="90"/>
                <w:sz w:val="19"/>
              </w:rPr>
              <w:t>0.0</w:t>
            </w:r>
          </w:p>
          <w:p>
            <w:pPr>
              <w:pStyle w:val="TableParagraph"/>
              <w:spacing w:before="1"/>
              <w:rPr>
                <w:rFonts w:ascii="Arial"/>
                <w:sz w:val="25"/>
              </w:rPr>
            </w:pPr>
          </w:p>
          <w:p>
            <w:pPr>
              <w:pStyle w:val="TableParagraph"/>
              <w:tabs>
                <w:tab w:pos="2302" w:val="left" w:leader="none"/>
              </w:tabs>
              <w:spacing w:before="1"/>
              <w:ind w:left="9"/>
              <w:rPr>
                <w:b/>
                <w:sz w:val="19"/>
              </w:rPr>
            </w:pPr>
            <w:r>
              <w:rPr>
                <w:b/>
                <w:w w:val="90"/>
                <w:position w:val="5"/>
                <w:sz w:val="19"/>
              </w:rPr>
              <w:t>-1.0</w:t>
              <w:tab/>
            </w:r>
            <w:r>
              <w:rPr>
                <w:b/>
                <w:w w:val="90"/>
                <w:sz w:val="19"/>
              </w:rPr>
              <w:t>August</w:t>
            </w:r>
            <w:r>
              <w:rPr>
                <w:b/>
                <w:spacing w:val="-12"/>
                <w:w w:val="90"/>
                <w:sz w:val="19"/>
              </w:rPr>
              <w:t> </w:t>
            </w:r>
            <w:r>
              <w:rPr>
                <w:b/>
                <w:w w:val="90"/>
                <w:sz w:val="19"/>
              </w:rPr>
              <w:t>2016</w:t>
            </w:r>
            <w:r>
              <w:rPr>
                <w:b/>
                <w:spacing w:val="-11"/>
                <w:w w:val="90"/>
                <w:sz w:val="19"/>
              </w:rPr>
              <w:t> </w:t>
            </w:r>
            <w:r>
              <w:rPr>
                <w:b/>
                <w:w w:val="90"/>
                <w:sz w:val="19"/>
              </w:rPr>
              <w:t>IR</w:t>
            </w:r>
            <w:r>
              <w:rPr>
                <w:b/>
                <w:spacing w:val="-12"/>
                <w:w w:val="90"/>
                <w:sz w:val="19"/>
              </w:rPr>
              <w:t> </w:t>
            </w:r>
            <w:r>
              <w:rPr>
                <w:b/>
                <w:w w:val="90"/>
                <w:sz w:val="19"/>
              </w:rPr>
              <w:t>Forecast</w:t>
            </w:r>
          </w:p>
          <w:p>
            <w:pPr>
              <w:pStyle w:val="TableParagraph"/>
              <w:tabs>
                <w:tab w:pos="2302" w:val="left" w:leader="none"/>
              </w:tabs>
              <w:spacing w:before="138"/>
              <w:ind w:left="9"/>
              <w:rPr>
                <w:b/>
                <w:sz w:val="19"/>
              </w:rPr>
            </w:pPr>
            <w:r>
              <w:rPr>
                <w:b/>
                <w:w w:val="90"/>
                <w:position w:val="-9"/>
                <w:sz w:val="19"/>
              </w:rPr>
              <w:t>-2.0</w:t>
              <w:tab/>
            </w:r>
            <w:r>
              <w:rPr>
                <w:b/>
                <w:w w:val="90"/>
                <w:sz w:val="19"/>
              </w:rPr>
              <w:t>Outturn</w:t>
            </w:r>
          </w:p>
          <w:p>
            <w:pPr>
              <w:pStyle w:val="TableParagraph"/>
              <w:spacing w:before="39"/>
              <w:ind w:left="2302"/>
              <w:rPr>
                <w:b/>
                <w:sz w:val="19"/>
              </w:rPr>
            </w:pPr>
            <w:r>
              <w:rPr>
                <w:b/>
                <w:w w:val="90"/>
                <w:sz w:val="19"/>
              </w:rPr>
              <w:t>Overshoot/Undershoot</w:t>
            </w:r>
          </w:p>
          <w:p>
            <w:pPr>
              <w:pStyle w:val="TableParagraph"/>
              <w:spacing w:before="14"/>
              <w:ind w:left="9"/>
              <w:rPr>
                <w:b/>
                <w:sz w:val="19"/>
              </w:rPr>
            </w:pPr>
            <w:r>
              <w:rPr>
                <w:b/>
                <w:w w:val="90"/>
                <w:sz w:val="19"/>
              </w:rPr>
              <w:t>-3.0</w:t>
            </w:r>
          </w:p>
          <w:p>
            <w:pPr>
              <w:pStyle w:val="TableParagraph"/>
              <w:tabs>
                <w:tab w:pos="1101" w:val="left" w:leader="none"/>
                <w:tab w:pos="1748" w:val="left" w:leader="none"/>
                <w:tab w:pos="2258" w:val="left" w:leader="none"/>
                <w:tab w:pos="2290" w:val="left" w:leader="none"/>
                <w:tab w:pos="2887" w:val="left" w:leader="none"/>
              </w:tabs>
              <w:spacing w:line="230" w:lineRule="atLeast" w:before="18"/>
              <w:ind w:left="1057" w:right="164" w:hanging="509"/>
              <w:rPr>
                <w:b/>
                <w:sz w:val="19"/>
              </w:rPr>
            </w:pPr>
            <w:r>
              <w:rPr>
                <w:b/>
                <w:w w:val="90"/>
                <w:sz w:val="19"/>
              </w:rPr>
              <w:t>GDP</w:t>
              <w:tab/>
              <w:tab/>
              <w:t>Cons.</w:t>
              <w:tab/>
              <w:t>Bus</w:t>
              <w:tab/>
              <w:tab/>
              <w:t>Hous</w:t>
              <w:tab/>
              <w:t>Govt Exports Imports Spend.   Invest</w:t>
              <w:tab/>
              <w:t>Invest</w:t>
              <w:tab/>
              <w:t>Cons</w:t>
            </w:r>
          </w:p>
        </w:tc>
        <w:tc>
          <w:tcPr>
            <w:tcW w:w="456" w:type="dxa"/>
            <w:tcBorders>
              <w:left w:val="single" w:sz="4" w:space="0" w:color="858585"/>
              <w:bottom w:val="nil"/>
            </w:tcBorders>
          </w:tcPr>
          <w:p>
            <w:pPr>
              <w:pStyle w:val="TableParagraph"/>
              <w:rPr>
                <w:rFonts w:ascii="Times New Roman"/>
                <w:sz w:val="18"/>
              </w:rPr>
            </w:pPr>
          </w:p>
        </w:tc>
      </w:tr>
      <w:tr>
        <w:trPr>
          <w:trHeight w:val="111" w:hRule="atLeast"/>
        </w:trPr>
        <w:tc>
          <w:tcPr>
            <w:tcW w:w="111" w:type="dxa"/>
            <w:vMerge/>
            <w:tcBorders>
              <w:top w:val="nil"/>
              <w:bottom w:val="nil"/>
              <w:right w:val="single" w:sz="4" w:space="0" w:color="858585"/>
            </w:tcBorders>
          </w:tcPr>
          <w:p>
            <w:pPr>
              <w:rPr>
                <w:sz w:val="2"/>
                <w:szCs w:val="2"/>
              </w:rPr>
            </w:pPr>
          </w:p>
        </w:tc>
        <w:tc>
          <w:tcPr>
            <w:tcW w:w="4600" w:type="dxa"/>
            <w:vMerge/>
            <w:tcBorders>
              <w:top w:val="nil"/>
              <w:left w:val="single" w:sz="4" w:space="0" w:color="858585"/>
              <w:bottom w:val="single" w:sz="4" w:space="0" w:color="858585"/>
              <w:right w:val="single" w:sz="4" w:space="0" w:color="858585"/>
            </w:tcBorders>
          </w:tcPr>
          <w:p>
            <w:pPr>
              <w:rPr>
                <w:sz w:val="2"/>
                <w:szCs w:val="2"/>
              </w:rPr>
            </w:pPr>
          </w:p>
        </w:tc>
        <w:tc>
          <w:tcPr>
            <w:tcW w:w="429" w:type="dxa"/>
            <w:vMerge/>
            <w:tcBorders>
              <w:top w:val="nil"/>
              <w:left w:val="single" w:sz="4" w:space="0" w:color="858585"/>
            </w:tcBorders>
          </w:tcPr>
          <w:p>
            <w:pPr>
              <w:rPr>
                <w:sz w:val="2"/>
                <w:szCs w:val="2"/>
              </w:rPr>
            </w:pPr>
          </w:p>
        </w:tc>
        <w:tc>
          <w:tcPr>
            <w:tcW w:w="5207" w:type="dxa"/>
            <w:gridSpan w:val="3"/>
            <w:vMerge w:val="restart"/>
            <w:tcBorders>
              <w:top w:val="nil"/>
            </w:tcBorders>
          </w:tcPr>
          <w:p>
            <w:pPr>
              <w:pStyle w:val="TableParagraph"/>
              <w:rPr>
                <w:rFonts w:ascii="Times New Roman"/>
                <w:sz w:val="16"/>
              </w:rPr>
            </w:pPr>
          </w:p>
        </w:tc>
      </w:tr>
      <w:tr>
        <w:trPr>
          <w:trHeight w:val="114" w:hRule="atLeast"/>
        </w:trPr>
        <w:tc>
          <w:tcPr>
            <w:tcW w:w="111" w:type="dxa"/>
            <w:tcBorders>
              <w:top w:val="nil"/>
              <w:right w:val="nil"/>
            </w:tcBorders>
          </w:tcPr>
          <w:p>
            <w:pPr>
              <w:pStyle w:val="TableParagraph"/>
              <w:rPr>
                <w:rFonts w:ascii="Times New Roman"/>
                <w:sz w:val="6"/>
              </w:rPr>
            </w:pPr>
          </w:p>
        </w:tc>
        <w:tc>
          <w:tcPr>
            <w:tcW w:w="4600" w:type="dxa"/>
            <w:tcBorders>
              <w:top w:val="single" w:sz="4" w:space="0" w:color="858585"/>
              <w:left w:val="nil"/>
              <w:right w:val="nil"/>
            </w:tcBorders>
          </w:tcPr>
          <w:p>
            <w:pPr>
              <w:pStyle w:val="TableParagraph"/>
              <w:rPr>
                <w:rFonts w:ascii="Times New Roman"/>
                <w:sz w:val="6"/>
              </w:rPr>
            </w:pPr>
          </w:p>
        </w:tc>
        <w:tc>
          <w:tcPr>
            <w:tcW w:w="429" w:type="dxa"/>
            <w:vMerge/>
            <w:tcBorders>
              <w:top w:val="nil"/>
              <w:left w:val="single" w:sz="4" w:space="0" w:color="858585"/>
            </w:tcBorders>
          </w:tcPr>
          <w:p>
            <w:pPr>
              <w:rPr>
                <w:sz w:val="2"/>
                <w:szCs w:val="2"/>
              </w:rPr>
            </w:pPr>
          </w:p>
        </w:tc>
        <w:tc>
          <w:tcPr>
            <w:tcW w:w="5207" w:type="dxa"/>
            <w:gridSpan w:val="3"/>
            <w:vMerge/>
            <w:tcBorders>
              <w:top w:val="nil"/>
            </w:tcBorders>
          </w:tcPr>
          <w:p>
            <w:pPr>
              <w:rPr>
                <w:sz w:val="2"/>
                <w:szCs w:val="2"/>
              </w:rPr>
            </w:pPr>
          </w:p>
        </w:tc>
      </w:tr>
    </w:tbl>
    <w:p>
      <w:pPr>
        <w:pStyle w:val="BodyText"/>
        <w:spacing w:line="227" w:lineRule="exact"/>
        <w:ind w:left="673"/>
      </w:pPr>
      <w:r>
        <w:rPr/>
        <w:pict>
          <v:group style="position:absolute;margin-left:48.610172pt;margin-top:-197.481125pt;width:208.2pt;height:154pt;mso-position-horizontal-relative:page;mso-position-vertical-relative:paragraph;z-index:-253826048" coordorigin="972,-3950" coordsize="4164,3080">
            <v:rect style="position:absolute;left:1019;top:-3947;width:4114;height:3074" filled="false" stroked="true" strokeweight=".27258pt" strokecolor="#000000">
              <v:stroke dashstyle="solid"/>
            </v:rect>
            <v:shape style="position:absolute;left:945;top:-6046;width:13239;height:7416" coordorigin="946,-6045" coordsize="13239,7416" path="m1020,-873l1020,-3947m972,-873l1020,-873m972,-1129l1020,-1129m972,-1385l1020,-1385m972,-1641l1020,-1641m972,-1897l1020,-1897m972,-2153l1020,-2153m972,-2410l1020,-2410m972,-2665l1020,-2665m972,-2922l1020,-2922m972,-3178l1020,-3178m972,-3434l1020,-3434m972,-3690l1020,-3690m972,-3947l1020,-3947m1020,-873l5133,-873e" filled="false" stroked="true" strokeweight=".262361pt" strokecolor="#858585">
              <v:path arrowok="t"/>
              <v:stroke dashstyle="solid"/>
            </v:shape>
            <v:shape style="position:absolute;left:1156;top:-3563;width:3565;height:641" coordorigin="1157,-3562" coordsize="3565,641" path="m1157,-3562l1431,-3178,1705,-3178,1980,-3178,2253,-2922,2528,-2922,2802,-2922,3076,-2922,3350,-2922,3625,-2922,3899,-3178,4173,-3178,4447,-3178,4722,-3178e" filled="false" stroked="true" strokeweight="1.234037pt" strokecolor="#ff00ff">
              <v:path arrowok="t"/>
              <v:stroke dashstyle="solid"/>
            </v:shape>
            <v:shape style="position:absolute;left:1156;top:-3818;width:3565;height:2434" coordorigin="1157,-3818" coordsize="3565,2434" path="m1157,-3818l1431,-3434,1705,-3434,1980,-3434,2253,-3306,2528,-3306,2802,-3306,3076,-1385,3350,-1385,3625,-1385,3899,-2154,4173,-2154,4447,-2154,4722,-2922e" filled="false" stroked="true" strokeweight="1.147929pt" strokecolor="#0000ff">
              <v:path arrowok="t"/>
              <v:stroke dashstyle="solid"/>
            </v:shape>
            <v:shape style="position:absolute;left:1156;top:-3179;width:3291;height:769" coordorigin="1157,-3178" coordsize="3291,769" path="m1157,-3178l1431,-3178,1705,-2922,1980,-2922,2253,-2793,2528,-2666,2802,-2409,3076,-2409,3350,-2538,3625,-2793,3899,-2922,4173,-2922,4447,-2922e" filled="false" stroked="true" strokeweight="1.227875pt" strokecolor="#66ff33">
              <v:path arrowok="t"/>
              <v:stroke dashstyle="solid"/>
            </v:shape>
            <v:shape style="position:absolute;left:1431;top:-3179;width:3565;height:1921" coordorigin="1431,-3178" coordsize="3565,1921" path="m1431,-3178l1705,-3050,1980,-3050,2253,-3050,2528,-3050,2802,-1385,3076,-1257,3350,-1257,3625,-1641,3899,-1769,4173,-1897,4447,-2025,4722,-2154,4995,-2409e" filled="false" stroked="true" strokeweight="1.175795pt" strokecolor="#ff9900">
              <v:path arrowok="t"/>
              <v:stroke dashstyle="solid"/>
            </v:shape>
            <v:line style="position:absolute" from="1056,-2259" to="1176,-2259" stroked="true" strokeweight="1.243439pt" strokecolor="#ff00ff">
              <v:stroke dashstyle="solid"/>
            </v:line>
            <v:line style="position:absolute" from="1056,-1939" to="1176,-1939" stroked="true" strokeweight="1.243439pt" strokecolor="#0000ff">
              <v:stroke dashstyle="solid"/>
            </v:line>
            <v:line style="position:absolute" from="1056,-1618" to="1176,-1618" stroked="true" strokeweight="1.243439pt" strokecolor="#66ff33">
              <v:stroke dashstyle="solid"/>
            </v:line>
            <w10:wrap type="none"/>
          </v:group>
        </w:pict>
      </w:r>
      <w:r>
        <w:rPr/>
        <w:pict>
          <v:group style="position:absolute;margin-left:307.988464pt;margin-top:-198.713181pt;width:208.5pt;height:156.15pt;mso-position-horizontal-relative:page;mso-position-vertical-relative:paragraph;z-index:-253825024" coordorigin="6160,-3974" coordsize="4170,3123">
            <v:rect style="position:absolute;left:6207;top:-3972;width:4119;height:3117" filled="false" stroked="true" strokeweight=".266467pt" strokecolor="#000000">
              <v:stroke dashstyle="solid"/>
            </v:rect>
            <v:rect style="position:absolute;left:6305;top:-2465;width:132;height:52" filled="true" fillcolor="#ff00ff" stroked="false">
              <v:fill type="solid"/>
            </v:rect>
            <v:rect style="position:absolute;left:6305;top:-2465;width:132;height:52" filled="false" stroked="true" strokeweight=".280337pt" strokecolor="#ff00ff">
              <v:stroke dashstyle="solid"/>
            </v:rect>
            <v:line style="position:absolute" from="6960,-2628" to="6960,-2412" stroked="true" strokeweight="6.535416pt" strokecolor="#ff00ff">
              <v:stroke dashstyle="solid"/>
            </v:line>
            <v:rect style="position:absolute;left:6894;top:-2628;width:131;height:216" filled="false" stroked="true" strokeweight=".244267pt" strokecolor="#ff00ff">
              <v:stroke dashstyle="solid"/>
            </v:rect>
            <v:line style="position:absolute" from="7548,-2412" to="7548,-1106" stroked="true" strokeweight="6.535416pt" strokecolor="#ff00ff">
              <v:stroke dashstyle="solid"/>
            </v:line>
            <v:rect style="position:absolute;left:7482;top:-2413;width:131;height:1307" filled="false" stroked="true" strokeweight=".228579pt" strokecolor="#ff00ff">
              <v:stroke dashstyle="solid"/>
            </v:rect>
            <v:line style="position:absolute" from="8136,-2412" to="8136,-2008" stroked="true" strokeweight="6.535416pt" strokecolor="#ff00ff">
              <v:stroke dashstyle="solid"/>
            </v:line>
            <v:rect style="position:absolute;left:8071;top:-2413;width:131;height:405" filled="false" stroked="true" strokeweight=".233693pt" strokecolor="#ff00ff">
              <v:stroke dashstyle="solid"/>
            </v:rect>
            <v:line style="position:absolute" from="8725,-2569" to="8725,-2412" stroked="true" strokeweight="6.573412pt" strokecolor="#ff00ff">
              <v:stroke dashstyle="solid"/>
            </v:line>
            <v:rect style="position:absolute;left:8659;top:-2570;width:132;height:157" filled="false" stroked="true" strokeweight=".252973pt" strokecolor="#ff00ff">
              <v:stroke dashstyle="solid"/>
            </v:rect>
            <v:rect style="position:absolute;left:9248;top:-2413;width:131;height:81" filled="true" fillcolor="#ff00ff" stroked="false">
              <v:fill type="solid"/>
            </v:rect>
            <v:rect style="position:absolute;left:9248;top:-2413;width:131;height:81" filled="false" stroked="true" strokeweight=".271777pt" strokecolor="#ff00ff">
              <v:stroke dashstyle="solid"/>
            </v:rect>
            <v:line style="position:absolute" from="9902,-2412" to="9902,-2078" stroked="true" strokeweight="6.535416pt" strokecolor="#ff00ff">
              <v:stroke dashstyle="solid"/>
            </v:line>
            <v:rect style="position:absolute;left:9836;top:-2413;width:131;height:335" filled="false" stroked="true" strokeweight=".23599pt" strokecolor="#ff00ff">
              <v:stroke dashstyle="solid"/>
            </v:rect>
            <v:line style="position:absolute" from="6502,-2725" to="6502,-2412" stroked="true" strokeweight="6.535416pt" strokecolor="#0000ff">
              <v:stroke dashstyle="solid"/>
            </v:line>
            <v:rect style="position:absolute;left:6437;top:-2726;width:131;height:313" filled="false" stroked="true" strokeweight=".23699pt" strokecolor="#0000ff">
              <v:stroke dashstyle="solid"/>
            </v:rect>
            <v:line style="position:absolute" from="7091,-2824" to="7091,-2412" stroked="true" strokeweight="6.535416pt" strokecolor="#0000ff">
              <v:stroke dashstyle="solid"/>
            </v:line>
            <v:rect style="position:absolute;left:7025;top:-2825;width:131;height:412" filled="false" stroked="true" strokeweight=".233524pt" strokecolor="#0000ff">
              <v:stroke dashstyle="solid"/>
            </v:rect>
            <v:rect style="position:absolute;left:7613;top:-2413;width:131;height:96" filled="true" fillcolor="#0000ff" stroked="false">
              <v:fill type="solid"/>
            </v:rect>
            <v:rect style="position:absolute;left:7613;top:-2413;width:131;height:96" filled="false" stroked="true" strokeweight=".267525pt" strokecolor="#0000ff">
              <v:stroke dashstyle="solid"/>
            </v:rect>
            <v:line style="position:absolute" from="8267,-2694" to="8267,-2412" stroked="true" strokeweight="6.535416pt" strokecolor="#0000ff">
              <v:stroke dashstyle="solid"/>
            </v:line>
            <v:rect style="position:absolute;left:8201;top:-2695;width:131;height:282" filled="false" stroked="true" strokeweight=".238698pt" strokecolor="#0000ff">
              <v:stroke dashstyle="solid"/>
            </v:rect>
            <v:rect style="position:absolute;left:8790;top:-2419;width:131;height:6" filled="true" fillcolor="#0000ff" stroked="false">
              <v:fill type="solid"/>
            </v:rect>
            <v:line style="position:absolute" from="8788,-2415" to="8924,-2415" stroked="true" strokeweight=".577013pt" strokecolor="#0000ff">
              <v:stroke dashstyle="solid"/>
            </v:line>
            <v:line style="position:absolute" from="9444,-2789" to="9444,-2412" stroked="true" strokeweight="6.535416pt" strokecolor="#0000ff">
              <v:stroke dashstyle="solid"/>
            </v:line>
            <v:rect style="position:absolute;left:9378;top:-2789;width:131;height:377" filled="false" stroked="true" strokeweight=".234505pt" strokecolor="#0000ff">
              <v:stroke dashstyle="solid"/>
            </v:rect>
            <v:line style="position:absolute" from="10032,-2668" to="10032,-2412" stroked="true" strokeweight="6.535416pt" strokecolor="#0000ff">
              <v:stroke dashstyle="solid"/>
            </v:line>
            <v:rect style="position:absolute;left:9967;top:-2669;width:131;height:256" filled="false" stroked="true" strokeweight=".24051pt" strokecolor="#0000ff">
              <v:stroke dashstyle="solid"/>
            </v:rect>
            <v:line style="position:absolute" from="6633,-2673" to="6633,-2412" stroked="true" strokeweight="6.535416pt" strokecolor="#66ff33">
              <v:stroke dashstyle="solid"/>
            </v:line>
            <v:rect style="position:absolute;left:6567;top:-2674;width:131;height:261" filled="false" stroked="true" strokeweight=".240144pt" strokecolor="#66ff33">
              <v:stroke dashstyle="solid"/>
            </v:rect>
            <v:line style="position:absolute" from="7221,-2610" to="7221,-2412" stroked="true" strokeweight="6.535416pt" strokecolor="#66ff33">
              <v:stroke dashstyle="solid"/>
            </v:line>
            <v:rect style="position:absolute;left:7156;top:-2610;width:131;height:198" filled="false" stroked="true" strokeweight=".246461pt" strokecolor="#66ff33">
              <v:stroke dashstyle="solid"/>
            </v:rect>
            <v:line style="position:absolute" from="7810,-3624" to="7810,-2412" stroked="true" strokeweight="6.535416pt" strokecolor="#66ff33">
              <v:stroke dashstyle="solid"/>
            </v:line>
            <v:rect style="position:absolute;left:7744;top:-3625;width:131;height:1212" filled="false" stroked="true" strokeweight=".228676pt" strokecolor="#66ff33">
              <v:stroke dashstyle="solid"/>
            </v:rect>
            <v:line style="position:absolute" from="8398,-3099" to="8398,-2412" stroked="true" strokeweight="6.535416pt" strokecolor="#66ff33">
              <v:stroke dashstyle="solid"/>
            </v:line>
            <v:rect style="position:absolute;left:8332;top:-3100;width:131;height:687" filled="false" stroked="true" strokeweight=".230096pt" strokecolor="#66ff33">
              <v:stroke dashstyle="solid"/>
            </v:rect>
            <v:line style="position:absolute" from="8987,-2412" to="8987,-2262" stroked="true" strokeweight="6.535416pt" strokecolor="#66ff33">
              <v:stroke dashstyle="solid"/>
            </v:line>
            <v:rect style="position:absolute;left:8921;top:-2413;width:131;height:151" filled="false" stroked="true" strokeweight=".254098pt" strokecolor="#66ff33">
              <v:stroke dashstyle="solid"/>
            </v:rect>
            <v:line style="position:absolute" from="9575,-2869" to="9575,-2412" stroked="true" strokeweight="6.535416pt" strokecolor="#66ff33">
              <v:stroke dashstyle="solid"/>
            </v:line>
            <v:rect style="position:absolute;left:9509;top:-2870;width:131;height:457" filled="false" stroked="true" strokeweight=".23256pt" strokecolor="#66ff33">
              <v:stroke dashstyle="solid"/>
            </v:rect>
            <v:line style="position:absolute" from="10163,-3004" to="10163,-2412" stroked="true" strokeweight="6.535416pt" strokecolor="#66ff33">
              <v:stroke dashstyle="solid"/>
            </v:line>
            <v:rect style="position:absolute;left:10097;top:-3004;width:131;height:592" filled="false" stroked="true" strokeweight=".230798pt" strokecolor="#66ff33">
              <v:stroke dashstyle="solid"/>
            </v:rect>
            <v:shape style="position:absolute;left:1092;top:-6120;width:13160;height:7779" coordorigin="1092,-6119" coordsize="13160,7779" path="m6208,-855l6208,-3971m6160,-855l6208,-855m6160,-1374l6208,-1374m6160,-1893l6208,-1893m6160,-2412l6208,-2412m6160,-2933l6208,-2933m6160,-3452l6208,-3452m6160,-3971l6208,-3971m6208,-2412l10326,-2412e" filled="false" stroked="true" strokeweight=".258243pt" strokecolor="#858585">
              <v:path arrowok="t"/>
              <v:stroke dashstyle="solid"/>
            </v:shape>
            <v:rect style="position:absolute;left:7996;top:-1895;width:83;height:106" filled="true" fillcolor="#ff00ff" stroked="false">
              <v:fill type="solid"/>
            </v:rect>
            <v:rect style="position:absolute;left:7996;top:-1895;width:83;height:106" filled="false" stroked="true" strokeweight=".250985pt" strokecolor="#ff00ff">
              <v:stroke dashstyle="solid"/>
            </v:rect>
            <v:rect style="position:absolute;left:7996;top:-1524;width:83;height:106" filled="true" fillcolor="#0000ff" stroked="false">
              <v:fill type="solid"/>
            </v:rect>
            <v:rect style="position:absolute;left:7996;top:-1524;width:83;height:106" filled="false" stroked="true" strokeweight=".250985pt" strokecolor="#0000ff">
              <v:stroke dashstyle="solid"/>
            </v:rect>
            <v:rect style="position:absolute;left:7996;top:-1154;width:83;height:106" filled="true" fillcolor="#66ff33" stroked="false">
              <v:fill type="solid"/>
            </v:rect>
            <v:rect style="position:absolute;left:7996;top:-1154;width:83;height:106" filled="false" stroked="true" strokeweight=".250985pt" strokecolor="#66ff33">
              <v:stroke dashstyle="solid"/>
            </v:rect>
            <w10:wrap type="none"/>
          </v:group>
        </w:pict>
      </w:r>
      <w:r>
        <w:rPr/>
        <w:t>Source: HM Treasury, ONS and BoE.</w:t>
      </w:r>
    </w:p>
    <w:p>
      <w:pPr>
        <w:pStyle w:val="BodyText"/>
      </w:pPr>
    </w:p>
    <w:p>
      <w:pPr>
        <w:pStyle w:val="BodyText"/>
      </w:pPr>
    </w:p>
    <w:p>
      <w:pPr>
        <w:pStyle w:val="BodyText"/>
        <w:spacing w:before="9"/>
        <w:rPr>
          <w:sz w:val="27"/>
        </w:rPr>
      </w:pPr>
      <w:r>
        <w:rPr/>
        <w:pict>
          <v:shape style="position:absolute;margin-left:56.664001pt;margin-top:18.20282pt;width:144.050pt;height:.1pt;mso-position-horizontal-relative:page;mso-position-vertical-relative:paragraph;z-index:-251649024;mso-wrap-distance-left:0;mso-wrap-distance-right:0" coordorigin="1133,364" coordsize="2881,0" path="m1133,364l4014,364e" filled="false" stroked="true" strokeweight=".47998pt" strokecolor="#000000">
            <v:path arrowok="t"/>
            <v:stroke dashstyle="solid"/>
            <w10:wrap type="topAndBottom"/>
          </v:shape>
        </w:pict>
      </w:r>
    </w:p>
    <w:p>
      <w:pPr>
        <w:spacing w:before="29"/>
        <w:ind w:left="673" w:right="0" w:firstLine="0"/>
        <w:jc w:val="left"/>
        <w:rPr>
          <w:sz w:val="16"/>
        </w:rPr>
      </w:pPr>
      <w:r>
        <w:rPr>
          <w:position w:val="8"/>
          <w:sz w:val="10"/>
        </w:rPr>
        <w:t>24 </w:t>
      </w:r>
      <w:r>
        <w:rPr>
          <w:sz w:val="16"/>
        </w:rPr>
        <w:t>See box “</w:t>
      </w:r>
      <w:r>
        <w:rPr>
          <w:i/>
          <w:sz w:val="16"/>
        </w:rPr>
        <w:t>Explaining the long-term decline in interest rates</w:t>
      </w:r>
      <w:r>
        <w:rPr>
          <w:sz w:val="16"/>
        </w:rPr>
        <w:t>”, in the Inflation Report of November 2016.</w:t>
      </w:r>
    </w:p>
    <w:p>
      <w:pPr>
        <w:spacing w:after="0"/>
        <w:jc w:val="left"/>
        <w:rPr>
          <w:sz w:val="16"/>
        </w:rPr>
        <w:sectPr>
          <w:footerReference w:type="default" r:id="rId15"/>
          <w:pgSz w:w="11910" w:h="16840"/>
          <w:pgMar w:footer="1338" w:header="0" w:top="1480" w:bottom="1520" w:left="460" w:right="880"/>
          <w:pgNumType w:start="10"/>
        </w:sectPr>
      </w:pPr>
    </w:p>
    <w:p>
      <w:pPr>
        <w:pStyle w:val="BodyText"/>
        <w:spacing w:before="79"/>
        <w:ind w:left="673"/>
      </w:pPr>
      <w:r>
        <w:rPr/>
        <w:t>Figure 3 -- Key Results from FSB “Voice of Small Business” Survey, 2012-17</w:t>
      </w:r>
    </w:p>
    <w:p>
      <w:pPr>
        <w:pStyle w:val="BodyText"/>
      </w:pPr>
    </w:p>
    <w:p>
      <w:pPr>
        <w:pStyle w:val="BodyText"/>
        <w:spacing w:before="8"/>
        <w:rPr>
          <w:sz w:val="16"/>
        </w:rPr>
      </w:pPr>
      <w:r>
        <w:rPr/>
        <w:pict>
          <v:group style="position:absolute;margin-left:56.70031pt;margin-top:11.581572pt;width:481.95pt;height:314.45pt;mso-position-horizontal-relative:page;mso-position-vertical-relative:paragraph;z-index:-251634688;mso-wrap-distance-left:0;mso-wrap-distance-right:0" coordorigin="1134,232" coordsize="9639,6289">
            <v:rect style="position:absolute;left:1867;top:428;width:8896;height:4836" filled="false" stroked="true" strokeweight=".472747pt" strokecolor="#000000">
              <v:stroke dashstyle="solid"/>
            </v:rect>
            <v:rect style="position:absolute;left:2019;top:2084;width:202;height:2106" filled="true" fillcolor="#ff00ff" stroked="false">
              <v:fill type="solid"/>
            </v:rect>
            <v:rect style="position:absolute;left:2019;top:2084;width:202;height:2106" filled="false" stroked="true" strokeweight=".473418pt" strokecolor="#ff00ff">
              <v:stroke dashstyle="solid"/>
            </v:rect>
            <v:rect style="position:absolute;left:3131;top:3063;width:202;height:1127" filled="true" fillcolor="#ff00ff" stroked="false">
              <v:fill type="solid"/>
            </v:rect>
            <v:rect style="position:absolute;left:3131;top:3063;width:202;height:1127" filled="false" stroked="true" strokeweight=".473398pt" strokecolor="#ff00ff">
              <v:stroke dashstyle="solid"/>
            </v:rect>
            <v:rect style="position:absolute;left:4242;top:2332;width:202;height:1858" filled="true" fillcolor="#ff00ff" stroked="false">
              <v:fill type="solid"/>
            </v:rect>
            <v:rect style="position:absolute;left:4242;top:2332;width:202;height:1858" filled="false" stroked="true" strokeweight=".473415pt" strokecolor="#ff00ff">
              <v:stroke dashstyle="solid"/>
            </v:rect>
            <v:rect style="position:absolute;left:5355;top:3561;width:202;height:629" filled="true" fillcolor="#ff00ff" stroked="false">
              <v:fill type="solid"/>
            </v:rect>
            <v:rect style="position:absolute;left:5355;top:3561;width:202;height:629" filled="false" stroked="true" strokeweight=".473343pt" strokecolor="#ff00ff">
              <v:stroke dashstyle="solid"/>
            </v:rect>
            <v:rect style="position:absolute;left:6466;top:2414;width:202;height:1776" filled="true" fillcolor="#ff00ff" stroked="false">
              <v:fill type="solid"/>
            </v:rect>
            <v:rect style="position:absolute;left:6466;top:2414;width:202;height:1776" filled="false" stroked="true" strokeweight=".473414pt" strokecolor="#ff00ff">
              <v:stroke dashstyle="solid"/>
            </v:rect>
            <v:rect style="position:absolute;left:7578;top:4051;width:202;height:139" filled="true" fillcolor="#ff00ff" stroked="false">
              <v:fill type="solid"/>
            </v:rect>
            <v:rect style="position:absolute;left:7578;top:4051;width:202;height:139" filled="false" stroked="true" strokeweight=".472828pt" strokecolor="#ff00ff">
              <v:stroke dashstyle="solid"/>
            </v:rect>
            <v:rect style="position:absolute;left:8691;top:3597;width:202;height:593" filled="true" fillcolor="#ff00ff" stroked="false">
              <v:fill type="solid"/>
            </v:rect>
            <v:rect style="position:absolute;left:8691;top:3597;width:202;height:593" filled="false" stroked="true" strokeweight=".473334pt" strokecolor="#ff00ff">
              <v:stroke dashstyle="solid"/>
            </v:rect>
            <v:rect style="position:absolute;left:9802;top:1937;width:202;height:2253" filled="true" fillcolor="#ff00ff" stroked="false">
              <v:fill type="solid"/>
            </v:rect>
            <v:rect style="position:absolute;left:9802;top:1937;width:202;height:2253" filled="false" stroked="true" strokeweight=".473419pt" strokecolor="#ff00ff">
              <v:stroke dashstyle="solid"/>
            </v:rect>
            <v:rect style="position:absolute;left:2221;top:3496;width:202;height:694" filled="true" fillcolor="#ff6600" stroked="false">
              <v:fill type="solid"/>
            </v:rect>
            <v:rect style="position:absolute;left:2221;top:3496;width:202;height:694" filled="false" stroked="true" strokeweight=".473357pt" strokecolor="#ff6600">
              <v:stroke dashstyle="solid"/>
            </v:rect>
            <v:rect style="position:absolute;left:3333;top:3838;width:202;height:352" filled="true" fillcolor="#ff6600" stroked="false">
              <v:fill type="solid"/>
            </v:rect>
            <v:rect style="position:absolute;left:3333;top:3838;width:202;height:352" filled="false" stroked="true" strokeweight=".473207pt" strokecolor="#ff6600">
              <v:stroke dashstyle="solid"/>
            </v:rect>
            <v:rect style="position:absolute;left:4444;top:3205;width:202;height:985" filled="true" fillcolor="#ff6600" stroked="false">
              <v:fill type="solid"/>
            </v:rect>
            <v:rect style="position:absolute;left:4444;top:3205;width:202;height:985" filled="false" stroked="true" strokeweight=".47339pt" strokecolor="#ff6600">
              <v:stroke dashstyle="solid"/>
            </v:rect>
            <v:rect style="position:absolute;left:5557;top:4189;width:202;height:500" filled="true" fillcolor="#ff6600" stroked="false">
              <v:fill type="solid"/>
            </v:rect>
            <v:rect style="position:absolute;left:5557;top:4189;width:202;height:500" filled="false" stroked="true" strokeweight=".473302pt" strokecolor="#ff6600">
              <v:stroke dashstyle="solid"/>
            </v:rect>
            <v:rect style="position:absolute;left:6668;top:2690;width:204;height:1500" filled="true" fillcolor="#ff6600" stroked="false">
              <v:fill type="solid"/>
            </v:rect>
            <v:rect style="position:absolute;left:6668;top:2690;width:204;height:1500" filled="false" stroked="true" strokeweight=".47341pt" strokecolor="#ff6600">
              <v:stroke dashstyle="solid"/>
            </v:rect>
            <v:rect style="position:absolute;left:7780;top:4189;width:202;height:155" filled="true" fillcolor="#ff6600" stroked="false">
              <v:fill type="solid"/>
            </v:rect>
            <v:rect style="position:absolute;left:7780;top:4189;width:202;height:155" filled="false" stroked="true" strokeweight=".472871pt" strokecolor="#ff6600">
              <v:stroke dashstyle="solid"/>
            </v:rect>
            <v:rect style="position:absolute;left:8893;top:3452;width:202;height:738" filled="true" fillcolor="#ff6600" stroked="false">
              <v:fill type="solid"/>
            </v:rect>
            <v:rect style="position:absolute;left:8893;top:3452;width:202;height:738" filled="false" stroked="true" strokeweight=".473364pt" strokecolor="#ff6600">
              <v:stroke dashstyle="solid"/>
            </v:rect>
            <v:rect style="position:absolute;left:10004;top:2539;width:202;height:1651" filled="true" fillcolor="#ff6600" stroked="false">
              <v:fill type="solid"/>
            </v:rect>
            <v:rect style="position:absolute;left:10004;top:2539;width:202;height:1651" filled="false" stroked="true" strokeweight=".473413pt" strokecolor="#ff6600">
              <v:stroke dashstyle="solid"/>
            </v:rect>
            <v:rect style="position:absolute;left:2423;top:3892;width:202;height:298" filled="true" fillcolor="#66ff33" stroked="false">
              <v:fill type="solid"/>
            </v:rect>
            <v:rect style="position:absolute;left:2423;top:3892;width:202;height:298" filled="false" stroked="true" strokeweight=".473149pt" strokecolor="#66ff33">
              <v:stroke dashstyle="solid"/>
            </v:rect>
            <v:rect style="position:absolute;left:3535;top:3403;width:202;height:786" filled="true" fillcolor="#66ff33" stroked="false">
              <v:fill type="solid"/>
            </v:rect>
            <v:rect style="position:absolute;left:3535;top:3403;width:202;height:786" filled="false" stroked="true" strokeweight=".473371pt" strokecolor="#66ff33">
              <v:stroke dashstyle="solid"/>
            </v:rect>
            <v:rect style="position:absolute;left:4646;top:3717;width:204;height:473" filled="true" fillcolor="#66ff33" stroked="false">
              <v:fill type="solid"/>
            </v:rect>
            <v:rect style="position:absolute;left:4646;top:3717;width:204;height:473" filled="false" stroked="true" strokeweight=".473288pt" strokecolor="#66ff33">
              <v:stroke dashstyle="solid"/>
            </v:rect>
            <v:rect style="position:absolute;left:5759;top:3232;width:202;height:958" filled="true" fillcolor="#66ff33" stroked="false">
              <v:fill type="solid"/>
            </v:rect>
            <v:rect style="position:absolute;left:5759;top:3232;width:202;height:958" filled="false" stroked="true" strokeweight=".473388pt" strokecolor="#66ff33">
              <v:stroke dashstyle="solid"/>
            </v:rect>
            <v:rect style="position:absolute;left:6871;top:2228;width:202;height:1962" filled="true" fillcolor="#66ff33" stroked="false">
              <v:fill type="solid"/>
            </v:rect>
            <v:rect style="position:absolute;left:6871;top:2228;width:202;height:1962" filled="false" stroked="true" strokeweight=".473416pt" strokecolor="#66ff33">
              <v:stroke dashstyle="solid"/>
            </v:rect>
            <v:rect style="position:absolute;left:7982;top:3668;width:202;height:522" filled="true" fillcolor="#66ff33" stroked="false">
              <v:fill type="solid"/>
            </v:rect>
            <v:rect style="position:absolute;left:7982;top:3668;width:202;height:522" filled="false" stroked="true" strokeweight=".473311pt" strokecolor="#66ff33">
              <v:stroke dashstyle="solid"/>
            </v:rect>
            <v:rect style="position:absolute;left:9095;top:3410;width:202;height:780" filled="true" fillcolor="#66ff33" stroked="false">
              <v:fill type="solid"/>
            </v:rect>
            <v:rect style="position:absolute;left:9095;top:3410;width:202;height:780" filled="false" stroked="true" strokeweight=".47337pt" strokecolor="#66ff33">
              <v:stroke dashstyle="solid"/>
            </v:rect>
            <v:rect style="position:absolute;left:10206;top:2658;width:202;height:1532" filled="true" fillcolor="#66ff33" stroked="false">
              <v:fill type="solid"/>
            </v:rect>
            <v:rect style="position:absolute;left:10206;top:2658;width:202;height:1532" filled="false" stroked="true" strokeweight=".473411pt" strokecolor="#66ff33">
              <v:stroke dashstyle="solid"/>
            </v:rect>
            <v:rect style="position:absolute;left:2625;top:2043;width:204;height:2147" filled="true" fillcolor="#0033cc" stroked="false">
              <v:fill type="solid"/>
            </v:rect>
            <v:rect style="position:absolute;left:2625;top:2043;width:204;height:2147" filled="false" stroked="true" strokeweight=".473418pt" strokecolor="#0033cc">
              <v:stroke dashstyle="solid"/>
            </v:rect>
            <v:rect style="position:absolute;left:3737;top:3441;width:202;height:749" filled="true" fillcolor="#0033cc" stroked="false">
              <v:fill type="solid"/>
            </v:rect>
            <v:rect style="position:absolute;left:3737;top:3441;width:202;height:749" filled="false" stroked="true" strokeweight=".473366pt" strokecolor="#0033cc">
              <v:stroke dashstyle="solid"/>
            </v:rect>
            <v:rect style="position:absolute;left:4850;top:1208;width:202;height:2982" filled="true" fillcolor="#0033cc" stroked="false">
              <v:fill type="solid"/>
            </v:rect>
            <v:rect style="position:absolute;left:4850;top:1208;width:202;height:2982" filled="false" stroked="true" strokeweight=".473422pt" strokecolor="#0033cc">
              <v:stroke dashstyle="solid"/>
            </v:rect>
            <v:rect style="position:absolute;left:5961;top:2512;width:202;height:1678" filled="true" fillcolor="#0033cc" stroked="false">
              <v:fill type="solid"/>
            </v:rect>
            <v:rect style="position:absolute;left:5961;top:2512;width:202;height:1678" filled="false" stroked="true" strokeweight=".473413pt" strokecolor="#0033cc">
              <v:stroke dashstyle="solid"/>
            </v:rect>
            <v:rect style="position:absolute;left:7073;top:918;width:202;height:3272" filled="true" fillcolor="#0033cc" stroked="false">
              <v:fill type="solid"/>
            </v:rect>
            <v:rect style="position:absolute;left:7073;top:918;width:202;height:3272" filled="false" stroked="true" strokeweight=".473422pt" strokecolor="#0033cc">
              <v:stroke dashstyle="solid"/>
            </v:rect>
            <v:rect style="position:absolute;left:8184;top:3969;width:202;height:221" filled="true" fillcolor="#0033cc" stroked="false">
              <v:fill type="solid"/>
            </v:rect>
            <v:rect style="position:absolute;left:8184;top:3969;width:202;height:221" filled="false" stroked="true" strokeweight=".473025pt" strokecolor="#0033cc">
              <v:stroke dashstyle="solid"/>
            </v:rect>
            <v:rect style="position:absolute;left:9297;top:2973;width:202;height:1217" filled="true" fillcolor="#0033cc" stroked="false">
              <v:fill type="solid"/>
            </v:rect>
            <v:rect style="position:absolute;left:9297;top:2973;width:202;height:1217" filled="false" stroked="true" strokeweight=".473402pt" strokecolor="#0033cc">
              <v:stroke dashstyle="solid"/>
            </v:rect>
            <v:rect style="position:absolute;left:10408;top:2017;width:202;height:2173" filled="true" fillcolor="#0033cc" stroked="false">
              <v:fill type="solid"/>
            </v:rect>
            <v:rect style="position:absolute;left:10408;top:2017;width:202;height:2173" filled="false" stroked="true" strokeweight=".473418pt" strokecolor="#0033cc">
              <v:stroke dashstyle="solid"/>
            </v:rect>
            <v:line style="position:absolute" from="1868,5264" to="1868,429" stroked="true" strokeweight=".473426pt" strokecolor="#858585">
              <v:stroke dashstyle="solid"/>
            </v:line>
            <v:line style="position:absolute" from="1768,5264" to="1868,5264" stroked="true" strokeweight=".472547pt" strokecolor="#858585">
              <v:stroke dashstyle="solid"/>
            </v:line>
            <v:line style="position:absolute" from="1768,4727" to="1868,4727" stroked="true" strokeweight=".472547pt" strokecolor="#858585">
              <v:stroke dashstyle="solid"/>
            </v:line>
            <v:line style="position:absolute" from="1768,4190" to="1868,4190" stroked="true" strokeweight=".472547pt" strokecolor="#858585">
              <v:stroke dashstyle="solid"/>
            </v:line>
            <v:line style="position:absolute" from="1768,3651" to="1868,3651" stroked="true" strokeweight=".472547pt" strokecolor="#858585">
              <v:stroke dashstyle="solid"/>
            </v:line>
            <v:line style="position:absolute" from="1768,3114" to="1868,3114" stroked="true" strokeweight=".472547pt" strokecolor="#858585">
              <v:stroke dashstyle="solid"/>
            </v:line>
            <v:line style="position:absolute" from="1768,2577" to="1868,2577" stroked="true" strokeweight=".472547pt" strokecolor="#858585">
              <v:stroke dashstyle="solid"/>
            </v:line>
            <v:line style="position:absolute" from="1768,2040" to="1868,2040" stroked="true" strokeweight=".472547pt" strokecolor="#858585">
              <v:stroke dashstyle="solid"/>
            </v:line>
            <v:line style="position:absolute" from="1768,1503" to="1868,1503" stroked="true" strokeweight=".472547pt" strokecolor="#858585">
              <v:stroke dashstyle="solid"/>
            </v:line>
            <v:line style="position:absolute" from="1768,966" to="1868,966" stroked="true" strokeweight=".472547pt" strokecolor="#858585">
              <v:stroke dashstyle="solid"/>
            </v:line>
            <v:line style="position:absolute" from="1768,429" to="1868,429" stroked="true" strokeweight=".472547pt" strokecolor="#858585">
              <v:stroke dashstyle="solid"/>
            </v:line>
            <v:line style="position:absolute" from="1868,4190" to="10763,4190" stroked="true" strokeweight=".472547pt" strokecolor="#858585">
              <v:stroke dashstyle="solid"/>
            </v:line>
            <v:rect style="position:absolute;left:7814;top:664;width:173;height:174" filled="true" fillcolor="#ff00ff" stroked="false">
              <v:fill type="solid"/>
            </v:rect>
            <v:rect style="position:absolute;left:7814;top:664;width:173;height:174" filled="false" stroked="true" strokeweight=".472989pt" strokecolor="#ff00ff">
              <v:stroke dashstyle="solid"/>
            </v:rect>
            <v:rect style="position:absolute;left:7814;top:1148;width:173;height:174" filled="true" fillcolor="#ff6600" stroked="false">
              <v:fill type="solid"/>
            </v:rect>
            <v:rect style="position:absolute;left:7814;top:1148;width:173;height:174" filled="false" stroked="true" strokeweight=".472989pt" strokecolor="#ff6600">
              <v:stroke dashstyle="solid"/>
            </v:rect>
            <v:rect style="position:absolute;left:7814;top:1631;width:173;height:174" filled="true" fillcolor="#66ff33" stroked="false">
              <v:fill type="solid"/>
            </v:rect>
            <v:rect style="position:absolute;left:7814;top:1631;width:173;height:174" filled="false" stroked="true" strokeweight=".472989pt" strokecolor="#66ff33">
              <v:stroke dashstyle="solid"/>
            </v:rect>
            <v:rect style="position:absolute;left:7814;top:2117;width:173;height:174" filled="true" fillcolor="#0033cc" stroked="false">
              <v:fill type="solid"/>
            </v:rect>
            <v:rect style="position:absolute;left:7814;top:2117;width:173;height:174" filled="false" stroked="true" strokeweight=".472989pt" strokecolor="#0033cc">
              <v:stroke dashstyle="solid"/>
            </v:rect>
            <v:rect style="position:absolute;left:1138;top:236;width:9630;height:6279" filled="false" stroked="true" strokeweight=".472809pt" strokecolor="#858585">
              <v:stroke dashstyle="solid"/>
            </v:rect>
            <v:shape style="position:absolute;left:1158;top:282;width:437;height:5152" type="#_x0000_t202" filled="false" stroked="false">
              <v:textbox inset="0,0,0,0">
                <w:txbxContent>
                  <w:p>
                    <w:pPr>
                      <w:spacing w:line="320" w:lineRule="exact" w:before="0"/>
                      <w:ind w:left="0" w:right="19" w:firstLine="0"/>
                      <w:jc w:val="right"/>
                      <w:rPr>
                        <w:rFonts w:ascii="Calibri"/>
                        <w:b/>
                        <w:sz w:val="31"/>
                      </w:rPr>
                    </w:pPr>
                    <w:r>
                      <w:rPr>
                        <w:rFonts w:ascii="Calibri"/>
                        <w:b/>
                        <w:spacing w:val="-1"/>
                        <w:sz w:val="31"/>
                      </w:rPr>
                      <w:t>35</w:t>
                    </w:r>
                  </w:p>
                  <w:p>
                    <w:pPr>
                      <w:spacing w:before="159"/>
                      <w:ind w:left="0" w:right="19" w:firstLine="0"/>
                      <w:jc w:val="right"/>
                      <w:rPr>
                        <w:rFonts w:ascii="Calibri"/>
                        <w:b/>
                        <w:sz w:val="31"/>
                      </w:rPr>
                    </w:pPr>
                    <w:r>
                      <w:rPr>
                        <w:rFonts w:ascii="Calibri"/>
                        <w:b/>
                        <w:spacing w:val="-1"/>
                        <w:sz w:val="31"/>
                      </w:rPr>
                      <w:t>30</w:t>
                    </w:r>
                  </w:p>
                  <w:p>
                    <w:pPr>
                      <w:spacing w:before="159"/>
                      <w:ind w:left="0" w:right="19" w:firstLine="0"/>
                      <w:jc w:val="right"/>
                      <w:rPr>
                        <w:rFonts w:ascii="Calibri"/>
                        <w:b/>
                        <w:sz w:val="31"/>
                      </w:rPr>
                    </w:pPr>
                    <w:r>
                      <w:rPr>
                        <w:rFonts w:ascii="Calibri"/>
                        <w:b/>
                        <w:spacing w:val="-1"/>
                        <w:sz w:val="31"/>
                      </w:rPr>
                      <w:t>25</w:t>
                    </w:r>
                  </w:p>
                  <w:p>
                    <w:pPr>
                      <w:spacing w:before="158"/>
                      <w:ind w:left="0" w:right="19" w:firstLine="0"/>
                      <w:jc w:val="right"/>
                      <w:rPr>
                        <w:rFonts w:ascii="Calibri"/>
                        <w:b/>
                        <w:sz w:val="31"/>
                      </w:rPr>
                    </w:pPr>
                    <w:r>
                      <w:rPr>
                        <w:rFonts w:ascii="Calibri"/>
                        <w:b/>
                        <w:spacing w:val="-1"/>
                        <w:sz w:val="31"/>
                      </w:rPr>
                      <w:t>20</w:t>
                    </w:r>
                  </w:p>
                  <w:p>
                    <w:pPr>
                      <w:spacing w:before="159"/>
                      <w:ind w:left="0" w:right="19" w:firstLine="0"/>
                      <w:jc w:val="right"/>
                      <w:rPr>
                        <w:rFonts w:ascii="Calibri"/>
                        <w:b/>
                        <w:sz w:val="31"/>
                      </w:rPr>
                    </w:pPr>
                    <w:r>
                      <w:rPr>
                        <w:rFonts w:ascii="Calibri"/>
                        <w:b/>
                        <w:spacing w:val="-1"/>
                        <w:sz w:val="31"/>
                      </w:rPr>
                      <w:t>15</w:t>
                    </w:r>
                  </w:p>
                  <w:p>
                    <w:pPr>
                      <w:spacing w:before="160"/>
                      <w:ind w:left="0" w:right="19" w:firstLine="0"/>
                      <w:jc w:val="right"/>
                      <w:rPr>
                        <w:rFonts w:ascii="Calibri"/>
                        <w:b/>
                        <w:sz w:val="31"/>
                      </w:rPr>
                    </w:pPr>
                    <w:r>
                      <w:rPr>
                        <w:rFonts w:ascii="Calibri"/>
                        <w:b/>
                        <w:spacing w:val="-1"/>
                        <w:sz w:val="31"/>
                      </w:rPr>
                      <w:t>10</w:t>
                    </w:r>
                  </w:p>
                  <w:p>
                    <w:pPr>
                      <w:spacing w:before="159"/>
                      <w:ind w:left="0" w:right="18" w:firstLine="0"/>
                      <w:jc w:val="right"/>
                      <w:rPr>
                        <w:rFonts w:ascii="Calibri"/>
                        <w:b/>
                        <w:sz w:val="31"/>
                      </w:rPr>
                    </w:pPr>
                    <w:r>
                      <w:rPr>
                        <w:rFonts w:ascii="Calibri"/>
                        <w:b/>
                        <w:w w:val="101"/>
                        <w:sz w:val="31"/>
                      </w:rPr>
                      <w:t>5</w:t>
                    </w:r>
                  </w:p>
                  <w:p>
                    <w:pPr>
                      <w:spacing w:before="158"/>
                      <w:ind w:left="0" w:right="18" w:firstLine="0"/>
                      <w:jc w:val="right"/>
                      <w:rPr>
                        <w:rFonts w:ascii="Calibri"/>
                        <w:b/>
                        <w:sz w:val="31"/>
                      </w:rPr>
                    </w:pPr>
                    <w:r>
                      <w:rPr>
                        <w:rFonts w:ascii="Calibri"/>
                        <w:b/>
                        <w:w w:val="101"/>
                        <w:sz w:val="31"/>
                      </w:rPr>
                      <w:t>0</w:t>
                    </w:r>
                  </w:p>
                  <w:p>
                    <w:pPr>
                      <w:spacing w:before="159"/>
                      <w:ind w:left="0" w:right="18" w:firstLine="0"/>
                      <w:jc w:val="right"/>
                      <w:rPr>
                        <w:rFonts w:ascii="Calibri"/>
                        <w:b/>
                        <w:sz w:val="31"/>
                      </w:rPr>
                    </w:pPr>
                    <w:r>
                      <w:rPr>
                        <w:rFonts w:ascii="Calibri"/>
                        <w:b/>
                        <w:spacing w:val="-1"/>
                        <w:sz w:val="31"/>
                      </w:rPr>
                      <w:t>-5</w:t>
                    </w:r>
                  </w:p>
                  <w:p>
                    <w:pPr>
                      <w:spacing w:line="374" w:lineRule="exact" w:before="159"/>
                      <w:ind w:left="0" w:right="18" w:firstLine="0"/>
                      <w:jc w:val="right"/>
                      <w:rPr>
                        <w:rFonts w:ascii="Calibri"/>
                        <w:b/>
                        <w:sz w:val="31"/>
                      </w:rPr>
                    </w:pPr>
                    <w:r>
                      <w:rPr>
                        <w:rFonts w:ascii="Calibri"/>
                        <w:b/>
                        <w:spacing w:val="-1"/>
                        <w:sz w:val="31"/>
                      </w:rPr>
                      <w:t>-10</w:t>
                    </w:r>
                  </w:p>
                </w:txbxContent>
              </v:textbox>
              <w10:wrap type="none"/>
            </v:shape>
            <v:shape style="position:absolute;left:2023;top:5451;width:821;height:1042" type="#_x0000_t202" filled="false" stroked="false">
              <v:textbox inset="0,0,0,0">
                <w:txbxContent>
                  <w:p>
                    <w:pPr>
                      <w:spacing w:line="227" w:lineRule="exact" w:before="0"/>
                      <w:ind w:left="52" w:right="69" w:firstLine="0"/>
                      <w:jc w:val="center"/>
                      <w:rPr>
                        <w:rFonts w:ascii="Calibri"/>
                        <w:b/>
                        <w:sz w:val="22"/>
                      </w:rPr>
                    </w:pPr>
                    <w:r>
                      <w:rPr>
                        <w:rFonts w:ascii="Calibri"/>
                        <w:b/>
                        <w:sz w:val="22"/>
                      </w:rPr>
                      <w:t>Overall</w:t>
                    </w:r>
                  </w:p>
                  <w:p>
                    <w:pPr>
                      <w:spacing w:line="244" w:lineRule="auto" w:before="4"/>
                      <w:ind w:left="0" w:right="18" w:firstLine="1"/>
                      <w:jc w:val="center"/>
                      <w:rPr>
                        <w:rFonts w:ascii="Calibri"/>
                        <w:b/>
                        <w:sz w:val="22"/>
                      </w:rPr>
                    </w:pPr>
                    <w:r>
                      <w:rPr>
                        <w:rFonts w:ascii="Calibri"/>
                        <w:b/>
                        <w:sz w:val="22"/>
                      </w:rPr>
                      <w:t>Small Business Index</w:t>
                    </w:r>
                  </w:p>
                </w:txbxContent>
              </v:textbox>
              <w10:wrap type="none"/>
            </v:shape>
            <v:shape style="position:absolute;left:3061;top:5451;width:919;height:769" type="#_x0000_t202" filled="false" stroked="false">
              <v:textbox inset="0,0,0,0">
                <w:txbxContent>
                  <w:p>
                    <w:pPr>
                      <w:spacing w:line="227" w:lineRule="exact" w:before="0"/>
                      <w:ind w:left="0" w:right="0" w:firstLine="0"/>
                      <w:jc w:val="left"/>
                      <w:rPr>
                        <w:rFonts w:ascii="Calibri"/>
                        <w:b/>
                        <w:sz w:val="22"/>
                      </w:rPr>
                    </w:pPr>
                    <w:r>
                      <w:rPr>
                        <w:rFonts w:ascii="Calibri"/>
                        <w:b/>
                        <w:sz w:val="22"/>
                      </w:rPr>
                      <w:t>Revenues</w:t>
                    </w:r>
                  </w:p>
                  <w:p>
                    <w:pPr>
                      <w:spacing w:line="244" w:lineRule="auto" w:before="4"/>
                      <w:ind w:left="88" w:right="100" w:firstLine="93"/>
                      <w:jc w:val="left"/>
                      <w:rPr>
                        <w:rFonts w:ascii="Calibri"/>
                        <w:b/>
                        <w:sz w:val="22"/>
                      </w:rPr>
                    </w:pPr>
                    <w:r>
                      <w:rPr>
                        <w:rFonts w:ascii="Calibri"/>
                        <w:b/>
                        <w:sz w:val="22"/>
                      </w:rPr>
                      <w:t>Last 3 Months</w:t>
                    </w:r>
                  </w:p>
                </w:txbxContent>
              </v:textbox>
              <w10:wrap type="none"/>
            </v:shape>
            <v:shape style="position:absolute;left:4173;top:5451;width:1943;height:769" type="#_x0000_t202" filled="false" stroked="false">
              <v:textbox inset="0,0,0,0">
                <w:txbxContent>
                  <w:p>
                    <w:pPr>
                      <w:tabs>
                        <w:tab w:pos="1212" w:val="left" w:leader="none"/>
                      </w:tabs>
                      <w:spacing w:line="227" w:lineRule="exact" w:before="0"/>
                      <w:ind w:left="0" w:right="28" w:firstLine="0"/>
                      <w:jc w:val="right"/>
                      <w:rPr>
                        <w:rFonts w:ascii="Calibri"/>
                        <w:b/>
                        <w:sz w:val="22"/>
                      </w:rPr>
                    </w:pPr>
                    <w:r>
                      <w:rPr>
                        <w:rFonts w:ascii="Calibri"/>
                        <w:b/>
                        <w:sz w:val="22"/>
                      </w:rPr>
                      <w:t>Revenues</w:t>
                      <w:tab/>
                    </w:r>
                    <w:r>
                      <w:rPr>
                        <w:rFonts w:ascii="Calibri"/>
                        <w:b/>
                        <w:spacing w:val="-3"/>
                        <w:sz w:val="22"/>
                      </w:rPr>
                      <w:t>Exports</w:t>
                    </w:r>
                  </w:p>
                  <w:p>
                    <w:pPr>
                      <w:tabs>
                        <w:tab w:pos="1146" w:val="left" w:leader="none"/>
                      </w:tabs>
                      <w:spacing w:before="4"/>
                      <w:ind w:left="0" w:right="111" w:firstLine="0"/>
                      <w:jc w:val="right"/>
                      <w:rPr>
                        <w:rFonts w:ascii="Calibri"/>
                        <w:b/>
                        <w:sz w:val="22"/>
                      </w:rPr>
                    </w:pPr>
                    <w:r>
                      <w:rPr>
                        <w:rFonts w:ascii="Calibri"/>
                        <w:b/>
                        <w:sz w:val="22"/>
                      </w:rPr>
                      <w:t>Next</w:t>
                    </w:r>
                    <w:r>
                      <w:rPr>
                        <w:rFonts w:ascii="Calibri"/>
                        <w:b/>
                        <w:spacing w:val="2"/>
                        <w:sz w:val="22"/>
                      </w:rPr>
                      <w:t> </w:t>
                    </w:r>
                    <w:r>
                      <w:rPr>
                        <w:rFonts w:ascii="Calibri"/>
                        <w:b/>
                        <w:sz w:val="22"/>
                      </w:rPr>
                      <w:t>3</w:t>
                      <w:tab/>
                      <w:t>Last</w:t>
                    </w:r>
                    <w:r>
                      <w:rPr>
                        <w:rFonts w:ascii="Calibri"/>
                        <w:b/>
                        <w:spacing w:val="8"/>
                        <w:sz w:val="22"/>
                      </w:rPr>
                      <w:t> </w:t>
                    </w:r>
                    <w:r>
                      <w:rPr>
                        <w:rFonts w:ascii="Calibri"/>
                        <w:b/>
                        <w:sz w:val="22"/>
                      </w:rPr>
                      <w:t>3</w:t>
                    </w:r>
                  </w:p>
                  <w:p>
                    <w:pPr>
                      <w:tabs>
                        <w:tab w:pos="1111" w:val="left" w:leader="none"/>
                      </w:tabs>
                      <w:spacing w:line="265" w:lineRule="exact" w:before="4"/>
                      <w:ind w:left="0" w:right="18" w:firstLine="0"/>
                      <w:jc w:val="right"/>
                      <w:rPr>
                        <w:rFonts w:ascii="Calibri"/>
                        <w:b/>
                        <w:sz w:val="22"/>
                      </w:rPr>
                    </w:pPr>
                    <w:r>
                      <w:rPr>
                        <w:rFonts w:ascii="Calibri"/>
                        <w:b/>
                        <w:sz w:val="22"/>
                      </w:rPr>
                      <w:t>Months</w:t>
                      <w:tab/>
                    </w:r>
                    <w:r>
                      <w:rPr>
                        <w:rFonts w:ascii="Calibri"/>
                        <w:b/>
                        <w:spacing w:val="-1"/>
                        <w:sz w:val="22"/>
                      </w:rPr>
                      <w:t>Months</w:t>
                    </w:r>
                  </w:p>
                </w:txbxContent>
              </v:textbox>
              <w10:wrap type="none"/>
            </v:shape>
            <v:shape style="position:absolute;left:6485;top:5451;width:743;height:769" type="#_x0000_t202" filled="false" stroked="false">
              <v:textbox inset="0,0,0,0">
                <w:txbxContent>
                  <w:p>
                    <w:pPr>
                      <w:spacing w:line="227" w:lineRule="exact" w:before="0"/>
                      <w:ind w:left="12" w:right="0" w:firstLine="0"/>
                      <w:jc w:val="left"/>
                      <w:rPr>
                        <w:rFonts w:ascii="Calibri"/>
                        <w:b/>
                        <w:sz w:val="22"/>
                      </w:rPr>
                    </w:pPr>
                    <w:r>
                      <w:rPr>
                        <w:rFonts w:ascii="Calibri"/>
                        <w:b/>
                        <w:sz w:val="22"/>
                      </w:rPr>
                      <w:t>Exports</w:t>
                    </w:r>
                  </w:p>
                  <w:p>
                    <w:pPr>
                      <w:spacing w:line="244" w:lineRule="auto" w:before="4"/>
                      <w:ind w:left="0" w:right="12" w:firstLine="59"/>
                      <w:jc w:val="left"/>
                      <w:rPr>
                        <w:rFonts w:ascii="Calibri"/>
                        <w:b/>
                        <w:sz w:val="22"/>
                      </w:rPr>
                    </w:pPr>
                    <w:r>
                      <w:rPr>
                        <w:rFonts w:ascii="Calibri"/>
                        <w:b/>
                        <w:sz w:val="22"/>
                      </w:rPr>
                      <w:t>Next 3 Months</w:t>
                    </w:r>
                  </w:p>
                </w:txbxContent>
              </v:textbox>
              <w10:wrap type="none"/>
            </v:shape>
            <v:shape style="position:absolute;left:7469;top:5451;width:3288;height:224" type="#_x0000_t202" filled="false" stroked="false">
              <v:textbox inset="0,0,0,0">
                <w:txbxContent>
                  <w:p>
                    <w:pPr>
                      <w:spacing w:line="224" w:lineRule="exact" w:before="0"/>
                      <w:ind w:left="0" w:right="0" w:firstLine="0"/>
                      <w:jc w:val="left"/>
                      <w:rPr>
                        <w:rFonts w:ascii="Calibri"/>
                        <w:b/>
                        <w:sz w:val="22"/>
                      </w:rPr>
                    </w:pPr>
                    <w:r>
                      <w:rPr>
                        <w:rFonts w:ascii="Calibri"/>
                        <w:b/>
                        <w:sz w:val="22"/>
                      </w:rPr>
                      <w:t>Hiring Last Hiring Next Investment</w:t>
                    </w:r>
                  </w:p>
                </w:txbxContent>
              </v:textbox>
              <w10:wrap type="none"/>
            </v:shape>
            <v:shape style="position:absolute;left:7515;top:5724;width:2020;height:224" type="#_x0000_t202" filled="false" stroked="false">
              <v:textbox inset="0,0,0,0">
                <w:txbxContent>
                  <w:p>
                    <w:pPr>
                      <w:tabs>
                        <w:tab w:pos="1112" w:val="left" w:leader="none"/>
                      </w:tabs>
                      <w:spacing w:line="224" w:lineRule="exact" w:before="0"/>
                      <w:ind w:left="0" w:right="0" w:firstLine="0"/>
                      <w:jc w:val="left"/>
                      <w:rPr>
                        <w:rFonts w:ascii="Calibri"/>
                        <w:b/>
                        <w:sz w:val="22"/>
                      </w:rPr>
                    </w:pPr>
                    <w:r>
                      <w:rPr>
                        <w:rFonts w:ascii="Calibri"/>
                        <w:b/>
                        <w:sz w:val="22"/>
                      </w:rPr>
                      <w:t>3</w:t>
                    </w:r>
                    <w:r>
                      <w:rPr>
                        <w:rFonts w:ascii="Calibri"/>
                        <w:b/>
                        <w:spacing w:val="3"/>
                        <w:sz w:val="22"/>
                      </w:rPr>
                      <w:t> </w:t>
                    </w:r>
                    <w:r>
                      <w:rPr>
                        <w:rFonts w:ascii="Calibri"/>
                        <w:b/>
                        <w:sz w:val="22"/>
                      </w:rPr>
                      <w:t>Months</w:t>
                      <w:tab/>
                      <w:t>3</w:t>
                    </w:r>
                    <w:r>
                      <w:rPr>
                        <w:rFonts w:ascii="Calibri"/>
                        <w:b/>
                        <w:spacing w:val="9"/>
                        <w:sz w:val="22"/>
                      </w:rPr>
                      <w:t> </w:t>
                    </w:r>
                    <w:r>
                      <w:rPr>
                        <w:rFonts w:ascii="Calibri"/>
                        <w:b/>
                        <w:sz w:val="22"/>
                      </w:rPr>
                      <w:t>Months</w:t>
                    </w:r>
                  </w:p>
                </w:txbxContent>
              </v:textbox>
              <w10:wrap type="none"/>
            </v:shape>
            <v:shape style="position:absolute;left:9847;top:5724;width:743;height:497" type="#_x0000_t202" filled="false" stroked="false">
              <v:textbox inset="0,0,0,0">
                <w:txbxContent>
                  <w:p>
                    <w:pPr>
                      <w:spacing w:line="227" w:lineRule="exact" w:before="0"/>
                      <w:ind w:left="58" w:right="0" w:firstLine="0"/>
                      <w:jc w:val="left"/>
                      <w:rPr>
                        <w:rFonts w:ascii="Calibri"/>
                        <w:b/>
                        <w:sz w:val="22"/>
                      </w:rPr>
                    </w:pPr>
                    <w:r>
                      <w:rPr>
                        <w:rFonts w:ascii="Calibri"/>
                        <w:b/>
                        <w:sz w:val="22"/>
                      </w:rPr>
                      <w:t>Next 3</w:t>
                    </w:r>
                  </w:p>
                  <w:p>
                    <w:pPr>
                      <w:spacing w:line="265" w:lineRule="exact" w:before="4"/>
                      <w:ind w:left="0" w:right="0" w:firstLine="0"/>
                      <w:jc w:val="left"/>
                      <w:rPr>
                        <w:rFonts w:ascii="Calibri"/>
                        <w:b/>
                        <w:sz w:val="22"/>
                      </w:rPr>
                    </w:pPr>
                    <w:r>
                      <w:rPr>
                        <w:rFonts w:ascii="Calibri"/>
                        <w:b/>
                        <w:sz w:val="22"/>
                      </w:rPr>
                      <w:t>Months</w:t>
                    </w:r>
                  </w:p>
                </w:txbxContent>
              </v:textbox>
              <w10:wrap type="none"/>
            </v:shape>
            <v:shape style="position:absolute;left:2226;top:2059;width:7572;height:269" type="#_x0000_t202" filled="false" stroked="false">
              <v:textbox inset="0,0,0,0">
                <w:txbxContent>
                  <w:p>
                    <w:pPr>
                      <w:spacing w:line="269" w:lineRule="exact" w:before="0"/>
                      <w:ind w:left="0" w:right="637" w:firstLine="0"/>
                      <w:jc w:val="right"/>
                      <w:rPr>
                        <w:rFonts w:ascii="Calibri"/>
                        <w:b/>
                        <w:sz w:val="31"/>
                      </w:rPr>
                    </w:pPr>
                    <w:r>
                      <w:rPr>
                        <w:rFonts w:ascii="Calibri"/>
                        <w:b/>
                        <w:sz w:val="31"/>
                      </w:rPr>
                      <w:t>2017 Q1</w:t>
                    </w:r>
                  </w:p>
                </w:txbxContent>
              </v:textbox>
              <w10:wrap type="none"/>
            </v:shape>
            <v:shape style="position:absolute;left:8069;top:604;width:2238;height:1284" type="#_x0000_t202" filled="false" stroked="false">
              <v:textbox inset="0,0,0,0">
                <w:txbxContent>
                  <w:p>
                    <w:pPr>
                      <w:spacing w:line="320" w:lineRule="exact" w:before="0"/>
                      <w:ind w:left="0" w:right="0" w:firstLine="0"/>
                      <w:jc w:val="left"/>
                      <w:rPr>
                        <w:rFonts w:ascii="Calibri"/>
                        <w:b/>
                        <w:sz w:val="31"/>
                      </w:rPr>
                    </w:pPr>
                    <w:r>
                      <w:rPr>
                        <w:rFonts w:ascii="Calibri"/>
                        <w:b/>
                        <w:sz w:val="31"/>
                      </w:rPr>
                      <w:t>2012-15</w:t>
                    </w:r>
                    <w:r>
                      <w:rPr>
                        <w:rFonts w:ascii="Calibri"/>
                        <w:b/>
                        <w:spacing w:val="38"/>
                        <w:sz w:val="31"/>
                      </w:rPr>
                      <w:t> </w:t>
                    </w:r>
                    <w:r>
                      <w:rPr>
                        <w:rFonts w:ascii="Calibri"/>
                        <w:b/>
                        <w:sz w:val="31"/>
                      </w:rPr>
                      <w:t>Average</w:t>
                    </w:r>
                  </w:p>
                  <w:p>
                    <w:pPr>
                      <w:spacing w:before="105"/>
                      <w:ind w:left="0" w:right="0" w:firstLine="0"/>
                      <w:jc w:val="left"/>
                      <w:rPr>
                        <w:rFonts w:ascii="Calibri"/>
                        <w:b/>
                        <w:sz w:val="31"/>
                      </w:rPr>
                    </w:pPr>
                    <w:r>
                      <w:rPr>
                        <w:rFonts w:ascii="Calibri"/>
                        <w:b/>
                        <w:sz w:val="31"/>
                      </w:rPr>
                      <w:t>2016 H1</w:t>
                    </w:r>
                    <w:r>
                      <w:rPr>
                        <w:rFonts w:ascii="Calibri"/>
                        <w:b/>
                        <w:spacing w:val="31"/>
                        <w:sz w:val="31"/>
                      </w:rPr>
                      <w:t> </w:t>
                    </w:r>
                    <w:r>
                      <w:rPr>
                        <w:rFonts w:ascii="Calibri"/>
                        <w:b/>
                        <w:sz w:val="31"/>
                      </w:rPr>
                      <w:t>Average</w:t>
                    </w:r>
                  </w:p>
                  <w:p>
                    <w:pPr>
                      <w:spacing w:line="374" w:lineRule="exact" w:before="106"/>
                      <w:ind w:left="0" w:right="0" w:firstLine="0"/>
                      <w:jc w:val="left"/>
                      <w:rPr>
                        <w:rFonts w:ascii="Calibri"/>
                        <w:b/>
                        <w:sz w:val="31"/>
                      </w:rPr>
                    </w:pPr>
                    <w:r>
                      <w:rPr>
                        <w:rFonts w:ascii="Calibri"/>
                        <w:b/>
                        <w:sz w:val="31"/>
                      </w:rPr>
                      <w:t>2016 H2</w:t>
                    </w:r>
                    <w:r>
                      <w:rPr>
                        <w:rFonts w:ascii="Calibri"/>
                        <w:b/>
                        <w:spacing w:val="31"/>
                        <w:sz w:val="31"/>
                      </w:rPr>
                      <w:t> </w:t>
                    </w:r>
                    <w:r>
                      <w:rPr>
                        <w:rFonts w:ascii="Calibri"/>
                        <w:b/>
                        <w:sz w:val="31"/>
                      </w:rPr>
                      <w:t>Average</w:t>
                    </w:r>
                  </w:p>
                </w:txbxContent>
              </v:textbox>
              <w10:wrap type="none"/>
            </v:shape>
            <v:shape style="position:absolute;left:2114;top:671;width:251;height:316" type="#_x0000_t202" filled="false" stroked="false">
              <v:textbox inset="0,0,0,0">
                <w:txbxContent>
                  <w:p>
                    <w:pPr>
                      <w:spacing w:line="315" w:lineRule="exact" w:before="0"/>
                      <w:ind w:left="0" w:right="0" w:firstLine="0"/>
                      <w:jc w:val="left"/>
                      <w:rPr>
                        <w:rFonts w:ascii="Calibri"/>
                        <w:b/>
                        <w:sz w:val="31"/>
                      </w:rPr>
                    </w:pPr>
                    <w:r>
                      <w:rPr>
                        <w:rFonts w:ascii="Calibri"/>
                        <w:b/>
                        <w:w w:val="101"/>
                        <w:sz w:val="31"/>
                      </w:rPr>
                      <w:t>%</w:t>
                    </w:r>
                  </w:p>
                </w:txbxContent>
              </v:textbox>
              <w10:wrap type="none"/>
            </v:shape>
            <w10:wrap type="topAndBottom"/>
          </v:group>
        </w:pict>
      </w:r>
    </w:p>
    <w:p>
      <w:pPr>
        <w:pStyle w:val="BodyText"/>
        <w:spacing w:before="96"/>
        <w:ind w:left="673"/>
      </w:pPr>
      <w:r>
        <w:rPr/>
        <w:t>Source: Federation of Small Businesses</w:t>
      </w:r>
    </w:p>
    <w:p>
      <w:pPr>
        <w:pStyle w:val="BodyText"/>
      </w:pPr>
    </w:p>
    <w:p>
      <w:pPr>
        <w:pStyle w:val="BodyText"/>
      </w:pPr>
    </w:p>
    <w:p>
      <w:pPr>
        <w:pStyle w:val="BodyText"/>
        <w:spacing w:before="4"/>
        <w:rPr>
          <w:sz w:val="26"/>
        </w:rPr>
      </w:pPr>
      <w:r>
        <w:rPr/>
        <w:pict>
          <v:group style="position:absolute;margin-left:28.079994pt;margin-top:17.378321pt;width:517.8pt;height:212.8pt;mso-position-horizontal-relative:page;mso-position-vertical-relative:paragraph;z-index:-251621376;mso-wrap-distance-left:0;mso-wrap-distance-right:0" coordorigin="562,348" coordsize="10356,4256">
            <v:line style="position:absolute" from="566,348" to="566,4603" stroked="true" strokeweight=".48pt" strokecolor="#000000">
              <v:stroke dashstyle="solid"/>
            </v:line>
            <v:line style="position:absolute" from="571,4599" to="5701,4599" stroked="true" strokeweight=".48004pt" strokecolor="#000000">
              <v:stroke dashstyle="solid"/>
            </v:line>
            <v:line style="position:absolute" from="5706,348" to="5706,4603" stroked="true" strokeweight=".48001pt" strokecolor="#000000">
              <v:stroke dashstyle="solid"/>
            </v:line>
            <v:line style="position:absolute" from="5711,4599" to="10908,4599" stroked="true" strokeweight=".48004pt" strokecolor="#000000">
              <v:stroke dashstyle="solid"/>
            </v:line>
            <v:line style="position:absolute" from="10913,348" to="10913,4603" stroked="true" strokeweight=".47998pt" strokecolor="#000000">
              <v:stroke dashstyle="solid"/>
            </v:line>
            <v:rect style="position:absolute;left:967;top:1181;width:4436;height:2866" filled="false" stroked="true" strokeweight=".252654pt" strokecolor="#000000">
              <v:stroke dashstyle="solid"/>
            </v:rect>
            <v:line style="position:absolute" from="968,4048" to="968,1182" stroked="true" strokeweight=".241104pt" strokecolor="#858585">
              <v:stroke dashstyle="solid"/>
            </v:line>
            <v:line style="position:absolute" from="916,4048" to="968,4048" stroked="true" strokeweight=".257475pt" strokecolor="#858585">
              <v:stroke dashstyle="solid"/>
            </v:line>
            <v:line style="position:absolute" from="916,3761" to="968,3761" stroked="true" strokeweight=".257475pt" strokecolor="#858585">
              <v:stroke dashstyle="solid"/>
            </v:line>
            <v:line style="position:absolute" from="916,3474" to="968,3474" stroked="true" strokeweight=".257475pt" strokecolor="#858585">
              <v:stroke dashstyle="solid"/>
            </v:line>
            <v:line style="position:absolute" from="916,3188" to="968,3188" stroked="true" strokeweight=".257475pt" strokecolor="#858585">
              <v:stroke dashstyle="solid"/>
            </v:line>
            <v:line style="position:absolute" from="916,2901" to="968,2901" stroked="true" strokeweight=".257475pt" strokecolor="#858585">
              <v:stroke dashstyle="solid"/>
            </v:line>
            <v:line style="position:absolute" from="916,2614" to="968,2614" stroked="true" strokeweight=".257475pt" strokecolor="#858585">
              <v:stroke dashstyle="solid"/>
            </v:line>
            <v:line style="position:absolute" from="916,2328" to="968,2328" stroked="true" strokeweight=".257475pt" strokecolor="#858585">
              <v:stroke dashstyle="solid"/>
            </v:line>
            <v:line style="position:absolute" from="916,2042" to="968,2042" stroked="true" strokeweight=".257475pt" strokecolor="#858585">
              <v:stroke dashstyle="solid"/>
            </v:line>
            <v:line style="position:absolute" from="916,1755" to="968,1755" stroked="true" strokeweight=".257475pt" strokecolor="#858585">
              <v:stroke dashstyle="solid"/>
            </v:line>
            <v:line style="position:absolute" from="916,1468" to="968,1468" stroked="true" strokeweight=".257475pt" strokecolor="#858585">
              <v:stroke dashstyle="solid"/>
            </v:line>
            <v:line style="position:absolute" from="916,1182" to="968,1182" stroked="true" strokeweight=".257475pt" strokecolor="#858585">
              <v:stroke dashstyle="solid"/>
            </v:line>
            <v:line style="position:absolute" from="968,2614" to="5403,2614" stroked="true" strokeweight=".257475pt" strokecolor="#858585">
              <v:stroke dashstyle="solid"/>
            </v:line>
            <v:shape style="position:absolute;left:967;top:1406;width:4399;height:1640" coordorigin="968,1407" coordsize="4399,1640" path="m968,2807l1001,2846,1038,2771,1074,2828,1111,2888,1147,2895,1184,2887,1221,2756,1257,2685,1294,2679,1330,2506,1367,2535,1404,2418,1438,2395,1475,2344,1512,2376,1549,2388,1584,2298,1621,2132,1658,2241,1694,2133,1731,1591,1767,1501,1804,1566,1841,1407,1874,1553,1912,1633,1947,1795,1984,1958,2020,1968,2057,2061,2094,2141,2130,2217,2167,2303,2203,2304,2240,2279,2277,2382,2310,2381,2347,2312,2384,2443,2421,2167,2456,2202,2493,2113,2530,2221,2566,2277,2603,2243,2639,2225,2676,2280,2713,2304,2746,2302,2783,2256,2819,2275,2856,2470,2892,2437,2929,2398,2966,2213,3002,2056,3039,1999,3075,1983,3112,2178,3149,2211,3183,2302,3220,2288,3256,2358,3293,2209,3330,2222,3367,2355,3403,2425,3439,2406,3476,2408,3512,2473,3549,2540,3586,2501,3620,2539,3657,2564,3692,2646,3730,2660,3765,2637,3802,2740,3839,2764,3875,2834,3912,2831,3948,2891,3985,2787,4022,2872,4055,2907,4092,2895,4128,3023,4165,3041,4202,3044,4239,3046,4275,3009,4311,2872,4348,2976,4384,2965,4421,2911,4458,2819,4492,2833,4529,2835,4564,2809,4601,2847,4637,2906,4674,2931,4711,2897,4747,2716,4784,2772,4820,2794,4857,2912,4894,2753,4929,2584,4966,2493,5001,2493,5038,2361,5074,2155,5111,2128,5113,2526,5150,2549,5185,2507,5222,2370,5258,2544,5295,2564,5332,2588,5366,2579e" filled="false" stroked="true" strokeweight=".936754pt" strokecolor="#0000ff">
              <v:path arrowok="t"/>
              <v:stroke dashstyle="solid"/>
            </v:shape>
            <v:shape style="position:absolute;left:967;top:2349;width:4398;height:1431" coordorigin="968,2349" coordsize="4398,1431" path="m968,2349l1002,2431,1039,2422,1074,2397,1111,2561,1147,2489,1184,2414,1221,2472,1257,2561,1294,2581,1330,2631,1367,2776,1404,2899,1438,2742,1476,2896,1511,2948,1548,2989,1584,3250,1621,3445,1658,3226,1694,3378,1731,3702,1767,3776,1804,3780,1841,3503,1874,3457,1911,3322,1948,3014,1985,2695,2020,2664,2057,2644,2094,2525,2130,2422,2167,2546,2203,2501,2240,2513,2277,2446,2310,2482,2347,2414,2383,2585,2420,2507,2456,2908,2493,2893,2530,2915,2566,2897,2603,2884,2639,2803,2676,2829,2713,2700,2746,2569,2783,2698,2820,2795,2857,2681,2892,2909,2929,2846,2966,2962,3002,3008,3039,2848,3075,2892,3112,3027,3149,2690,3184,2641,3221,2615,3257,2598,3294,2840,3329,3005,3366,2985,3403,2900,3439,2876,3476,2966,3512,3029,3549,2984,3586,2848,3619,2852,3656,2770,3692,2784,3729,2751,3766,2692,3803,2520,3839,2531,3875,2518,3912,2556,3948,2504,3985,2430,4022,2388,4056,2384,4093,2481,4128,2378,4166,2423,4201,2488,4238,2546,4275,2671,4311,2612,4348,2672,4384,2598,4421,2646,4458,2632,4491,2599,4528,2469,4564,2596,4601,2553,4638,2560,4675,2595,4711,2602,4747,2700,4784,2676,4820,2695,4857,2751,4894,2767,4928,2744,4965,2740,5002,2788,5039,2639,5075,2803,5112,3251,5113,2822,5149,2779,5186,2681,5223,2850,5258,2686,5295,2577,5333,2616,5366,2629e" filled="false" stroked="true" strokeweight="1.151585pt" strokecolor="#66ff33">
              <v:path arrowok="t"/>
              <v:stroke dashstyle="solid"/>
            </v:shape>
            <v:shape style="position:absolute;left:967;top:2068;width:4398;height:1021" coordorigin="968,2069" coordsize="4398,1021" path="m968,3039l1002,2843,1039,2743,1074,2668,1111,2796,1147,2936,1184,2857,1221,2873,1257,2733,1294,2748,1330,2649,1367,2563,1404,2596,1438,2515,1476,2553,1511,2344,1548,2343,1584,2238,1621,2280,1658,2355,1694,2246,1731,2221,1767,2081,1804,2069,1841,2160,1874,2167,1911,2163,1948,2098,1985,2161,2020,2428,2057,2374,2094,2410,2130,2348,2167,2536,2203,2875,2240,3021,2277,3089,2310,3016,2347,2896,2383,2912,2420,2832,2456,2838,2493,2861,2530,2845,2566,2730,2603,2708,2639,2654,2676,2730,2713,2678,2746,2695,2783,2671,2820,2770,2857,2779,2892,2786,2929,2765,2966,2740,3002,2694,3039,2748,3075,2573,3112,2581,3149,2537,3184,2705,3221,2782,3257,2735,3294,2808,3329,2723,3366,2700,3403,2517,3439,2564,3476,2502,3512,2614,3549,2620,3586,2735,3619,2639,3656,2528,3692,2661,3729,2528,3766,2760,3803,2614,3839,2575,3875,2668,3912,2682,3948,2858,3985,2874,4022,2873,4056,2836,4093,2712,4128,2789,4166,2823,4201,2772,4238,2779,4275,2524,4311,2627,4348,2690,4384,2861,4421,2663,4458,2694,4491,2514,4528,2709,4564,2767,4601,2879,4638,2869,4675,2820,4711,2959,4747,2980,4784,2897,4820,2852,4857,2892,4894,2898,4928,2805,4965,2846,5002,2708,5039,2619,5075,2611,5112,2503,5113,2448,5149,2498,5186,2694,5223,2767,5258,2748,5295,2855,5333,2688,5366,2667e" filled="false" stroked="true" strokeweight="1.069326pt" strokecolor="#ff00ff">
              <v:path arrowok="t"/>
              <v:stroke dashstyle="solid"/>
            </v:shape>
            <v:line style="position:absolute" from="1876,3589" to="2005,3589" stroked="true" strokeweight="1.158636pt" strokecolor="#66ff33">
              <v:stroke dashstyle="solid"/>
            </v:line>
            <v:line style="position:absolute" from="1876,3967" to="2005,3967" stroked="true" strokeweight="1.072811pt" strokecolor="#ff00ff">
              <v:stroke dashstyle="solid"/>
            </v:line>
            <v:rect style="position:absolute;left:677;top:1059;width:4901;height:3415" filled="false" stroked="true" strokeweight=".252123pt" strokecolor="#858585">
              <v:stroke dashstyle="solid"/>
            </v:rect>
            <v:shape style="position:absolute;left:4910;top:1956;width:497;height:1484" coordorigin="4910,1957" coordsize="497,1484" path="m4910,2045l4917,2011,4935,1983,4961,1964,4993,1957,5324,1957,5357,1964,5383,1983,5401,2011,5407,2045,5407,3351,5401,3386,5383,3414,5357,3433,5324,3440,4993,3440,4961,3433,4935,3414,4917,3386,4910,3351,4910,2045xe" filled="false" stroked="true" strokeweight=".323673pt" strokecolor="#000000">
              <v:path arrowok="t"/>
              <v:stroke dashstyle="shortdash"/>
            </v:shape>
            <v:rect style="position:absolute;left:6117;top:1178;width:4573;height:2778" filled="false" stroked="true" strokeweight=".249197pt" strokecolor="#000000">
              <v:stroke dashstyle="solid"/>
            </v:rect>
            <v:line style="position:absolute" from="6117,3956" to="6117,1178" stroked="true" strokeweight=".249918pt" strokecolor="#858585">
              <v:stroke dashstyle="solid"/>
            </v:line>
            <v:line style="position:absolute" from="6064,3956" to="6117,3956" stroked="true" strokeweight=".248931pt" strokecolor="#858585">
              <v:stroke dashstyle="solid"/>
            </v:line>
            <v:line style="position:absolute" from="6064,3647" to="6117,3647" stroked="true" strokeweight=".248931pt" strokecolor="#858585">
              <v:stroke dashstyle="solid"/>
            </v:line>
            <v:line style="position:absolute" from="6064,3338" to="6117,3338" stroked="true" strokeweight=".248931pt" strokecolor="#858585">
              <v:stroke dashstyle="solid"/>
            </v:line>
            <v:line style="position:absolute" from="6064,3030" to="6117,3030" stroked="true" strokeweight=".248931pt" strokecolor="#858585">
              <v:stroke dashstyle="solid"/>
            </v:line>
            <v:line style="position:absolute" from="6064,2721" to="6117,2721" stroked="true" strokeweight=".248931pt" strokecolor="#858585">
              <v:stroke dashstyle="solid"/>
            </v:line>
            <v:line style="position:absolute" from="6064,2412" to="6117,2412" stroked="true" strokeweight=".248931pt" strokecolor="#858585">
              <v:stroke dashstyle="solid"/>
            </v:line>
            <v:line style="position:absolute" from="6064,2104" to="6117,2104" stroked="true" strokeweight=".248931pt" strokecolor="#858585">
              <v:stroke dashstyle="solid"/>
            </v:line>
            <v:line style="position:absolute" from="6064,1795" to="6117,1795" stroked="true" strokeweight=".248931pt" strokecolor="#858585">
              <v:stroke dashstyle="solid"/>
            </v:line>
            <v:line style="position:absolute" from="6064,1487" to="6117,1487" stroked="true" strokeweight=".248931pt" strokecolor="#858585">
              <v:stroke dashstyle="solid"/>
            </v:line>
            <v:line style="position:absolute" from="6064,1178" to="6117,1178" stroked="true" strokeweight=".248931pt" strokecolor="#858585">
              <v:stroke dashstyle="solid"/>
            </v:line>
            <v:shape style="position:absolute;left:6114;top:1288;width:4577;height:2425" type="#_x0000_t75" stroked="false">
              <v:imagedata r:id="rId16" o:title=""/>
            </v:shape>
            <v:rect style="position:absolute;left:5816;top:1058;width:5090;height:3310" filled="false" stroked="true" strokeweight=".249224pt" strokecolor="#858585">
              <v:stroke dashstyle="solid"/>
            </v:rect>
            <v:shape style="position:absolute;left:10150;top:4094;width:358;height:166"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2015</w:t>
                    </w:r>
                  </w:p>
                </w:txbxContent>
              </v:textbox>
              <w10:wrap type="none"/>
            </v:shape>
            <v:shape style="position:absolute;left:5827;top:1248;width:3843;height:3012" type="#_x0000_t202" filled="false" stroked="false">
              <v:textbox inset="0,0,0,0">
                <w:txbxContent>
                  <w:p>
                    <w:pPr>
                      <w:spacing w:line="168" w:lineRule="exact" w:before="0"/>
                      <w:ind w:left="601" w:right="0" w:firstLine="0"/>
                      <w:jc w:val="left"/>
                      <w:rPr>
                        <w:rFonts w:ascii="Calibri"/>
                        <w:b/>
                        <w:sz w:val="16"/>
                      </w:rPr>
                    </w:pPr>
                    <w:r>
                      <w:rPr>
                        <w:rFonts w:ascii="Calibri"/>
                        <w:b/>
                        <w:w w:val="105"/>
                        <w:sz w:val="16"/>
                      </w:rPr>
                      <w:t>BoE Uncertainty Index</w:t>
                    </w:r>
                  </w:p>
                  <w:p>
                    <w:pPr>
                      <w:spacing w:line="240" w:lineRule="auto" w:before="1"/>
                      <w:rPr>
                        <w:rFonts w:ascii="Calibri"/>
                        <w:b/>
                        <w:sz w:val="12"/>
                      </w:rPr>
                    </w:pPr>
                  </w:p>
                  <w:p>
                    <w:pPr>
                      <w:spacing w:line="161" w:lineRule="exact" w:before="0"/>
                      <w:ind w:left="601" w:right="0" w:firstLine="0"/>
                      <w:jc w:val="left"/>
                      <w:rPr>
                        <w:rFonts w:ascii="Calibri"/>
                        <w:b/>
                        <w:sz w:val="16"/>
                      </w:rPr>
                    </w:pPr>
                    <w:r>
                      <w:rPr>
                        <w:rFonts w:ascii="Calibri"/>
                        <w:b/>
                        <w:w w:val="105"/>
                        <w:sz w:val="16"/>
                      </w:rPr>
                      <w:t>Household Expectations for Unemployment</w:t>
                    </w:r>
                  </w:p>
                  <w:p>
                    <w:pPr>
                      <w:spacing w:line="161" w:lineRule="exact" w:before="0"/>
                      <w:ind w:left="50" w:right="0" w:firstLine="0"/>
                      <w:jc w:val="left"/>
                      <w:rPr>
                        <w:rFonts w:ascii="Calibri"/>
                        <w:b/>
                        <w:sz w:val="16"/>
                      </w:rPr>
                    </w:pPr>
                    <w:r>
                      <w:rPr>
                        <w:rFonts w:ascii="Calibri"/>
                        <w:b/>
                        <w:w w:val="104"/>
                        <w:sz w:val="16"/>
                      </w:rPr>
                      <w:t>4</w:t>
                    </w:r>
                  </w:p>
                  <w:p>
                    <w:pPr>
                      <w:tabs>
                        <w:tab w:pos="601" w:val="left" w:leader="none"/>
                      </w:tabs>
                      <w:spacing w:line="381" w:lineRule="auto" w:before="21"/>
                      <w:ind w:left="50" w:right="1060" w:firstLine="0"/>
                      <w:jc w:val="left"/>
                      <w:rPr>
                        <w:rFonts w:ascii="Calibri"/>
                        <w:b/>
                        <w:sz w:val="16"/>
                      </w:rPr>
                    </w:pPr>
                    <w:r>
                      <w:rPr>
                        <w:rFonts w:ascii="Calibri"/>
                        <w:b/>
                        <w:w w:val="105"/>
                        <w:position w:val="-8"/>
                        <w:sz w:val="16"/>
                      </w:rPr>
                      <w:t>3</w:t>
                      <w:tab/>
                    </w:r>
                    <w:r>
                      <w:rPr>
                        <w:rFonts w:ascii="Calibri"/>
                        <w:b/>
                        <w:w w:val="105"/>
                        <w:sz w:val="16"/>
                      </w:rPr>
                      <w:t>Media Mentions of </w:t>
                    </w:r>
                    <w:r>
                      <w:rPr>
                        <w:rFonts w:ascii="Calibri"/>
                        <w:b/>
                        <w:spacing w:val="-3"/>
                        <w:w w:val="105"/>
                        <w:sz w:val="16"/>
                      </w:rPr>
                      <w:t>Uncertainty </w:t>
                    </w:r>
                    <w:r>
                      <w:rPr>
                        <w:rFonts w:ascii="Calibri"/>
                        <w:b/>
                        <w:w w:val="105"/>
                        <w:sz w:val="16"/>
                      </w:rPr>
                      <w:t>2</w:t>
                    </w:r>
                  </w:p>
                  <w:p>
                    <w:pPr>
                      <w:spacing w:line="194" w:lineRule="exact" w:before="0"/>
                      <w:ind w:left="50" w:right="0" w:firstLine="0"/>
                      <w:jc w:val="left"/>
                      <w:rPr>
                        <w:rFonts w:ascii="Calibri"/>
                        <w:b/>
                        <w:sz w:val="16"/>
                      </w:rPr>
                    </w:pPr>
                    <w:r>
                      <w:rPr>
                        <w:rFonts w:ascii="Calibri"/>
                        <w:b/>
                        <w:w w:val="104"/>
                        <w:sz w:val="16"/>
                      </w:rPr>
                      <w:t>1</w:t>
                    </w:r>
                  </w:p>
                  <w:p>
                    <w:pPr>
                      <w:spacing w:before="113"/>
                      <w:ind w:left="50" w:right="0" w:firstLine="0"/>
                      <w:jc w:val="left"/>
                      <w:rPr>
                        <w:rFonts w:ascii="Calibri"/>
                        <w:b/>
                        <w:sz w:val="16"/>
                      </w:rPr>
                    </w:pPr>
                    <w:r>
                      <w:rPr>
                        <w:rFonts w:ascii="Calibri"/>
                        <w:b/>
                        <w:w w:val="104"/>
                        <w:sz w:val="16"/>
                      </w:rPr>
                      <w:t>0</w:t>
                    </w:r>
                  </w:p>
                  <w:p>
                    <w:pPr>
                      <w:spacing w:before="114"/>
                      <w:ind w:left="0" w:right="0" w:firstLine="0"/>
                      <w:jc w:val="left"/>
                      <w:rPr>
                        <w:rFonts w:ascii="Calibri"/>
                        <w:b/>
                        <w:sz w:val="16"/>
                      </w:rPr>
                    </w:pPr>
                    <w:r>
                      <w:rPr>
                        <w:rFonts w:ascii="Calibri"/>
                        <w:b/>
                        <w:w w:val="105"/>
                        <w:sz w:val="16"/>
                      </w:rPr>
                      <w:t>-1</w:t>
                    </w:r>
                  </w:p>
                  <w:p>
                    <w:pPr>
                      <w:spacing w:before="113"/>
                      <w:ind w:left="0" w:right="0" w:firstLine="0"/>
                      <w:jc w:val="left"/>
                      <w:rPr>
                        <w:rFonts w:ascii="Calibri"/>
                        <w:b/>
                        <w:sz w:val="16"/>
                      </w:rPr>
                    </w:pPr>
                    <w:r>
                      <w:rPr>
                        <w:rFonts w:ascii="Calibri"/>
                        <w:b/>
                        <w:w w:val="105"/>
                        <w:sz w:val="16"/>
                      </w:rPr>
                      <w:t>-2</w:t>
                    </w:r>
                  </w:p>
                  <w:p>
                    <w:pPr>
                      <w:spacing w:before="113"/>
                      <w:ind w:left="0" w:right="0" w:firstLine="0"/>
                      <w:jc w:val="left"/>
                      <w:rPr>
                        <w:rFonts w:ascii="Calibri"/>
                        <w:b/>
                        <w:sz w:val="16"/>
                      </w:rPr>
                    </w:pPr>
                    <w:r>
                      <w:rPr>
                        <w:rFonts w:ascii="Calibri"/>
                        <w:b/>
                        <w:w w:val="105"/>
                        <w:sz w:val="16"/>
                      </w:rPr>
                      <w:t>-3</w:t>
                    </w:r>
                  </w:p>
                  <w:p>
                    <w:pPr>
                      <w:tabs>
                        <w:tab w:pos="967" w:val="left" w:leader="none"/>
                        <w:tab w:pos="1806" w:val="left" w:leader="none"/>
                        <w:tab w:pos="2645" w:val="left" w:leader="none"/>
                        <w:tab w:pos="3484" w:val="left" w:leader="none"/>
                      </w:tabs>
                      <w:spacing w:line="194" w:lineRule="exact" w:before="21"/>
                      <w:ind w:left="128" w:right="0" w:firstLine="0"/>
                      <w:jc w:val="left"/>
                      <w:rPr>
                        <w:rFonts w:ascii="Calibri"/>
                        <w:b/>
                        <w:sz w:val="16"/>
                      </w:rPr>
                    </w:pPr>
                    <w:r>
                      <w:rPr>
                        <w:rFonts w:ascii="Calibri"/>
                        <w:b/>
                        <w:w w:val="105"/>
                        <w:sz w:val="16"/>
                      </w:rPr>
                      <w:t>1990</w:t>
                      <w:tab/>
                      <w:t>1995</w:t>
                      <w:tab/>
                      <w:t>2000</w:t>
                      <w:tab/>
                      <w:t>2005</w:t>
                      <w:tab/>
                      <w:t>2010</w:t>
                    </w:r>
                  </w:p>
                </w:txbxContent>
              </v:textbox>
              <w10:wrap type="none"/>
            </v:shape>
            <v:shape style="position:absolute;left:5877;top:1100;width:105;height:475" type="#_x0000_t202" filled="false" stroked="false">
              <v:textbox inset="0,0,0,0">
                <w:txbxContent>
                  <w:p>
                    <w:pPr>
                      <w:spacing w:line="167" w:lineRule="exact" w:before="0"/>
                      <w:ind w:left="0" w:right="0" w:firstLine="0"/>
                      <w:jc w:val="left"/>
                      <w:rPr>
                        <w:rFonts w:ascii="Calibri"/>
                        <w:b/>
                        <w:sz w:val="16"/>
                      </w:rPr>
                    </w:pPr>
                    <w:r>
                      <w:rPr>
                        <w:rFonts w:ascii="Calibri"/>
                        <w:b/>
                        <w:w w:val="104"/>
                        <w:sz w:val="16"/>
                      </w:rPr>
                      <w:t>6</w:t>
                    </w:r>
                  </w:p>
                  <w:p>
                    <w:pPr>
                      <w:spacing w:line="194" w:lineRule="exact" w:before="113"/>
                      <w:ind w:left="0" w:right="0" w:firstLine="0"/>
                      <w:jc w:val="left"/>
                      <w:rPr>
                        <w:rFonts w:ascii="Calibri"/>
                        <w:b/>
                        <w:sz w:val="16"/>
                      </w:rPr>
                    </w:pPr>
                    <w:r>
                      <w:rPr>
                        <w:rFonts w:ascii="Calibri"/>
                        <w:b/>
                        <w:w w:val="104"/>
                        <w:sz w:val="16"/>
                      </w:rPr>
                      <w:t>5</w:t>
                    </w:r>
                  </w:p>
                </w:txbxContent>
              </v:textbox>
              <w10:wrap type="none"/>
            </v:shape>
            <v:shape style="position:absolute;left:5168;top:4191;width:346;height:172" type="#_x0000_t202" filled="false" stroked="false">
              <v:textbox inset="0,0,0,0">
                <w:txbxContent>
                  <w:p>
                    <w:pPr>
                      <w:spacing w:line="172" w:lineRule="exact" w:before="0"/>
                      <w:ind w:left="0" w:right="0" w:firstLine="0"/>
                      <w:jc w:val="left"/>
                      <w:rPr>
                        <w:rFonts w:ascii="Calibri"/>
                        <w:b/>
                        <w:sz w:val="17"/>
                      </w:rPr>
                    </w:pPr>
                    <w:r>
                      <w:rPr>
                        <w:rFonts w:ascii="Calibri"/>
                        <w:b/>
                        <w:w w:val="95"/>
                        <w:sz w:val="17"/>
                      </w:rPr>
                      <w:t>2017</w:t>
                    </w:r>
                  </w:p>
                </w:txbxContent>
              </v:textbox>
              <w10:wrap type="none"/>
            </v:shape>
            <v:shape style="position:absolute;left:4295;top:4191;width:346;height:172" type="#_x0000_t202" filled="false" stroked="false">
              <v:textbox inset="0,0,0,0">
                <w:txbxContent>
                  <w:p>
                    <w:pPr>
                      <w:spacing w:line="172" w:lineRule="exact" w:before="0"/>
                      <w:ind w:left="0" w:right="0" w:firstLine="0"/>
                      <w:jc w:val="left"/>
                      <w:rPr>
                        <w:rFonts w:ascii="Calibri"/>
                        <w:b/>
                        <w:sz w:val="17"/>
                      </w:rPr>
                    </w:pPr>
                    <w:r>
                      <w:rPr>
                        <w:rFonts w:ascii="Calibri"/>
                        <w:b/>
                        <w:w w:val="95"/>
                        <w:sz w:val="17"/>
                      </w:rPr>
                      <w:t>2015</w:t>
                    </w:r>
                  </w:p>
                </w:txbxContent>
              </v:textbox>
              <w10:wrap type="none"/>
            </v:shape>
            <v:shape style="position:absolute;left:3423;top:4191;width:346;height:172" type="#_x0000_t202" filled="false" stroked="false">
              <v:textbox inset="0,0,0,0">
                <w:txbxContent>
                  <w:p>
                    <w:pPr>
                      <w:spacing w:line="172" w:lineRule="exact" w:before="0"/>
                      <w:ind w:left="0" w:right="0" w:firstLine="0"/>
                      <w:jc w:val="left"/>
                      <w:rPr>
                        <w:rFonts w:ascii="Calibri"/>
                        <w:b/>
                        <w:sz w:val="17"/>
                      </w:rPr>
                    </w:pPr>
                    <w:r>
                      <w:rPr>
                        <w:rFonts w:ascii="Calibri"/>
                        <w:b/>
                        <w:w w:val="95"/>
                        <w:sz w:val="17"/>
                      </w:rPr>
                      <w:t>2013</w:t>
                    </w:r>
                  </w:p>
                </w:txbxContent>
              </v:textbox>
              <w10:wrap type="none"/>
            </v:shape>
            <v:shape style="position:absolute;left:2550;top:4191;width:346;height:172" type="#_x0000_t202" filled="false" stroked="false">
              <v:textbox inset="0,0,0,0">
                <w:txbxContent>
                  <w:p>
                    <w:pPr>
                      <w:spacing w:line="172" w:lineRule="exact" w:before="0"/>
                      <w:ind w:left="0" w:right="0" w:firstLine="0"/>
                      <w:jc w:val="left"/>
                      <w:rPr>
                        <w:rFonts w:ascii="Calibri"/>
                        <w:b/>
                        <w:sz w:val="17"/>
                      </w:rPr>
                    </w:pPr>
                    <w:r>
                      <w:rPr>
                        <w:rFonts w:ascii="Calibri"/>
                        <w:b/>
                        <w:w w:val="95"/>
                        <w:sz w:val="17"/>
                      </w:rPr>
                      <w:t>2011</w:t>
                    </w:r>
                  </w:p>
                </w:txbxContent>
              </v:textbox>
              <w10:wrap type="none"/>
            </v:shape>
            <v:shape style="position:absolute;left:1678;top:4191;width:346;height:172" type="#_x0000_t202" filled="false" stroked="false">
              <v:textbox inset="0,0,0,0">
                <w:txbxContent>
                  <w:p>
                    <w:pPr>
                      <w:spacing w:line="172" w:lineRule="exact" w:before="0"/>
                      <w:ind w:left="0" w:right="0" w:firstLine="0"/>
                      <w:jc w:val="left"/>
                      <w:rPr>
                        <w:rFonts w:ascii="Calibri"/>
                        <w:b/>
                        <w:sz w:val="17"/>
                      </w:rPr>
                    </w:pPr>
                    <w:r>
                      <w:rPr>
                        <w:rFonts w:ascii="Calibri"/>
                        <w:b/>
                        <w:w w:val="95"/>
                        <w:sz w:val="17"/>
                      </w:rPr>
                      <w:t>2009</w:t>
                    </w:r>
                  </w:p>
                </w:txbxContent>
              </v:textbox>
              <w10:wrap type="none"/>
            </v:shape>
            <v:shape style="position:absolute;left:1876;top:3108;width:3375;height:938" type="#_x0000_t202" filled="false" stroked="false">
              <v:textbox inset="0,0,0,0">
                <w:txbxContent>
                  <w:p>
                    <w:pPr>
                      <w:spacing w:before="10"/>
                      <w:ind w:left="0" w:right="0" w:firstLine="0"/>
                      <w:jc w:val="left"/>
                      <w:rPr>
                        <w:rFonts w:ascii="Calibri"/>
                        <w:b/>
                        <w:sz w:val="14"/>
                      </w:rPr>
                    </w:pPr>
                    <w:r>
                      <w:rPr>
                        <w:rFonts w:ascii="Calibri"/>
                        <w:b/>
                        <w:w w:val="94"/>
                        <w:position w:val="1"/>
                        <w:sz w:val="17"/>
                        <w:u w:val="single" w:color="0000FF"/>
                      </w:rPr>
                      <w:t> </w:t>
                    </w:r>
                    <w:r>
                      <w:rPr>
                        <w:rFonts w:ascii="Calibri"/>
                        <w:b/>
                        <w:position w:val="1"/>
                        <w:sz w:val="17"/>
                        <w:u w:val="single" w:color="0000FF"/>
                      </w:rPr>
                      <w:t>   </w:t>
                    </w:r>
                    <w:r>
                      <w:rPr>
                        <w:rFonts w:ascii="Calibri"/>
                        <w:b/>
                        <w:sz w:val="14"/>
                      </w:rPr>
                      <w:t>Uncertainty Index</w:t>
                    </w:r>
                  </w:p>
                  <w:p>
                    <w:pPr>
                      <w:spacing w:line="240" w:lineRule="auto" w:before="0"/>
                      <w:rPr>
                        <w:rFonts w:ascii="Calibri"/>
                        <w:b/>
                        <w:sz w:val="17"/>
                      </w:rPr>
                    </w:pPr>
                  </w:p>
                  <w:p>
                    <w:pPr>
                      <w:spacing w:before="0"/>
                      <w:ind w:left="141" w:right="0" w:firstLine="0"/>
                      <w:jc w:val="left"/>
                      <w:rPr>
                        <w:rFonts w:ascii="Calibri"/>
                        <w:b/>
                        <w:sz w:val="14"/>
                      </w:rPr>
                    </w:pPr>
                    <w:r>
                      <w:rPr>
                        <w:rFonts w:ascii="Calibri"/>
                        <w:b/>
                        <w:sz w:val="14"/>
                      </w:rPr>
                      <w:t>UK Composite PMI Business Expectations</w:t>
                    </w:r>
                  </w:p>
                  <w:p>
                    <w:pPr>
                      <w:spacing w:line="240" w:lineRule="auto" w:before="1"/>
                      <w:rPr>
                        <w:rFonts w:ascii="Calibri"/>
                        <w:b/>
                        <w:sz w:val="17"/>
                      </w:rPr>
                    </w:pPr>
                  </w:p>
                  <w:p>
                    <w:pPr>
                      <w:spacing w:line="169" w:lineRule="exact" w:before="0"/>
                      <w:ind w:left="141" w:right="0" w:firstLine="0"/>
                      <w:jc w:val="left"/>
                      <w:rPr>
                        <w:rFonts w:ascii="Calibri"/>
                        <w:b/>
                        <w:sz w:val="14"/>
                      </w:rPr>
                    </w:pPr>
                    <w:r>
                      <w:rPr>
                        <w:rFonts w:ascii="Calibri"/>
                        <w:b/>
                        <w:sz w:val="14"/>
                      </w:rPr>
                      <w:t>Demand</w:t>
                    </w:r>
                    <w:r>
                      <w:rPr>
                        <w:rFonts w:ascii="Calibri"/>
                        <w:b/>
                        <w:spacing w:val="-19"/>
                        <w:sz w:val="14"/>
                      </w:rPr>
                      <w:t> </w:t>
                    </w:r>
                    <w:r>
                      <w:rPr>
                        <w:rFonts w:ascii="Calibri"/>
                        <w:b/>
                        <w:sz w:val="14"/>
                      </w:rPr>
                      <w:t>For</w:t>
                    </w:r>
                    <w:r>
                      <w:rPr>
                        <w:rFonts w:ascii="Calibri"/>
                        <w:b/>
                        <w:spacing w:val="-18"/>
                        <w:sz w:val="14"/>
                      </w:rPr>
                      <w:t> </w:t>
                    </w:r>
                    <w:r>
                      <w:rPr>
                        <w:rFonts w:ascii="Calibri"/>
                        <w:b/>
                        <w:sz w:val="14"/>
                      </w:rPr>
                      <w:t>Temp</w:t>
                    </w:r>
                    <w:r>
                      <w:rPr>
                        <w:rFonts w:ascii="Calibri"/>
                        <w:b/>
                        <w:spacing w:val="-18"/>
                        <w:sz w:val="14"/>
                      </w:rPr>
                      <w:t> </w:t>
                    </w:r>
                    <w:r>
                      <w:rPr>
                        <w:rFonts w:ascii="Calibri"/>
                        <w:b/>
                        <w:sz w:val="14"/>
                      </w:rPr>
                      <w:t>Staff</w:t>
                    </w:r>
                    <w:r>
                      <w:rPr>
                        <w:rFonts w:ascii="Calibri"/>
                        <w:b/>
                        <w:spacing w:val="-18"/>
                        <w:sz w:val="14"/>
                      </w:rPr>
                      <w:t> </w:t>
                    </w:r>
                    <w:r>
                      <w:rPr>
                        <w:rFonts w:ascii="Calibri"/>
                        <w:b/>
                        <w:sz w:val="14"/>
                      </w:rPr>
                      <w:t>Less</w:t>
                    </w:r>
                    <w:r>
                      <w:rPr>
                        <w:rFonts w:ascii="Calibri"/>
                        <w:b/>
                        <w:spacing w:val="-18"/>
                        <w:sz w:val="14"/>
                      </w:rPr>
                      <w:t> </w:t>
                    </w:r>
                    <w:r>
                      <w:rPr>
                        <w:rFonts w:ascii="Calibri"/>
                        <w:b/>
                        <w:sz w:val="14"/>
                      </w:rPr>
                      <w:t>Demand</w:t>
                    </w:r>
                    <w:r>
                      <w:rPr>
                        <w:rFonts w:ascii="Calibri"/>
                        <w:b/>
                        <w:spacing w:val="-18"/>
                        <w:sz w:val="14"/>
                      </w:rPr>
                      <w:t> </w:t>
                    </w:r>
                    <w:r>
                      <w:rPr>
                        <w:rFonts w:ascii="Calibri"/>
                        <w:b/>
                        <w:sz w:val="14"/>
                      </w:rPr>
                      <w:t>for</w:t>
                    </w:r>
                    <w:r>
                      <w:rPr>
                        <w:rFonts w:ascii="Calibri"/>
                        <w:b/>
                        <w:spacing w:val="-18"/>
                        <w:sz w:val="14"/>
                      </w:rPr>
                      <w:t> </w:t>
                    </w:r>
                    <w:r>
                      <w:rPr>
                        <w:rFonts w:ascii="Calibri"/>
                        <w:b/>
                        <w:sz w:val="14"/>
                      </w:rPr>
                      <w:t>Permanent</w:t>
                    </w:r>
                    <w:r>
                      <w:rPr>
                        <w:rFonts w:ascii="Calibri"/>
                        <w:b/>
                        <w:spacing w:val="-18"/>
                        <w:sz w:val="14"/>
                      </w:rPr>
                      <w:t> </w:t>
                    </w:r>
                    <w:r>
                      <w:rPr>
                        <w:rFonts w:ascii="Calibri"/>
                        <w:b/>
                        <w:sz w:val="14"/>
                      </w:rPr>
                      <w:t>Staff</w:t>
                    </w:r>
                  </w:p>
                </w:txbxContent>
              </v:textbox>
              <w10:wrap type="none"/>
            </v:shape>
            <v:shape style="position:absolute;left:687;top:1102;width:464;height:3261" type="#_x0000_t202" filled="false" stroked="false">
              <v:textbox inset="0,0,0,0">
                <w:txbxContent>
                  <w:p>
                    <w:pPr>
                      <w:spacing w:line="175" w:lineRule="exact" w:before="0"/>
                      <w:ind w:left="49" w:right="0" w:firstLine="0"/>
                      <w:jc w:val="left"/>
                      <w:rPr>
                        <w:rFonts w:ascii="Calibri"/>
                        <w:b/>
                        <w:sz w:val="17"/>
                      </w:rPr>
                    </w:pPr>
                    <w:r>
                      <w:rPr>
                        <w:rFonts w:ascii="Calibri"/>
                        <w:b/>
                        <w:w w:val="94"/>
                        <w:sz w:val="17"/>
                      </w:rPr>
                      <w:t>5</w:t>
                    </w:r>
                  </w:p>
                  <w:p>
                    <w:pPr>
                      <w:spacing w:before="79"/>
                      <w:ind w:left="49" w:right="0" w:firstLine="0"/>
                      <w:jc w:val="left"/>
                      <w:rPr>
                        <w:rFonts w:ascii="Calibri"/>
                        <w:b/>
                        <w:sz w:val="17"/>
                      </w:rPr>
                    </w:pPr>
                    <w:r>
                      <w:rPr>
                        <w:rFonts w:ascii="Calibri"/>
                        <w:b/>
                        <w:w w:val="94"/>
                        <w:sz w:val="17"/>
                      </w:rPr>
                      <w:t>4</w:t>
                    </w:r>
                  </w:p>
                  <w:p>
                    <w:pPr>
                      <w:spacing w:before="79"/>
                      <w:ind w:left="49" w:right="0" w:firstLine="0"/>
                      <w:jc w:val="left"/>
                      <w:rPr>
                        <w:rFonts w:ascii="Calibri"/>
                        <w:b/>
                        <w:sz w:val="17"/>
                      </w:rPr>
                    </w:pPr>
                    <w:r>
                      <w:rPr>
                        <w:rFonts w:ascii="Calibri"/>
                        <w:b/>
                        <w:w w:val="94"/>
                        <w:sz w:val="17"/>
                      </w:rPr>
                      <w:t>3</w:t>
                    </w:r>
                  </w:p>
                  <w:p>
                    <w:pPr>
                      <w:spacing w:before="79"/>
                      <w:ind w:left="49" w:right="0" w:firstLine="0"/>
                      <w:jc w:val="left"/>
                      <w:rPr>
                        <w:rFonts w:ascii="Calibri"/>
                        <w:b/>
                        <w:sz w:val="17"/>
                      </w:rPr>
                    </w:pPr>
                    <w:r>
                      <w:rPr>
                        <w:rFonts w:ascii="Calibri"/>
                        <w:b/>
                        <w:w w:val="94"/>
                        <w:sz w:val="17"/>
                      </w:rPr>
                      <w:t>2</w:t>
                    </w:r>
                  </w:p>
                  <w:p>
                    <w:pPr>
                      <w:spacing w:before="79"/>
                      <w:ind w:left="49" w:right="0" w:firstLine="0"/>
                      <w:jc w:val="left"/>
                      <w:rPr>
                        <w:rFonts w:ascii="Calibri"/>
                        <w:b/>
                        <w:sz w:val="17"/>
                      </w:rPr>
                    </w:pPr>
                    <w:r>
                      <w:rPr>
                        <w:rFonts w:ascii="Calibri"/>
                        <w:b/>
                        <w:w w:val="94"/>
                        <w:sz w:val="17"/>
                      </w:rPr>
                      <w:t>1</w:t>
                    </w:r>
                  </w:p>
                  <w:p>
                    <w:pPr>
                      <w:spacing w:before="79"/>
                      <w:ind w:left="49" w:right="0" w:firstLine="0"/>
                      <w:jc w:val="left"/>
                      <w:rPr>
                        <w:rFonts w:ascii="Calibri"/>
                        <w:b/>
                        <w:sz w:val="17"/>
                      </w:rPr>
                    </w:pPr>
                    <w:r>
                      <w:rPr>
                        <w:rFonts w:ascii="Calibri"/>
                        <w:b/>
                        <w:w w:val="94"/>
                        <w:sz w:val="17"/>
                      </w:rPr>
                      <w:t>0</w:t>
                    </w:r>
                  </w:p>
                  <w:p>
                    <w:pPr>
                      <w:spacing w:before="79"/>
                      <w:ind w:left="0" w:right="0" w:firstLine="0"/>
                      <w:jc w:val="left"/>
                      <w:rPr>
                        <w:rFonts w:ascii="Calibri"/>
                        <w:b/>
                        <w:sz w:val="17"/>
                      </w:rPr>
                    </w:pPr>
                    <w:r>
                      <w:rPr>
                        <w:rFonts w:ascii="Calibri"/>
                        <w:b/>
                        <w:sz w:val="17"/>
                      </w:rPr>
                      <w:t>-1</w:t>
                    </w:r>
                  </w:p>
                  <w:p>
                    <w:pPr>
                      <w:spacing w:before="79"/>
                      <w:ind w:left="0" w:right="0" w:firstLine="0"/>
                      <w:jc w:val="left"/>
                      <w:rPr>
                        <w:rFonts w:ascii="Calibri"/>
                        <w:b/>
                        <w:sz w:val="17"/>
                      </w:rPr>
                    </w:pPr>
                    <w:r>
                      <w:rPr>
                        <w:rFonts w:ascii="Calibri"/>
                        <w:b/>
                        <w:sz w:val="17"/>
                      </w:rPr>
                      <w:t>-2</w:t>
                    </w:r>
                  </w:p>
                  <w:p>
                    <w:pPr>
                      <w:spacing w:before="79"/>
                      <w:ind w:left="0" w:right="0" w:firstLine="0"/>
                      <w:jc w:val="left"/>
                      <w:rPr>
                        <w:rFonts w:ascii="Calibri"/>
                        <w:b/>
                        <w:sz w:val="17"/>
                      </w:rPr>
                    </w:pPr>
                    <w:r>
                      <w:rPr>
                        <w:rFonts w:ascii="Calibri"/>
                        <w:b/>
                        <w:sz w:val="17"/>
                      </w:rPr>
                      <w:t>-3</w:t>
                    </w:r>
                  </w:p>
                  <w:p>
                    <w:pPr>
                      <w:spacing w:before="79"/>
                      <w:ind w:left="0" w:right="0" w:firstLine="0"/>
                      <w:jc w:val="left"/>
                      <w:rPr>
                        <w:rFonts w:ascii="Calibri"/>
                        <w:b/>
                        <w:sz w:val="17"/>
                      </w:rPr>
                    </w:pPr>
                    <w:r>
                      <w:rPr>
                        <w:rFonts w:ascii="Calibri"/>
                        <w:b/>
                        <w:sz w:val="17"/>
                      </w:rPr>
                      <w:t>-4</w:t>
                    </w:r>
                  </w:p>
                  <w:p>
                    <w:pPr>
                      <w:spacing w:before="79"/>
                      <w:ind w:left="0" w:right="0" w:firstLine="0"/>
                      <w:jc w:val="left"/>
                      <w:rPr>
                        <w:rFonts w:ascii="Calibri"/>
                        <w:b/>
                        <w:sz w:val="17"/>
                      </w:rPr>
                    </w:pPr>
                    <w:r>
                      <w:rPr>
                        <w:rFonts w:ascii="Calibri"/>
                        <w:b/>
                        <w:sz w:val="17"/>
                      </w:rPr>
                      <w:t>-5</w:t>
                    </w:r>
                  </w:p>
                  <w:p>
                    <w:pPr>
                      <w:spacing w:line="205" w:lineRule="exact" w:before="16"/>
                      <w:ind w:left="117" w:right="0" w:firstLine="0"/>
                      <w:jc w:val="left"/>
                      <w:rPr>
                        <w:rFonts w:ascii="Calibri"/>
                        <w:b/>
                        <w:sz w:val="17"/>
                      </w:rPr>
                    </w:pPr>
                    <w:r>
                      <w:rPr>
                        <w:rFonts w:ascii="Calibri"/>
                        <w:b/>
                        <w:w w:val="95"/>
                        <w:sz w:val="17"/>
                      </w:rPr>
                      <w:t>2007</w:t>
                    </w:r>
                  </w:p>
                </w:txbxContent>
              </v:textbox>
              <w10:wrap type="none"/>
            </v:shape>
            <v:shape style="position:absolute;left:5706;top:352;width:5205;height:703" type="#_x0000_t202" filled="false" stroked="true" strokeweight=".47998pt" strokecolor="#000000">
              <v:textbox inset="0,0,0,0">
                <w:txbxContent>
                  <w:p>
                    <w:pPr>
                      <w:spacing w:line="360" w:lineRule="auto" w:before="0"/>
                      <w:ind w:left="103" w:right="0" w:firstLine="0"/>
                      <w:jc w:val="left"/>
                      <w:rPr>
                        <w:sz w:val="20"/>
                      </w:rPr>
                    </w:pPr>
                    <w:r>
                      <w:rPr>
                        <w:sz w:val="20"/>
                      </w:rPr>
                      <w:t>Figure 5. BoE Uncertainty Index and Selected Components, 1990-2017</w:t>
                    </w:r>
                  </w:p>
                </w:txbxContent>
              </v:textbox>
              <v:stroke dashstyle="solid"/>
              <w10:wrap type="none"/>
            </v:shape>
            <v:shape style="position:absolute;left:566;top:352;width:5140;height:703" type="#_x0000_t202" filled="false" stroked="true" strokeweight=".48001pt" strokecolor="#000000">
              <v:textbox inset="0,0,0,0">
                <w:txbxContent>
                  <w:p>
                    <w:pPr>
                      <w:spacing w:line="360" w:lineRule="auto" w:before="0"/>
                      <w:ind w:left="103" w:right="518" w:firstLine="0"/>
                      <w:jc w:val="left"/>
                      <w:rPr>
                        <w:sz w:val="20"/>
                      </w:rPr>
                    </w:pPr>
                    <w:r>
                      <w:rPr>
                        <w:sz w:val="20"/>
                      </w:rPr>
                      <w:t>Figure 4. Uncertainty Index and Economic Activity, 2007-17</w:t>
                    </w:r>
                  </w:p>
                </w:txbxContent>
              </v:textbox>
              <v:stroke dashstyle="solid"/>
              <w10:wrap type="none"/>
            </v:shape>
            <w10:wrap type="topAndBottom"/>
          </v:group>
        </w:pict>
      </w:r>
    </w:p>
    <w:p>
      <w:pPr>
        <w:pStyle w:val="BodyText"/>
        <w:spacing w:line="193" w:lineRule="exact"/>
        <w:ind w:left="673"/>
      </w:pPr>
      <w:r>
        <w:rPr/>
        <w:t>Note: The uncertainty index and its components are shown as standard deviations from average.</w:t>
      </w:r>
    </w:p>
    <w:p>
      <w:pPr>
        <w:pStyle w:val="BodyText"/>
        <w:spacing w:before="115"/>
        <w:ind w:left="673"/>
      </w:pPr>
      <w:r>
        <w:rPr/>
        <w:t>Source: REC Report on Jobs, Markit and BoE.</w:t>
      </w:r>
    </w:p>
    <w:p>
      <w:pPr>
        <w:spacing w:after="0"/>
        <w:sectPr>
          <w:pgSz w:w="11910" w:h="16840"/>
          <w:pgMar w:header="0" w:footer="1338" w:top="1520" w:bottom="1520" w:left="460" w:right="88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5003"/>
        <w:gridCol w:w="136"/>
        <w:gridCol w:w="4915"/>
        <w:gridCol w:w="181"/>
      </w:tblGrid>
      <w:tr>
        <w:trPr>
          <w:trHeight w:val="686" w:hRule="atLeast"/>
        </w:trPr>
        <w:tc>
          <w:tcPr>
            <w:tcW w:w="5114" w:type="dxa"/>
            <w:gridSpan w:val="2"/>
            <w:tcBorders>
              <w:bottom w:val="single" w:sz="8" w:space="0" w:color="000000"/>
            </w:tcBorders>
          </w:tcPr>
          <w:p>
            <w:pPr>
              <w:pStyle w:val="TableParagraph"/>
              <w:spacing w:line="227" w:lineRule="exact"/>
              <w:ind w:left="107"/>
              <w:rPr>
                <w:rFonts w:ascii="Arial"/>
                <w:sz w:val="20"/>
              </w:rPr>
            </w:pPr>
            <w:r>
              <w:rPr>
                <w:rFonts w:ascii="Arial"/>
                <w:sz w:val="20"/>
              </w:rPr>
              <w:t>Figure 6. BoE Uncertainty Index and Credit Availability,</w:t>
            </w:r>
          </w:p>
          <w:p>
            <w:pPr>
              <w:pStyle w:val="TableParagraph"/>
              <w:spacing w:before="113"/>
              <w:ind w:left="107"/>
              <w:rPr>
                <w:rFonts w:ascii="Arial"/>
                <w:sz w:val="20"/>
              </w:rPr>
            </w:pPr>
            <w:r>
              <w:rPr>
                <w:rFonts w:ascii="Arial"/>
                <w:sz w:val="20"/>
              </w:rPr>
              <w:t>2007-2017</w:t>
            </w:r>
          </w:p>
        </w:tc>
        <w:tc>
          <w:tcPr>
            <w:tcW w:w="5232" w:type="dxa"/>
            <w:gridSpan w:val="3"/>
          </w:tcPr>
          <w:p>
            <w:pPr>
              <w:pStyle w:val="TableParagraph"/>
              <w:spacing w:line="227" w:lineRule="exact"/>
              <w:ind w:left="133"/>
              <w:rPr>
                <w:rFonts w:ascii="Arial"/>
                <w:sz w:val="20"/>
              </w:rPr>
            </w:pPr>
            <w:r>
              <w:rPr>
                <w:rFonts w:ascii="Arial"/>
                <w:sz w:val="20"/>
              </w:rPr>
              <w:t>Figure 7. Uncertainty and Credit Spreads, 1995-2017</w:t>
            </w:r>
          </w:p>
        </w:tc>
      </w:tr>
      <w:tr>
        <w:trPr>
          <w:trHeight w:val="3337" w:hRule="atLeast"/>
        </w:trPr>
        <w:tc>
          <w:tcPr>
            <w:tcW w:w="111" w:type="dxa"/>
            <w:tcBorders>
              <w:bottom w:val="nil"/>
              <w:right w:val="single" w:sz="4" w:space="0" w:color="858585"/>
            </w:tcBorders>
          </w:tcPr>
          <w:p>
            <w:pPr>
              <w:pStyle w:val="TableParagraph"/>
              <w:rPr>
                <w:rFonts w:ascii="Times New Roman"/>
                <w:sz w:val="18"/>
              </w:rPr>
            </w:pPr>
          </w:p>
        </w:tc>
        <w:tc>
          <w:tcPr>
            <w:tcW w:w="5003" w:type="dxa"/>
            <w:tcBorders>
              <w:top w:val="single" w:sz="8" w:space="0" w:color="000000"/>
              <w:left w:val="single" w:sz="4" w:space="0" w:color="858585"/>
              <w:bottom w:val="single" w:sz="4" w:space="0" w:color="858585"/>
              <w:right w:val="thickThinMediumGap" w:sz="2" w:space="0" w:color="000000"/>
            </w:tcBorders>
          </w:tcPr>
          <w:p>
            <w:pPr>
              <w:pStyle w:val="TableParagraph"/>
              <w:tabs>
                <w:tab w:pos="4749" w:val="left" w:leader="none"/>
              </w:tabs>
              <w:spacing w:line="175" w:lineRule="exact" w:before="3"/>
              <w:ind w:left="60"/>
              <w:rPr>
                <w:b/>
                <w:sz w:val="17"/>
              </w:rPr>
            </w:pPr>
            <w:r>
              <w:rPr>
                <w:b/>
                <w:sz w:val="17"/>
              </w:rPr>
              <w:t>5</w:t>
              <w:tab/>
              <w:t>50</w:t>
            </w:r>
          </w:p>
          <w:p>
            <w:pPr>
              <w:pStyle w:val="TableParagraph"/>
              <w:tabs>
                <w:tab w:pos="1485" w:val="left" w:leader="none"/>
              </w:tabs>
              <w:spacing w:line="153" w:lineRule="auto"/>
              <w:ind w:right="186"/>
              <w:jc w:val="center"/>
              <w:rPr>
                <w:b/>
                <w:sz w:val="17"/>
              </w:rPr>
            </w:pPr>
            <w:r>
              <w:rPr>
                <w:b/>
                <w:position w:val="-6"/>
                <w:sz w:val="17"/>
              </w:rPr>
              <w:t>sd</w:t>
              <w:tab/>
            </w:r>
            <w:r>
              <w:rPr>
                <w:b/>
                <w:sz w:val="17"/>
              </w:rPr>
              <w:t>BoE Qtly Uncertainty Index (left)</w:t>
            </w:r>
            <w:r>
              <w:rPr>
                <w:b/>
                <w:spacing w:val="5"/>
                <w:sz w:val="17"/>
              </w:rPr>
              <w:t> </w:t>
            </w:r>
            <w:r>
              <w:rPr>
                <w:b/>
                <w:position w:val="-12"/>
                <w:sz w:val="17"/>
              </w:rPr>
              <w:t>%</w:t>
            </w:r>
          </w:p>
          <w:p>
            <w:pPr>
              <w:pStyle w:val="TableParagraph"/>
              <w:tabs>
                <w:tab w:pos="4749" w:val="left" w:leader="none"/>
              </w:tabs>
              <w:spacing w:line="146" w:lineRule="exact"/>
              <w:ind w:left="60"/>
              <w:rPr>
                <w:b/>
                <w:sz w:val="17"/>
              </w:rPr>
            </w:pPr>
            <w:r>
              <w:rPr>
                <w:b/>
                <w:sz w:val="17"/>
              </w:rPr>
              <w:t>4</w:t>
              <w:tab/>
              <w:t>40</w:t>
            </w:r>
          </w:p>
          <w:p>
            <w:pPr>
              <w:pStyle w:val="TableParagraph"/>
              <w:tabs>
                <w:tab w:pos="1897" w:val="left" w:leader="none"/>
                <w:tab w:pos="4914" w:val="right" w:leader="none"/>
              </w:tabs>
              <w:spacing w:line="170" w:lineRule="auto" w:before="98"/>
              <w:ind w:left="60"/>
              <w:rPr>
                <w:b/>
                <w:sz w:val="17"/>
              </w:rPr>
            </w:pPr>
            <w:r>
              <w:rPr>
                <w:b/>
                <w:position w:val="-5"/>
                <w:sz w:val="17"/>
              </w:rPr>
              <w:t>3</w:t>
              <w:tab/>
            </w:r>
            <w:r>
              <w:rPr>
                <w:b/>
                <w:sz w:val="17"/>
              </w:rPr>
              <w:t>Tightening Of</w:t>
            </w:r>
            <w:r>
              <w:rPr>
                <w:b/>
                <w:spacing w:val="-14"/>
                <w:sz w:val="17"/>
              </w:rPr>
              <w:t> </w:t>
            </w:r>
            <w:r>
              <w:rPr>
                <w:b/>
                <w:sz w:val="17"/>
              </w:rPr>
              <w:t>Credit</w:t>
            </w:r>
            <w:r>
              <w:rPr>
                <w:b/>
                <w:spacing w:val="-7"/>
                <w:sz w:val="17"/>
              </w:rPr>
              <w:t> </w:t>
            </w:r>
            <w:r>
              <w:rPr>
                <w:b/>
                <w:sz w:val="17"/>
              </w:rPr>
              <w:t>Availability</w:t>
              <w:tab/>
            </w:r>
            <w:r>
              <w:rPr>
                <w:b/>
                <w:position w:val="-5"/>
                <w:sz w:val="17"/>
              </w:rPr>
              <w:t>30</w:t>
            </w:r>
          </w:p>
          <w:p>
            <w:pPr>
              <w:pStyle w:val="TableParagraph"/>
              <w:spacing w:line="176" w:lineRule="exact"/>
              <w:ind w:left="1897"/>
              <w:rPr>
                <w:b/>
                <w:sz w:val="17"/>
              </w:rPr>
            </w:pPr>
            <w:r>
              <w:rPr>
                <w:b/>
                <w:sz w:val="17"/>
              </w:rPr>
              <w:t>-- Past Three Months (right)</w:t>
            </w:r>
          </w:p>
          <w:p>
            <w:pPr>
              <w:pStyle w:val="TableParagraph"/>
              <w:tabs>
                <w:tab w:pos="4749" w:val="left" w:leader="none"/>
              </w:tabs>
              <w:spacing w:line="206" w:lineRule="exact"/>
              <w:ind w:left="60"/>
              <w:rPr>
                <w:b/>
                <w:sz w:val="17"/>
              </w:rPr>
            </w:pPr>
            <w:r>
              <w:rPr>
                <w:b/>
                <w:sz w:val="17"/>
              </w:rPr>
              <w:t>2</w:t>
              <w:tab/>
              <w:t>20</w:t>
            </w:r>
          </w:p>
          <w:p>
            <w:pPr>
              <w:pStyle w:val="TableParagraph"/>
              <w:spacing w:before="9"/>
              <w:rPr>
                <w:rFonts w:ascii="Arial"/>
                <w:sz w:val="12"/>
              </w:rPr>
            </w:pPr>
          </w:p>
          <w:p>
            <w:pPr>
              <w:pStyle w:val="TableParagraph"/>
              <w:tabs>
                <w:tab w:pos="4749" w:val="left" w:leader="none"/>
              </w:tabs>
              <w:ind w:left="60"/>
              <w:rPr>
                <w:b/>
                <w:sz w:val="17"/>
              </w:rPr>
            </w:pPr>
            <w:r>
              <w:rPr>
                <w:b/>
                <w:sz w:val="17"/>
              </w:rPr>
              <w:t>1</w:t>
              <w:tab/>
              <w:t>10</w:t>
            </w:r>
          </w:p>
          <w:p>
            <w:pPr>
              <w:pStyle w:val="TableParagraph"/>
              <w:spacing w:before="10"/>
              <w:rPr>
                <w:rFonts w:ascii="Arial"/>
                <w:sz w:val="12"/>
              </w:rPr>
            </w:pPr>
          </w:p>
          <w:p>
            <w:pPr>
              <w:pStyle w:val="TableParagraph"/>
              <w:tabs>
                <w:tab w:pos="4749" w:val="left" w:leader="none"/>
              </w:tabs>
              <w:ind w:left="60"/>
              <w:rPr>
                <w:b/>
                <w:sz w:val="17"/>
              </w:rPr>
            </w:pPr>
            <w:r>
              <w:rPr>
                <w:b/>
                <w:sz w:val="17"/>
              </w:rPr>
              <w:t>0</w:t>
              <w:tab/>
              <w:t>0</w:t>
            </w:r>
          </w:p>
          <w:p>
            <w:pPr>
              <w:pStyle w:val="TableParagraph"/>
              <w:spacing w:before="9"/>
              <w:rPr>
                <w:rFonts w:ascii="Arial"/>
                <w:sz w:val="12"/>
              </w:rPr>
            </w:pPr>
          </w:p>
          <w:p>
            <w:pPr>
              <w:pStyle w:val="TableParagraph"/>
              <w:tabs>
                <w:tab w:pos="4749" w:val="left" w:leader="none"/>
              </w:tabs>
              <w:ind w:left="10"/>
              <w:rPr>
                <w:b/>
                <w:sz w:val="17"/>
              </w:rPr>
            </w:pPr>
            <w:r>
              <w:rPr>
                <w:b/>
                <w:sz w:val="17"/>
              </w:rPr>
              <w:t>-1</w:t>
              <w:tab/>
              <w:t>-10</w:t>
            </w:r>
          </w:p>
          <w:p>
            <w:pPr>
              <w:pStyle w:val="TableParagraph"/>
              <w:spacing w:before="10"/>
              <w:rPr>
                <w:rFonts w:ascii="Arial"/>
                <w:sz w:val="12"/>
              </w:rPr>
            </w:pPr>
          </w:p>
          <w:p>
            <w:pPr>
              <w:pStyle w:val="TableParagraph"/>
              <w:tabs>
                <w:tab w:pos="4749" w:val="left" w:leader="none"/>
              </w:tabs>
              <w:ind w:left="10"/>
              <w:rPr>
                <w:b/>
                <w:sz w:val="17"/>
              </w:rPr>
            </w:pPr>
            <w:r>
              <w:rPr>
                <w:b/>
                <w:sz w:val="17"/>
              </w:rPr>
              <w:t>-2</w:t>
              <w:tab/>
              <w:t>-20</w:t>
            </w:r>
          </w:p>
          <w:p>
            <w:pPr>
              <w:pStyle w:val="TableParagraph"/>
              <w:spacing w:before="9"/>
              <w:rPr>
                <w:rFonts w:ascii="Arial"/>
                <w:sz w:val="12"/>
              </w:rPr>
            </w:pPr>
          </w:p>
          <w:p>
            <w:pPr>
              <w:pStyle w:val="TableParagraph"/>
              <w:tabs>
                <w:tab w:pos="4749" w:val="left" w:leader="none"/>
              </w:tabs>
              <w:ind w:left="10"/>
              <w:rPr>
                <w:b/>
                <w:sz w:val="17"/>
              </w:rPr>
            </w:pPr>
            <w:r>
              <w:rPr>
                <w:b/>
                <w:sz w:val="17"/>
              </w:rPr>
              <w:t>-3</w:t>
              <w:tab/>
              <w:t>-30</w:t>
            </w:r>
          </w:p>
          <w:p>
            <w:pPr>
              <w:pStyle w:val="TableParagraph"/>
              <w:tabs>
                <w:tab w:pos="819" w:val="left" w:leader="none"/>
                <w:tab w:pos="1639" w:val="left" w:leader="none"/>
                <w:tab w:pos="2459" w:val="left" w:leader="none"/>
                <w:tab w:pos="3279" w:val="left" w:leader="none"/>
                <w:tab w:pos="4099" w:val="left" w:leader="none"/>
              </w:tabs>
              <w:spacing w:before="14"/>
              <w:ind w:right="197"/>
              <w:jc w:val="center"/>
              <w:rPr>
                <w:b/>
                <w:sz w:val="17"/>
              </w:rPr>
            </w:pPr>
            <w:r>
              <w:rPr>
                <w:b/>
                <w:sz w:val="17"/>
              </w:rPr>
              <w:t>2007</w:t>
              <w:tab/>
              <w:t>2009</w:t>
              <w:tab/>
              <w:t>2011</w:t>
              <w:tab/>
              <w:t>2013</w:t>
              <w:tab/>
              <w:t>2015</w:t>
              <w:tab/>
              <w:t>2017</w:t>
            </w:r>
          </w:p>
        </w:tc>
        <w:tc>
          <w:tcPr>
            <w:tcW w:w="136" w:type="dxa"/>
            <w:tcBorders>
              <w:left w:val="thinThickMediumGap" w:sz="2" w:space="0" w:color="000000"/>
              <w:bottom w:val="nil"/>
              <w:right w:val="single" w:sz="2" w:space="0" w:color="858585"/>
            </w:tcBorders>
          </w:tcPr>
          <w:p>
            <w:pPr>
              <w:pStyle w:val="TableParagraph"/>
              <w:rPr>
                <w:rFonts w:ascii="Times New Roman"/>
                <w:sz w:val="18"/>
              </w:rPr>
            </w:pPr>
          </w:p>
        </w:tc>
        <w:tc>
          <w:tcPr>
            <w:tcW w:w="4915" w:type="dxa"/>
            <w:tcBorders>
              <w:top w:val="single" w:sz="8" w:space="0" w:color="000000"/>
              <w:left w:val="single" w:sz="2" w:space="0" w:color="858585"/>
              <w:bottom w:val="single" w:sz="2" w:space="0" w:color="858585"/>
              <w:right w:val="single" w:sz="2" w:space="0" w:color="858585"/>
            </w:tcBorders>
          </w:tcPr>
          <w:p>
            <w:pPr>
              <w:pStyle w:val="TableParagraph"/>
              <w:tabs>
                <w:tab w:pos="4652" w:val="left" w:leader="none"/>
              </w:tabs>
              <w:spacing w:line="161" w:lineRule="exact" w:before="9"/>
              <w:ind w:left="61"/>
              <w:rPr>
                <w:b/>
                <w:sz w:val="16"/>
              </w:rPr>
            </w:pPr>
            <w:r>
              <w:rPr>
                <w:b/>
                <w:sz w:val="16"/>
              </w:rPr>
              <w:t>5</w:t>
              <w:tab/>
              <w:t>4.0</w:t>
            </w:r>
          </w:p>
          <w:p>
            <w:pPr>
              <w:pStyle w:val="TableParagraph"/>
              <w:tabs>
                <w:tab w:pos="3695" w:val="left" w:leader="none"/>
              </w:tabs>
              <w:spacing w:line="117" w:lineRule="auto" w:before="23"/>
              <w:ind w:right="343"/>
              <w:jc w:val="center"/>
              <w:rPr>
                <w:sz w:val="16"/>
              </w:rPr>
            </w:pPr>
            <w:r>
              <w:rPr>
                <w:sz w:val="16"/>
              </w:rPr>
              <w:t>sd</w:t>
              <w:tab/>
            </w:r>
            <w:r>
              <w:rPr>
                <w:position w:val="-3"/>
                <w:sz w:val="16"/>
              </w:rPr>
              <w:t>%</w:t>
            </w:r>
          </w:p>
          <w:p>
            <w:pPr>
              <w:pStyle w:val="TableParagraph"/>
              <w:spacing w:line="113" w:lineRule="exact"/>
              <w:ind w:left="4652"/>
              <w:rPr>
                <w:b/>
                <w:sz w:val="16"/>
              </w:rPr>
            </w:pPr>
            <w:r>
              <w:rPr>
                <w:b/>
                <w:sz w:val="16"/>
              </w:rPr>
              <w:t>3.5</w:t>
            </w:r>
          </w:p>
          <w:p>
            <w:pPr>
              <w:pStyle w:val="TableParagraph"/>
              <w:tabs>
                <w:tab w:pos="814" w:val="left" w:leader="none"/>
              </w:tabs>
              <w:spacing w:line="148" w:lineRule="exact"/>
              <w:ind w:left="61"/>
              <w:rPr>
                <w:b/>
                <w:sz w:val="16"/>
              </w:rPr>
            </w:pPr>
            <w:r>
              <w:rPr>
                <w:b/>
                <w:position w:val="2"/>
                <w:sz w:val="16"/>
              </w:rPr>
              <w:t>4</w:t>
              <w:tab/>
            </w:r>
            <w:r>
              <w:rPr>
                <w:b/>
                <w:sz w:val="16"/>
              </w:rPr>
              <w:t>BoE Uncertainty Index</w:t>
            </w:r>
          </w:p>
          <w:p>
            <w:pPr>
              <w:pStyle w:val="TableParagraph"/>
              <w:tabs>
                <w:tab w:pos="4652" w:val="left" w:leader="none"/>
              </w:tabs>
              <w:spacing w:line="221" w:lineRule="exact"/>
              <w:ind w:left="814"/>
              <w:rPr>
                <w:b/>
                <w:sz w:val="16"/>
              </w:rPr>
            </w:pPr>
            <w:r>
              <w:rPr>
                <w:b/>
                <w:sz w:val="16"/>
              </w:rPr>
              <w:t>(left)</w:t>
              <w:tab/>
            </w:r>
            <w:r>
              <w:rPr>
                <w:b/>
                <w:position w:val="6"/>
                <w:sz w:val="16"/>
              </w:rPr>
              <w:t>3.0</w:t>
            </w:r>
          </w:p>
          <w:p>
            <w:pPr>
              <w:pStyle w:val="TableParagraph"/>
              <w:tabs>
                <w:tab w:pos="672" w:val="left" w:leader="none"/>
                <w:tab w:pos="4652" w:val="left" w:leader="none"/>
              </w:tabs>
              <w:spacing w:line="186" w:lineRule="exact"/>
              <w:ind w:left="61"/>
              <w:rPr>
                <w:b/>
                <w:sz w:val="16"/>
              </w:rPr>
            </w:pPr>
            <w:r>
              <w:rPr>
                <w:b/>
                <w:position w:val="4"/>
                <w:sz w:val="16"/>
              </w:rPr>
              <w:t>3</w:t>
              <w:tab/>
            </w:r>
            <w:r>
              <w:rPr>
                <w:b/>
                <w:position w:val="4"/>
                <w:sz w:val="16"/>
                <w:u w:val="thick" w:color="0000FF"/>
              </w:rPr>
              <w:t> </w:t>
            </w:r>
            <w:r>
              <w:rPr>
                <w:b/>
                <w:position w:val="4"/>
                <w:sz w:val="16"/>
              </w:rPr>
              <w:tab/>
            </w:r>
            <w:r>
              <w:rPr>
                <w:b/>
                <w:sz w:val="16"/>
              </w:rPr>
              <w:t>2.5</w:t>
            </w:r>
          </w:p>
          <w:p>
            <w:pPr>
              <w:pStyle w:val="TableParagraph"/>
              <w:spacing w:line="138" w:lineRule="exact"/>
              <w:ind w:left="814"/>
              <w:rPr>
                <w:b/>
                <w:sz w:val="16"/>
              </w:rPr>
            </w:pPr>
            <w:r>
              <w:rPr>
                <w:b/>
                <w:sz w:val="16"/>
              </w:rPr>
              <w:t>Spread On 2-year Fixed</w:t>
            </w:r>
          </w:p>
          <w:p>
            <w:pPr>
              <w:pStyle w:val="TableParagraph"/>
              <w:tabs>
                <w:tab w:pos="814" w:val="left" w:leader="none"/>
                <w:tab w:pos="4652" w:val="left" w:leader="none"/>
              </w:tabs>
              <w:ind w:left="61"/>
              <w:rPr>
                <w:b/>
                <w:sz w:val="16"/>
              </w:rPr>
            </w:pPr>
            <w:r>
              <w:rPr>
                <w:b/>
                <w:position w:val="-3"/>
                <w:sz w:val="16"/>
              </w:rPr>
              <w:t>2</w:t>
              <w:tab/>
            </w:r>
            <w:r>
              <w:rPr>
                <w:b/>
                <w:sz w:val="16"/>
              </w:rPr>
              <w:t>Mortgage Rates (right)</w:t>
              <w:tab/>
            </w:r>
            <w:r>
              <w:rPr>
                <w:b/>
                <w:position w:val="4"/>
                <w:sz w:val="16"/>
              </w:rPr>
              <w:t>2.0</w:t>
            </w:r>
          </w:p>
          <w:p>
            <w:pPr>
              <w:pStyle w:val="TableParagraph"/>
              <w:ind w:right="49"/>
              <w:jc w:val="right"/>
              <w:rPr>
                <w:b/>
                <w:sz w:val="16"/>
              </w:rPr>
            </w:pPr>
            <w:r>
              <w:rPr>
                <w:b/>
                <w:sz w:val="16"/>
              </w:rPr>
              <w:t>1.5</w:t>
            </w:r>
          </w:p>
          <w:p>
            <w:pPr>
              <w:pStyle w:val="TableParagraph"/>
              <w:tabs>
                <w:tab w:pos="4652" w:val="left" w:leader="none"/>
              </w:tabs>
              <w:ind w:left="61"/>
              <w:rPr>
                <w:b/>
                <w:sz w:val="16"/>
              </w:rPr>
            </w:pPr>
            <w:r>
              <w:rPr>
                <w:b/>
                <w:position w:val="8"/>
                <w:sz w:val="16"/>
              </w:rPr>
              <w:t>1</w:t>
              <w:tab/>
            </w:r>
            <w:r>
              <w:rPr>
                <w:b/>
                <w:sz w:val="16"/>
              </w:rPr>
              <w:t>1.0</w:t>
            </w:r>
          </w:p>
          <w:p>
            <w:pPr>
              <w:pStyle w:val="TableParagraph"/>
              <w:tabs>
                <w:tab w:pos="4652" w:val="left" w:leader="none"/>
              </w:tabs>
              <w:spacing w:before="72"/>
              <w:ind w:left="61"/>
              <w:rPr>
                <w:b/>
                <w:sz w:val="16"/>
              </w:rPr>
            </w:pPr>
            <w:r>
              <w:rPr>
                <w:b/>
                <w:position w:val="-3"/>
                <w:sz w:val="16"/>
              </w:rPr>
              <w:t>0</w:t>
              <w:tab/>
            </w:r>
            <w:r>
              <w:rPr>
                <w:b/>
                <w:sz w:val="16"/>
              </w:rPr>
              <w:t>0.5</w:t>
            </w:r>
          </w:p>
          <w:p>
            <w:pPr>
              <w:pStyle w:val="TableParagraph"/>
              <w:spacing w:line="177" w:lineRule="exact" w:before="43"/>
              <w:ind w:left="4652"/>
              <w:rPr>
                <w:b/>
                <w:sz w:val="16"/>
              </w:rPr>
            </w:pPr>
            <w:r>
              <w:rPr>
                <w:b/>
                <w:sz w:val="16"/>
              </w:rPr>
              <w:t>0.0</w:t>
            </w:r>
          </w:p>
          <w:p>
            <w:pPr>
              <w:pStyle w:val="TableParagraph"/>
              <w:spacing w:line="139" w:lineRule="exact"/>
              <w:ind w:left="12"/>
              <w:rPr>
                <w:b/>
                <w:sz w:val="16"/>
              </w:rPr>
            </w:pPr>
            <w:r>
              <w:rPr>
                <w:b/>
                <w:sz w:val="16"/>
              </w:rPr>
              <w:t>-1</w:t>
            </w:r>
          </w:p>
          <w:p>
            <w:pPr>
              <w:pStyle w:val="TableParagraph"/>
              <w:spacing w:line="157" w:lineRule="exact"/>
              <w:ind w:right="1"/>
              <w:jc w:val="right"/>
              <w:rPr>
                <w:b/>
                <w:sz w:val="16"/>
              </w:rPr>
            </w:pPr>
            <w:r>
              <w:rPr>
                <w:b/>
                <w:spacing w:val="-1"/>
                <w:sz w:val="16"/>
              </w:rPr>
              <w:t>-0.5</w:t>
            </w:r>
          </w:p>
          <w:p>
            <w:pPr>
              <w:pStyle w:val="TableParagraph"/>
              <w:tabs>
                <w:tab w:pos="4640" w:val="left" w:leader="none"/>
              </w:tabs>
              <w:spacing w:before="82"/>
              <w:jc w:val="right"/>
              <w:rPr>
                <w:b/>
                <w:sz w:val="16"/>
              </w:rPr>
            </w:pPr>
            <w:r>
              <w:rPr>
                <w:b/>
                <w:sz w:val="16"/>
              </w:rPr>
              <w:t>-2</w:t>
              <w:tab/>
            </w:r>
            <w:r>
              <w:rPr>
                <w:b/>
                <w:spacing w:val="-1"/>
                <w:sz w:val="16"/>
              </w:rPr>
              <w:t>-1.0</w:t>
            </w:r>
          </w:p>
          <w:p>
            <w:pPr>
              <w:pStyle w:val="TableParagraph"/>
              <w:tabs>
                <w:tab w:pos="565" w:val="left" w:leader="none"/>
                <w:tab w:pos="1131" w:val="left" w:leader="none"/>
                <w:tab w:pos="1696" w:val="left" w:leader="none"/>
                <w:tab w:pos="2262" w:val="left" w:leader="none"/>
                <w:tab w:pos="2827" w:val="left" w:leader="none"/>
                <w:tab w:pos="3393" w:val="left" w:leader="none"/>
                <w:tab w:pos="3959" w:val="left" w:leader="none"/>
              </w:tabs>
              <w:spacing w:before="21"/>
              <w:ind w:right="347"/>
              <w:jc w:val="center"/>
              <w:rPr>
                <w:b/>
                <w:sz w:val="16"/>
              </w:rPr>
            </w:pPr>
            <w:r>
              <w:rPr>
                <w:b/>
                <w:sz w:val="16"/>
              </w:rPr>
              <w:t>1995</w:t>
              <w:tab/>
              <w:t>1998</w:t>
              <w:tab/>
              <w:t>2001</w:t>
              <w:tab/>
              <w:t>2004</w:t>
              <w:tab/>
              <w:t>2007</w:t>
              <w:tab/>
              <w:t>2010</w:t>
              <w:tab/>
              <w:t>2013</w:t>
              <w:tab/>
              <w:t>2016</w:t>
            </w:r>
          </w:p>
        </w:tc>
        <w:tc>
          <w:tcPr>
            <w:tcW w:w="181" w:type="dxa"/>
            <w:tcBorders>
              <w:left w:val="single" w:sz="2" w:space="0" w:color="858585"/>
              <w:bottom w:val="nil"/>
            </w:tcBorders>
          </w:tcPr>
          <w:p>
            <w:pPr>
              <w:pStyle w:val="TableParagraph"/>
              <w:rPr>
                <w:rFonts w:ascii="Times New Roman"/>
                <w:sz w:val="18"/>
              </w:rPr>
            </w:pPr>
          </w:p>
        </w:tc>
      </w:tr>
      <w:tr>
        <w:trPr>
          <w:trHeight w:val="151" w:hRule="atLeast"/>
        </w:trPr>
        <w:tc>
          <w:tcPr>
            <w:tcW w:w="111" w:type="dxa"/>
            <w:tcBorders>
              <w:top w:val="nil"/>
              <w:right w:val="nil"/>
            </w:tcBorders>
          </w:tcPr>
          <w:p>
            <w:pPr>
              <w:pStyle w:val="TableParagraph"/>
              <w:rPr>
                <w:rFonts w:ascii="Times New Roman"/>
                <w:sz w:val="8"/>
              </w:rPr>
            </w:pPr>
          </w:p>
        </w:tc>
        <w:tc>
          <w:tcPr>
            <w:tcW w:w="5003" w:type="dxa"/>
            <w:tcBorders>
              <w:top w:val="single" w:sz="4" w:space="0" w:color="858585"/>
              <w:left w:val="nil"/>
            </w:tcBorders>
          </w:tcPr>
          <w:p>
            <w:pPr>
              <w:pStyle w:val="TableParagraph"/>
              <w:rPr>
                <w:rFonts w:ascii="Times New Roman"/>
                <w:sz w:val="8"/>
              </w:rPr>
            </w:pPr>
          </w:p>
        </w:tc>
        <w:tc>
          <w:tcPr>
            <w:tcW w:w="5232" w:type="dxa"/>
            <w:gridSpan w:val="3"/>
            <w:tcBorders>
              <w:top w:val="single" w:sz="2" w:space="0" w:color="858585"/>
            </w:tcBorders>
          </w:tcPr>
          <w:p>
            <w:pPr>
              <w:pStyle w:val="TableParagraph"/>
              <w:rPr>
                <w:rFonts w:ascii="Times New Roman"/>
                <w:sz w:val="8"/>
              </w:rPr>
            </w:pPr>
          </w:p>
        </w:tc>
      </w:tr>
    </w:tbl>
    <w:p>
      <w:pPr>
        <w:pStyle w:val="BodyText"/>
        <w:spacing w:line="360" w:lineRule="auto" w:before="19"/>
        <w:ind w:left="673" w:right="293"/>
      </w:pPr>
      <w:r>
        <w:rPr/>
        <w:pict>
          <v:group style="position:absolute;margin-left:45.987736pt;margin-top:-168.634048pt;width:220.4pt;height:142.3pt;mso-position-horizontal-relative:page;mso-position-vertical-relative:paragraph;z-index:-253798400" coordorigin="920,-3373" coordsize="4408,2846">
            <v:rect style="position:absolute;left:971;top:-3371;width:4304;height:2840" filled="false" stroked="true" strokeweight=".251951pt" strokecolor="#000000">
              <v:stroke dashstyle="solid"/>
            </v:rect>
            <v:shape style="position:absolute;left:720;top:1796;width:12965;height:8016" coordorigin="720,1797" coordsize="12965,8016" path="m5276,-530l5276,-3370m5276,-530l5327,-530m5276,-885l5327,-885m5276,-1240l5327,-1240m5276,-1595l5327,-1595m5276,-1950l5327,-1950m5276,-2305l5327,-2305m5276,-2660l5327,-2660m5276,-3015l5327,-3015m5276,-3370l5327,-3370m972,-530l972,-3370m920,-530l972,-530m920,-885l972,-885m920,-1240l972,-1240m920,-1595l972,-1595m920,-1950l972,-1950m920,-2305l972,-2305m920,-2660l972,-2660m920,-3015l972,-3015m920,-3370l972,-3370m972,-1595l5276,-1595e" filled="false" stroked="true" strokeweight=".249919pt" strokecolor="#858585">
              <v:path arrowok="t"/>
              <v:stroke dashstyle="solid"/>
            </v:shape>
            <v:shape style="position:absolute;left:1022;top:-3121;width:4100;height:2028" coordorigin="1023,-3120" coordsize="4100,2028" path="m1023,-1228l1125,-1122,1228,-1388,1330,-1485,1433,-1755,1535,-1802,1638,-2178,1740,-2922,1842,-3120,1945,-2624,2047,-2306,2150,-2096,2253,-2019,2355,-2030,2458,-2120,2560,-2129,2662,-2099,2765,-1945,2867,-2108,2970,-2334,3072,-2020,3175,-2039,3278,-1932,3380,-1801,3482,-1805,3585,-1691,3687,-1491,3790,-1365,3892,-1308,3995,-1093,4097,-1194,4199,-1221,4302,-1306,4404,-1392,4507,-1330,4610,-1378,4712,-1583,4815,-1836,4917,-1845,5019,-1786,5122,-1674e" filled="false" stroked="true" strokeweight=".927868pt" strokecolor="#ff00ff">
              <v:path arrowok="t"/>
              <v:stroke dashstyle="solid"/>
            </v:shape>
            <v:shape style="position:absolute;left:1125;top:-3034;width:3997;height:2349" coordorigin="1125,-3033" coordsize="3997,2349" path="m1125,-1689l1228,-1835,1330,-2857,1433,-2721,1535,-3033,1638,-2920,1740,-2666,1842,-2125,1945,-1272,2047,-1529,2150,-1122,2253,-1352,2355,-1384,2458,-1318,2560,-1508,2662,-1445,2765,-1484,2867,-1311,2970,-1409,3072,-1520,3175,-1701,3278,-1146,3380,-685,3482,-1045,3585,-1004,3687,-956,3790,-1057,3892,-1323,3995,-1328,4097,-2230,4199,-1345,4302,-1649,4404,-1369,4507,-1195,4610,-1430,4712,-1637,4815,-1653,4917,-1611,5019,-1688,5122,-1516e" filled="false" stroked="true" strokeweight=".925588pt" strokecolor="#0000ff">
              <v:path arrowok="t"/>
              <v:stroke dashstyle="solid"/>
            </v:shape>
            <v:line style="position:absolute" from="2430,-3227" to="2560,-3227" stroked="true" strokeweight=".935309pt" strokecolor="#ff00ff">
              <v:stroke dashstyle="solid"/>
            </v:line>
            <v:line style="position:absolute" from="2430,-2717" to="2560,-2717" stroked="true" strokeweight=".935309pt" strokecolor="#0000ff">
              <v:stroke dashstyle="solid"/>
            </v:line>
            <w10:wrap type="none"/>
          </v:group>
        </w:pict>
      </w:r>
      <w:r>
        <w:rPr/>
        <w:pict>
          <v:group style="position:absolute;margin-left:302.772827pt;margin-top:-168.734253pt;width:215.65pt;height:139.1pt;mso-position-horizontal-relative:page;mso-position-vertical-relative:paragraph;z-index:-253797376" coordorigin="6055,-3375" coordsize="4313,2782">
            <v:rect style="position:absolute;left:6106;top:-3373;width:4210;height:2777" filled="false" stroked="true" strokeweight=".24658pt" strokecolor="#000000">
              <v:stroke dashstyle="solid"/>
            </v:rect>
            <v:shape style="position:absolute;left:720;top:1775;width:12860;height:8036" coordorigin="720,1775" coordsize="12860,8036" path="m10316,-596l10316,-3372m10316,-596l10368,-596m10316,-873l10368,-873m10316,-1151l10368,-1151m10316,-1429l10368,-1429m10316,-1706l10368,-1706m10316,-1984l10368,-1984m10316,-2262l10368,-2262m10316,-2540l10368,-2540m10316,-2817l10368,-2817m10316,-3094l10368,-3094m10316,-3372l10368,-3372m6107,-596l6107,-3372m6055,-596l6107,-596m6055,-993l6107,-993m6055,-1389l6107,-1389m6055,-1786l6107,-1786m6055,-2182l6107,-2182m6055,-2579l6107,-2579m6055,-2976l6107,-2976m6055,-3372l6107,-3372m6107,-1389l10316,-1389e" filled="false" stroked="true" strokeweight=".245133pt" strokecolor="#858585">
              <v:path arrowok="t"/>
              <v:stroke dashstyle="solid"/>
            </v:shape>
            <v:shape style="position:absolute;left:6114;top:-3065;width:3142;height:2245" coordorigin="6115,-3065" coordsize="3142,2245" path="m6115,-1275l6130,-1371,6146,-1446,6161,-1362,6177,-1408,6193,-1238,6209,-1184,6225,-1081,6240,-1077,6256,-1048,6272,-1094,6288,-1071,6303,-1014,6319,-1044,6334,-1028,6350,-979,6366,-993,6382,-969,6397,-932,6413,-904,6429,-851,6445,-918,6460,-911,6476,-994,6491,-1079,6507,-1110,6523,-1195,6539,-1177,6554,-990,6570,-1057,6585,-1174,6602,-1276,6617,-1361,6633,-1256,6648,-1361,6664,-1220,6680,-1141,6696,-1035,6712,-998,6727,-953,6743,-988,6758,-1120,6775,-1169,6790,-1336,6806,-1524,6821,-1837,6837,-1612,6853,-1635,6869,-1464,6884,-1343,6900,-1274,6915,-1214,6932,-1163,6947,-1130,6963,-1130,6978,-1142,6994,-1167,7010,-1003,7026,-1051,7041,-821,7057,-940,7072,-1100,7088,-1143,7104,-1159,7120,-1227,7136,-1147,7151,-1118,7167,-995,7183,-1126,7199,-1020,7214,-1095,7230,-1162,7245,-1166,7262,-1145,7277,-1210,7293,-1161,7308,-1056,7324,-981,7340,-1006,7356,-1074,7371,-1398,7387,-1607,7402,-1422,7418,-1247,7434,-1157,7450,-1074,7465,-958,7481,-944,7497,-1122,7513,-1277,7528,-1547,7544,-1470,7559,-1574,7575,-1596,7592,-1232,7607,-1546,7623,-1739,7638,-1787,7654,-1829,7670,-1593,7686,-1433,7701,-1447,7717,-1331,7732,-1297,7748,-1043,7764,-1215,7780,-1226,7795,-1142,7811,-958,7827,-1093,7843,-1134,7858,-1132,7874,-1133,7889,-1081,7905,-1103,7921,-1135,7937,-1141,7952,-1112,7968,-1078,7983,-1061,8000,-967,8015,-920,8031,-923,8047,-1000,8062,-1050,8078,-1019,8094,-1051,8110,-1034,8125,-1171,8141,-1159,8157,-1180,8173,-1115,8188,-1083,8204,-1054,8219,-1101,8235,-986,8251,-1169,8267,-1187,8282,-1157,8298,-1142,8313,-1219,8330,-1052,8345,-1035,8361,-1024,8376,-1122,8392,-1068,8408,-1171,8424,-1091,8439,-1011,8455,-1001,8470,-1009,8487,-1196,8502,-1291,8518,-1295,8534,-1538,8549,-1498,8565,-1662,8581,-1693,8597,-1761,8612,-1722,8628,-1702,8643,-1828,8660,-2059,8675,-1905,8691,-2056,8706,-2806,8722,-2932,8738,-2841,8754,-3065,8769,-2861,8785,-2749,8800,-2527,8817,-2299,8832,-2284,8848,-2158,8863,-2044,8879,-1941,8895,-1821,8911,-1820,8926,-1853,8942,-1710,8957,-1709,8973,-1806,8990,-1627,9005,-2007,9021,-1959,9036,-2085,9052,-1933,9068,-1857,9084,-1902,9099,-1929,9115,-1853,9130,-1818,9146,-1820,9162,-1883,9178,-1856,9193,-1590,9209,-1632,9225,-1687,9241,-1945,9256,-2163e" filled="false" stroked="true" strokeweight="1.026352pt" strokecolor="#ff00ff">
              <v:path arrowok="t"/>
              <v:stroke dashstyle="solid"/>
            </v:shape>
            <v:shape style="position:absolute;left:9255;top:-2265;width:1037;height:1472" coordorigin="9256,-2265" coordsize="1037,1472" path="m9256,-2163l9272,-2239,9287,-2265,9303,-1994,9319,-1949,9335,-1822,9350,-1842,9366,-1745,9382,-1952,9398,-1931,9413,-1747,9429,-1652,9445,-1678,9460,-1675,9476,-1585,9492,-1492,9508,-1545,9523,-1492,9539,-1460,9555,-1347,9571,-1327,9586,-1361,9602,-1218,9617,-1184,9633,-1082,9649,-1087,9665,-1006,9680,-1151,9696,-1033,9712,-984,9728,-1001,9743,-825,9759,-801,9774,-797,9790,-793,9806,-842,9822,-1019,9837,-890,9853,-903,9868,-977,9885,-1106,9901,-1085,9916,-1083,9932,-1118,9947,-1068,9963,-985,9979,-950,9995,-996,10010,-1234,10026,-1171,10041,-1142,10058,-976,10073,-1196,10089,-1432,10104,-1558,10120,-1559,10136,-1740,10152,-2024,10167,-2066,10183,-1517,10198,-1427,10215,-1544,10230,-1730,10246,-1489,10261,-1458,10277,-1425,10293,-1439e" filled="false" stroked="true" strokeweight="1.016232pt" strokecolor="#ff00ff">
              <v:path arrowok="t"/>
              <v:stroke dashstyle="solid"/>
            </v:shape>
            <v:shape style="position:absolute;left:6114;top:-2594;width:3142;height:1724" coordorigin="6115,-2594" coordsize="3142,1724" path="m6115,-999l6130,-1195,6146,-1084,6161,-1298,6177,-1391,6193,-1402,6209,-1362,6225,-1521,6240,-1727,6256,-1678,6272,-1861,6288,-2049,6303,-1311,6319,-1244,6334,-977,6350,-965,6366,-1196,6382,-1319,6397,-1442,6413,-1449,6429,-1411,6445,-1312,6460,-1052,6476,-1205,6491,-1269,6507,-1443,6523,-1199,6539,-1159,6554,-1188,6570,-1113,6585,-1034,6602,-1020,6617,-1024,6633,-1030,6648,-882,6664,-1031,6680,-1156,6696,-1166,6712,-1082,6727,-1199,6743,-1205,6758,-909,6775,-930,6790,-1259,6806,-1510,6821,-1546,6837,-1487,6853,-1614,6869,-1515,6884,-1491,6900,-1334,6915,-1346,6932,-1244,6947,-1210,6963,-1171,6978,-1019,6994,-928,7010,-978,7026,-1117,7041,-972,7057,-999,7072,-1093,7088,-948,7104,-870,7120,-930,7136,-1074,7151,-1088,7167,-1070,7183,-1099,7199,-1016,7214,-1152,7230,-1290,7245,-1231,7262,-1230,7277,-1357,7293,-1356,7308,-1289,7324,-1162,7340,-1261,7356,-1272,7371,-1345,7387,-1294,7402,-1315,7418,-1167,7434,-1155,7450,-1217,7465,-1116,7481,-1210,7497,-1258,7513,-1299,7528,-1400,7544,-1223,7559,-1285,7575,-1247,7592,-1231,7607,-1329,7623,-1384,7638,-1410,7654,-1359,7670,-1305,7686,-1294,7701,-1300,7717,-1250,7732,-1211,7748,-1265,7764,-1342,7780,-1291,7795,-1346,7811,-1317,7827,-1266,7843,-1237,7858,-1225,7874,-1129,7889,-1194,7905,-1253,7921,-1264,7937,-1249,7952,-1327,7968,-1233,7983,-1286,8000,-1242,8015,-1201,8031,-1190,8047,-1268,8062,-1264,8078,-1278,8094,-1260,8110,-1184,8125,-1188,8141,-1146,8157,-1181,8173,-1200,8188,-1160,8204,-1196,8219,-1131,8235,-1098,8251,-1120,8267,-1106,8282,-1123,8298,-1090,8313,-1088,8330,-966,8345,-1075,8361,-1001,8376,-944,8392,-1001,8408,-1103,8424,-1050,8439,-1006,8455,-1018,8470,-1033,8487,-1126,8502,-1217,8518,-1331,8534,-1447,8549,-1526,8565,-1692,8581,-1594,8597,-1570,8612,-1610,8628,-1514,8643,-1360,8660,-1412,8675,-1503,8691,-1492,8706,-1789,8722,-2036,8738,-2239,8754,-2304,8769,-2367,8785,-2133,8800,-2175,8817,-2250,8832,-2361,8848,-2415,8863,-2445,8879,-2594,8895,-2528,8911,-2392,8926,-2384,8942,-2338,8957,-2401,8973,-2435,8990,-2365,9005,-2402,9021,-2365,9036,-2457,9052,-2510,9068,-2539,9084,-2507,9099,-2342,9115,-2250,9130,-2263,9146,-2133,9162,-2190,9178,-2205,9193,-2242,9209,-2228,9225,-2138,9241,-2138,9256,-2095e" filled="false" stroked="true" strokeweight="1.029617pt" strokecolor="#0000ff">
              <v:path arrowok="t"/>
              <v:stroke dashstyle="solid"/>
            </v:shape>
            <v:shape style="position:absolute;left:9255;top:-2745;width:1037;height:1177" coordorigin="9256,-2745" coordsize="1037,1177" path="m9256,-2095l9272,-2093,9287,-2081,9303,-2200,9319,-2263,9335,-2325,9350,-2367,9366,-2471,9382,-2473,9398,-2642,9413,-2704,9429,-2739,9445,-2745,9460,-2707,9476,-2674,9492,-2626,9508,-2468,9523,-2396,9539,-2427,9555,-2420,9571,-2297,9586,-2177,9602,-2198,9617,-2137,9633,-2074,9649,-2063,9665,-2052,9680,-1982,9696,-1922,9712,-1939,9728,-1910,9743,-1973,9759,-1948,9774,-1897,9790,-1814,9806,-1860,9822,-1827,9837,-1764,9853,-1785,9868,-1773,9885,-1789,9901,-1710,9916,-1730,9932,-1722,9947,-1645,9963,-1578,9979,-1568,9995,-1633,10010,-1655,10026,-1667,10041,-1665,10058,-1640,10073,-1719,10089,-1813,10104,-1758,10120,-1717,10136,-1763,10152,-1730,10167,-1828,10183,-1853,10198,-1789,10215,-1679,10230,-1580,10246,-1595,10261,-1590,10277,-1595,10293,-1568e" filled="false" stroked="true" strokeweight="1.019453pt" strokecolor="#0000ff">
              <v:path arrowok="t"/>
              <v:stroke dashstyle="solid"/>
            </v:shape>
            <v:line style="position:absolute" from="6486,-2960" to="6615,-2960" stroked="true" strokeweight="1.036705pt" strokecolor="#ff00ff">
              <v:stroke dashstyle="solid"/>
            </v:line>
            <w10:wrap type="none"/>
          </v:group>
        </w:pict>
      </w:r>
      <w:r>
        <w:rPr/>
        <w:t>Note: In the left chart, spreads are measured as the average spread over swap rates on 2-year fixed mortgages with 75% LTV. In the right chart, the overall reading for credit availability is the weighted average of the readings for secured personal lending, unsecured personal lending and corporate lending. Uncertainty index measured as standard deviations from average. Source: BoE.</w:t>
      </w:r>
    </w:p>
    <w:p>
      <w:pPr>
        <w:pStyle w:val="BodyText"/>
      </w:pPr>
    </w:p>
    <w:p>
      <w:pPr>
        <w:pStyle w:val="BodyText"/>
      </w:pPr>
    </w:p>
    <w:p>
      <w:pPr>
        <w:pStyle w:val="BodyText"/>
        <w:spacing w:before="1"/>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586"/>
        <w:gridCol w:w="443"/>
        <w:gridCol w:w="110"/>
        <w:gridCol w:w="4640"/>
        <w:gridCol w:w="455"/>
      </w:tblGrid>
      <w:tr>
        <w:trPr>
          <w:trHeight w:val="1036" w:hRule="atLeast"/>
        </w:trPr>
        <w:tc>
          <w:tcPr>
            <w:tcW w:w="5140" w:type="dxa"/>
            <w:gridSpan w:val="3"/>
            <w:tcBorders>
              <w:bottom w:val="single" w:sz="6" w:space="0" w:color="000000"/>
            </w:tcBorders>
          </w:tcPr>
          <w:p>
            <w:pPr>
              <w:pStyle w:val="TableParagraph"/>
              <w:spacing w:line="357" w:lineRule="auto"/>
              <w:ind w:left="107" w:right="278"/>
              <w:rPr>
                <w:rFonts w:ascii="Arial"/>
                <w:sz w:val="20"/>
              </w:rPr>
            </w:pPr>
            <w:r>
              <w:rPr>
                <w:rFonts w:ascii="Arial"/>
                <w:sz w:val="20"/>
              </w:rPr>
              <w:t>Figure 8. Liquid Assets and Debts of UK Private Non- Financial Corporate Sector (As Pct Corporate Gross</w:t>
            </w:r>
          </w:p>
          <w:p>
            <w:pPr>
              <w:pStyle w:val="TableParagraph"/>
              <w:spacing w:before="3"/>
              <w:ind w:left="107"/>
              <w:rPr>
                <w:rFonts w:ascii="Arial"/>
                <w:sz w:val="20"/>
              </w:rPr>
            </w:pPr>
            <w:r>
              <w:rPr>
                <w:rFonts w:ascii="Arial"/>
                <w:sz w:val="20"/>
              </w:rPr>
              <w:t>Operating Surplus), 1987-2016</w:t>
            </w:r>
          </w:p>
        </w:tc>
        <w:tc>
          <w:tcPr>
            <w:tcW w:w="5205" w:type="dxa"/>
            <w:gridSpan w:val="3"/>
            <w:tcBorders>
              <w:bottom w:val="single" w:sz="6" w:space="0" w:color="000000"/>
            </w:tcBorders>
          </w:tcPr>
          <w:p>
            <w:pPr>
              <w:pStyle w:val="TableParagraph"/>
              <w:spacing w:line="357" w:lineRule="auto"/>
              <w:ind w:left="107" w:right="105"/>
              <w:rPr>
                <w:rFonts w:ascii="Arial"/>
                <w:sz w:val="20"/>
              </w:rPr>
            </w:pPr>
            <w:r>
              <w:rPr>
                <w:rFonts w:ascii="Arial"/>
                <w:sz w:val="20"/>
              </w:rPr>
              <w:t>Figure 9. UK Household Wealth as Pct Gross Disposable Income, 1987-2016</w:t>
            </w:r>
          </w:p>
        </w:tc>
      </w:tr>
      <w:tr>
        <w:trPr>
          <w:trHeight w:val="3951" w:hRule="atLeast"/>
        </w:trPr>
        <w:tc>
          <w:tcPr>
            <w:tcW w:w="111" w:type="dxa"/>
            <w:tcBorders>
              <w:bottom w:val="nil"/>
              <w:right w:val="single" w:sz="4" w:space="0" w:color="858585"/>
            </w:tcBorders>
          </w:tcPr>
          <w:p>
            <w:pPr>
              <w:pStyle w:val="TableParagraph"/>
              <w:rPr>
                <w:rFonts w:ascii="Times New Roman"/>
                <w:sz w:val="18"/>
              </w:rPr>
            </w:pPr>
          </w:p>
        </w:tc>
        <w:tc>
          <w:tcPr>
            <w:tcW w:w="4586" w:type="dxa"/>
            <w:tcBorders>
              <w:top w:val="single" w:sz="6" w:space="0" w:color="000000"/>
              <w:left w:val="single" w:sz="4" w:space="0" w:color="858585"/>
              <w:bottom w:val="single" w:sz="4" w:space="0" w:color="858585"/>
              <w:right w:val="single" w:sz="4" w:space="0" w:color="858585"/>
            </w:tcBorders>
          </w:tcPr>
          <w:p>
            <w:pPr>
              <w:pStyle w:val="TableParagraph"/>
              <w:tabs>
                <w:tab w:pos="4348" w:val="left" w:leader="none"/>
              </w:tabs>
              <w:spacing w:before="5"/>
              <w:ind w:left="9" w:right="-15"/>
              <w:rPr>
                <w:b/>
                <w:sz w:val="20"/>
              </w:rPr>
            </w:pPr>
            <w:r>
              <w:rPr>
                <w:b/>
                <w:w w:val="85"/>
                <w:sz w:val="20"/>
              </w:rPr>
              <w:t>250</w:t>
              <w:tab/>
            </w:r>
            <w:r>
              <w:rPr>
                <w:b/>
                <w:w w:val="75"/>
                <w:sz w:val="20"/>
              </w:rPr>
              <w:t>700</w:t>
            </w:r>
          </w:p>
          <w:p>
            <w:pPr>
              <w:pStyle w:val="TableParagraph"/>
              <w:tabs>
                <w:tab w:pos="844" w:val="left" w:leader="none"/>
              </w:tabs>
              <w:spacing w:line="158" w:lineRule="auto" w:before="99"/>
              <w:ind w:left="9"/>
              <w:rPr>
                <w:b/>
                <w:sz w:val="20"/>
              </w:rPr>
            </w:pPr>
            <w:r>
              <w:rPr>
                <w:b/>
                <w:w w:val="85"/>
                <w:position w:val="-9"/>
                <w:sz w:val="20"/>
              </w:rPr>
              <w:t>225</w:t>
              <w:tab/>
            </w:r>
            <w:r>
              <w:rPr>
                <w:b/>
                <w:w w:val="85"/>
                <w:sz w:val="20"/>
              </w:rPr>
              <w:t>Sterling</w:t>
            </w:r>
            <w:r>
              <w:rPr>
                <w:b/>
                <w:spacing w:val="-11"/>
                <w:w w:val="85"/>
                <w:sz w:val="20"/>
              </w:rPr>
              <w:t> </w:t>
            </w:r>
            <w:r>
              <w:rPr>
                <w:b/>
                <w:w w:val="85"/>
                <w:sz w:val="20"/>
              </w:rPr>
              <w:t>and</w:t>
            </w:r>
            <w:r>
              <w:rPr>
                <w:b/>
                <w:spacing w:val="-9"/>
                <w:w w:val="85"/>
                <w:sz w:val="20"/>
              </w:rPr>
              <w:t> </w:t>
            </w:r>
            <w:r>
              <w:rPr>
                <w:b/>
                <w:w w:val="85"/>
                <w:sz w:val="20"/>
              </w:rPr>
              <w:t>FX</w:t>
            </w:r>
            <w:r>
              <w:rPr>
                <w:b/>
                <w:spacing w:val="-10"/>
                <w:w w:val="85"/>
                <w:sz w:val="20"/>
              </w:rPr>
              <w:t> </w:t>
            </w:r>
            <w:r>
              <w:rPr>
                <w:b/>
                <w:w w:val="85"/>
                <w:sz w:val="20"/>
              </w:rPr>
              <w:t>Bank</w:t>
            </w:r>
            <w:r>
              <w:rPr>
                <w:b/>
                <w:spacing w:val="-11"/>
                <w:w w:val="85"/>
                <w:sz w:val="20"/>
              </w:rPr>
              <w:t> </w:t>
            </w:r>
            <w:r>
              <w:rPr>
                <w:b/>
                <w:w w:val="85"/>
                <w:sz w:val="20"/>
              </w:rPr>
              <w:t>Deposits,</w:t>
            </w:r>
            <w:r>
              <w:rPr>
                <w:b/>
                <w:spacing w:val="-10"/>
                <w:w w:val="85"/>
                <w:sz w:val="20"/>
              </w:rPr>
              <w:t> </w:t>
            </w:r>
            <w:r>
              <w:rPr>
                <w:b/>
                <w:w w:val="85"/>
                <w:sz w:val="20"/>
              </w:rPr>
              <w:t>left</w:t>
            </w:r>
          </w:p>
          <w:p>
            <w:pPr>
              <w:pStyle w:val="TableParagraph"/>
              <w:tabs>
                <w:tab w:pos="4348" w:val="left" w:leader="none"/>
              </w:tabs>
              <w:spacing w:line="176" w:lineRule="exact"/>
              <w:ind w:left="711" w:right="-15"/>
              <w:rPr>
                <w:b/>
                <w:sz w:val="20"/>
              </w:rPr>
            </w:pPr>
            <w:r>
              <w:rPr>
                <w:b/>
                <w:w w:val="75"/>
                <w:sz w:val="20"/>
                <w:u w:val="thick" w:color="0000FF"/>
              </w:rPr>
              <w:t> </w:t>
            </w:r>
            <w:r>
              <w:rPr>
                <w:b/>
                <w:sz w:val="20"/>
                <w:u w:val="thick" w:color="0000FF"/>
              </w:rPr>
              <w:t>  </w:t>
            </w:r>
            <w:r>
              <w:rPr>
                <w:b/>
                <w:spacing w:val="-17"/>
                <w:sz w:val="20"/>
                <w:u w:val="thick" w:color="0000FF"/>
              </w:rPr>
              <w:t> </w:t>
            </w:r>
            <w:r>
              <w:rPr>
                <w:b/>
                <w:sz w:val="20"/>
              </w:rPr>
              <w:tab/>
            </w:r>
            <w:r>
              <w:rPr>
                <w:b/>
                <w:w w:val="75"/>
                <w:sz w:val="20"/>
              </w:rPr>
              <w:t>600</w:t>
            </w:r>
          </w:p>
          <w:p>
            <w:pPr>
              <w:pStyle w:val="TableParagraph"/>
              <w:tabs>
                <w:tab w:pos="844" w:val="left" w:leader="none"/>
              </w:tabs>
              <w:spacing w:line="216" w:lineRule="auto"/>
              <w:ind w:left="9"/>
              <w:rPr>
                <w:b/>
                <w:sz w:val="20"/>
              </w:rPr>
            </w:pPr>
            <w:r>
              <w:rPr>
                <w:b/>
                <w:w w:val="85"/>
                <w:position w:val="-6"/>
                <w:sz w:val="20"/>
              </w:rPr>
              <w:t>200</w:t>
              <w:tab/>
            </w:r>
            <w:r>
              <w:rPr>
                <w:b/>
                <w:w w:val="85"/>
                <w:sz w:val="20"/>
              </w:rPr>
              <w:t>Sterling</w:t>
            </w:r>
            <w:r>
              <w:rPr>
                <w:b/>
                <w:spacing w:val="-9"/>
                <w:w w:val="85"/>
                <w:sz w:val="20"/>
              </w:rPr>
              <w:t> </w:t>
            </w:r>
            <w:r>
              <w:rPr>
                <w:b/>
                <w:w w:val="85"/>
                <w:sz w:val="20"/>
              </w:rPr>
              <w:t>and</w:t>
            </w:r>
            <w:r>
              <w:rPr>
                <w:b/>
                <w:spacing w:val="-8"/>
                <w:w w:val="85"/>
                <w:sz w:val="20"/>
              </w:rPr>
              <w:t> </w:t>
            </w:r>
            <w:r>
              <w:rPr>
                <w:b/>
                <w:w w:val="85"/>
                <w:sz w:val="20"/>
              </w:rPr>
              <w:t>FX</w:t>
            </w:r>
            <w:r>
              <w:rPr>
                <w:b/>
                <w:spacing w:val="-8"/>
                <w:w w:val="85"/>
                <w:sz w:val="20"/>
              </w:rPr>
              <w:t> </w:t>
            </w:r>
            <w:r>
              <w:rPr>
                <w:b/>
                <w:w w:val="85"/>
                <w:sz w:val="20"/>
              </w:rPr>
              <w:t>Debts,</w:t>
            </w:r>
            <w:r>
              <w:rPr>
                <w:b/>
                <w:spacing w:val="-8"/>
                <w:w w:val="85"/>
                <w:sz w:val="20"/>
              </w:rPr>
              <w:t> </w:t>
            </w:r>
            <w:r>
              <w:rPr>
                <w:b/>
                <w:w w:val="85"/>
                <w:sz w:val="20"/>
              </w:rPr>
              <w:t>right</w:t>
            </w:r>
          </w:p>
          <w:p>
            <w:pPr>
              <w:pStyle w:val="TableParagraph"/>
              <w:spacing w:line="191" w:lineRule="exact" w:before="36"/>
              <w:ind w:left="4348" w:right="-15"/>
              <w:rPr>
                <w:b/>
                <w:sz w:val="20"/>
              </w:rPr>
            </w:pPr>
            <w:r>
              <w:rPr>
                <w:b/>
                <w:w w:val="75"/>
                <w:sz w:val="20"/>
              </w:rPr>
              <w:t>500</w:t>
            </w:r>
          </w:p>
          <w:p>
            <w:pPr>
              <w:pStyle w:val="TableParagraph"/>
              <w:spacing w:line="191" w:lineRule="exact"/>
              <w:ind w:left="9"/>
              <w:rPr>
                <w:b/>
                <w:sz w:val="20"/>
              </w:rPr>
            </w:pPr>
            <w:r>
              <w:rPr>
                <w:b/>
                <w:w w:val="85"/>
                <w:sz w:val="20"/>
              </w:rPr>
              <w:t>175</w:t>
            </w:r>
          </w:p>
          <w:p>
            <w:pPr>
              <w:pStyle w:val="TableParagraph"/>
              <w:tabs>
                <w:tab w:pos="4348" w:val="left" w:leader="none"/>
              </w:tabs>
              <w:spacing w:before="171"/>
              <w:ind w:left="9" w:right="-15"/>
              <w:rPr>
                <w:b/>
                <w:sz w:val="20"/>
              </w:rPr>
            </w:pPr>
            <w:r>
              <w:rPr>
                <w:b/>
                <w:w w:val="85"/>
                <w:sz w:val="20"/>
              </w:rPr>
              <w:t>150</w:t>
              <w:tab/>
            </w:r>
            <w:r>
              <w:rPr>
                <w:b/>
                <w:w w:val="75"/>
                <w:sz w:val="20"/>
              </w:rPr>
              <w:t>400</w:t>
            </w:r>
          </w:p>
          <w:p>
            <w:pPr>
              <w:pStyle w:val="TableParagraph"/>
              <w:spacing w:line="191" w:lineRule="exact" w:before="171"/>
              <w:ind w:left="9"/>
              <w:rPr>
                <w:b/>
                <w:sz w:val="20"/>
              </w:rPr>
            </w:pPr>
            <w:r>
              <w:rPr>
                <w:b/>
                <w:w w:val="85"/>
                <w:sz w:val="20"/>
              </w:rPr>
              <w:t>125</w:t>
            </w:r>
          </w:p>
          <w:p>
            <w:pPr>
              <w:pStyle w:val="TableParagraph"/>
              <w:spacing w:line="191" w:lineRule="exact"/>
              <w:ind w:left="4348" w:right="-15"/>
              <w:rPr>
                <w:b/>
                <w:sz w:val="20"/>
              </w:rPr>
            </w:pPr>
            <w:r>
              <w:rPr>
                <w:b/>
                <w:w w:val="75"/>
                <w:sz w:val="20"/>
              </w:rPr>
              <w:t>300</w:t>
            </w:r>
          </w:p>
          <w:p>
            <w:pPr>
              <w:pStyle w:val="TableParagraph"/>
              <w:spacing w:before="33"/>
              <w:ind w:left="9"/>
              <w:rPr>
                <w:b/>
                <w:sz w:val="20"/>
              </w:rPr>
            </w:pPr>
            <w:r>
              <w:rPr>
                <w:b/>
                <w:w w:val="85"/>
                <w:sz w:val="20"/>
              </w:rPr>
              <w:t>100</w:t>
            </w:r>
          </w:p>
          <w:p>
            <w:pPr>
              <w:pStyle w:val="TableParagraph"/>
              <w:spacing w:line="191" w:lineRule="exact" w:before="33"/>
              <w:ind w:left="4348" w:right="-15"/>
              <w:rPr>
                <w:b/>
                <w:sz w:val="20"/>
              </w:rPr>
            </w:pPr>
            <w:r>
              <w:rPr>
                <w:b/>
                <w:w w:val="75"/>
                <w:sz w:val="20"/>
              </w:rPr>
              <w:t>200</w:t>
            </w:r>
          </w:p>
          <w:p>
            <w:pPr>
              <w:pStyle w:val="TableParagraph"/>
              <w:tabs>
                <w:tab w:pos="3849" w:val="left" w:leader="none"/>
              </w:tabs>
              <w:spacing w:line="134" w:lineRule="auto"/>
              <w:ind w:left="85"/>
              <w:rPr>
                <w:b/>
                <w:sz w:val="20"/>
              </w:rPr>
            </w:pPr>
            <w:r>
              <w:rPr>
                <w:b/>
                <w:w w:val="85"/>
                <w:sz w:val="20"/>
              </w:rPr>
              <w:t>75</w:t>
              <w:tab/>
            </w:r>
            <w:r>
              <w:rPr>
                <w:b/>
                <w:w w:val="85"/>
                <w:position w:val="-12"/>
                <w:sz w:val="20"/>
              </w:rPr>
              <w:t>%</w:t>
            </w:r>
          </w:p>
          <w:p>
            <w:pPr>
              <w:pStyle w:val="TableParagraph"/>
              <w:spacing w:line="143" w:lineRule="exact"/>
              <w:ind w:left="487"/>
              <w:rPr>
                <w:b/>
                <w:sz w:val="20"/>
              </w:rPr>
            </w:pPr>
            <w:r>
              <w:rPr>
                <w:b/>
                <w:w w:val="75"/>
                <w:sz w:val="20"/>
              </w:rPr>
              <w:t>%</w:t>
            </w:r>
          </w:p>
          <w:p>
            <w:pPr>
              <w:pStyle w:val="TableParagraph"/>
              <w:tabs>
                <w:tab w:pos="4348" w:val="left" w:leader="none"/>
              </w:tabs>
              <w:spacing w:line="222" w:lineRule="exact"/>
              <w:ind w:left="85" w:right="-15"/>
              <w:rPr>
                <w:b/>
                <w:sz w:val="20"/>
              </w:rPr>
            </w:pPr>
            <w:r>
              <w:rPr>
                <w:b/>
                <w:w w:val="85"/>
                <w:sz w:val="20"/>
              </w:rPr>
              <w:t>50</w:t>
              <w:tab/>
            </w:r>
            <w:r>
              <w:rPr>
                <w:b/>
                <w:w w:val="75"/>
                <w:sz w:val="20"/>
              </w:rPr>
              <w:t>100</w:t>
            </w:r>
          </w:p>
          <w:p>
            <w:pPr>
              <w:pStyle w:val="TableParagraph"/>
              <w:tabs>
                <w:tab w:pos="751" w:val="left" w:leader="none"/>
                <w:tab w:pos="1262" w:val="left" w:leader="none"/>
                <w:tab w:pos="1773" w:val="left" w:leader="none"/>
                <w:tab w:pos="2284" w:val="left" w:leader="none"/>
                <w:tab w:pos="2795" w:val="left" w:leader="none"/>
                <w:tab w:pos="3306" w:val="left" w:leader="none"/>
                <w:tab w:pos="3817" w:val="left" w:leader="none"/>
              </w:tabs>
              <w:ind w:left="240"/>
              <w:rPr>
                <w:b/>
                <w:sz w:val="20"/>
              </w:rPr>
            </w:pPr>
            <w:r>
              <w:rPr>
                <w:b/>
                <w:w w:val="85"/>
                <w:sz w:val="20"/>
              </w:rPr>
              <w:t>1987</w:t>
              <w:tab/>
              <w:t>1991</w:t>
              <w:tab/>
              <w:t>1995</w:t>
              <w:tab/>
              <w:t>1999</w:t>
              <w:tab/>
              <w:t>2003</w:t>
              <w:tab/>
              <w:t>2007</w:t>
              <w:tab/>
              <w:t>2011</w:t>
              <w:tab/>
              <w:t>2015</w:t>
            </w:r>
          </w:p>
        </w:tc>
        <w:tc>
          <w:tcPr>
            <w:tcW w:w="443" w:type="dxa"/>
            <w:vMerge w:val="restart"/>
            <w:tcBorders>
              <w:left w:val="single" w:sz="4" w:space="0" w:color="858585"/>
            </w:tcBorders>
          </w:tcPr>
          <w:p>
            <w:pPr>
              <w:pStyle w:val="TableParagraph"/>
              <w:rPr>
                <w:rFonts w:ascii="Times New Roman"/>
                <w:sz w:val="18"/>
              </w:rPr>
            </w:pPr>
          </w:p>
        </w:tc>
        <w:tc>
          <w:tcPr>
            <w:tcW w:w="110" w:type="dxa"/>
            <w:vMerge w:val="restart"/>
            <w:tcBorders>
              <w:right w:val="single" w:sz="4" w:space="0" w:color="858585"/>
            </w:tcBorders>
          </w:tcPr>
          <w:p>
            <w:pPr>
              <w:pStyle w:val="TableParagraph"/>
              <w:rPr>
                <w:rFonts w:ascii="Times New Roman"/>
                <w:sz w:val="18"/>
              </w:rPr>
            </w:pPr>
          </w:p>
        </w:tc>
        <w:tc>
          <w:tcPr>
            <w:tcW w:w="4640" w:type="dxa"/>
            <w:tcBorders>
              <w:top w:val="single" w:sz="6" w:space="0" w:color="000000"/>
              <w:left w:val="single" w:sz="4" w:space="0" w:color="858585"/>
              <w:bottom w:val="single" w:sz="4" w:space="0" w:color="858585"/>
              <w:right w:val="single" w:sz="4" w:space="0" w:color="858585"/>
            </w:tcBorders>
          </w:tcPr>
          <w:p>
            <w:pPr>
              <w:pStyle w:val="TableParagraph"/>
              <w:tabs>
                <w:tab w:pos="491" w:val="left" w:leader="none"/>
              </w:tabs>
              <w:spacing w:line="252" w:lineRule="auto" w:before="7"/>
              <w:ind w:left="9" w:right="2741"/>
              <w:rPr>
                <w:b/>
                <w:sz w:val="20"/>
              </w:rPr>
            </w:pPr>
            <w:r>
              <w:rPr>
                <w:b/>
                <w:w w:val="85"/>
                <w:position w:val="11"/>
                <w:sz w:val="20"/>
              </w:rPr>
              <w:t>5.5</w:t>
              <w:tab/>
            </w:r>
            <w:r>
              <w:rPr>
                <w:b/>
                <w:w w:val="85"/>
                <w:position w:val="11"/>
                <w:sz w:val="20"/>
                <w:u w:val="thick" w:color="FF00FF"/>
              </w:rPr>
              <w:t> </w:t>
            </w:r>
            <w:r>
              <w:rPr>
                <w:b/>
                <w:w w:val="80"/>
                <w:sz w:val="20"/>
              </w:rPr>
              <w:t>Net</w:t>
            </w:r>
            <w:r>
              <w:rPr>
                <w:b/>
                <w:spacing w:val="-23"/>
                <w:w w:val="80"/>
                <w:sz w:val="20"/>
              </w:rPr>
              <w:t> </w:t>
            </w:r>
            <w:r>
              <w:rPr>
                <w:b/>
                <w:w w:val="80"/>
                <w:sz w:val="20"/>
              </w:rPr>
              <w:t>Financial</w:t>
            </w:r>
            <w:r>
              <w:rPr>
                <w:b/>
                <w:spacing w:val="-23"/>
                <w:w w:val="80"/>
                <w:sz w:val="20"/>
              </w:rPr>
              <w:t> </w:t>
            </w:r>
            <w:r>
              <w:rPr>
                <w:b/>
                <w:spacing w:val="-4"/>
                <w:w w:val="80"/>
                <w:sz w:val="20"/>
              </w:rPr>
              <w:t>Assets </w:t>
            </w:r>
            <w:r>
              <w:rPr>
                <w:b/>
                <w:w w:val="85"/>
                <w:sz w:val="20"/>
              </w:rPr>
              <w:t>5.0</w:t>
            </w:r>
          </w:p>
          <w:p>
            <w:pPr>
              <w:pStyle w:val="TableParagraph"/>
              <w:tabs>
                <w:tab w:pos="625" w:val="left" w:leader="none"/>
              </w:tabs>
              <w:spacing w:line="175" w:lineRule="auto" w:before="51"/>
              <w:ind w:left="626" w:right="1218" w:hanging="617"/>
              <w:rPr>
                <w:b/>
                <w:sz w:val="20"/>
              </w:rPr>
            </w:pPr>
            <w:r>
              <w:rPr>
                <w:b/>
                <w:w w:val="85"/>
                <w:position w:val="-8"/>
                <w:sz w:val="20"/>
              </w:rPr>
              <w:t>4.5</w:t>
              <w:tab/>
            </w:r>
            <w:r>
              <w:rPr>
                <w:b/>
                <w:w w:val="80"/>
                <w:sz w:val="20"/>
              </w:rPr>
              <w:t>Housing,</w:t>
            </w:r>
            <w:r>
              <w:rPr>
                <w:b/>
                <w:spacing w:val="-25"/>
                <w:w w:val="80"/>
                <w:sz w:val="20"/>
              </w:rPr>
              <w:t> </w:t>
            </w:r>
            <w:r>
              <w:rPr>
                <w:b/>
                <w:w w:val="80"/>
                <w:sz w:val="20"/>
              </w:rPr>
              <w:t>Land,</w:t>
            </w:r>
            <w:r>
              <w:rPr>
                <w:b/>
                <w:spacing w:val="-25"/>
                <w:w w:val="80"/>
                <w:sz w:val="20"/>
              </w:rPr>
              <w:t> </w:t>
            </w:r>
            <w:r>
              <w:rPr>
                <w:b/>
                <w:w w:val="80"/>
                <w:sz w:val="20"/>
              </w:rPr>
              <w:t>Other</w:t>
            </w:r>
            <w:r>
              <w:rPr>
                <w:b/>
                <w:spacing w:val="-24"/>
                <w:w w:val="80"/>
                <w:sz w:val="20"/>
              </w:rPr>
              <w:t> </w:t>
            </w:r>
            <w:r>
              <w:rPr>
                <w:b/>
                <w:w w:val="80"/>
                <w:sz w:val="20"/>
              </w:rPr>
              <w:t>Physical</w:t>
            </w:r>
            <w:r>
              <w:rPr>
                <w:b/>
                <w:spacing w:val="-25"/>
                <w:w w:val="80"/>
                <w:sz w:val="20"/>
              </w:rPr>
              <w:t> </w:t>
            </w:r>
            <w:r>
              <w:rPr>
                <w:b/>
                <w:w w:val="80"/>
                <w:sz w:val="20"/>
              </w:rPr>
              <w:t>Assets</w:t>
            </w:r>
            <w:r>
              <w:rPr>
                <w:b/>
                <w:spacing w:val="-24"/>
                <w:w w:val="80"/>
                <w:sz w:val="20"/>
              </w:rPr>
              <w:t> </w:t>
            </w:r>
            <w:r>
              <w:rPr>
                <w:b/>
                <w:w w:val="80"/>
                <w:sz w:val="20"/>
              </w:rPr>
              <w:t>(Net</w:t>
            </w:r>
            <w:r>
              <w:rPr>
                <w:b/>
                <w:spacing w:val="-25"/>
                <w:w w:val="80"/>
                <w:sz w:val="20"/>
              </w:rPr>
              <w:t> </w:t>
            </w:r>
            <w:r>
              <w:rPr>
                <w:b/>
                <w:w w:val="80"/>
                <w:sz w:val="20"/>
              </w:rPr>
              <w:t>of </w:t>
            </w:r>
            <w:r>
              <w:rPr>
                <w:b/>
                <w:w w:val="85"/>
                <w:sz w:val="20"/>
              </w:rPr>
              <w:t>Mortgages)</w:t>
            </w:r>
          </w:p>
          <w:p>
            <w:pPr>
              <w:pStyle w:val="TableParagraph"/>
              <w:spacing w:line="230" w:lineRule="exact"/>
              <w:ind w:left="9"/>
              <w:rPr>
                <w:b/>
                <w:sz w:val="20"/>
              </w:rPr>
            </w:pPr>
            <w:r>
              <w:rPr>
                <w:b/>
                <w:w w:val="85"/>
                <w:sz w:val="20"/>
              </w:rPr>
              <w:t>4.0</w:t>
            </w:r>
          </w:p>
          <w:p>
            <w:pPr>
              <w:pStyle w:val="TableParagraph"/>
              <w:spacing w:before="125"/>
              <w:ind w:left="9"/>
              <w:rPr>
                <w:b/>
                <w:sz w:val="20"/>
              </w:rPr>
            </w:pPr>
            <w:r>
              <w:rPr>
                <w:b/>
                <w:w w:val="85"/>
                <w:sz w:val="20"/>
              </w:rPr>
              <w:t>3.5</w:t>
            </w:r>
          </w:p>
          <w:p>
            <w:pPr>
              <w:pStyle w:val="TableParagraph"/>
              <w:spacing w:before="125"/>
              <w:ind w:left="9"/>
              <w:rPr>
                <w:b/>
                <w:sz w:val="20"/>
              </w:rPr>
            </w:pPr>
            <w:r>
              <w:rPr>
                <w:b/>
                <w:w w:val="85"/>
                <w:sz w:val="20"/>
              </w:rPr>
              <w:t>3.0</w:t>
            </w:r>
          </w:p>
          <w:p>
            <w:pPr>
              <w:pStyle w:val="TableParagraph"/>
              <w:spacing w:before="125"/>
              <w:ind w:left="9"/>
              <w:rPr>
                <w:b/>
                <w:sz w:val="20"/>
              </w:rPr>
            </w:pPr>
            <w:r>
              <w:rPr>
                <w:b/>
                <w:w w:val="85"/>
                <w:sz w:val="20"/>
              </w:rPr>
              <w:t>2.5</w:t>
            </w:r>
          </w:p>
          <w:p>
            <w:pPr>
              <w:pStyle w:val="TableParagraph"/>
              <w:spacing w:before="125"/>
              <w:ind w:left="9"/>
              <w:rPr>
                <w:b/>
                <w:sz w:val="20"/>
              </w:rPr>
            </w:pPr>
            <w:r>
              <w:rPr>
                <w:b/>
                <w:w w:val="85"/>
                <w:sz w:val="20"/>
              </w:rPr>
              <w:t>2.0</w:t>
            </w:r>
          </w:p>
          <w:p>
            <w:pPr>
              <w:pStyle w:val="TableParagraph"/>
              <w:spacing w:before="125"/>
              <w:ind w:left="9"/>
              <w:rPr>
                <w:b/>
                <w:sz w:val="20"/>
              </w:rPr>
            </w:pPr>
            <w:r>
              <w:rPr>
                <w:b/>
                <w:w w:val="85"/>
                <w:sz w:val="20"/>
              </w:rPr>
              <w:t>1.5</w:t>
            </w:r>
          </w:p>
          <w:p>
            <w:pPr>
              <w:pStyle w:val="TableParagraph"/>
              <w:spacing w:before="125"/>
              <w:ind w:left="9"/>
              <w:rPr>
                <w:b/>
                <w:sz w:val="20"/>
              </w:rPr>
            </w:pPr>
            <w:r>
              <w:rPr>
                <w:b/>
                <w:w w:val="85"/>
                <w:sz w:val="20"/>
              </w:rPr>
              <w:t>1.0</w:t>
            </w:r>
          </w:p>
          <w:p>
            <w:pPr>
              <w:pStyle w:val="TableParagraph"/>
              <w:tabs>
                <w:tab w:pos="794" w:val="left" w:leader="none"/>
                <w:tab w:pos="1331" w:val="left" w:leader="none"/>
                <w:tab w:pos="1868" w:val="left" w:leader="none"/>
                <w:tab w:pos="2404" w:val="left" w:leader="none"/>
                <w:tab w:pos="2941" w:val="left" w:leader="none"/>
                <w:tab w:pos="3478" w:val="left" w:leader="none"/>
                <w:tab w:pos="4015" w:val="left" w:leader="none"/>
              </w:tabs>
              <w:spacing w:before="15"/>
              <w:ind w:left="257"/>
              <w:rPr>
                <w:b/>
                <w:sz w:val="20"/>
              </w:rPr>
            </w:pPr>
            <w:r>
              <w:rPr>
                <w:b/>
                <w:w w:val="85"/>
                <w:sz w:val="20"/>
              </w:rPr>
              <w:t>1987</w:t>
              <w:tab/>
              <w:t>1991</w:t>
              <w:tab/>
              <w:t>1995</w:t>
              <w:tab/>
              <w:t>1999</w:t>
              <w:tab/>
              <w:t>2003</w:t>
              <w:tab/>
              <w:t>2007</w:t>
              <w:tab/>
              <w:t>2011</w:t>
              <w:tab/>
              <w:t>2015</w:t>
            </w:r>
          </w:p>
        </w:tc>
        <w:tc>
          <w:tcPr>
            <w:tcW w:w="455" w:type="dxa"/>
            <w:vMerge w:val="restart"/>
            <w:tcBorders>
              <w:left w:val="single" w:sz="4" w:space="0" w:color="858585"/>
            </w:tcBorders>
          </w:tcPr>
          <w:p>
            <w:pPr>
              <w:pStyle w:val="TableParagraph"/>
              <w:rPr>
                <w:rFonts w:ascii="Times New Roman"/>
                <w:sz w:val="18"/>
              </w:rPr>
            </w:pPr>
          </w:p>
        </w:tc>
      </w:tr>
      <w:tr>
        <w:trPr>
          <w:trHeight w:val="115" w:hRule="atLeast"/>
        </w:trPr>
        <w:tc>
          <w:tcPr>
            <w:tcW w:w="111" w:type="dxa"/>
            <w:tcBorders>
              <w:top w:val="nil"/>
              <w:right w:val="nil"/>
            </w:tcBorders>
          </w:tcPr>
          <w:p>
            <w:pPr>
              <w:pStyle w:val="TableParagraph"/>
              <w:rPr>
                <w:rFonts w:ascii="Times New Roman"/>
                <w:sz w:val="6"/>
              </w:rPr>
            </w:pPr>
          </w:p>
        </w:tc>
        <w:tc>
          <w:tcPr>
            <w:tcW w:w="4586" w:type="dxa"/>
            <w:tcBorders>
              <w:top w:val="single" w:sz="4" w:space="0" w:color="858585"/>
              <w:left w:val="nil"/>
              <w:right w:val="nil"/>
            </w:tcBorders>
          </w:tcPr>
          <w:p>
            <w:pPr>
              <w:pStyle w:val="TableParagraph"/>
              <w:rPr>
                <w:rFonts w:ascii="Times New Roman"/>
                <w:sz w:val="6"/>
              </w:rPr>
            </w:pPr>
          </w:p>
        </w:tc>
        <w:tc>
          <w:tcPr>
            <w:tcW w:w="443" w:type="dxa"/>
            <w:vMerge/>
            <w:tcBorders>
              <w:top w:val="nil"/>
              <w:left w:val="single" w:sz="4"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4640" w:type="dxa"/>
            <w:tcBorders>
              <w:top w:val="single" w:sz="4" w:space="0" w:color="858585"/>
              <w:left w:val="nil"/>
              <w:right w:val="nil"/>
            </w:tcBorders>
          </w:tcPr>
          <w:p>
            <w:pPr>
              <w:pStyle w:val="TableParagraph"/>
              <w:rPr>
                <w:rFonts w:ascii="Times New Roman"/>
                <w:sz w:val="6"/>
              </w:rPr>
            </w:pPr>
          </w:p>
        </w:tc>
        <w:tc>
          <w:tcPr>
            <w:tcW w:w="455" w:type="dxa"/>
            <w:vMerge/>
            <w:tcBorders>
              <w:top w:val="nil"/>
              <w:left w:val="single" w:sz="4" w:space="0" w:color="858585"/>
            </w:tcBorders>
          </w:tcPr>
          <w:p>
            <w:pPr>
              <w:rPr>
                <w:sz w:val="2"/>
                <w:szCs w:val="2"/>
              </w:rPr>
            </w:pPr>
          </w:p>
        </w:tc>
      </w:tr>
    </w:tbl>
    <w:p>
      <w:pPr>
        <w:pStyle w:val="BodyText"/>
        <w:spacing w:line="228" w:lineRule="exact"/>
        <w:ind w:left="673"/>
      </w:pPr>
      <w:r>
        <w:rPr/>
        <w:pict>
          <v:group style="position:absolute;margin-left:50.351223pt;margin-top:-197.530151pt;width:196.4pt;height:166.4pt;mso-position-horizontal-relative:page;mso-position-vertical-relative:paragraph;z-index:-253796352" coordorigin="1007,-3951" coordsize="3928,3328">
            <v:rect style="position:absolute;left:1054;top:-3948;width:3832;height:3322" filled="false" stroked="true" strokeweight=".266771pt" strokecolor="#000000">
              <v:stroke dashstyle="solid"/>
            </v:rect>
            <v:shape style="position:absolute;left:1060;top:-5457;width:12548;height:8028" coordorigin="1061,-5457" coordsize="12548,8028" path="m4886,-626l4886,-3948m4886,-626l4934,-626m4886,-1180l4934,-1180m4886,-1733l4934,-1733m4886,-2287l4934,-2287m4886,-2840l4934,-2840m4886,-3395l4934,-3395m4886,-3948l4934,-3948m1054,-626l1054,-3948m1007,-626l1054,-626m1007,-1041l1054,-1041m1007,-1456l1054,-1456m1007,-1872l1054,-1872m1007,-2287l1054,-2287m1007,-2702l1054,-2702m1007,-3118l1054,-3118m1007,-3533l1054,-3533m1007,-3948l1054,-3948m1054,-626l4886,-626e" filled="false" stroked="true" strokeweight=".261623pt" strokecolor="#858585">
              <v:path arrowok="t"/>
              <v:stroke dashstyle="solid"/>
            </v:shape>
            <v:shape style="position:absolute;left:1070;top:-3135;width:3768;height:2000" coordorigin="1070,-3134" coordsize="3768,2000" path="m1070,-1334l1102,-1281,1134,-1261,1166,-1273,1198,-1215,1230,-1249,1262,-1235,1294,-1135,1326,-1157,1358,-1200,1390,-1202,1422,-1278,1454,-1427,1486,-1379,1518,-1424,1549,-1362,1582,-1370,1613,-1541,1646,-1566,1677,-1467,1709,-1498,1741,-1410,1773,-1469,1805,-1468,1837,-1358,1869,-1457,1901,-1433,1932,-1601,1965,-1590,1996,-1525,2029,-1564,2060,-1503,2092,-1532,2124,-1492,2156,-1393,2188,-1528,2220,-1459,2252,-1438,2284,-1405,2316,-1428,2348,-1410,2379,-1476,2412,-1379,2443,-1490,2476,-1446,2507,-1616,2539,-1849,2571,-1612,2603,-1663,2635,-1753,2667,-1585,2699,-1667,2731,-1533,2763,-1771,2795,-1919,2826,-2018,2859,-2387,2890,-2174,2923,-2068,2954,-2179,2986,-1974,3018,-2106,3050,-2058,3082,-2044,3114,-2089,3146,-2109,3178,-2070,3210,-2069,3242,-2005,3274,-2020,3306,-2040,3338,-2130,3370,-2027,3402,-2071,3433,-2003,3466,-2070,3497,-2023,3530,-2270,3561,-2261,3593,-2447,3625,-2392,3657,-2541,3689,-2387,3721,-2394,3753,-2343,3785,-2394,3816,-2295,3849,-2733,3880,-2660,3913,-2998,3944,-2920,3976,-2944,4008,-2826,4040,-2834,4072,-2810,4104,-2738,4136,-2666,4168,-2885,4200,-2782,4232,-2677,4263,-2765,4296,-2919,4327,-2683,4360,-2764,4391,-2766,4423,-3063,4455,-2742,4487,-2874,4519,-2712,4551,-2698,4583,-2541,4615,-2822,4647,-2863,4679,-2752,4710,-2945,4743,-3074,4774,-2914,4807,-3034,4838,-3134e" filled="false" stroked="true" strokeweight="1.033810pt" strokecolor="#ff00ff">
              <v:path arrowok="t"/>
              <v:stroke dashstyle="solid"/>
            </v:shape>
            <v:shape style="position:absolute;left:1070;top:-3310;width:3768;height:2348" coordorigin="1070,-3309" coordsize="3768,2348" path="m1070,-1016l1102,-979,1134,-962,1166,-974,1198,-1015,1230,-1104,1262,-1089,1294,-1067,1326,-1157,1358,-1210,1390,-1249,1422,-1277,1454,-1511,1486,-1482,1518,-1485,1549,-1511,1582,-1577,1613,-1671,1646,-1702,1677,-1587,1709,-1674,1741,-1610,1773,-1622,1805,-1689,1837,-1534,1869,-1597,1901,-1541,1932,-1617,1965,-1502,1996,-1419,2029,-1487,2060,-1442,2092,-1495,2124,-1486,2156,-1417,2188,-1482,2220,-1426,2252,-1425,2284,-1403,2316,-1415,2348,-1349,2379,-1461,2412,-1395,2443,-1457,2476,-1446,2507,-1565,2539,-1820,2571,-1707,2603,-1706,2635,-1932,2667,-1961,2699,-1983,2731,-1900,2763,-2004,2795,-2098,2826,-2191,2859,-2412,2890,-2293,2923,-2362,2954,-2384,2986,-2294,3018,-2443,3050,-2484,3082,-2402,3114,-2315,3146,-2403,3178,-2316,3210,-2248,3242,-2217,3274,-2152,3306,-2253,3338,-2339,3370,-2265,3402,-2302,3433,-2395,3466,-2409,3497,-2328,3530,-2491,3561,-2577,3593,-2679,3625,-2524,3657,-2517,3689,-2584,3721,-2605,3753,-2595,3785,-2682,3816,-2680,3849,-3184,3880,-3035,3913,-3309,3944,-3272,3976,-3180,4008,-3121,4040,-3008,4072,-2982,4104,-2719,4136,-2672,4168,-2849,4200,-2879,4232,-2720,4263,-2989,4296,-2990,4327,-2836,4360,-2788,4391,-2626,4423,-2845,4455,-2665,4487,-2673,4519,-2503,4551,-2411,4583,-2247,4615,-2383,4647,-2384,4679,-2235,4710,-2326,4743,-2346,4774,-2180,4807,-2285,4838,-2376e" filled="false" stroked="true" strokeweight="1.017902pt" strokecolor="#0000ff">
              <v:path arrowok="t"/>
              <v:stroke dashstyle="solid"/>
            </v:shape>
            <v:line style="position:absolute" from="1389,-3636" to="1509,-3636" stroked="true" strokeweight="1.092263pt" strokecolor="#ff00ff">
              <v:stroke dashstyle="solid"/>
            </v:line>
            <w10:wrap type="none"/>
          </v:group>
        </w:pict>
      </w:r>
      <w:r>
        <w:rPr/>
        <w:pict>
          <v:group style="position:absolute;margin-left:305.674316pt;margin-top:-197.530151pt;width:203.85pt;height:166.4pt;mso-position-horizontal-relative:page;mso-position-vertical-relative:paragraph;z-index:-253795328" coordorigin="6113,-3951" coordsize="4077,3328">
            <v:rect style="position:absolute;left:6161;top:-3948;width:4026;height:3322" filled="false" stroked="true" strokeweight=".269596pt" strokecolor="#000000">
              <v:stroke dashstyle="solid"/>
            </v:rect>
            <v:shape style="position:absolute;left:945;top:-5457;width:12862;height:8028" coordorigin="946,-5457" coordsize="12862,8028" path="m6161,-626l6161,-3948m6113,-626l6161,-626m6113,-996l6161,-996m6113,-1364l6161,-1364m6113,-1733l6161,-1733m6113,-2103l6161,-2103m6113,-2472l6161,-2472m6113,-2840l6161,-2840m6113,-3210l6161,-3210m6113,-3579l6161,-3579m6113,-3948l6161,-3948m6161,-626l10187,-626e" filled="false" stroked="true" strokeweight=".262963pt" strokecolor="#858585">
              <v:path arrowok="t"/>
              <v:stroke dashstyle="solid"/>
            </v:shape>
            <v:shape style="position:absolute;left:6228;top:-3545;width:3892;height:1603" coordorigin="6228,-3544" coordsize="3892,1603" path="m6228,-1970l6363,-1942,6497,-2018,6631,-1948,6766,-2025,6899,-2196,7034,-2510,7168,-2266,7302,-2462,7436,-2471,7571,-2759,7704,-3016,7839,-3154,7973,-3082,8107,-2807,8241,-2701,8376,-2788,8509,-2924,8644,-3118,8778,-3144,8912,-3160,9046,-2982,9181,-2987,9314,-3012,9449,-3193,9583,-3196,9717,-3207,9851,-3544,9986,-3311,10119,-3464e" filled="false" stroked="true" strokeweight="1.055113pt" strokecolor="#ff00ff">
              <v:path arrowok="t"/>
              <v:stroke dashstyle="solid"/>
            </v:shape>
            <v:shape style="position:absolute;left:1560;top:-3890;width:11612;height:5636" coordorigin="1560,-3890" coordsize="11612,5636" path="m7302,-968l7436,-1040,7571,-1095,7704,-1237,7839,-1371,7973,-1481,8107,-1483,8241,-1767,8376,-1846,8509,-1961,8644,-1909,8778,-1985,8912,-2057,9046,-1640,9181,-1758,9314,-1954,9449,-1956,9583,-1966,9717,-2067,9851,-2257,9986,-2359m6308,-3299l6430,-3299e" filled="false" stroked="true" strokeweight=".964196pt" strokecolor="#0000ff">
              <v:path arrowok="t"/>
              <v:stroke dashstyle="solid"/>
            </v:shape>
            <w10:wrap type="none"/>
          </v:group>
        </w:pict>
      </w:r>
      <w:r>
        <w:rPr/>
        <w:t>Source: ONS and BoE.</w:t>
      </w:r>
    </w:p>
    <w:p>
      <w:pPr>
        <w:spacing w:after="0" w:line="228" w:lineRule="exact"/>
        <w:sectPr>
          <w:pgSz w:w="11910" w:h="16840"/>
          <w:pgMar w:header="0" w:footer="1338" w:top="1580" w:bottom="1520" w:left="460" w:right="880"/>
        </w:sectPr>
      </w:pPr>
    </w:p>
    <w:p>
      <w:pPr>
        <w:pStyle w:val="BodyText"/>
      </w:pPr>
    </w:p>
    <w:p>
      <w:pPr>
        <w:pStyle w:val="BodyText"/>
        <w:spacing w:before="3"/>
        <w:rPr>
          <w:sz w:val="11"/>
        </w:rPr>
      </w:pPr>
    </w:p>
    <w:p>
      <w:pPr>
        <w:pStyle w:val="BodyText"/>
        <w:ind w:left="101"/>
      </w:pPr>
      <w:r>
        <w:rPr/>
        <w:pict>
          <v:group style="width:517.8pt;height:214.35pt;mso-position-horizontal-relative:char;mso-position-vertical-relative:line" coordorigin="0,0" coordsize="10356,4287">
            <v:line style="position:absolute" from="10,5" to="5140,5" stroked="true" strokeweight=".48pt" strokecolor="#000000">
              <v:stroke dashstyle="solid"/>
            </v:line>
            <v:line style="position:absolute" from="5149,5" to="10346,5" stroked="true" strokeweight=".48pt" strokecolor="#000000">
              <v:stroke dashstyle="solid"/>
            </v:line>
            <v:line style="position:absolute" from="10,706" to="5140,706" stroked="true" strokeweight=".48pt" strokecolor="#000000">
              <v:stroke dashstyle="solid"/>
            </v:line>
            <v:line style="position:absolute" from="5149,706" to="10346,706" stroked="true" strokeweight=".48pt" strokecolor="#000000">
              <v:stroke dashstyle="solid"/>
            </v:line>
            <v:line style="position:absolute" from="5,0" to="5,4287" stroked="true" strokeweight=".48pt" strokecolor="#000000">
              <v:stroke dashstyle="solid"/>
            </v:line>
            <v:line style="position:absolute" from="10,4282" to="5140,4282" stroked="true" strokeweight=".48001pt" strokecolor="#000000">
              <v:stroke dashstyle="solid"/>
            </v:line>
            <v:line style="position:absolute" from="5145,0" to="5145,4287" stroked="true" strokeweight=".48001pt" strokecolor="#000000">
              <v:stroke dashstyle="solid"/>
            </v:line>
            <v:line style="position:absolute" from="5149,4282" to="10346,4282" stroked="true" strokeweight=".48001pt" strokecolor="#000000">
              <v:stroke dashstyle="solid"/>
            </v:line>
            <v:line style="position:absolute" from="10351,0" to="10351,4287" stroked="true" strokeweight=".47998pt" strokecolor="#000000">
              <v:stroke dashstyle="solid"/>
            </v:line>
            <v:rect style="position:absolute;left:405;top:836;width:4362;height:2877" filled="false" stroked="true" strokeweight=".253034pt" strokecolor="#000000">
              <v:stroke dashstyle="solid"/>
            </v:rect>
            <v:line style="position:absolute" from="406,3714" to="406,837" stroked="true" strokeweight=".241031pt" strokecolor="#858585">
              <v:stroke dashstyle="solid"/>
            </v:line>
            <v:line style="position:absolute" from="354,3714" to="406,3714" stroked="true" strokeweight=".258259pt" strokecolor="#858585">
              <v:stroke dashstyle="solid"/>
            </v:line>
            <v:line style="position:absolute" from="354,3303" to="406,3303" stroked="true" strokeweight=".258259pt" strokecolor="#858585">
              <v:stroke dashstyle="solid"/>
            </v:line>
            <v:line style="position:absolute" from="354,2892" to="406,2892" stroked="true" strokeweight=".258259pt" strokecolor="#858585">
              <v:stroke dashstyle="solid"/>
            </v:line>
            <v:line style="position:absolute" from="354,2481" to="406,2481" stroked="true" strokeweight=".258259pt" strokecolor="#858585">
              <v:stroke dashstyle="solid"/>
            </v:line>
            <v:line style="position:absolute" from="354,2070" to="406,2070" stroked="true" strokeweight=".258259pt" strokecolor="#858585">
              <v:stroke dashstyle="solid"/>
            </v:line>
            <v:line style="position:absolute" from="354,1659" to="406,1659" stroked="true" strokeweight=".258259pt" strokecolor="#858585">
              <v:stroke dashstyle="solid"/>
            </v:line>
            <v:line style="position:absolute" from="354,1247" to="406,1247" stroked="true" strokeweight=".258259pt" strokecolor="#858585">
              <v:stroke dashstyle="solid"/>
            </v:line>
            <v:line style="position:absolute" from="354,837" to="406,837" stroked="true" strokeweight=".258259pt" strokecolor="#858585">
              <v:stroke dashstyle="solid"/>
            </v:line>
            <v:line style="position:absolute" from="406,3303" to="4767,3303" stroked="true" strokeweight=".258259pt" strokecolor="#858585">
              <v:stroke dashstyle="solid"/>
            </v:line>
            <v:shape style="position:absolute;left:430;top:1174;width:4312;height:2180" coordorigin="431,1174" coordsize="4312,2180" path="m431,1874l481,2083,531,1912,581,1769,631,1909,681,1967,731,2047,782,2020,832,2037,881,2002,932,1963,982,1780,1033,1672,1082,1514,1132,1643,1183,1462,1233,1472,1283,1576,1333,1482,1383,1450,1433,1174,1483,1254,1534,1345,1584,1577,1633,1833,1684,1891,1734,1880,1785,2052,1834,2163,1884,2296,1935,2250,1985,2285,2035,2398,2085,2206,2135,2208,2185,2202,2235,2188,2286,2159,2336,2139,2386,2308,2436,2194,2486,2103,2537,2166,2586,2197,2636,2205,2687,2403,2737,2446,2787,2466,2837,2527,2887,2594,2937,2643,2987,2574,3038,2689,3088,2523,3138,2647,3188,2666,3238,2799,3289,2773,3338,2904,3388,3078,3439,3187,3489,3290,3539,3307,3589,3352,3639,3258,3689,3320,3739,3243,3790,3300,3840,3354,3890,3348,3940,3258,3990,3220,4041,3183,4090,3186,4140,3113,4191,3184,4241,3177,4290,3114,4341,3072,4391,3040,4442,2901,4491,2929,4541,2824,4592,2662,4642,2557,4692,2358,4742,2351e" filled="false" stroked="true" strokeweight=".934088pt" strokecolor="#0000ff">
              <v:path arrowok="t"/>
              <v:stroke dashstyle="solid"/>
            </v:shape>
            <v:shape style="position:absolute;left:430;top:2055;width:4312;height:1492" coordorigin="431,2056" coordsize="4312,1492" path="m431,2914l481,2951,531,2652,581,2632,631,2605,681,2692,731,2593,782,2654,832,2538,881,2503,932,2518,982,2396,1033,2353,1082,2306,1132,2207,1183,2141,1233,2186,1283,2191,1333,2252,1383,2259,1433,2077,1483,2059,1534,2056,1584,2172,1633,2212,1684,2182,1734,2201,1785,2246,1834,2301,1884,2331,1935,2308,1985,2229,2035,2228,2085,2279,2135,2403,2185,2388,2235,2488,2286,2539,2336,2590,2386,2819,2436,2718,2486,2642,2537,2647,2586,2750,2636,2854,2687,3000,2737,2949,2787,2955,2837,2985,2887,3011,2937,3110,2987,3010,3038,3101,3088,3097,3138,3150,3188,3154,3238,3171,3289,3147,3338,3188,3388,3373,3439,3548,3489,3414,3539,3336,3589,3299,3639,3164,3689,3213,3739,3204,3790,3249,3840,3339,3890,3253,3940,3241,3990,3209,4041,3169,4090,3365,4140,3320,4191,3401,4241,3344,4290,3270,4341,3237,4391,3204,4442,3134,4491,3094,4541,3069,4592,2835,4642,2578,4692,2488,4742,2679e" filled="false" stroked="true" strokeweight=".940193pt" strokecolor="#ff00ff">
              <v:path arrowok="t"/>
              <v:stroke dashstyle="solid"/>
            </v:shape>
            <v:shape style="position:absolute;left:430;top:1975;width:4262;height:1156" coordorigin="430,1975" coordsize="4262,1156" path="m430,2444l481,2513,531,2439,581,2432,631,2485,681,2691,732,2645,781,2670,832,2624,882,2563,932,2587,982,2493,1032,2460,1083,2365,1133,2251,1182,2144,1233,2045,1283,2061,1333,2033,1383,1996,1433,1975,1484,2029,1533,2033,1584,2123,1634,2152,1684,2156,1734,2209,1784,2296,1834,2460,1885,2485,1934,2534,1985,2460,2035,2395,2085,2386,2135,2506,2185,2538,2236,2592,2285,2550,2335,2654,2386,2785,2436,2686,2486,2555,2536,2489,2586,2604,2637,2686,2686,2768,2737,2694,2787,2624,2837,2620,2887,2707,2937,2654,2988,2464,3038,2444,3087,2452,3138,2493,3188,2559,3238,2587,3288,2587,3338,2691,3389,2859,3438,3081,3489,3060,3539,3044,3589,3118,3639,3064,3689,3057,3740,3064,3790,3064,3839,3131,3890,3076,3940,2999,3990,2946,4040,2822,4090,2916,4141,2962,4190,2962,4241,2974,4291,2941,4341,2953,4391,2916,4441,2818,4492,2740,4542,2703,4591,2555,4642,2353,4692,2275e" filled="false" stroked="true" strokeweight="1.071163pt" strokecolor="#66ff33">
              <v:path arrowok="t"/>
              <v:stroke dashstyle="solid"/>
            </v:shape>
            <v:line style="position:absolute" from="2663,1040" to="2791,1040" stroked="true" strokeweight=".946949pt" strokecolor="#0000ff">
              <v:stroke dashstyle="solid"/>
            </v:line>
            <v:rect style="position:absolute;left:115;top:712;width:4901;height:3430" filled="false" stroked="true" strokeweight=".252594pt" strokecolor="#858585">
              <v:stroke dashstyle="solid"/>
            </v:rect>
            <v:rect style="position:absolute;left:5549;top:829;width:4307;height:2727" filled="false" stroked="true" strokeweight=".244873pt" strokecolor="#000000">
              <v:stroke dashstyle="solid"/>
            </v:rect>
            <v:shape style="position:absolute;left:5582;top:1173;width:4241;height:2095" coordorigin="5582,1174" coordsize="4241,2095" path="m5582,2642l5582,2918,5648,2920,5715,2980,5781,3269,5847,3089,5914,2885,6020,2885,6046,2841,6168,2841,6179,2821,6292,2821,6311,2793,6480,2793,6510,2735,7020,2735,7024,2723,5980,2723,5961,2702,5648,2702,5582,2642xm7020,2735l6510,2735,6576,2935,6642,3156,6709,2986,6851,2986,6907,2756,7014,2756,7020,2735xm9173,2452l8895,2452,8961,2589,9094,2816,9226,2986,9293,3043,9359,2929,9536,2929,9558,2901,9624,2674,9645,2632,9425,2632,9359,2582,9307,2472,9226,2472,9173,2452xm6851,2986l6709,2986,6775,3007,6841,3025,6851,2986xm7764,1839l7504,1839,7570,2018,7636,2403,7702,2851,7769,3014,7835,2937,7901,2712,7967,2573,8034,2264,8100,2194,8148,2136,7901,2136,7835,2108,7769,1853,7764,1839xm9536,2929l9425,2929,9491,2986,9536,2929xm6020,2885l5914,2885,5980,2953,6020,2885xm6168,2841l6046,2841,6112,2950,6168,2841xm7014,2756l6907,2756,6974,2899,7014,2756xm6480,2793l6311,2793,6377,2897,6444,2862,6480,2793xm6292,2821l6179,2821,6245,2890,6292,2821xm7137,2666l7040,2666,7106,2827,7137,2666xm6245,2486l6179,2558,6112,2594,6046,2666,5980,2723,7024,2723,7040,2666,7137,2666,7164,2522,6311,2522,6245,2486xm5847,2468l5781,2522,5715,2594,5648,2702,5961,2702,5914,2648,5847,2468xm9823,1568l9756,1783,9690,2255,9624,2433,9558,2532,9491,2612,9425,2632,9645,2632,9690,2540,9756,2522,9823,2007,9823,1568xm9155,2429l8564,2429,8630,2572,8696,2539,8763,2469,8880,2469,8895,2452,9173,2452,9160,2448,9155,2429xm7344,2476l7172,2476,7239,2504,7305,2558,7344,2476xm8475,1909l8299,1909,8365,2244,8431,2549,8498,2476,8564,2429,9155,2429,9094,2198,8630,2198,8589,1965,8498,1965,8475,1909xm8880,2469l8763,2469,8829,2523,8880,2469xm6444,2173l6377,2427,6311,2522,7164,2522,7172,2476,7344,2476,7371,2419,7373,2409,6775,2409,6709,2408,6672,2244,6510,2244,6444,2173xm9293,2443l9226,2472,9307,2472,9293,2443xm7172,1915l7106,2114,7040,2176,6974,2180,6907,2249,6841,2375,6775,2409,7373,2409,7436,2032,7305,2032,7239,1935,7172,1915xm6642,2114l6576,2128,6510,2244,6672,2244,6642,2114xm8763,2044l8696,2184,8630,2198,9094,2198,9087,2180,8895,2180,8829,2144,8763,2044xm9028,2015l8961,2018,8895,2180,9087,2180,9028,2015xm8100,1587l8034,1804,7967,2000,7901,2136,8148,2136,8166,2114,8214,1988,8166,1988,8100,1587xm7636,1174l7570,1291,7504,1582,7437,1823,7371,2005,7305,2032,7436,2032,7437,2026,7504,1839,7764,1839,7702,1633,7636,1174xm8232,1432l8166,1988,8214,1988,8232,1938,8299,1909,8475,1909,8431,1803,8365,1761,8299,1580,8232,1432xm8564,1821l8498,1965,8589,1965,8564,1821xe" filled="true" fillcolor="#00afef" stroked="false">
              <v:path arrowok="t"/>
              <v:fill type="solid"/>
            </v:shape>
            <v:line style="position:absolute" from="9855,3556" to="9855,829" stroked="true" strokeweight=".244755pt" strokecolor="#858585">
              <v:stroke dashstyle="solid"/>
            </v:line>
            <v:line style="position:absolute" from="9855,3556" to="9908,3556" stroked="true" strokeweight=".244921pt" strokecolor="#858585">
              <v:stroke dashstyle="solid"/>
            </v:line>
            <v:line style="position:absolute" from="9855,3101" to="9908,3101" stroked="true" strokeweight=".244921pt" strokecolor="#858585">
              <v:stroke dashstyle="solid"/>
            </v:line>
            <v:line style="position:absolute" from="9855,2648" to="9908,2648" stroked="true" strokeweight=".244921pt" strokecolor="#858585">
              <v:stroke dashstyle="solid"/>
            </v:line>
            <v:line style="position:absolute" from="9855,2193" to="9908,2193" stroked="true" strokeweight=".244921pt" strokecolor="#858585">
              <v:stroke dashstyle="solid"/>
            </v:line>
            <v:line style="position:absolute" from="9855,1739" to="9908,1739" stroked="true" strokeweight=".244921pt" strokecolor="#858585">
              <v:stroke dashstyle="solid"/>
            </v:line>
            <v:line style="position:absolute" from="9855,1284" to="9908,1284" stroked="true" strokeweight=".244921pt" strokecolor="#858585">
              <v:stroke dashstyle="solid"/>
            </v:line>
            <v:line style="position:absolute" from="9855,829" to="9908,829" stroked="true" strokeweight=".244921pt" strokecolor="#858585">
              <v:stroke dashstyle="solid"/>
            </v:line>
            <v:line style="position:absolute" from="5549,3556" to="5549,829" stroked="true" strokeweight=".244755pt" strokecolor="#858585">
              <v:stroke dashstyle="solid"/>
            </v:line>
            <v:line style="position:absolute" from="5497,3556" to="5549,3556" stroked="true" strokeweight=".244921pt" strokecolor="#858585">
              <v:stroke dashstyle="solid"/>
            </v:line>
            <v:line style="position:absolute" from="5497,3167" to="5549,3167" stroked="true" strokeweight=".244921pt" strokecolor="#858585">
              <v:stroke dashstyle="solid"/>
            </v:line>
            <v:line style="position:absolute" from="5497,2777" to="5549,2777" stroked="true" strokeweight=".244921pt" strokecolor="#858585">
              <v:stroke dashstyle="solid"/>
            </v:line>
            <v:line style="position:absolute" from="5497,2388" to="5549,2388" stroked="true" strokeweight=".244921pt" strokecolor="#858585">
              <v:stroke dashstyle="solid"/>
            </v:line>
            <v:line style="position:absolute" from="5497,1998" to="5549,1998" stroked="true" strokeweight=".244921pt" strokecolor="#858585">
              <v:stroke dashstyle="solid"/>
            </v:line>
            <v:line style="position:absolute" from="5497,1609" to="5549,1609" stroked="true" strokeweight=".244921pt" strokecolor="#858585">
              <v:stroke dashstyle="solid"/>
            </v:line>
            <v:line style="position:absolute" from="5497,1219" to="5549,1219" stroked="true" strokeweight=".244921pt" strokecolor="#858585">
              <v:stroke dashstyle="solid"/>
            </v:line>
            <v:line style="position:absolute" from="5497,829" to="5549,829" stroked="true" strokeweight=".244921pt" strokecolor="#858585">
              <v:stroke dashstyle="solid"/>
            </v:line>
            <v:line style="position:absolute" from="5549,2388" to="9855,2388" stroked="true" strokeweight=".244921pt" strokecolor="#858585">
              <v:stroke dashstyle="solid"/>
            </v:line>
            <v:shape style="position:absolute;left:5582;top:1183;width:4241;height:2167" coordorigin="5582,1184" coordsize="4241,2167" path="m5582,3331l5648,2914,5715,2898,5781,2884,5847,2509,5913,2984,5980,2941,6046,2933,6112,3000,6178,3036,6244,2963,6311,3057,6377,3180,6444,3170,6510,3350,6576,3309,6643,3115,6709,3106,6775,3070,6841,3132,6908,3240,6974,3136,7040,2777,7106,2464,7172,2410,7239,2261,7305,2664,7371,2531,7437,2625,7503,2336,7570,1603,7636,1954,7702,1793,7768,1840,7835,2158,7901,1912,7968,1574,8034,1628,8100,1562,8167,1334,8233,1184,8299,1390,8365,1268,8431,1482,8498,1690,8564,1828,8630,2041,8696,1896,8762,1977,8829,1879,8895,1930,8961,2064,9027,2233,9094,2365,9160,2568,9226,2824,9292,2999,9359,3045,9425,2960,9492,2947,9558,2910,9624,2940,9690,2879,9757,2705,9823,2312e" filled="false" stroked="true" strokeweight=".897917pt" strokecolor="#ff00ff">
              <v:path arrowok="t"/>
              <v:stroke dashstyle="solid"/>
            </v:shape>
            <v:shape style="position:absolute;left:7570;top:1484;width:994;height:608" coordorigin="7570,1484" coordsize="994,608" path="m7570,1603l7636,1744,7702,1484,7768,1654,7835,1973,7901,1938,7968,2092,8034,2069,8100,2002,8167,1778,8233,1698,8299,1918,8365,1800,8431,2010,8498,1752,8564,1829e" filled="false" stroked="true" strokeweight=".897877pt" strokecolor="#0000ff">
              <v:path arrowok="t"/>
              <v:stroke dashstyle="solid"/>
            </v:shape>
            <v:rect style="position:absolute;left:5254;top:712;width:4976;height:3251" filled="false" stroked="true" strokeweight=".244871pt" strokecolor="#858585">
              <v:stroke dashstyle="solid"/>
            </v:rect>
            <v:shape style="position:absolute;left:5416;top:3693;width:4328;height:164" type="#_x0000_t202" filled="false" stroked="false">
              <v:textbox inset="0,0,0,0">
                <w:txbxContent>
                  <w:p>
                    <w:pPr>
                      <w:tabs>
                        <w:tab w:pos="795" w:val="left" w:leader="none"/>
                        <w:tab w:pos="1590" w:val="left" w:leader="none"/>
                        <w:tab w:pos="2385" w:val="left" w:leader="none"/>
                        <w:tab w:pos="3180" w:val="left" w:leader="none"/>
                        <w:tab w:pos="3976" w:val="left" w:leader="none"/>
                      </w:tabs>
                      <w:spacing w:line="163" w:lineRule="exact" w:before="0"/>
                      <w:ind w:left="0" w:right="0" w:firstLine="0"/>
                      <w:jc w:val="left"/>
                      <w:rPr>
                        <w:rFonts w:ascii="Calibri"/>
                        <w:b/>
                        <w:sz w:val="16"/>
                      </w:rPr>
                    </w:pPr>
                    <w:r>
                      <w:rPr>
                        <w:rFonts w:ascii="Calibri"/>
                        <w:b/>
                        <w:sz w:val="16"/>
                      </w:rPr>
                      <w:t>2001</w:t>
                      <w:tab/>
                      <w:t>2004</w:t>
                      <w:tab/>
                      <w:t>2007</w:t>
                      <w:tab/>
                      <w:t>2010</w:t>
                      <w:tab/>
                      <w:t>2013</w:t>
                      <w:tab/>
                      <w:t>2016</w:t>
                    </w:r>
                  </w:p>
                </w:txbxContent>
              </v:textbox>
              <w10:wrap type="none"/>
            </v:shape>
            <v:shape style="position:absolute;left:10007;top:3480;width:153;height:164" type="#_x0000_t202" filled="false" stroked="false">
              <v:textbox inset="0,0,0,0">
                <w:txbxContent>
                  <w:p>
                    <w:pPr>
                      <w:spacing w:line="163" w:lineRule="exact" w:before="0"/>
                      <w:ind w:left="0" w:right="0" w:firstLine="0"/>
                      <w:jc w:val="left"/>
                      <w:rPr>
                        <w:rFonts w:ascii="Calibri"/>
                        <w:b/>
                        <w:sz w:val="16"/>
                      </w:rPr>
                    </w:pPr>
                    <w:r>
                      <w:rPr>
                        <w:rFonts w:ascii="Calibri"/>
                        <w:b/>
                        <w:sz w:val="16"/>
                      </w:rPr>
                      <w:t>-2</w:t>
                    </w:r>
                  </w:p>
                </w:txbxContent>
              </v:textbox>
              <w10:wrap type="none"/>
            </v:shape>
            <v:shape style="position:absolute;left:5265;top:3480;width:153;height:164" type="#_x0000_t202" filled="false" stroked="false">
              <v:textbox inset="0,0,0,0">
                <w:txbxContent>
                  <w:p>
                    <w:pPr>
                      <w:spacing w:line="163" w:lineRule="exact" w:before="0"/>
                      <w:ind w:left="0" w:right="0" w:firstLine="0"/>
                      <w:jc w:val="left"/>
                      <w:rPr>
                        <w:rFonts w:ascii="Calibri"/>
                        <w:b/>
                        <w:sz w:val="16"/>
                      </w:rPr>
                    </w:pPr>
                    <w:r>
                      <w:rPr>
                        <w:rFonts w:ascii="Calibri"/>
                        <w:b/>
                        <w:sz w:val="16"/>
                      </w:rPr>
                      <w:t>-3</w:t>
                    </w:r>
                  </w:p>
                </w:txbxContent>
              </v:textbox>
              <w10:wrap type="none"/>
            </v:shape>
            <v:shape style="position:absolute;left:9462;top:3172;width:139;height:164" type="#_x0000_t202" filled="false" stroked="false">
              <v:textbox inset="0,0,0,0">
                <w:txbxContent>
                  <w:p>
                    <w:pPr>
                      <w:spacing w:line="163" w:lineRule="exact" w:before="0"/>
                      <w:ind w:left="0" w:right="0" w:firstLine="0"/>
                      <w:jc w:val="left"/>
                      <w:rPr>
                        <w:rFonts w:ascii="Calibri"/>
                        <w:b/>
                        <w:sz w:val="16"/>
                      </w:rPr>
                    </w:pPr>
                    <w:r>
                      <w:rPr>
                        <w:rFonts w:ascii="Calibri"/>
                        <w:b/>
                        <w:w w:val="101"/>
                        <w:sz w:val="16"/>
                      </w:rPr>
                      <w:t>%</w:t>
                    </w:r>
                  </w:p>
                </w:txbxContent>
              </v:textbox>
              <w10:wrap type="none"/>
            </v:shape>
            <v:shape style="position:absolute;left:5615;top:3247;width:173;height:164" type="#_x0000_t202" filled="false" stroked="false">
              <v:textbox inset="0,0,0,0">
                <w:txbxContent>
                  <w:p>
                    <w:pPr>
                      <w:spacing w:line="163" w:lineRule="exact" w:before="0"/>
                      <w:ind w:left="0" w:right="0" w:firstLine="0"/>
                      <w:jc w:val="left"/>
                      <w:rPr>
                        <w:rFonts w:ascii="Calibri"/>
                        <w:b/>
                        <w:sz w:val="16"/>
                      </w:rPr>
                    </w:pPr>
                    <w:r>
                      <w:rPr>
                        <w:rFonts w:ascii="Calibri"/>
                        <w:b/>
                        <w:sz w:val="16"/>
                      </w:rPr>
                      <w:t>sd</w:t>
                    </w:r>
                  </w:p>
                </w:txbxContent>
              </v:textbox>
              <w10:wrap type="none"/>
            </v:shape>
            <v:shape style="position:absolute;left:10007;top:3026;width:153;height:164" type="#_x0000_t202" filled="false" stroked="false">
              <v:textbox inset="0,0,0,0">
                <w:txbxContent>
                  <w:p>
                    <w:pPr>
                      <w:spacing w:line="163" w:lineRule="exact" w:before="0"/>
                      <w:ind w:left="0" w:right="0" w:firstLine="0"/>
                      <w:jc w:val="left"/>
                      <w:rPr>
                        <w:rFonts w:ascii="Calibri"/>
                        <w:b/>
                        <w:sz w:val="16"/>
                      </w:rPr>
                    </w:pPr>
                    <w:r>
                      <w:rPr>
                        <w:rFonts w:ascii="Calibri"/>
                        <w:b/>
                        <w:sz w:val="16"/>
                      </w:rPr>
                      <w:t>-1</w:t>
                    </w:r>
                  </w:p>
                </w:txbxContent>
              </v:textbox>
              <w10:wrap type="none"/>
            </v:shape>
            <v:shape style="position:absolute;left:5265;top:2701;width:153;height:553" type="#_x0000_t202" filled="false" stroked="false">
              <v:textbox inset="0,0,0,0">
                <w:txbxContent>
                  <w:p>
                    <w:pPr>
                      <w:spacing w:line="165" w:lineRule="exact" w:before="0"/>
                      <w:ind w:left="0" w:right="0" w:firstLine="0"/>
                      <w:jc w:val="left"/>
                      <w:rPr>
                        <w:rFonts w:ascii="Calibri"/>
                        <w:b/>
                        <w:sz w:val="16"/>
                      </w:rPr>
                    </w:pPr>
                    <w:r>
                      <w:rPr>
                        <w:rFonts w:ascii="Calibri"/>
                        <w:b/>
                        <w:sz w:val="16"/>
                      </w:rPr>
                      <w:t>-1</w:t>
                    </w:r>
                  </w:p>
                  <w:p>
                    <w:pPr>
                      <w:spacing w:line="240" w:lineRule="auto" w:before="11"/>
                      <w:rPr>
                        <w:rFonts w:ascii="Calibri"/>
                        <w:b/>
                        <w:sz w:val="15"/>
                      </w:rPr>
                    </w:pPr>
                  </w:p>
                  <w:p>
                    <w:pPr>
                      <w:spacing w:line="193" w:lineRule="exact" w:before="0"/>
                      <w:ind w:left="0" w:right="0" w:firstLine="0"/>
                      <w:jc w:val="left"/>
                      <w:rPr>
                        <w:rFonts w:ascii="Calibri"/>
                        <w:b/>
                        <w:sz w:val="16"/>
                      </w:rPr>
                    </w:pPr>
                    <w:r>
                      <w:rPr>
                        <w:rFonts w:ascii="Calibri"/>
                        <w:b/>
                        <w:sz w:val="16"/>
                      </w:rPr>
                      <w:t>-2</w:t>
                    </w:r>
                  </w:p>
                </w:txbxContent>
              </v:textbox>
              <w10:wrap type="none"/>
            </v:shape>
            <v:shape style="position:absolute;left:10007;top:2571;width:103;height:164" type="#_x0000_t202" filled="false" stroked="false">
              <v:textbox inset="0,0,0,0">
                <w:txbxContent>
                  <w:p>
                    <w:pPr>
                      <w:spacing w:line="163" w:lineRule="exact" w:before="0"/>
                      <w:ind w:left="0" w:right="0" w:firstLine="0"/>
                      <w:jc w:val="left"/>
                      <w:rPr>
                        <w:rFonts w:ascii="Calibri"/>
                        <w:b/>
                        <w:sz w:val="16"/>
                      </w:rPr>
                    </w:pPr>
                    <w:r>
                      <w:rPr>
                        <w:rFonts w:ascii="Calibri"/>
                        <w:b/>
                        <w:w w:val="102"/>
                        <w:sz w:val="16"/>
                      </w:rPr>
                      <w:t>0</w:t>
                    </w:r>
                  </w:p>
                </w:txbxContent>
              </v:textbox>
              <w10:wrap type="none"/>
            </v:shape>
            <v:shape style="position:absolute;left:5315;top:2312;width:103;height:164" type="#_x0000_t202" filled="false" stroked="false">
              <v:textbox inset="0,0,0,0">
                <w:txbxContent>
                  <w:p>
                    <w:pPr>
                      <w:spacing w:line="163" w:lineRule="exact" w:before="0"/>
                      <w:ind w:left="0" w:right="0" w:firstLine="0"/>
                      <w:jc w:val="left"/>
                      <w:rPr>
                        <w:rFonts w:ascii="Calibri"/>
                        <w:b/>
                        <w:sz w:val="16"/>
                      </w:rPr>
                    </w:pPr>
                    <w:r>
                      <w:rPr>
                        <w:rFonts w:ascii="Calibri"/>
                        <w:b/>
                        <w:w w:val="101"/>
                        <w:sz w:val="16"/>
                      </w:rPr>
                      <w:t>0</w:t>
                    </w:r>
                  </w:p>
                </w:txbxContent>
              </v:textbox>
              <w10:wrap type="none"/>
            </v:shape>
            <v:shape style="position:absolute;left:10007;top:2117;width:103;height:164" type="#_x0000_t202" filled="false" stroked="false">
              <v:textbox inset="0,0,0,0">
                <w:txbxContent>
                  <w:p>
                    <w:pPr>
                      <w:spacing w:line="163" w:lineRule="exact" w:before="0"/>
                      <w:ind w:left="0" w:right="0" w:firstLine="0"/>
                      <w:jc w:val="left"/>
                      <w:rPr>
                        <w:rFonts w:ascii="Calibri"/>
                        <w:b/>
                        <w:sz w:val="16"/>
                      </w:rPr>
                    </w:pPr>
                    <w:r>
                      <w:rPr>
                        <w:rFonts w:ascii="Calibri"/>
                        <w:b/>
                        <w:w w:val="101"/>
                        <w:sz w:val="16"/>
                      </w:rPr>
                      <w:t>1</w:t>
                    </w:r>
                  </w:p>
                </w:txbxContent>
              </v:textbox>
              <w10:wrap type="none"/>
            </v:shape>
            <v:shape style="position:absolute;left:5315;top:1922;width:103;height:164" type="#_x0000_t202" filled="false" stroked="false">
              <v:textbox inset="0,0,0,0">
                <w:txbxContent>
                  <w:p>
                    <w:pPr>
                      <w:spacing w:line="163" w:lineRule="exact" w:before="0"/>
                      <w:ind w:left="0" w:right="0" w:firstLine="0"/>
                      <w:jc w:val="left"/>
                      <w:rPr>
                        <w:rFonts w:ascii="Calibri"/>
                        <w:b/>
                        <w:sz w:val="16"/>
                      </w:rPr>
                    </w:pPr>
                    <w:r>
                      <w:rPr>
                        <w:rFonts w:ascii="Calibri"/>
                        <w:b/>
                        <w:w w:val="101"/>
                        <w:sz w:val="16"/>
                      </w:rPr>
                      <w:t>1</w:t>
                    </w:r>
                  </w:p>
                </w:txbxContent>
              </v:textbox>
              <w10:wrap type="none"/>
            </v:shape>
            <v:shape style="position:absolute;left:10007;top:1662;width:103;height:164" type="#_x0000_t202" filled="false" stroked="false">
              <v:textbox inset="0,0,0,0">
                <w:txbxContent>
                  <w:p>
                    <w:pPr>
                      <w:spacing w:line="163" w:lineRule="exact" w:before="0"/>
                      <w:ind w:left="0" w:right="0" w:firstLine="0"/>
                      <w:jc w:val="left"/>
                      <w:rPr>
                        <w:rFonts w:ascii="Calibri"/>
                        <w:b/>
                        <w:sz w:val="16"/>
                      </w:rPr>
                    </w:pPr>
                    <w:r>
                      <w:rPr>
                        <w:rFonts w:ascii="Calibri"/>
                        <w:b/>
                        <w:w w:val="101"/>
                        <w:sz w:val="16"/>
                      </w:rPr>
                      <w:t>2</w:t>
                    </w:r>
                  </w:p>
                </w:txbxContent>
              </v:textbox>
              <w10:wrap type="none"/>
            </v:shape>
            <v:shape style="position:absolute;left:5315;top:1532;width:103;height:164" type="#_x0000_t202" filled="false" stroked="false">
              <v:textbox inset="0,0,0,0">
                <w:txbxContent>
                  <w:p>
                    <w:pPr>
                      <w:spacing w:line="163" w:lineRule="exact" w:before="0"/>
                      <w:ind w:left="0" w:right="0" w:firstLine="0"/>
                      <w:jc w:val="left"/>
                      <w:rPr>
                        <w:rFonts w:ascii="Calibri"/>
                        <w:b/>
                        <w:sz w:val="16"/>
                      </w:rPr>
                    </w:pPr>
                    <w:r>
                      <w:rPr>
                        <w:rFonts w:ascii="Calibri"/>
                        <w:b/>
                        <w:w w:val="101"/>
                        <w:sz w:val="16"/>
                      </w:rPr>
                      <w:t>2</w:t>
                    </w:r>
                  </w:p>
                </w:txbxContent>
              </v:textbox>
              <w10:wrap type="none"/>
            </v:shape>
            <v:shape style="position:absolute;left:10007;top:753;width:103;height:618" type="#_x0000_t202" filled="false" stroked="false">
              <v:textbox inset="0,0,0,0">
                <w:txbxContent>
                  <w:p>
                    <w:pPr>
                      <w:spacing w:line="165" w:lineRule="exact" w:before="0"/>
                      <w:ind w:left="0" w:right="0" w:firstLine="0"/>
                      <w:jc w:val="left"/>
                      <w:rPr>
                        <w:rFonts w:ascii="Calibri"/>
                        <w:b/>
                        <w:sz w:val="16"/>
                      </w:rPr>
                    </w:pPr>
                    <w:r>
                      <w:rPr>
                        <w:rFonts w:ascii="Calibri"/>
                        <w:b/>
                        <w:w w:val="101"/>
                        <w:sz w:val="16"/>
                      </w:rPr>
                      <w:t>4</w:t>
                    </w:r>
                  </w:p>
                  <w:p>
                    <w:pPr>
                      <w:spacing w:line="240" w:lineRule="auto" w:before="2"/>
                      <w:rPr>
                        <w:rFonts w:ascii="Calibri"/>
                        <w:b/>
                        <w:sz w:val="21"/>
                      </w:rPr>
                    </w:pPr>
                  </w:p>
                  <w:p>
                    <w:pPr>
                      <w:spacing w:line="193" w:lineRule="exact" w:before="0"/>
                      <w:ind w:left="0" w:right="0" w:firstLine="0"/>
                      <w:jc w:val="left"/>
                      <w:rPr>
                        <w:rFonts w:ascii="Calibri"/>
                        <w:b/>
                        <w:sz w:val="16"/>
                      </w:rPr>
                    </w:pPr>
                    <w:r>
                      <w:rPr>
                        <w:rFonts w:ascii="Calibri"/>
                        <w:b/>
                        <w:w w:val="101"/>
                        <w:sz w:val="16"/>
                      </w:rPr>
                      <w:t>3</w:t>
                    </w:r>
                  </w:p>
                </w:txbxContent>
              </v:textbox>
              <w10:wrap type="none"/>
            </v:shape>
            <v:shape style="position:absolute;left:5621;top:753;width:1936;height:831" type="#_x0000_t202" filled="false" stroked="false">
              <v:textbox inset="0,0,0,0">
                <w:txbxContent>
                  <w:p>
                    <w:pPr>
                      <w:spacing w:before="43"/>
                      <w:ind w:left="144" w:right="36" w:hanging="145"/>
                      <w:jc w:val="left"/>
                      <w:rPr>
                        <w:rFonts w:ascii="Calibri"/>
                        <w:b/>
                        <w:sz w:val="15"/>
                      </w:rPr>
                    </w:pPr>
                    <w:r>
                      <w:rPr>
                        <w:rFonts w:ascii="Calibri"/>
                        <w:b/>
                        <w:w w:val="101"/>
                        <w:position w:val="6"/>
                        <w:sz w:val="16"/>
                        <w:u w:val="single" w:color="FF00FF"/>
                      </w:rPr>
                      <w:t> </w:t>
                    </w:r>
                    <w:r>
                      <w:rPr>
                        <w:rFonts w:ascii="Calibri"/>
                        <w:b/>
                        <w:position w:val="6"/>
                        <w:sz w:val="16"/>
                        <w:u w:val="single" w:color="FF00FF"/>
                      </w:rPr>
                      <w:t>  </w:t>
                    </w:r>
                    <w:r>
                      <w:rPr>
                        <w:rFonts w:ascii="Calibri"/>
                        <w:b/>
                        <w:spacing w:val="-2"/>
                        <w:position w:val="6"/>
                        <w:sz w:val="16"/>
                        <w:u w:val="single" w:color="FF00FF"/>
                      </w:rPr>
                      <w:t> </w:t>
                    </w:r>
                    <w:r>
                      <w:rPr>
                        <w:rFonts w:ascii="Calibri"/>
                        <w:b/>
                        <w:sz w:val="15"/>
                      </w:rPr>
                      <w:t>Import Intensive CPI Items YoY Incl VAT Changes</w:t>
                    </w:r>
                    <w:r>
                      <w:rPr>
                        <w:rFonts w:ascii="Calibri"/>
                        <w:b/>
                        <w:spacing w:val="-19"/>
                        <w:sz w:val="15"/>
                      </w:rPr>
                      <w:t> </w:t>
                    </w:r>
                    <w:r>
                      <w:rPr>
                        <w:rFonts w:ascii="Calibri"/>
                        <w:b/>
                        <w:sz w:val="15"/>
                      </w:rPr>
                      <w:t>(right)</w:t>
                    </w:r>
                  </w:p>
                  <w:p>
                    <w:pPr>
                      <w:spacing w:before="58"/>
                      <w:ind w:left="144" w:right="11" w:hanging="145"/>
                      <w:jc w:val="left"/>
                      <w:rPr>
                        <w:rFonts w:ascii="Calibri"/>
                        <w:b/>
                        <w:sz w:val="15"/>
                      </w:rPr>
                    </w:pPr>
                    <w:r>
                      <w:rPr>
                        <w:rFonts w:ascii="Calibri"/>
                        <w:b/>
                        <w:w w:val="101"/>
                        <w:position w:val="10"/>
                        <w:sz w:val="16"/>
                        <w:u w:val="single" w:color="0000FF"/>
                      </w:rPr>
                      <w:t> </w:t>
                    </w:r>
                    <w:r>
                      <w:rPr>
                        <w:rFonts w:ascii="Calibri"/>
                        <w:b/>
                        <w:position w:val="10"/>
                        <w:sz w:val="16"/>
                        <w:u w:val="single" w:color="0000FF"/>
                      </w:rPr>
                      <w:t>  </w:t>
                    </w:r>
                    <w:r>
                      <w:rPr>
                        <w:rFonts w:ascii="Calibri"/>
                        <w:b/>
                        <w:spacing w:val="-2"/>
                        <w:position w:val="10"/>
                        <w:sz w:val="16"/>
                        <w:u w:val="single" w:color="0000FF"/>
                      </w:rPr>
                      <w:t> </w:t>
                    </w:r>
                    <w:r>
                      <w:rPr>
                        <w:rFonts w:ascii="Calibri"/>
                        <w:b/>
                        <w:sz w:val="15"/>
                      </w:rPr>
                      <w:t>Import Intensive CPI Items YoY Excl VAT Changes</w:t>
                    </w:r>
                    <w:r>
                      <w:rPr>
                        <w:rFonts w:ascii="Calibri"/>
                        <w:b/>
                        <w:spacing w:val="-15"/>
                        <w:sz w:val="15"/>
                      </w:rPr>
                      <w:t> </w:t>
                    </w:r>
                    <w:r>
                      <w:rPr>
                        <w:rFonts w:ascii="Calibri"/>
                        <w:b/>
                        <w:sz w:val="15"/>
                      </w:rPr>
                      <w:t>(right)</w:t>
                    </w:r>
                  </w:p>
                </w:txbxContent>
              </v:textbox>
              <w10:wrap type="none"/>
            </v:shape>
            <v:shape style="position:absolute;left:5315;top:753;width:103;height:553" type="#_x0000_t202" filled="false" stroked="false">
              <v:textbox inset="0,0,0,0">
                <w:txbxContent>
                  <w:p>
                    <w:pPr>
                      <w:spacing w:line="165" w:lineRule="exact" w:before="0"/>
                      <w:ind w:left="0" w:right="0" w:firstLine="0"/>
                      <w:jc w:val="left"/>
                      <w:rPr>
                        <w:rFonts w:ascii="Calibri"/>
                        <w:b/>
                        <w:sz w:val="16"/>
                      </w:rPr>
                    </w:pPr>
                    <w:r>
                      <w:rPr>
                        <w:rFonts w:ascii="Calibri"/>
                        <w:b/>
                        <w:w w:val="101"/>
                        <w:sz w:val="16"/>
                      </w:rPr>
                      <w:t>4</w:t>
                    </w:r>
                  </w:p>
                  <w:p>
                    <w:pPr>
                      <w:spacing w:line="240" w:lineRule="auto" w:before="11"/>
                      <w:rPr>
                        <w:rFonts w:ascii="Calibri"/>
                        <w:b/>
                        <w:sz w:val="15"/>
                      </w:rPr>
                    </w:pPr>
                  </w:p>
                  <w:p>
                    <w:pPr>
                      <w:spacing w:line="193" w:lineRule="exact" w:before="0"/>
                      <w:ind w:left="0" w:right="0" w:firstLine="0"/>
                      <w:jc w:val="left"/>
                      <w:rPr>
                        <w:rFonts w:ascii="Calibri"/>
                        <w:b/>
                        <w:sz w:val="16"/>
                      </w:rPr>
                    </w:pPr>
                    <w:r>
                      <w:rPr>
                        <w:rFonts w:ascii="Calibri"/>
                        <w:b/>
                        <w:w w:val="101"/>
                        <w:sz w:val="16"/>
                      </w:rPr>
                      <w:t>3</w:t>
                    </w:r>
                  </w:p>
                </w:txbxContent>
              </v:textbox>
              <w10:wrap type="none"/>
            </v:shape>
            <v:shape style="position:absolute;left:267;top:3858;width:4540;height:173" type="#_x0000_t202" filled="false" stroked="false">
              <v:textbox inset="0,0,0,0">
                <w:txbxContent>
                  <w:p>
                    <w:pPr>
                      <w:tabs>
                        <w:tab w:pos="601" w:val="left" w:leader="none"/>
                        <w:tab w:pos="1185" w:val="left" w:leader="none"/>
                        <w:tab w:pos="1786" w:val="left" w:leader="none"/>
                        <w:tab w:pos="2388" w:val="left" w:leader="none"/>
                        <w:tab w:pos="2990" w:val="left" w:leader="none"/>
                        <w:tab w:pos="3591" w:val="left" w:leader="none"/>
                        <w:tab w:pos="4193" w:val="left" w:leader="none"/>
                      </w:tabs>
                      <w:spacing w:line="172" w:lineRule="exact" w:before="0"/>
                      <w:ind w:left="0" w:right="0" w:firstLine="0"/>
                      <w:jc w:val="left"/>
                      <w:rPr>
                        <w:rFonts w:ascii="Calibri"/>
                        <w:b/>
                        <w:sz w:val="17"/>
                      </w:rPr>
                    </w:pPr>
                    <w:r>
                      <w:rPr>
                        <w:rFonts w:ascii="Calibri"/>
                        <w:b/>
                        <w:sz w:val="17"/>
                      </w:rPr>
                      <w:t>2010</w:t>
                      <w:tab/>
                      <w:t>2011</w:t>
                      <w:tab/>
                      <w:t>2012</w:t>
                      <w:tab/>
                      <w:t>2013</w:t>
                      <w:tab/>
                      <w:t>2014</w:t>
                      <w:tab/>
                      <w:t>2015</w:t>
                      <w:tab/>
                      <w:t>2016</w:t>
                      <w:tab/>
                    </w:r>
                    <w:r>
                      <w:rPr>
                        <w:rFonts w:ascii="Calibri"/>
                        <w:b/>
                        <w:w w:val="95"/>
                        <w:sz w:val="17"/>
                      </w:rPr>
                      <w:t>2017</w:t>
                    </w:r>
                  </w:p>
                </w:txbxContent>
              </v:textbox>
              <w10:wrap type="none"/>
            </v:shape>
            <v:shape style="position:absolute;left:125;top:1989;width:151;height:1817" type="#_x0000_t202" filled="false" stroked="false">
              <v:textbox inset="0,0,0,0">
                <w:txbxContent>
                  <w:p>
                    <w:pPr>
                      <w:spacing w:line="175" w:lineRule="exact" w:before="0"/>
                      <w:ind w:left="49" w:right="0" w:firstLine="0"/>
                      <w:jc w:val="left"/>
                      <w:rPr>
                        <w:rFonts w:ascii="Calibri"/>
                        <w:b/>
                        <w:sz w:val="17"/>
                      </w:rPr>
                    </w:pPr>
                    <w:r>
                      <w:rPr>
                        <w:rFonts w:ascii="Calibri"/>
                        <w:b/>
                        <w:w w:val="94"/>
                        <w:sz w:val="17"/>
                      </w:rPr>
                      <w:t>3</w:t>
                    </w:r>
                  </w:p>
                  <w:p>
                    <w:pPr>
                      <w:spacing w:line="240" w:lineRule="auto" w:before="8"/>
                      <w:rPr>
                        <w:rFonts w:ascii="Calibri"/>
                        <w:b/>
                        <w:sz w:val="16"/>
                      </w:rPr>
                    </w:pPr>
                  </w:p>
                  <w:p>
                    <w:pPr>
                      <w:spacing w:before="0"/>
                      <w:ind w:left="49" w:right="0" w:firstLine="0"/>
                      <w:jc w:val="left"/>
                      <w:rPr>
                        <w:rFonts w:ascii="Calibri"/>
                        <w:b/>
                        <w:sz w:val="17"/>
                      </w:rPr>
                    </w:pPr>
                    <w:r>
                      <w:rPr>
                        <w:rFonts w:ascii="Calibri"/>
                        <w:b/>
                        <w:w w:val="94"/>
                        <w:sz w:val="17"/>
                      </w:rPr>
                      <w:t>2</w:t>
                    </w:r>
                  </w:p>
                  <w:p>
                    <w:pPr>
                      <w:spacing w:line="240" w:lineRule="auto" w:before="8"/>
                      <w:rPr>
                        <w:rFonts w:ascii="Calibri"/>
                        <w:b/>
                        <w:sz w:val="16"/>
                      </w:rPr>
                    </w:pPr>
                  </w:p>
                  <w:p>
                    <w:pPr>
                      <w:spacing w:before="0"/>
                      <w:ind w:left="49" w:right="0" w:firstLine="0"/>
                      <w:jc w:val="left"/>
                      <w:rPr>
                        <w:rFonts w:ascii="Calibri"/>
                        <w:b/>
                        <w:sz w:val="17"/>
                      </w:rPr>
                    </w:pPr>
                    <w:r>
                      <w:rPr>
                        <w:rFonts w:ascii="Calibri"/>
                        <w:b/>
                        <w:w w:val="94"/>
                        <w:sz w:val="17"/>
                      </w:rPr>
                      <w:t>1</w:t>
                    </w:r>
                  </w:p>
                  <w:p>
                    <w:pPr>
                      <w:spacing w:line="240" w:lineRule="auto" w:before="8"/>
                      <w:rPr>
                        <w:rFonts w:ascii="Calibri"/>
                        <w:b/>
                        <w:sz w:val="16"/>
                      </w:rPr>
                    </w:pPr>
                  </w:p>
                  <w:p>
                    <w:pPr>
                      <w:spacing w:before="1"/>
                      <w:ind w:left="49" w:right="0" w:firstLine="0"/>
                      <w:jc w:val="left"/>
                      <w:rPr>
                        <w:rFonts w:ascii="Calibri"/>
                        <w:b/>
                        <w:sz w:val="17"/>
                      </w:rPr>
                    </w:pPr>
                    <w:r>
                      <w:rPr>
                        <w:rFonts w:ascii="Calibri"/>
                        <w:b/>
                        <w:w w:val="94"/>
                        <w:sz w:val="17"/>
                      </w:rPr>
                      <w:t>0</w:t>
                    </w:r>
                  </w:p>
                  <w:p>
                    <w:pPr>
                      <w:spacing w:line="240" w:lineRule="auto" w:before="8"/>
                      <w:rPr>
                        <w:rFonts w:ascii="Calibri"/>
                        <w:b/>
                        <w:sz w:val="16"/>
                      </w:rPr>
                    </w:pPr>
                  </w:p>
                  <w:p>
                    <w:pPr>
                      <w:spacing w:line="205" w:lineRule="exact" w:before="0"/>
                      <w:ind w:left="0" w:right="0" w:firstLine="0"/>
                      <w:jc w:val="left"/>
                      <w:rPr>
                        <w:rFonts w:ascii="Calibri"/>
                        <w:b/>
                        <w:sz w:val="17"/>
                      </w:rPr>
                    </w:pPr>
                    <w:r>
                      <w:rPr>
                        <w:rFonts w:ascii="Calibri"/>
                        <w:b/>
                        <w:sz w:val="17"/>
                      </w:rPr>
                      <w:t>-1</w:t>
                    </w:r>
                  </w:p>
                </w:txbxContent>
              </v:textbox>
              <w10:wrap type="none"/>
            </v:shape>
            <v:shape style="position:absolute;left:2663;top:1578;width:1389;height:265" type="#_x0000_t202" filled="false" stroked="false">
              <v:textbox inset="0,0,0,0">
                <w:txbxContent>
                  <w:p>
                    <w:pPr>
                      <w:spacing w:line="205" w:lineRule="exact" w:before="59"/>
                      <w:ind w:left="0" w:right="0" w:firstLine="0"/>
                      <w:jc w:val="left"/>
                      <w:rPr>
                        <w:rFonts w:ascii="Calibri"/>
                        <w:b/>
                        <w:sz w:val="17"/>
                      </w:rPr>
                    </w:pPr>
                    <w:r>
                      <w:rPr>
                        <w:rFonts w:ascii="Calibri"/>
                        <w:b/>
                        <w:w w:val="94"/>
                        <w:position w:val="9"/>
                        <w:sz w:val="17"/>
                        <w:u w:val="thick" w:color="66FF33"/>
                      </w:rPr>
                      <w:t> </w:t>
                    </w:r>
                    <w:r>
                      <w:rPr>
                        <w:rFonts w:ascii="Calibri"/>
                        <w:b/>
                        <w:position w:val="9"/>
                        <w:sz w:val="17"/>
                        <w:u w:val="thick" w:color="66FF33"/>
                      </w:rPr>
                      <w:t>   </w:t>
                    </w:r>
                    <w:r>
                      <w:rPr>
                        <w:rFonts w:ascii="Calibri"/>
                        <w:b/>
                        <w:w w:val="95"/>
                        <w:sz w:val="17"/>
                      </w:rPr>
                      <w:t>OECD CPI Inflation</w:t>
                    </w:r>
                  </w:p>
                </w:txbxContent>
              </v:textbox>
              <w10:wrap type="none"/>
            </v:shape>
            <v:shape style="position:absolute;left:175;top:1578;width:102;height:173" type="#_x0000_t202" filled="false" stroked="false">
              <v:textbox inset="0,0,0,0">
                <w:txbxContent>
                  <w:p>
                    <w:pPr>
                      <w:spacing w:line="172" w:lineRule="exact" w:before="0"/>
                      <w:ind w:left="0" w:right="0" w:firstLine="0"/>
                      <w:jc w:val="left"/>
                      <w:rPr>
                        <w:rFonts w:ascii="Calibri"/>
                        <w:b/>
                        <w:sz w:val="17"/>
                      </w:rPr>
                    </w:pPr>
                    <w:r>
                      <w:rPr>
                        <w:rFonts w:ascii="Calibri"/>
                        <w:b/>
                        <w:w w:val="94"/>
                        <w:sz w:val="17"/>
                      </w:rPr>
                      <w:t>4</w:t>
                    </w:r>
                  </w:p>
                </w:txbxContent>
              </v:textbox>
              <w10:wrap type="none"/>
            </v:shape>
            <v:shape style="position:absolute;left:2805;top:1315;width:1049;height:173" type="#_x0000_t202" filled="false" stroked="false">
              <v:textbox inset="0,0,0,0">
                <w:txbxContent>
                  <w:p>
                    <w:pPr>
                      <w:spacing w:line="172" w:lineRule="exact" w:before="0"/>
                      <w:ind w:left="0" w:right="0" w:firstLine="0"/>
                      <w:jc w:val="left"/>
                      <w:rPr>
                        <w:rFonts w:ascii="Calibri"/>
                        <w:b/>
                        <w:sz w:val="17"/>
                      </w:rPr>
                    </w:pPr>
                    <w:r>
                      <w:rPr>
                        <w:rFonts w:ascii="Calibri"/>
                        <w:b/>
                        <w:sz w:val="17"/>
                      </w:rPr>
                      <w:t>EA</w:t>
                    </w:r>
                    <w:r>
                      <w:rPr>
                        <w:rFonts w:ascii="Calibri"/>
                        <w:b/>
                        <w:spacing w:val="-25"/>
                        <w:sz w:val="17"/>
                      </w:rPr>
                      <w:t> </w:t>
                    </w:r>
                    <w:r>
                      <w:rPr>
                        <w:rFonts w:ascii="Calibri"/>
                        <w:b/>
                        <w:sz w:val="17"/>
                      </w:rPr>
                      <w:t>CPI</w:t>
                    </w:r>
                    <w:r>
                      <w:rPr>
                        <w:rFonts w:ascii="Calibri"/>
                        <w:b/>
                        <w:spacing w:val="-24"/>
                        <w:sz w:val="17"/>
                      </w:rPr>
                      <w:t> </w:t>
                    </w:r>
                    <w:r>
                      <w:rPr>
                        <w:rFonts w:ascii="Calibri"/>
                        <w:b/>
                        <w:sz w:val="17"/>
                      </w:rPr>
                      <w:t>Inflation</w:t>
                    </w:r>
                  </w:p>
                </w:txbxContent>
              </v:textbox>
              <w10:wrap type="none"/>
            </v:shape>
            <v:shape style="position:absolute;left:2662;top:1205;width:184;height:173" type="#_x0000_t202" filled="false" stroked="false">
              <v:textbox inset="0,0,0,0">
                <w:txbxContent>
                  <w:p>
                    <w:pPr>
                      <w:spacing w:line="172" w:lineRule="exact" w:before="0"/>
                      <w:ind w:left="0" w:right="0" w:firstLine="0"/>
                      <w:jc w:val="left"/>
                      <w:rPr>
                        <w:rFonts w:ascii="Calibri"/>
                        <w:b/>
                        <w:sz w:val="17"/>
                      </w:rPr>
                    </w:pPr>
                    <w:r>
                      <w:rPr>
                        <w:rFonts w:ascii="Calibri"/>
                        <w:b/>
                        <w:w w:val="94"/>
                        <w:sz w:val="17"/>
                        <w:u w:val="single" w:color="FF00FF"/>
                      </w:rPr>
                      <w:t> </w:t>
                    </w:r>
                    <w:r>
                      <w:rPr>
                        <w:rFonts w:ascii="Calibri"/>
                        <w:b/>
                        <w:spacing w:val="11"/>
                        <w:sz w:val="17"/>
                        <w:u w:val="single" w:color="FF00FF"/>
                      </w:rPr>
                      <w:t> </w:t>
                    </w:r>
                  </w:p>
                </w:txbxContent>
              </v:textbox>
              <w10:wrap type="none"/>
            </v:shape>
            <v:shape style="position:absolute;left:504;top:1205;width:138;height:173" type="#_x0000_t202" filled="false" stroked="false">
              <v:textbox inset="0,0,0,0">
                <w:txbxContent>
                  <w:p>
                    <w:pPr>
                      <w:spacing w:line="172" w:lineRule="exact" w:before="0"/>
                      <w:ind w:left="0" w:right="0" w:firstLine="0"/>
                      <w:jc w:val="left"/>
                      <w:rPr>
                        <w:rFonts w:ascii="Calibri"/>
                        <w:b/>
                        <w:sz w:val="17"/>
                      </w:rPr>
                    </w:pPr>
                    <w:r>
                      <w:rPr>
                        <w:rFonts w:ascii="Calibri"/>
                        <w:b/>
                        <w:w w:val="94"/>
                        <w:sz w:val="17"/>
                      </w:rPr>
                      <w:t>%</w:t>
                    </w:r>
                  </w:p>
                </w:txbxContent>
              </v:textbox>
              <w10:wrap type="none"/>
            </v:shape>
            <v:shape style="position:absolute;left:175;top:1167;width:102;height:173" type="#_x0000_t202" filled="false" stroked="false">
              <v:textbox inset="0,0,0,0">
                <w:txbxContent>
                  <w:p>
                    <w:pPr>
                      <w:spacing w:line="172" w:lineRule="exact" w:before="0"/>
                      <w:ind w:left="0" w:right="0" w:firstLine="0"/>
                      <w:jc w:val="left"/>
                      <w:rPr>
                        <w:rFonts w:ascii="Calibri"/>
                        <w:b/>
                        <w:sz w:val="17"/>
                      </w:rPr>
                    </w:pPr>
                    <w:r>
                      <w:rPr>
                        <w:rFonts w:ascii="Calibri"/>
                        <w:b/>
                        <w:w w:val="94"/>
                        <w:sz w:val="17"/>
                      </w:rPr>
                      <w:t>5</w:t>
                    </w:r>
                  </w:p>
                </w:txbxContent>
              </v:textbox>
              <w10:wrap type="none"/>
            </v:shape>
            <v:shape style="position:absolute;left:2805;top:959;width:1065;height:173" type="#_x0000_t202" filled="false" stroked="false">
              <v:textbox inset="0,0,0,0">
                <w:txbxContent>
                  <w:p>
                    <w:pPr>
                      <w:spacing w:line="172" w:lineRule="exact" w:before="0"/>
                      <w:ind w:left="0" w:right="0" w:firstLine="0"/>
                      <w:jc w:val="left"/>
                      <w:rPr>
                        <w:rFonts w:ascii="Calibri"/>
                        <w:b/>
                        <w:sz w:val="17"/>
                      </w:rPr>
                    </w:pPr>
                    <w:r>
                      <w:rPr>
                        <w:rFonts w:ascii="Calibri"/>
                        <w:b/>
                        <w:sz w:val="17"/>
                      </w:rPr>
                      <w:t>UK</w:t>
                    </w:r>
                    <w:r>
                      <w:rPr>
                        <w:rFonts w:ascii="Calibri"/>
                        <w:b/>
                        <w:spacing w:val="-26"/>
                        <w:sz w:val="17"/>
                      </w:rPr>
                      <w:t> </w:t>
                    </w:r>
                    <w:r>
                      <w:rPr>
                        <w:rFonts w:ascii="Calibri"/>
                        <w:b/>
                        <w:sz w:val="17"/>
                      </w:rPr>
                      <w:t>CPI</w:t>
                    </w:r>
                    <w:r>
                      <w:rPr>
                        <w:rFonts w:ascii="Calibri"/>
                        <w:b/>
                        <w:spacing w:val="-25"/>
                        <w:sz w:val="17"/>
                      </w:rPr>
                      <w:t> </w:t>
                    </w:r>
                    <w:r>
                      <w:rPr>
                        <w:rFonts w:ascii="Calibri"/>
                        <w:b/>
                        <w:sz w:val="17"/>
                      </w:rPr>
                      <w:t>Inflation</w:t>
                    </w:r>
                  </w:p>
                </w:txbxContent>
              </v:textbox>
              <w10:wrap type="none"/>
            </v:shape>
            <v:shape style="position:absolute;left:175;top:756;width:102;height:173" type="#_x0000_t202" filled="false" stroked="false">
              <v:textbox inset="0,0,0,0">
                <w:txbxContent>
                  <w:p>
                    <w:pPr>
                      <w:spacing w:line="172" w:lineRule="exact" w:before="0"/>
                      <w:ind w:left="0" w:right="0" w:firstLine="0"/>
                      <w:jc w:val="left"/>
                      <w:rPr>
                        <w:rFonts w:ascii="Calibri"/>
                        <w:b/>
                        <w:sz w:val="17"/>
                      </w:rPr>
                    </w:pPr>
                    <w:r>
                      <w:rPr>
                        <w:rFonts w:ascii="Calibri"/>
                        <w:b/>
                        <w:w w:val="94"/>
                        <w:sz w:val="17"/>
                      </w:rPr>
                      <w:t>6</w:t>
                    </w:r>
                  </w:p>
                </w:txbxContent>
              </v:textbox>
              <w10:wrap type="none"/>
            </v:shape>
            <v:shape style="position:absolute;left:5149;top:9;width:5197;height:692" type="#_x0000_t202" filled="false" stroked="false">
              <v:textbox inset="0,0,0,0">
                <w:txbxContent>
                  <w:p>
                    <w:pPr>
                      <w:spacing w:line="360" w:lineRule="auto" w:before="0"/>
                      <w:ind w:left="103" w:right="272" w:firstLine="0"/>
                      <w:jc w:val="left"/>
                      <w:rPr>
                        <w:sz w:val="20"/>
                      </w:rPr>
                    </w:pPr>
                    <w:r>
                      <w:rPr>
                        <w:sz w:val="20"/>
                      </w:rPr>
                      <w:t>Figure 11. Guides to Inflation Pass-Through from Sterling and Global Costs, 2001-17</w:t>
                    </w:r>
                  </w:p>
                </w:txbxContent>
              </v:textbox>
              <w10:wrap type="none"/>
            </v:shape>
            <v:shape style="position:absolute;left:9;top:9;width:5131;height:692" type="#_x0000_t202" filled="false" stroked="false">
              <v:textbox inset="0,0,0,0">
                <w:txbxContent>
                  <w:p>
                    <w:pPr>
                      <w:spacing w:line="360" w:lineRule="auto" w:before="0"/>
                      <w:ind w:left="103" w:right="186" w:firstLine="0"/>
                      <w:jc w:val="left"/>
                      <w:rPr>
                        <w:sz w:val="20"/>
                      </w:rPr>
                    </w:pPr>
                    <w:r>
                      <w:rPr>
                        <w:sz w:val="20"/>
                      </w:rPr>
                      <w:t>Figure 10. CPI Inflation in UK, Euro Area and OECD Average, 2010-17</w:t>
                    </w:r>
                  </w:p>
                </w:txbxContent>
              </v:textbox>
              <w10:wrap type="none"/>
            </v:shape>
          </v:group>
        </w:pict>
      </w:r>
      <w:r>
        <w:rPr/>
      </w:r>
    </w:p>
    <w:p>
      <w:pPr>
        <w:pStyle w:val="BodyText"/>
        <w:spacing w:line="199" w:lineRule="exact"/>
        <w:ind w:left="673"/>
      </w:pPr>
      <w:r>
        <w:rPr/>
        <w:t>Note: The right chart shows the weighted average inflation rate for CPI items (excluding fuel and education)</w:t>
      </w:r>
    </w:p>
    <w:p>
      <w:pPr>
        <w:pStyle w:val="BodyText"/>
        <w:spacing w:line="360" w:lineRule="auto" w:before="113"/>
        <w:ind w:left="673" w:right="314"/>
      </w:pPr>
      <w:r>
        <w:rPr/>
        <w:t>with a relatively high import content, accounting for 45% of the CPI. The price and cost indicators used are CIPS manufacturing output prices, ONS output prices ex food, drink, tobacco and petrol, CBI distributive trades expected price changes among retailers, CBI expected price changes among manufacturing firms, BoE Agents index on prices of finished goods import prices. These are shown as standard deviations from average. Source: Datastream, ONS and BoE.</w:t>
      </w:r>
    </w:p>
    <w:p>
      <w:pPr>
        <w:pStyle w:val="BodyText"/>
      </w:pPr>
    </w:p>
    <w:p>
      <w:pPr>
        <w:pStyle w:val="BodyText"/>
      </w:pPr>
    </w:p>
    <w:p>
      <w:pPr>
        <w:pStyle w:val="BodyText"/>
        <w:spacing w:before="5"/>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586"/>
        <w:gridCol w:w="443"/>
        <w:gridCol w:w="110"/>
        <w:gridCol w:w="4975"/>
        <w:gridCol w:w="121"/>
      </w:tblGrid>
      <w:tr>
        <w:trPr>
          <w:trHeight w:val="1033" w:hRule="atLeast"/>
        </w:trPr>
        <w:tc>
          <w:tcPr>
            <w:tcW w:w="5140" w:type="dxa"/>
            <w:gridSpan w:val="3"/>
            <w:tcBorders>
              <w:bottom w:val="single" w:sz="6" w:space="0" w:color="000000"/>
            </w:tcBorders>
          </w:tcPr>
          <w:p>
            <w:pPr>
              <w:pStyle w:val="TableParagraph"/>
              <w:spacing w:line="360" w:lineRule="auto"/>
              <w:ind w:left="107" w:right="278"/>
              <w:rPr>
                <w:rFonts w:ascii="Arial"/>
                <w:sz w:val="20"/>
              </w:rPr>
            </w:pPr>
            <w:r>
              <w:rPr>
                <w:rFonts w:ascii="Arial"/>
                <w:sz w:val="20"/>
              </w:rPr>
              <w:t>Figure 12. Export Volumes and Survey Guides to Export Growth, 2002-2017</w:t>
            </w:r>
          </w:p>
        </w:tc>
        <w:tc>
          <w:tcPr>
            <w:tcW w:w="5206" w:type="dxa"/>
            <w:gridSpan w:val="3"/>
            <w:tcBorders>
              <w:bottom w:val="single" w:sz="6" w:space="0" w:color="000000"/>
            </w:tcBorders>
          </w:tcPr>
          <w:p>
            <w:pPr>
              <w:pStyle w:val="TableParagraph"/>
              <w:spacing w:line="227" w:lineRule="exact"/>
              <w:ind w:left="107"/>
              <w:rPr>
                <w:rFonts w:ascii="Arial"/>
                <w:sz w:val="20"/>
              </w:rPr>
            </w:pPr>
            <w:r>
              <w:rPr>
                <w:rFonts w:ascii="Arial"/>
                <w:sz w:val="20"/>
              </w:rPr>
              <w:t>Figure 13. Sterling ERI and Net Balance of Firms</w:t>
            </w:r>
          </w:p>
          <w:p>
            <w:pPr>
              <w:pStyle w:val="TableParagraph"/>
              <w:spacing w:line="340" w:lineRule="atLeast" w:before="6"/>
              <w:ind w:left="107" w:right="581"/>
              <w:rPr>
                <w:rFonts w:ascii="Arial"/>
                <w:sz w:val="20"/>
              </w:rPr>
            </w:pPr>
            <w:r>
              <w:rPr>
                <w:rFonts w:ascii="Arial"/>
                <w:sz w:val="20"/>
              </w:rPr>
              <w:t>Reporting Better/Worse External Competitiveness, 1999-2017</w:t>
            </w:r>
          </w:p>
        </w:tc>
      </w:tr>
      <w:tr>
        <w:trPr>
          <w:trHeight w:val="3250" w:hRule="atLeast"/>
        </w:trPr>
        <w:tc>
          <w:tcPr>
            <w:tcW w:w="111" w:type="dxa"/>
            <w:tcBorders>
              <w:bottom w:val="nil"/>
              <w:right w:val="single" w:sz="2" w:space="0" w:color="858585"/>
            </w:tcBorders>
          </w:tcPr>
          <w:p>
            <w:pPr>
              <w:pStyle w:val="TableParagraph"/>
              <w:rPr>
                <w:rFonts w:ascii="Times New Roman"/>
                <w:sz w:val="18"/>
              </w:rPr>
            </w:pPr>
          </w:p>
        </w:tc>
        <w:tc>
          <w:tcPr>
            <w:tcW w:w="4586" w:type="dxa"/>
            <w:tcBorders>
              <w:top w:val="single" w:sz="6" w:space="0" w:color="000000"/>
              <w:left w:val="single" w:sz="2" w:space="0" w:color="858585"/>
              <w:bottom w:val="single" w:sz="2" w:space="0" w:color="858585"/>
              <w:right w:val="single" w:sz="2" w:space="0" w:color="858585"/>
            </w:tcBorders>
          </w:tcPr>
          <w:p>
            <w:pPr>
              <w:pStyle w:val="TableParagraph"/>
              <w:tabs>
                <w:tab w:pos="4380" w:val="left" w:leader="none"/>
              </w:tabs>
              <w:spacing w:line="160" w:lineRule="exact" w:before="9"/>
              <w:ind w:left="57"/>
              <w:rPr>
                <w:b/>
                <w:sz w:val="16"/>
              </w:rPr>
            </w:pPr>
            <w:r>
              <w:rPr>
                <w:b/>
                <w:sz w:val="16"/>
              </w:rPr>
              <w:t>3</w:t>
              <w:tab/>
              <w:t>20</w:t>
            </w:r>
          </w:p>
          <w:p>
            <w:pPr>
              <w:pStyle w:val="TableParagraph"/>
              <w:spacing w:line="160" w:lineRule="exact"/>
              <w:ind w:left="1736"/>
              <w:rPr>
                <w:b/>
                <w:sz w:val="16"/>
              </w:rPr>
            </w:pPr>
            <w:r>
              <w:rPr>
                <w:b/>
                <w:sz w:val="16"/>
              </w:rPr>
              <w:t>Average of Export Guides (left)</w:t>
            </w:r>
          </w:p>
          <w:p>
            <w:pPr>
              <w:pStyle w:val="TableParagraph"/>
              <w:tabs>
                <w:tab w:pos="1736" w:val="left" w:leader="none"/>
                <w:tab w:pos="4532" w:val="right" w:leader="none"/>
              </w:tabs>
              <w:spacing w:before="44"/>
              <w:ind w:left="57"/>
              <w:rPr>
                <w:b/>
                <w:sz w:val="16"/>
              </w:rPr>
            </w:pPr>
            <w:r>
              <w:rPr>
                <w:b/>
                <w:position w:val="-2"/>
                <w:sz w:val="16"/>
              </w:rPr>
              <w:t>2</w:t>
              <w:tab/>
            </w:r>
            <w:r>
              <w:rPr>
                <w:b/>
                <w:sz w:val="16"/>
              </w:rPr>
              <w:t>ONS Export Volumes</w:t>
            </w:r>
            <w:r>
              <w:rPr>
                <w:b/>
                <w:spacing w:val="-27"/>
                <w:sz w:val="16"/>
              </w:rPr>
              <w:t> </w:t>
            </w:r>
            <w:r>
              <w:rPr>
                <w:b/>
                <w:sz w:val="16"/>
              </w:rPr>
              <w:t>YoY</w:t>
            </w:r>
            <w:r>
              <w:rPr>
                <w:b/>
                <w:spacing w:val="-8"/>
                <w:sz w:val="16"/>
              </w:rPr>
              <w:t> </w:t>
            </w:r>
            <w:r>
              <w:rPr>
                <w:b/>
                <w:sz w:val="16"/>
              </w:rPr>
              <w:t>(right)</w:t>
              <w:tab/>
            </w:r>
            <w:r>
              <w:rPr>
                <w:b/>
                <w:position w:val="-2"/>
                <w:sz w:val="16"/>
              </w:rPr>
              <w:t>15</w:t>
            </w:r>
          </w:p>
          <w:p>
            <w:pPr>
              <w:pStyle w:val="TableParagraph"/>
              <w:spacing w:before="11"/>
              <w:rPr>
                <w:rFonts w:ascii="Arial"/>
                <w:sz w:val="16"/>
              </w:rPr>
            </w:pPr>
          </w:p>
          <w:p>
            <w:pPr>
              <w:pStyle w:val="TableParagraph"/>
              <w:tabs>
                <w:tab w:pos="4380" w:val="left" w:leader="none"/>
              </w:tabs>
              <w:ind w:left="57"/>
              <w:rPr>
                <w:b/>
                <w:sz w:val="16"/>
              </w:rPr>
            </w:pPr>
            <w:r>
              <w:rPr>
                <w:b/>
                <w:sz w:val="16"/>
              </w:rPr>
              <w:t>1</w:t>
              <w:tab/>
              <w:t>10</w:t>
            </w:r>
          </w:p>
          <w:p>
            <w:pPr>
              <w:pStyle w:val="TableParagraph"/>
              <w:spacing w:before="1"/>
              <w:rPr>
                <w:rFonts w:ascii="Arial"/>
                <w:sz w:val="17"/>
              </w:rPr>
            </w:pPr>
          </w:p>
          <w:p>
            <w:pPr>
              <w:pStyle w:val="TableParagraph"/>
              <w:tabs>
                <w:tab w:pos="4380" w:val="left" w:leader="none"/>
              </w:tabs>
              <w:ind w:left="57"/>
              <w:rPr>
                <w:b/>
                <w:sz w:val="16"/>
              </w:rPr>
            </w:pPr>
            <w:r>
              <w:rPr>
                <w:b/>
                <w:sz w:val="16"/>
              </w:rPr>
              <w:t>0</w:t>
              <w:tab/>
              <w:t>5</w:t>
            </w:r>
          </w:p>
          <w:p>
            <w:pPr>
              <w:pStyle w:val="TableParagraph"/>
              <w:spacing w:before="1"/>
              <w:rPr>
                <w:rFonts w:ascii="Arial"/>
                <w:sz w:val="17"/>
              </w:rPr>
            </w:pPr>
          </w:p>
          <w:p>
            <w:pPr>
              <w:pStyle w:val="TableParagraph"/>
              <w:tabs>
                <w:tab w:pos="4380" w:val="left" w:leader="none"/>
              </w:tabs>
              <w:ind w:left="11"/>
              <w:rPr>
                <w:b/>
                <w:sz w:val="16"/>
              </w:rPr>
            </w:pPr>
            <w:r>
              <w:rPr>
                <w:b/>
                <w:sz w:val="16"/>
              </w:rPr>
              <w:t>-1</w:t>
              <w:tab/>
              <w:t>0</w:t>
            </w:r>
          </w:p>
          <w:p>
            <w:pPr>
              <w:pStyle w:val="TableParagraph"/>
              <w:spacing w:before="8"/>
              <w:rPr>
                <w:rFonts w:ascii="Arial"/>
                <w:sz w:val="16"/>
              </w:rPr>
            </w:pPr>
          </w:p>
          <w:p>
            <w:pPr>
              <w:pStyle w:val="TableParagraph"/>
              <w:tabs>
                <w:tab w:pos="559" w:val="left" w:leader="none"/>
                <w:tab w:pos="4380" w:val="left" w:leader="none"/>
              </w:tabs>
              <w:ind w:left="11"/>
              <w:rPr>
                <w:b/>
                <w:sz w:val="16"/>
              </w:rPr>
            </w:pPr>
            <w:r>
              <w:rPr>
                <w:b/>
                <w:position w:val="8"/>
                <w:sz w:val="16"/>
              </w:rPr>
              <w:t>-2</w:t>
              <w:tab/>
            </w:r>
            <w:r>
              <w:rPr>
                <w:b/>
                <w:sz w:val="16"/>
              </w:rPr>
              <w:t>Range</w:t>
            </w:r>
            <w:r>
              <w:rPr>
                <w:b/>
                <w:spacing w:val="-13"/>
                <w:sz w:val="16"/>
              </w:rPr>
              <w:t> </w:t>
            </w:r>
            <w:r>
              <w:rPr>
                <w:b/>
                <w:sz w:val="16"/>
              </w:rPr>
              <w:t>of</w:t>
            </w:r>
            <w:r>
              <w:rPr>
                <w:b/>
                <w:spacing w:val="-13"/>
                <w:sz w:val="16"/>
              </w:rPr>
              <w:t> </w:t>
            </w:r>
            <w:r>
              <w:rPr>
                <w:b/>
                <w:sz w:val="16"/>
              </w:rPr>
              <w:t>Export</w:t>
              <w:tab/>
            </w:r>
            <w:r>
              <w:rPr>
                <w:b/>
                <w:position w:val="8"/>
                <w:sz w:val="16"/>
              </w:rPr>
              <w:t>-5</w:t>
            </w:r>
          </w:p>
          <w:p>
            <w:pPr>
              <w:pStyle w:val="TableParagraph"/>
              <w:spacing w:line="155" w:lineRule="exact" w:before="6"/>
              <w:ind w:left="559"/>
              <w:rPr>
                <w:b/>
                <w:sz w:val="16"/>
              </w:rPr>
            </w:pPr>
            <w:r>
              <w:rPr>
                <w:b/>
                <w:sz w:val="16"/>
              </w:rPr>
              <w:t>Guides</w:t>
            </w:r>
          </w:p>
          <w:p>
            <w:pPr>
              <w:pStyle w:val="TableParagraph"/>
              <w:tabs>
                <w:tab w:pos="4380" w:val="left" w:leader="none"/>
              </w:tabs>
              <w:spacing w:line="155" w:lineRule="exact"/>
              <w:ind w:left="11"/>
              <w:rPr>
                <w:b/>
                <w:sz w:val="16"/>
              </w:rPr>
            </w:pPr>
            <w:r>
              <w:rPr>
                <w:b/>
                <w:sz w:val="16"/>
              </w:rPr>
              <w:t>-3</w:t>
              <w:tab/>
            </w:r>
            <w:r>
              <w:rPr>
                <w:b/>
                <w:spacing w:val="-6"/>
                <w:sz w:val="16"/>
              </w:rPr>
              <w:t>-10</w:t>
            </w:r>
          </w:p>
          <w:p>
            <w:pPr>
              <w:pStyle w:val="TableParagraph"/>
              <w:tabs>
                <w:tab w:pos="3945" w:val="left" w:leader="none"/>
              </w:tabs>
              <w:spacing w:line="179" w:lineRule="exact" w:before="43"/>
              <w:ind w:left="346"/>
              <w:rPr>
                <w:b/>
                <w:sz w:val="16"/>
              </w:rPr>
            </w:pPr>
            <w:r>
              <w:rPr>
                <w:b/>
                <w:sz w:val="16"/>
              </w:rPr>
              <w:t>SD</w:t>
              <w:tab/>
            </w:r>
            <w:r>
              <w:rPr>
                <w:b/>
                <w:position w:val="1"/>
                <w:sz w:val="16"/>
              </w:rPr>
              <w:t>%</w:t>
            </w:r>
          </w:p>
          <w:p>
            <w:pPr>
              <w:pStyle w:val="TableParagraph"/>
              <w:tabs>
                <w:tab w:pos="4380" w:val="left" w:leader="none"/>
              </w:tabs>
              <w:spacing w:line="169" w:lineRule="exact"/>
              <w:ind w:left="11"/>
              <w:rPr>
                <w:b/>
                <w:sz w:val="16"/>
              </w:rPr>
            </w:pPr>
            <w:r>
              <w:rPr>
                <w:b/>
                <w:sz w:val="16"/>
              </w:rPr>
              <w:t>-4</w:t>
              <w:tab/>
            </w:r>
            <w:r>
              <w:rPr>
                <w:b/>
                <w:spacing w:val="-6"/>
                <w:sz w:val="16"/>
              </w:rPr>
              <w:t>-15</w:t>
            </w:r>
          </w:p>
          <w:p>
            <w:pPr>
              <w:pStyle w:val="TableParagraph"/>
              <w:tabs>
                <w:tab w:pos="664" w:val="left" w:leader="none"/>
                <w:tab w:pos="1176" w:val="left" w:leader="none"/>
                <w:tab w:pos="1688" w:val="left" w:leader="none"/>
                <w:tab w:pos="2200" w:val="left" w:leader="none"/>
                <w:tab w:pos="2713" w:val="left" w:leader="none"/>
                <w:tab w:pos="3224" w:val="left" w:leader="none"/>
                <w:tab w:pos="3737" w:val="left" w:leader="none"/>
              </w:tabs>
              <w:spacing w:before="18"/>
              <w:ind w:left="152"/>
              <w:rPr>
                <w:b/>
                <w:sz w:val="16"/>
              </w:rPr>
            </w:pPr>
            <w:r>
              <w:rPr>
                <w:b/>
                <w:sz w:val="16"/>
              </w:rPr>
              <w:t>2002</w:t>
              <w:tab/>
              <w:t>2004</w:t>
              <w:tab/>
              <w:t>2006</w:t>
              <w:tab/>
              <w:t>2008</w:t>
              <w:tab/>
              <w:t>2010</w:t>
              <w:tab/>
              <w:t>2012</w:t>
              <w:tab/>
              <w:t>2014</w:t>
              <w:tab/>
              <w:t>2016</w:t>
            </w:r>
          </w:p>
        </w:tc>
        <w:tc>
          <w:tcPr>
            <w:tcW w:w="443" w:type="dxa"/>
            <w:vMerge w:val="restart"/>
            <w:tcBorders>
              <w:left w:val="single" w:sz="2" w:space="0" w:color="858585"/>
            </w:tcBorders>
          </w:tcPr>
          <w:p>
            <w:pPr>
              <w:pStyle w:val="TableParagraph"/>
              <w:rPr>
                <w:rFonts w:ascii="Times New Roman"/>
                <w:sz w:val="18"/>
              </w:rPr>
            </w:pPr>
          </w:p>
        </w:tc>
        <w:tc>
          <w:tcPr>
            <w:tcW w:w="110" w:type="dxa"/>
            <w:vMerge w:val="restart"/>
            <w:tcBorders>
              <w:right w:val="single" w:sz="2" w:space="0" w:color="858585"/>
            </w:tcBorders>
          </w:tcPr>
          <w:p>
            <w:pPr>
              <w:pStyle w:val="TableParagraph"/>
              <w:rPr>
                <w:rFonts w:ascii="Times New Roman"/>
                <w:sz w:val="18"/>
              </w:rPr>
            </w:pPr>
          </w:p>
        </w:tc>
        <w:tc>
          <w:tcPr>
            <w:tcW w:w="4975" w:type="dxa"/>
            <w:tcBorders>
              <w:top w:val="single" w:sz="6" w:space="0" w:color="000000"/>
              <w:left w:val="single" w:sz="2" w:space="0" w:color="858585"/>
              <w:bottom w:val="single" w:sz="2" w:space="0" w:color="858585"/>
              <w:right w:val="single" w:sz="2" w:space="0" w:color="858585"/>
            </w:tcBorders>
          </w:tcPr>
          <w:p>
            <w:pPr>
              <w:pStyle w:val="TableParagraph"/>
              <w:tabs>
                <w:tab w:pos="4740" w:val="left" w:leader="none"/>
              </w:tabs>
              <w:spacing w:line="153" w:lineRule="exact" w:before="8"/>
              <w:ind w:right="37"/>
              <w:jc w:val="center"/>
              <w:rPr>
                <w:b/>
                <w:sz w:val="16"/>
              </w:rPr>
            </w:pPr>
            <w:r>
              <w:rPr>
                <w:b/>
                <w:sz w:val="16"/>
              </w:rPr>
              <w:t>115</w:t>
              <w:tab/>
              <w:t>35</w:t>
            </w:r>
          </w:p>
          <w:p>
            <w:pPr>
              <w:pStyle w:val="TableParagraph"/>
              <w:spacing w:line="114" w:lineRule="exact"/>
              <w:ind w:left="96" w:right="37"/>
              <w:jc w:val="center"/>
              <w:rPr>
                <w:b/>
                <w:sz w:val="16"/>
              </w:rPr>
            </w:pPr>
            <w:r>
              <w:rPr>
                <w:b/>
                <w:sz w:val="16"/>
              </w:rPr>
              <w:t>Manufacturing -- External Competitiveness (right)</w:t>
            </w:r>
          </w:p>
          <w:p>
            <w:pPr>
              <w:pStyle w:val="TableParagraph"/>
              <w:spacing w:line="115" w:lineRule="exact"/>
              <w:ind w:left="4700"/>
              <w:jc w:val="center"/>
              <w:rPr>
                <w:b/>
                <w:sz w:val="16"/>
              </w:rPr>
            </w:pPr>
            <w:r>
              <w:rPr>
                <w:b/>
                <w:sz w:val="16"/>
              </w:rPr>
              <w:t>30</w:t>
            </w:r>
          </w:p>
          <w:p>
            <w:pPr>
              <w:pStyle w:val="TableParagraph"/>
              <w:tabs>
                <w:tab w:pos="691" w:val="left" w:leader="none"/>
              </w:tabs>
              <w:spacing w:line="112" w:lineRule="exact"/>
              <w:ind w:left="12"/>
              <w:rPr>
                <w:b/>
                <w:sz w:val="16"/>
              </w:rPr>
            </w:pPr>
            <w:r>
              <w:rPr>
                <w:b/>
                <w:sz w:val="16"/>
              </w:rPr>
              <w:t>110</w:t>
              <w:tab/>
            </w:r>
            <w:r>
              <w:rPr>
                <w:b/>
                <w:sz w:val="16"/>
                <w:u w:val="thick" w:color="FF00FF"/>
              </w:rPr>
              <w:t> </w:t>
            </w:r>
            <w:r>
              <w:rPr>
                <w:b/>
                <w:sz w:val="16"/>
              </w:rPr>
              <w:t>Service Sector -- External Competitiveness</w:t>
            </w:r>
            <w:r>
              <w:rPr>
                <w:b/>
                <w:spacing w:val="10"/>
                <w:sz w:val="16"/>
              </w:rPr>
              <w:t> </w:t>
            </w:r>
            <w:r>
              <w:rPr>
                <w:b/>
                <w:sz w:val="16"/>
              </w:rPr>
              <w:t>(right)</w:t>
            </w:r>
          </w:p>
          <w:p>
            <w:pPr>
              <w:pStyle w:val="TableParagraph"/>
              <w:tabs>
                <w:tab w:pos="4917" w:val="right" w:leader="none"/>
              </w:tabs>
              <w:spacing w:line="225" w:lineRule="exact"/>
              <w:ind w:left="835"/>
              <w:rPr>
                <w:b/>
                <w:sz w:val="16"/>
              </w:rPr>
            </w:pPr>
            <w:r>
              <w:rPr>
                <w:b/>
                <w:sz w:val="16"/>
              </w:rPr>
              <w:t>Sterling ERI</w:t>
            </w:r>
            <w:r>
              <w:rPr>
                <w:b/>
                <w:spacing w:val="1"/>
                <w:sz w:val="16"/>
              </w:rPr>
              <w:t> </w:t>
            </w:r>
            <w:r>
              <w:rPr>
                <w:b/>
                <w:sz w:val="16"/>
              </w:rPr>
              <w:t>(Left)</w:t>
              <w:tab/>
            </w:r>
            <w:r>
              <w:rPr>
                <w:b/>
                <w:position w:val="11"/>
                <w:sz w:val="16"/>
              </w:rPr>
              <w:t>25</w:t>
            </w:r>
          </w:p>
          <w:p>
            <w:pPr>
              <w:pStyle w:val="TableParagraph"/>
              <w:tabs>
                <w:tab w:pos="4740" w:val="left" w:leader="none"/>
              </w:tabs>
              <w:spacing w:line="158" w:lineRule="exact"/>
              <w:ind w:right="50"/>
              <w:jc w:val="right"/>
              <w:rPr>
                <w:b/>
                <w:sz w:val="16"/>
              </w:rPr>
            </w:pPr>
            <w:r>
              <w:rPr>
                <w:b/>
                <w:sz w:val="16"/>
              </w:rPr>
              <w:t>105</w:t>
              <w:tab/>
            </w:r>
            <w:r>
              <w:rPr>
                <w:b/>
                <w:spacing w:val="-1"/>
                <w:sz w:val="16"/>
              </w:rPr>
              <w:t>20</w:t>
            </w:r>
          </w:p>
          <w:p>
            <w:pPr>
              <w:pStyle w:val="TableParagraph"/>
              <w:spacing w:line="154" w:lineRule="exact" w:before="32"/>
              <w:ind w:right="50"/>
              <w:jc w:val="right"/>
              <w:rPr>
                <w:b/>
                <w:sz w:val="16"/>
              </w:rPr>
            </w:pPr>
            <w:r>
              <w:rPr>
                <w:b/>
                <w:spacing w:val="-1"/>
                <w:sz w:val="16"/>
              </w:rPr>
              <w:t>15</w:t>
            </w:r>
          </w:p>
          <w:p>
            <w:pPr>
              <w:pStyle w:val="TableParagraph"/>
              <w:spacing w:line="114" w:lineRule="exact"/>
              <w:ind w:left="12"/>
              <w:rPr>
                <w:b/>
                <w:sz w:val="16"/>
              </w:rPr>
            </w:pPr>
            <w:r>
              <w:rPr>
                <w:b/>
                <w:sz w:val="16"/>
              </w:rPr>
              <w:t>100</w:t>
            </w:r>
          </w:p>
          <w:p>
            <w:pPr>
              <w:pStyle w:val="TableParagraph"/>
              <w:spacing w:line="155" w:lineRule="exact"/>
              <w:ind w:right="50"/>
              <w:jc w:val="right"/>
              <w:rPr>
                <w:b/>
                <w:sz w:val="16"/>
              </w:rPr>
            </w:pPr>
            <w:r>
              <w:rPr>
                <w:b/>
                <w:sz w:val="16"/>
              </w:rPr>
              <w:t>10</w:t>
            </w:r>
          </w:p>
          <w:p>
            <w:pPr>
              <w:pStyle w:val="TableParagraph"/>
              <w:tabs>
                <w:tab w:pos="4657" w:val="left" w:leader="none"/>
              </w:tabs>
              <w:spacing w:before="31"/>
              <w:ind w:right="132"/>
              <w:jc w:val="right"/>
              <w:rPr>
                <w:b/>
                <w:sz w:val="16"/>
              </w:rPr>
            </w:pPr>
            <w:r>
              <w:rPr>
                <w:b/>
                <w:sz w:val="16"/>
              </w:rPr>
              <w:t>95</w:t>
              <w:tab/>
              <w:t>5</w:t>
            </w:r>
          </w:p>
          <w:p>
            <w:pPr>
              <w:pStyle w:val="TableParagraph"/>
              <w:spacing w:line="154" w:lineRule="exact" w:before="32"/>
              <w:ind w:right="132"/>
              <w:jc w:val="right"/>
              <w:rPr>
                <w:b/>
                <w:sz w:val="16"/>
              </w:rPr>
            </w:pPr>
            <w:r>
              <w:rPr>
                <w:b/>
                <w:w w:val="101"/>
                <w:sz w:val="16"/>
              </w:rPr>
              <w:t>0</w:t>
            </w:r>
          </w:p>
          <w:p>
            <w:pPr>
              <w:pStyle w:val="TableParagraph"/>
              <w:spacing w:line="114" w:lineRule="exact"/>
              <w:ind w:left="95"/>
              <w:rPr>
                <w:b/>
                <w:sz w:val="16"/>
              </w:rPr>
            </w:pPr>
            <w:r>
              <w:rPr>
                <w:b/>
                <w:sz w:val="16"/>
              </w:rPr>
              <w:t>90</w:t>
            </w:r>
          </w:p>
          <w:p>
            <w:pPr>
              <w:pStyle w:val="TableParagraph"/>
              <w:spacing w:line="155" w:lineRule="exact"/>
              <w:ind w:right="83"/>
              <w:jc w:val="right"/>
              <w:rPr>
                <w:b/>
                <w:sz w:val="16"/>
              </w:rPr>
            </w:pPr>
            <w:r>
              <w:rPr>
                <w:b/>
                <w:sz w:val="16"/>
              </w:rPr>
              <w:t>-5</w:t>
            </w:r>
          </w:p>
          <w:p>
            <w:pPr>
              <w:pStyle w:val="TableParagraph"/>
              <w:tabs>
                <w:tab w:pos="4657" w:val="left" w:leader="none"/>
              </w:tabs>
              <w:spacing w:before="32"/>
              <w:jc w:val="right"/>
              <w:rPr>
                <w:b/>
                <w:sz w:val="16"/>
              </w:rPr>
            </w:pPr>
            <w:r>
              <w:rPr>
                <w:b/>
                <w:sz w:val="16"/>
              </w:rPr>
              <w:t>85</w:t>
              <w:tab/>
            </w:r>
            <w:r>
              <w:rPr>
                <w:b/>
                <w:spacing w:val="-1"/>
                <w:sz w:val="16"/>
              </w:rPr>
              <w:t>-10</w:t>
            </w:r>
          </w:p>
          <w:p>
            <w:pPr>
              <w:pStyle w:val="TableParagraph"/>
              <w:spacing w:line="154" w:lineRule="exact" w:before="32"/>
              <w:jc w:val="right"/>
              <w:rPr>
                <w:b/>
                <w:sz w:val="16"/>
              </w:rPr>
            </w:pPr>
            <w:r>
              <w:rPr>
                <w:b/>
                <w:spacing w:val="-1"/>
                <w:sz w:val="16"/>
              </w:rPr>
              <w:t>-15</w:t>
            </w:r>
          </w:p>
          <w:p>
            <w:pPr>
              <w:pStyle w:val="TableParagraph"/>
              <w:spacing w:line="114" w:lineRule="exact"/>
              <w:ind w:left="95"/>
              <w:rPr>
                <w:b/>
                <w:sz w:val="16"/>
              </w:rPr>
            </w:pPr>
            <w:r>
              <w:rPr>
                <w:b/>
                <w:sz w:val="16"/>
              </w:rPr>
              <w:t>80</w:t>
            </w:r>
          </w:p>
          <w:p>
            <w:pPr>
              <w:pStyle w:val="TableParagraph"/>
              <w:spacing w:line="125" w:lineRule="exact"/>
              <w:ind w:left="4750"/>
              <w:jc w:val="center"/>
              <w:rPr>
                <w:b/>
                <w:sz w:val="16"/>
              </w:rPr>
            </w:pPr>
            <w:r>
              <w:rPr>
                <w:b/>
                <w:spacing w:val="-1"/>
                <w:sz w:val="16"/>
              </w:rPr>
              <w:t>-20</w:t>
            </w:r>
          </w:p>
          <w:p>
            <w:pPr>
              <w:pStyle w:val="TableParagraph"/>
              <w:tabs>
                <w:tab w:pos="4178" w:val="left" w:leader="none"/>
                <w:tab w:pos="4752" w:val="left" w:leader="none"/>
              </w:tabs>
              <w:spacing w:line="256" w:lineRule="exact"/>
              <w:ind w:left="95"/>
              <w:rPr>
                <w:b/>
                <w:sz w:val="16"/>
              </w:rPr>
            </w:pPr>
            <w:r>
              <w:rPr>
                <w:b/>
                <w:sz w:val="16"/>
              </w:rPr>
              <w:t>75</w:t>
              <w:tab/>
            </w:r>
            <w:r>
              <w:rPr>
                <w:position w:val="9"/>
                <w:sz w:val="16"/>
              </w:rPr>
              <w:t>%</w:t>
              <w:tab/>
            </w:r>
            <w:r>
              <w:rPr>
                <w:b/>
                <w:spacing w:val="-6"/>
                <w:sz w:val="16"/>
              </w:rPr>
              <w:t>-25</w:t>
            </w:r>
          </w:p>
          <w:p>
            <w:pPr>
              <w:pStyle w:val="TableParagraph"/>
              <w:spacing w:before="17"/>
              <w:ind w:right="11"/>
              <w:jc w:val="center"/>
              <w:rPr>
                <w:b/>
                <w:sz w:val="16"/>
              </w:rPr>
            </w:pPr>
            <w:r>
              <w:rPr>
                <w:b/>
                <w:sz w:val="16"/>
              </w:rPr>
              <w:t>1999 2001 2003 2005 2007 2009 2011 2013 2015 2017</w:t>
            </w:r>
          </w:p>
        </w:tc>
        <w:tc>
          <w:tcPr>
            <w:tcW w:w="121" w:type="dxa"/>
            <w:tcBorders>
              <w:left w:val="single" w:sz="2" w:space="0" w:color="858585"/>
              <w:bottom w:val="nil"/>
            </w:tcBorders>
          </w:tcPr>
          <w:p>
            <w:pPr>
              <w:pStyle w:val="TableParagraph"/>
              <w:rPr>
                <w:rFonts w:ascii="Times New Roman"/>
                <w:sz w:val="18"/>
              </w:rPr>
            </w:pPr>
          </w:p>
        </w:tc>
      </w:tr>
      <w:tr>
        <w:trPr>
          <w:trHeight w:val="123" w:hRule="atLeast"/>
        </w:trPr>
        <w:tc>
          <w:tcPr>
            <w:tcW w:w="111" w:type="dxa"/>
            <w:tcBorders>
              <w:top w:val="nil"/>
              <w:right w:val="nil"/>
            </w:tcBorders>
          </w:tcPr>
          <w:p>
            <w:pPr>
              <w:pStyle w:val="TableParagraph"/>
              <w:rPr>
                <w:rFonts w:ascii="Times New Roman"/>
                <w:sz w:val="6"/>
              </w:rPr>
            </w:pPr>
          </w:p>
        </w:tc>
        <w:tc>
          <w:tcPr>
            <w:tcW w:w="4586" w:type="dxa"/>
            <w:tcBorders>
              <w:top w:val="single" w:sz="2" w:space="0" w:color="858585"/>
              <w:left w:val="nil"/>
              <w:right w:val="nil"/>
            </w:tcBorders>
          </w:tcPr>
          <w:p>
            <w:pPr>
              <w:pStyle w:val="TableParagraph"/>
              <w:rPr>
                <w:rFonts w:ascii="Times New Roman"/>
                <w:sz w:val="6"/>
              </w:rPr>
            </w:pPr>
          </w:p>
        </w:tc>
        <w:tc>
          <w:tcPr>
            <w:tcW w:w="443" w:type="dxa"/>
            <w:vMerge/>
            <w:tcBorders>
              <w:top w:val="nil"/>
              <w:left w:val="single" w:sz="2" w:space="0" w:color="858585"/>
            </w:tcBorders>
          </w:tcPr>
          <w:p>
            <w:pPr>
              <w:rPr>
                <w:sz w:val="2"/>
                <w:szCs w:val="2"/>
              </w:rPr>
            </w:pPr>
          </w:p>
        </w:tc>
        <w:tc>
          <w:tcPr>
            <w:tcW w:w="110" w:type="dxa"/>
            <w:vMerge/>
            <w:tcBorders>
              <w:top w:val="nil"/>
              <w:right w:val="single" w:sz="2" w:space="0" w:color="858585"/>
            </w:tcBorders>
          </w:tcPr>
          <w:p>
            <w:pPr>
              <w:rPr>
                <w:sz w:val="2"/>
                <w:szCs w:val="2"/>
              </w:rPr>
            </w:pPr>
          </w:p>
        </w:tc>
        <w:tc>
          <w:tcPr>
            <w:tcW w:w="4975" w:type="dxa"/>
            <w:tcBorders>
              <w:top w:val="single" w:sz="2" w:space="0" w:color="858585"/>
              <w:left w:val="nil"/>
              <w:right w:val="nil"/>
            </w:tcBorders>
          </w:tcPr>
          <w:p>
            <w:pPr>
              <w:pStyle w:val="TableParagraph"/>
              <w:rPr>
                <w:rFonts w:ascii="Times New Roman"/>
                <w:sz w:val="6"/>
              </w:rPr>
            </w:pPr>
          </w:p>
        </w:tc>
        <w:tc>
          <w:tcPr>
            <w:tcW w:w="121" w:type="dxa"/>
            <w:tcBorders>
              <w:top w:val="nil"/>
              <w:left w:val="nil"/>
            </w:tcBorders>
          </w:tcPr>
          <w:p>
            <w:pPr>
              <w:pStyle w:val="TableParagraph"/>
              <w:rPr>
                <w:rFonts w:ascii="Times New Roman"/>
                <w:sz w:val="6"/>
              </w:rPr>
            </w:pPr>
          </w:p>
        </w:tc>
      </w:tr>
    </w:tbl>
    <w:p>
      <w:pPr>
        <w:pStyle w:val="BodyText"/>
        <w:spacing w:line="360" w:lineRule="auto"/>
        <w:ind w:left="673" w:right="350"/>
      </w:pPr>
      <w:r>
        <w:rPr/>
        <w:pict>
          <v:group style="position:absolute;margin-left:45.019272pt;margin-top:-163.966415pt;width:203.15pt;height:137.35pt;mso-position-horizontal-relative:page;mso-position-vertical-relative:paragraph;z-index:-253764608" coordorigin="900,-3279" coordsize="4063,2747">
            <v:rect style="position:absolute;left:948;top:-3277;width:3968;height:2742" filled="false" stroked="true" strokeweight=".239069pt" strokecolor="#000000">
              <v:stroke dashstyle="solid"/>
            </v:rect>
            <v:shape style="position:absolute;left:980;top:-2907;width:3840;height:2156" coordorigin="980,-2906" coordsize="3840,2156" path="m2658,-2356l2388,-2356,2452,-2313,2516,-1907,2580,-1748,2644,-1452,2708,-895,2772,-751,2836,-909,2900,-1276,2908,-1295,2772,-1295,2708,-1787,2658,-2356xm3220,-2869l3156,-2821,3092,-2678,3028,-2640,2964,-2274,2900,-2200,2836,-1683,2772,-1295,2908,-1295,2964,-1426,3028,-1926,3092,-2312,3179,-2312,3220,-2411,3284,-2489,3457,-2489,3412,-2640,3348,-2769,3284,-2825,3220,-2869xm1044,-2410l980,-1954,980,-1426,1044,-1652,1108,-1716,1392,-1716,1428,-1816,1463,-1976,1108,-1976,1044,-2410xm4735,-1951l4372,-1951,4436,-1686,4500,-1521,4564,-1473,4628,-1622,4692,-1860,4735,-1951xm1392,-1716l1108,-1716,1172,-1656,1236,-1576,1300,-1686,1382,-1686,1392,-1716xm3831,-1958l3540,-1958,3604,-1633,3668,-1617,3732,-1682,3796,-1824,3831,-1958xm1382,-1686l1300,-1686,1364,-1637,1382,-1686xm3457,-2489l3284,-2489,3348,-2320,3412,-1989,3476,-1752,3540,-1958,3831,-1958,3860,-2065,3924,-2188,4019,-2188,4025,-2215,3732,-2215,3668,-2305,3638,-2426,3476,-2426,3457,-2489xm4360,-2337l4052,-2337,4116,-2277,4180,-1942,4244,-1827,4308,-1890,4372,-1951,4735,-1951,4756,-1994,4774,-2065,4564,-2065,4500,-2137,4436,-2175,4372,-2315,4360,-2337xm1810,-2195l1684,-2195,1748,-2025,1812,-1888,1876,-1992,1964,-1992,2004,-2042,2064,-2187,1812,-2187,1810,-2195xm1666,-2129l1556,-2129,1620,-1962,1666,-2129xm1964,-1992l1876,-1992,1940,-1962,1964,-1992xm1172,-2007l1108,-1976,1463,-1976,1465,-1983,1236,-1983,1172,-2007xm1492,-2562l1428,-2510,1364,-2283,1300,-2063,1236,-1983,1465,-1983,1492,-2105,1556,-2129,1666,-2129,1684,-2195,1810,-2195,1769,-2342,1684,-2342,1626,-2495,1556,-2495,1492,-2562xm2236,-2196l2068,-2196,2132,-2112,2196,-2016,2236,-2196xm4019,-2188l3924,-2188,3988,-2049,4019,-2188xm4820,-2906l4756,-2525,4692,-2488,4628,-2255,4564,-2065,4774,-2065,4820,-2242,4820,-2906xm2374,-2304l2260,-2304,2324,-2114,2374,-2304xm2132,-2652l2068,-2537,2004,-2401,1940,-2382,1876,-2227,1812,-2187,2064,-2187,2068,-2196,2236,-2196,2260,-2304,2374,-2304,2388,-2356,2658,-2356,2644,-2511,2580,-2575,2452,-2575,2388,-2634,2196,-2634,2132,-2652xm3924,-2693l3860,-2401,3796,-2401,3732,-2215,4025,-2215,4052,-2337,4360,-2337,4308,-2430,4244,-2430,4180,-2543,4116,-2635,4105,-2681,3988,-2681,3924,-2693xm3179,-2312l3092,-2312,3156,-2255,3179,-2312xm1748,-2420l1684,-2342,1769,-2342,1748,-2420xm3604,-2565l3540,-2456,3476,-2426,3638,-2426,3604,-2565xm1620,-2510l1556,-2495,1626,-2495,1620,-2510xm2516,-2575l2452,-2575,2580,-2575,2516,-2575xm2260,-2645l2196,-2634,2324,-2634,2260,-2645xm4052,-2906l3988,-2681,4105,-2681,4052,-2906xe" filled="true" fillcolor="#66ccff" stroked="false">
              <v:path arrowok="t"/>
              <v:fill type="solid"/>
            </v:shape>
            <v:shape style="position:absolute;left:720;top:-5865;width:12980;height:8038" coordorigin="720,-5865" coordsize="12980,8038" path="m4916,-535l4916,-3277m4916,-535l4963,-535m4916,-927l4963,-927m4916,-1319l4963,-1319m4916,-1711l4963,-1711m4916,-2102l4963,-2102m4916,-2493l4963,-2493m4916,-2886l4963,-2886m4916,-3277l4963,-3277m948,-535l948,-3277m900,-535l948,-535m900,-927l948,-927m900,-1319l948,-1319m900,-1711l948,-1711m900,-2102l948,-2102m900,-2493l948,-2493m900,-2886l948,-2886m900,-3277l948,-3277m948,-2102l4916,-2102e" filled="false" stroked="true" strokeweight=".235495pt" strokecolor="#858585">
              <v:path arrowok="t"/>
              <v:stroke dashstyle="solid"/>
            </v:shape>
            <v:shape style="position:absolute;left:980;top:-2694;width:3840;height:1705" coordorigin="980,-2694" coordsize="3840,1705" path="m980,-1653l1044,-1934,1108,-1852,1172,-1799,1236,-1770,1300,-1850,1364,-1915,1429,-2123,1492,-2302,1556,-2357,1620,-2247,1684,-2267,1748,-2239,1812,-2023,1876,-2123,1940,-2162,2004,-2307,2068,-2382,2132,-2442,2196,-2388,2260,-2499,2324,-2412,2388,-2517,2452,-2440,2516,-2296,2580,-2308,2644,-1988,2708,-1414,2772,-989,2836,-1318,2900,-1646,2964,-2001,3028,-2283,3092,-2509,3156,-2470,3220,-2668,3284,-2694,3348,-2531,3412,-2361,3476,-2041,3540,-2290,3604,-2283,3668,-1997,3732,-1965,3796,-2108,3860,-2199,3924,-2480,3988,-2423,4052,-2596,4116,-2456,4180,-2194,4244,-2099,4308,-2155,4372,-2105,4436,-1916,4500,-1743,4564,-1849,4628,-1930,4692,-2177,4756,-2220,4820,-2506e" filled="false" stroked="true" strokeweight=".888345pt" strokecolor="#0000ff">
              <v:path arrowok="t"/>
              <v:stroke dashstyle="solid"/>
            </v:shape>
            <v:shape style="position:absolute;left:980;top:-3013;width:3776;height:2217" coordorigin="980,-3012" coordsize="3776,2217" path="m980,-1347l1044,-1829,1108,-2129,1172,-1883,1236,-2268,1300,-1844,1364,-1937,1429,-2344,1492,-1914,1556,-2213,1620,-2156,1684,-2318,1748,-2032,1812,-2189,1876,-2280,1940,-2198,2004,-3012,2068,-2869,2132,-2154,2196,-2008,2260,-1526,2324,-1615,2388,-2266,2452,-2364,2516,-2088,2580,-1927,2644,-1844,2708,-1355,2772,-1062,2836,-796,2900,-869,2964,-1378,3028,-1854,3092,-2333,3156,-2213,3220,-2231,3284,-2649,3348,-2121,3412,-2073,3476,-1848,3540,-1734,3604,-1653,3668,-1942,3732,-1734,3796,-1540,3860,-2164,3924,-1728,3988,-1787,4052,-1994,4116,-1591,4180,-1686,4244,-2102,4308,-2141,4372,-2108,4436,-2171,4500,-2325,4564,-1822,4628,-1982,4692,-1853,4756,-1757e" filled="false" stroked="true" strokeweight=".881554pt" strokecolor="#ff00ff">
              <v:path arrowok="t"/>
              <v:stroke dashstyle="solid"/>
            </v:shape>
            <v:line style="position:absolute" from="2279,-3153" to="2399,-3153" stroked="true" strokeweight=".900548pt" strokecolor="#0000ff">
              <v:stroke dashstyle="solid"/>
            </v:line>
            <v:line style="position:absolute" from="2279,-2914" to="2399,-2914" stroked="true" strokeweight=".900548pt" strokecolor="#ff00ff">
              <v:stroke dashstyle="solid"/>
            </v:line>
            <v:shape style="position:absolute;left:1851;top:-2020;width:51;height:653" coordorigin="1852,-2019" coordsize="51,653" path="m1877,-2006l1874,-2001,1874,-1367,1880,-1367,1880,-2001,1877,-2006xm1877,-2019l1853,-1974,1852,-1972,1852,-1970,1854,-1969,1855,-1968,1857,-1969,1858,-1970,1874,-2001,1874,-2013,1881,-2013,1877,-2019xm1881,-2013l1880,-2013,1880,-2001,1897,-1969,1899,-1968,1900,-1969,1902,-1970,1902,-1972,1902,-1974,1881,-2013xm1880,-2013l1874,-2013,1874,-2001,1877,-2006,1874,-2011,1880,-2011,1880,-2013xm1880,-2011l1880,-2011,1877,-2006,1880,-2001,1880,-2011xm1880,-2011l1874,-2011,1877,-2006,1880,-2011xe" filled="true" fillcolor="#000000" stroked="false">
              <v:path arrowok="t"/>
              <v:fill type="solid"/>
            </v:shape>
            <w10:wrap type="none"/>
          </v:group>
        </w:pict>
      </w:r>
      <w:r>
        <w:rPr/>
        <w:pict>
          <v:group style="position:absolute;margin-left:308.715576pt;margin-top:-163.998383pt;width:214.6pt;height:136.6pt;mso-position-horizontal-relative:page;mso-position-vertical-relative:paragraph;z-index:-253763584" coordorigin="6174,-3280" coordsize="4292,2732">
            <v:rect style="position:absolute;left:6225;top:-3278;width:4190;height:2727" filled="false" stroked="true" strokeweight=".244469pt" strokecolor="#000000">
              <v:stroke dashstyle="solid"/>
            </v:rect>
            <v:line style="position:absolute" from="6416,-1687" to="6416,-983" stroked="true" strokeweight=".815185pt" strokecolor="#0000ff">
              <v:stroke dashstyle="solid"/>
            </v:line>
            <v:line style="position:absolute" from="6416,-1696" to="6416,-974" stroked="true" strokeweight="1.711888pt" strokecolor="#0000ff">
              <v:stroke dashstyle="solid"/>
            </v:line>
            <v:line style="position:absolute" from="6473,-1687" to="6473,-823" stroked="true" strokeweight=".815185pt" strokecolor="#0000ff">
              <v:stroke dashstyle="solid"/>
            </v:line>
            <v:line style="position:absolute" from="6473,-1696" to="6473,-814" stroked="true" strokeweight="1.711888pt" strokecolor="#0000ff">
              <v:stroke dashstyle="solid"/>
            </v:line>
            <v:line style="position:absolute" from="6529,-1687" to="6529,-1324" stroked="true" strokeweight=".815185pt" strokecolor="#0000ff">
              <v:stroke dashstyle="solid"/>
            </v:line>
            <v:line style="position:absolute" from="6529,-1696" to="6529,-1315" stroked="true" strokeweight="1.711888pt" strokecolor="#0000ff">
              <v:stroke dashstyle="solid"/>
            </v:line>
            <v:line style="position:absolute" from="6586,-1687" to="6586,-1165" stroked="true" strokeweight=".815185pt" strokecolor="#0000ff">
              <v:stroke dashstyle="solid"/>
            </v:line>
            <v:line style="position:absolute" from="6586,-1696" to="6586,-1156" stroked="true" strokeweight="1.711888pt" strokecolor="#0000ff">
              <v:stroke dashstyle="solid"/>
            </v:line>
            <v:line style="position:absolute" from="6642,-1687" to="6642,-1437" stroked="true" strokeweight=".815185pt" strokecolor="#0000ff">
              <v:stroke dashstyle="solid"/>
            </v:line>
            <v:line style="position:absolute" from="6642,-1696" to="6642,-1428" stroked="true" strokeweight="1.711888pt" strokecolor="#0000ff">
              <v:stroke dashstyle="solid"/>
            </v:line>
            <v:line style="position:absolute" from="6699,-1687" to="6699,-1505" stroked="true" strokeweight=".774426pt" strokecolor="#0000ff">
              <v:stroke dashstyle="solid"/>
            </v:line>
            <v:line style="position:absolute" from="6699,-1696" to="6699,-1496" stroked="true" strokeweight="1.671129pt" strokecolor="#0000ff">
              <v:stroke dashstyle="solid"/>
            </v:line>
            <v:line style="position:absolute" from="6756,-1687" to="6756,-1392" stroked="true" strokeweight=".815185pt" strokecolor="#0000ff">
              <v:stroke dashstyle="solid"/>
            </v:line>
            <v:line style="position:absolute" from="6756,-1696" to="6756,-1383" stroked="true" strokeweight="1.711888pt" strokecolor="#0000ff">
              <v:stroke dashstyle="solid"/>
            </v:line>
            <v:rect style="position:absolute;left:6803;top:-1688;width:17;height:114" filled="false" stroked="true" strokeweight=".896694pt" strokecolor="#0000ff">
              <v:stroke dashstyle="solid"/>
            </v:rect>
            <v:line style="position:absolute" from="6869,-1687" to="6869,-1460" stroked="true" strokeweight=".815185pt" strokecolor="#0000ff">
              <v:stroke dashstyle="solid"/>
            </v:line>
            <v:line style="position:absolute" from="6869,-1696" to="6869,-1451" stroked="true" strokeweight="1.711888pt" strokecolor="#0000ff">
              <v:stroke dashstyle="solid"/>
            </v:line>
            <v:rect style="position:absolute;left:6916;top:-1688;width:17;height:46" filled="true" fillcolor="#0000ff" stroked="false">
              <v:fill type="solid"/>
            </v:rect>
            <v:rect style="position:absolute;left:6916;top:-1688;width:17;height:46" filled="false" stroked="true" strokeweight=".896652pt" strokecolor="#0000ff">
              <v:stroke dashstyle="solid"/>
            </v:rect>
            <v:line style="position:absolute" from="6982,-1892" to="6982,-1687" stroked="true" strokeweight=".815185pt" strokecolor="#0000ff">
              <v:stroke dashstyle="solid"/>
            </v:line>
            <v:line style="position:absolute" from="6982,-1901" to="6982,-1678" stroked="true" strokeweight="1.711888pt" strokecolor="#0000ff">
              <v:stroke dashstyle="solid"/>
            </v:line>
            <v:rect style="position:absolute;left:7030;top:-1688;width:17;height:23" filled="true" fillcolor="#0000ff" stroked="false">
              <v:fill type="solid"/>
            </v:rect>
            <v:shape style="position:absolute;left:3580;top:-1173;width:216;height:200" coordorigin="3581,-1173" coordsize="216,200" path="m7030,-1664l7047,-1664,7047,-1687,7030,-1687,7030,-1664xm7087,-1619l7104,-1619,7104,-1687,7087,-1687,7087,-1619xe" filled="false" stroked="true" strokeweight=".896478pt" strokecolor="#0000ff">
              <v:path arrowok="t"/>
              <v:stroke dashstyle="solid"/>
            </v:shape>
            <v:line style="position:absolute" from="7152,-1824" to="7152,-1687" stroked="true" strokeweight=".815185pt" strokecolor="#0000ff">
              <v:stroke dashstyle="solid"/>
            </v:line>
            <v:line style="position:absolute" from="7152,-1833" to="7152,-1678" stroked="true" strokeweight="1.711888pt" strokecolor="#0000ff">
              <v:stroke dashstyle="solid"/>
            </v:line>
            <v:line style="position:absolute" from="7208,-2142" to="7208,-1687" stroked="true" strokeweight=".774426pt" strokecolor="#0000ff">
              <v:stroke dashstyle="solid"/>
            </v:line>
            <v:line style="position:absolute" from="7208,-2151" to="7208,-1678" stroked="true" strokeweight="1.671129pt" strokecolor="#0000ff">
              <v:stroke dashstyle="solid"/>
            </v:line>
            <v:line style="position:absolute" from="7321,-1687" to="7321,-1415" stroked="true" strokeweight=".815185pt" strokecolor="#0000ff">
              <v:stroke dashstyle="solid"/>
            </v:line>
            <v:line style="position:absolute" from="7321,-1696" to="7321,-1406" stroked="true" strokeweight="1.711888pt" strokecolor="#0000ff">
              <v:stroke dashstyle="solid"/>
            </v:line>
            <v:line style="position:absolute" from="7378,-1687" to="7378,-983" stroked="true" strokeweight=".815185pt" strokecolor="#0000ff">
              <v:stroke dashstyle="solid"/>
            </v:line>
            <v:line style="position:absolute" from="7378,-1696" to="7378,-974" stroked="true" strokeweight="1.711888pt" strokecolor="#0000ff">
              <v:stroke dashstyle="solid"/>
            </v:line>
            <v:line style="position:absolute" from="7435,-1687" to="7435,-1210" stroked="true" strokeweight=".815185pt" strokecolor="#0000ff">
              <v:stroke dashstyle="solid"/>
            </v:line>
            <v:line style="position:absolute" from="7435,-1696" to="7435,-1201" stroked="true" strokeweight="1.711888pt" strokecolor="#0000ff">
              <v:stroke dashstyle="solid"/>
            </v:line>
            <v:line style="position:absolute" from="7492,-1687" to="7492,-1415" stroked="true" strokeweight=".815185pt" strokecolor="#0000ff">
              <v:stroke dashstyle="solid"/>
            </v:line>
            <v:line style="position:absolute" from="7492,-1696" to="7492,-1406" stroked="true" strokeweight="1.711888pt" strokecolor="#0000ff">
              <v:stroke dashstyle="solid"/>
            </v:line>
            <v:line style="position:absolute" from="7548,-1687" to="7548,-1188" stroked="true" strokeweight=".815185pt" strokecolor="#0000ff">
              <v:stroke dashstyle="solid"/>
            </v:line>
            <v:line style="position:absolute" from="7548,-1696" to="7548,-1179" stroked="true" strokeweight="1.711888pt" strokecolor="#0000ff">
              <v:stroke dashstyle="solid"/>
            </v:line>
            <v:line style="position:absolute" from="7605,-1687" to="7605,-846" stroked="true" strokeweight=".815185pt" strokecolor="#0000ff">
              <v:stroke dashstyle="solid"/>
            </v:line>
            <v:line style="position:absolute" from="7605,-1696" to="7605,-837" stroked="true" strokeweight="1.711888pt" strokecolor="#0000ff">
              <v:stroke dashstyle="solid"/>
            </v:line>
            <v:line style="position:absolute" from="7661,-1687" to="7661,-1392" stroked="true" strokeweight=".815185pt" strokecolor="#0000ff">
              <v:stroke dashstyle="solid"/>
            </v:line>
            <v:line style="position:absolute" from="7661,-1696" to="7661,-1383" stroked="true" strokeweight="1.711888pt" strokecolor="#0000ff">
              <v:stroke dashstyle="solid"/>
            </v:line>
            <v:line style="position:absolute" from="7718,-1687" to="7718,-1255" stroked="true" strokeweight=".774426pt" strokecolor="#0000ff">
              <v:stroke dashstyle="solid"/>
            </v:line>
            <v:line style="position:absolute" from="7718,-1696" to="7718,-1246" stroked="true" strokeweight="1.671129pt" strokecolor="#0000ff">
              <v:stroke dashstyle="solid"/>
            </v:line>
            <v:line style="position:absolute" from="7775,-1687" to="7775,-1301" stroked="true" strokeweight=".815185pt" strokecolor="#0000ff">
              <v:stroke dashstyle="solid"/>
            </v:line>
            <v:line style="position:absolute" from="7775,-1696" to="7775,-1292" stroked="true" strokeweight="1.711888pt" strokecolor="#0000ff">
              <v:stroke dashstyle="solid"/>
            </v:line>
            <v:line style="position:absolute" from="7831,-1687" to="7831,-1347" stroked="true" strokeweight=".815185pt" strokecolor="#0000ff">
              <v:stroke dashstyle="solid"/>
            </v:line>
            <v:line style="position:absolute" from="7831,-1696" to="7831,-1338" stroked="true" strokeweight="1.711888pt" strokecolor="#0000ff">
              <v:stroke dashstyle="solid"/>
            </v:line>
            <v:line style="position:absolute" from="7888,-1687" to="7888,-1483" stroked="true" strokeweight=".815185pt" strokecolor="#0000ff">
              <v:stroke dashstyle="solid"/>
            </v:line>
            <v:line style="position:absolute" from="7888,-1696" to="7888,-1474" stroked="true" strokeweight="1.711888pt" strokecolor="#0000ff">
              <v:stroke dashstyle="solid"/>
            </v:line>
            <v:line style="position:absolute" from="7944,-1687" to="7944,-1142" stroked="true" strokeweight=".815185pt" strokecolor="#0000ff">
              <v:stroke dashstyle="solid"/>
            </v:line>
            <v:line style="position:absolute" from="7944,-1696" to="7944,-1133" stroked="true" strokeweight="1.711888pt" strokecolor="#0000ff">
              <v:stroke dashstyle="solid"/>
            </v:line>
            <v:line style="position:absolute" from="8001,-1687" to="8001,-1096" stroked="true" strokeweight=".815185pt" strokecolor="#0000ff">
              <v:stroke dashstyle="solid"/>
            </v:line>
            <v:line style="position:absolute" from="8001,-1696" to="8001,-1087" stroked="true" strokeweight="1.711888pt" strokecolor="#0000ff">
              <v:stroke dashstyle="solid"/>
            </v:line>
            <v:line style="position:absolute" from="8057,-1687" to="8057,-1415" stroked="true" strokeweight=".815185pt" strokecolor="#0000ff">
              <v:stroke dashstyle="solid"/>
            </v:line>
            <v:line style="position:absolute" from="8057,-1696" to="8057,-1406" stroked="true" strokeweight="1.711888pt" strokecolor="#0000ff">
              <v:stroke dashstyle="solid"/>
            </v:line>
            <v:line style="position:absolute" from="8114,-1687" to="8114,-1437" stroked="true" strokeweight=".774426pt" strokecolor="#0000ff">
              <v:stroke dashstyle="solid"/>
            </v:line>
            <v:line style="position:absolute" from="8114,-1696" to="8114,-1428" stroked="true" strokeweight="1.671129pt" strokecolor="#0000ff">
              <v:stroke dashstyle="solid"/>
            </v:line>
            <v:line style="position:absolute" from="8171,-1687" to="8171,-1437" stroked="true" strokeweight=".815185pt" strokecolor="#0000ff">
              <v:stroke dashstyle="solid"/>
            </v:line>
            <v:line style="position:absolute" from="8171,-1696" to="8171,-1428" stroked="true" strokeweight="1.711888pt" strokecolor="#0000ff">
              <v:stroke dashstyle="solid"/>
            </v:line>
            <v:rect style="position:absolute;left:8219;top:-1688;width:16;height:68" filled="false" stroked="true" strokeweight=".896681pt" strokecolor="#0000ff">
              <v:stroke dashstyle="solid"/>
            </v:rect>
            <v:line style="position:absolute" from="8284,-1846" to="8284,-1687" stroked="true" strokeweight=".815185pt" strokecolor="#0000ff">
              <v:stroke dashstyle="solid"/>
            </v:line>
            <v:line style="position:absolute" from="8284,-1855" to="8284,-1678" stroked="true" strokeweight="1.711888pt" strokecolor="#0000ff">
              <v:stroke dashstyle="solid"/>
            </v:line>
            <v:line style="position:absolute" from="8340,-2233" to="8340,-1687" stroked="true" strokeweight=".815185pt" strokecolor="#0000ff">
              <v:stroke dashstyle="solid"/>
            </v:line>
            <v:line style="position:absolute" from="8340,-2242" to="8340,-1678" stroked="true" strokeweight="1.711888pt" strokecolor="#0000ff">
              <v:stroke dashstyle="solid"/>
            </v:line>
            <v:rect style="position:absolute;left:8389;top:-1688;width:17;height:68" filled="false" stroked="true" strokeweight=".896679pt" strokecolor="#0000ff">
              <v:stroke dashstyle="solid"/>
            </v:rect>
            <v:line style="position:absolute" from="8454,-2891" to="8454,-1687" stroked="true" strokeweight=".815185pt" strokecolor="#0000ff">
              <v:stroke dashstyle="solid"/>
            </v:line>
            <v:line style="position:absolute" from="8454,-2900" to="8454,-1678" stroked="true" strokeweight="1.711888pt" strokecolor="#0000ff">
              <v:stroke dashstyle="solid"/>
            </v:line>
            <v:line style="position:absolute" from="8511,-2687" to="8511,-1687" stroked="true" strokeweight=".815185pt" strokecolor="#0000ff">
              <v:stroke dashstyle="solid"/>
            </v:line>
            <v:line style="position:absolute" from="8511,-2696" to="8511,-1678" stroked="true" strokeweight="1.711888pt" strokecolor="#0000ff">
              <v:stroke dashstyle="solid"/>
            </v:line>
            <v:rect style="position:absolute;left:8558;top:-1733;width:17;height:46" filled="true" fillcolor="#0000ff" stroked="false">
              <v:fill type="solid"/>
            </v:rect>
            <v:rect style="position:absolute;left:8558;top:-1733;width:17;height:46" filled="false" stroked="true" strokeweight=".896652pt" strokecolor="#0000ff">
              <v:stroke dashstyle="solid"/>
            </v:rect>
            <v:line style="position:absolute" from="8624,-2142" to="8624,-1687" stroked="true" strokeweight=".774426pt" strokecolor="#0000ff">
              <v:stroke dashstyle="solid"/>
            </v:line>
            <v:line style="position:absolute" from="8624,-2151" to="8624,-1678" stroked="true" strokeweight="1.671129pt" strokecolor="#0000ff">
              <v:stroke dashstyle="solid"/>
            </v:line>
            <v:line style="position:absolute" from="8680,-1937" to="8680,-1687" stroked="true" strokeweight=".815185pt" strokecolor="#0000ff">
              <v:stroke dashstyle="solid"/>
            </v:line>
            <v:rect style="position:absolute;left:8663;top:-1947;width:35;height:269" filled="true" fillcolor="#0000ff" stroked="false">
              <v:fill type="solid"/>
            </v:rect>
            <v:line style="position:absolute" from="8737,-2369" to="8737,-1687" stroked="true" strokeweight=".774426pt" strokecolor="#0000ff">
              <v:stroke dashstyle="solid"/>
            </v:line>
            <v:line style="position:absolute" from="8737,-2378" to="8737,-1678" stroked="true" strokeweight="1.671129pt" strokecolor="#0000ff">
              <v:stroke dashstyle="solid"/>
            </v:line>
            <v:line style="position:absolute" from="8794,-1687" to="8794,-1483" stroked="true" strokeweight=".815185pt" strokecolor="#0000ff">
              <v:stroke dashstyle="solid"/>
            </v:line>
            <v:line style="position:absolute" from="8794,-1696" to="8794,-1474" stroked="true" strokeweight="1.711888pt" strokecolor="#0000ff">
              <v:stroke dashstyle="solid"/>
            </v:line>
            <v:line style="position:absolute" from="8850,-1687" to="8850,-1483" stroked="true" strokeweight=".815185pt" strokecolor="#0000ff">
              <v:stroke dashstyle="solid"/>
            </v:line>
            <v:line style="position:absolute" from="8850,-1696" to="8850,-1474" stroked="true" strokeweight="1.711888pt" strokecolor="#0000ff">
              <v:stroke dashstyle="solid"/>
            </v:line>
            <v:line style="position:absolute" from="8907,-1869" to="8907,-1687" stroked="true" strokeweight=".815185pt" strokecolor="#0000ff">
              <v:stroke dashstyle="solid"/>
            </v:line>
            <v:line style="position:absolute" from="8907,-1878" to="8907,-1678" stroked="true" strokeweight="1.711888pt" strokecolor="#0000ff">
              <v:stroke dashstyle="solid"/>
            </v:line>
            <v:rect style="position:absolute;left:8954;top:-1688;width:17;height:23" filled="true" fillcolor="#0000ff" stroked="false">
              <v:fill type="solid"/>
            </v:rect>
            <v:rect style="position:absolute;left:8954;top:-1688;width:17;height:23" filled="false" stroked="true" strokeweight=".896551pt" strokecolor="#0000ff">
              <v:stroke dashstyle="solid"/>
            </v:rect>
            <v:rect style="position:absolute;left:9068;top:-1710;width:17;height:23" filled="true" fillcolor="#0000ff" stroked="false">
              <v:fill type="solid"/>
            </v:rect>
            <v:rect style="position:absolute;left:9068;top:-1710;width:17;height:23" filled="false" stroked="true" strokeweight=".896551pt" strokecolor="#0000ff">
              <v:stroke dashstyle="solid"/>
            </v:rect>
            <v:line style="position:absolute" from="9133,-1687" to="9133,-1437" stroked="true" strokeweight=".774426pt" strokecolor="#0000ff">
              <v:stroke dashstyle="solid"/>
            </v:line>
            <v:line style="position:absolute" from="9133,-1696" to="9133,-1428" stroked="true" strokeweight="1.671129pt" strokecolor="#0000ff">
              <v:stroke dashstyle="solid"/>
            </v:line>
            <v:rect style="position:absolute;left:9181;top:-1756;width:17;height:69" filled="false" stroked="true" strokeweight=".896679pt" strokecolor="#0000ff">
              <v:stroke dashstyle="solid"/>
            </v:rect>
            <v:line style="position:absolute" from="9246,-1687" to="9246,-1119" stroked="true" strokeweight=".815185pt" strokecolor="#0000ff">
              <v:stroke dashstyle="solid"/>
            </v:line>
            <v:line style="position:absolute" from="9246,-1696" to="9246,-1110" stroked="true" strokeweight="1.711888pt" strokecolor="#0000ff">
              <v:stroke dashstyle="solid"/>
            </v:line>
            <v:line style="position:absolute" from="9303,-1687" to="9303,-1232" stroked="true" strokeweight=".815185pt" strokecolor="#0000ff">
              <v:stroke dashstyle="solid"/>
            </v:line>
            <v:line style="position:absolute" from="9303,-1696" to="9303,-1223" stroked="true" strokeweight="1.711888pt" strokecolor="#0000ff">
              <v:stroke dashstyle="solid"/>
            </v:line>
            <v:line style="position:absolute" from="9359,-1687" to="9359,-1528" stroked="true" strokeweight=".815185pt" strokecolor="#0000ff">
              <v:stroke dashstyle="solid"/>
            </v:line>
            <v:line style="position:absolute" from="9359,-1696" to="9359,-1519" stroked="true" strokeweight="1.711888pt" strokecolor="#0000ff">
              <v:stroke dashstyle="solid"/>
            </v:line>
            <v:line style="position:absolute" from="9416,-1937" to="9416,-1687" stroked="true" strokeweight=".815185pt" strokecolor="#0000ff">
              <v:stroke dashstyle="solid"/>
            </v:line>
            <v:line style="position:absolute" from="9416,-1946" to="9416,-1678" stroked="true" strokeweight="1.711888pt" strokecolor="#0000ff">
              <v:stroke dashstyle="solid"/>
            </v:line>
            <v:rect style="position:absolute;left:9521;top:-1688;width:17;height:91" filled="false" stroked="true" strokeweight=".896689pt" strokecolor="#0000ff">
              <v:stroke dashstyle="solid"/>
            </v:rect>
            <v:line style="position:absolute" from="9586,-1687" to="9586,-1460" stroked="true" strokeweight=".815185pt" strokecolor="#0000ff">
              <v:stroke dashstyle="solid"/>
            </v:line>
            <v:line style="position:absolute" from="9586,-1696" to="9586,-1451" stroked="true" strokeweight="1.711888pt" strokecolor="#0000ff">
              <v:stroke dashstyle="solid"/>
            </v:line>
            <v:line style="position:absolute" from="9643,-1687" to="9643,-1483" stroked="true" strokeweight=".774426pt" strokecolor="#0000ff">
              <v:stroke dashstyle="solid"/>
            </v:line>
            <v:line style="position:absolute" from="9643,-1696" to="9643,-1474" stroked="true" strokeweight="1.671129pt" strokecolor="#0000ff">
              <v:stroke dashstyle="solid"/>
            </v:line>
            <v:line style="position:absolute" from="9699,-1687" to="9699,-1006" stroked="true" strokeweight=".815185pt" strokecolor="#0000ff">
              <v:stroke dashstyle="solid"/>
            </v:line>
            <v:line style="position:absolute" from="9699,-1696" to="9699,-997" stroked="true" strokeweight="1.711888pt" strokecolor="#0000ff">
              <v:stroke dashstyle="solid"/>
            </v:line>
            <v:line style="position:absolute" from="9755,-1687" to="9755,-1028" stroked="true" strokeweight=".815185pt" strokecolor="#0000ff">
              <v:stroke dashstyle="solid"/>
            </v:line>
            <v:line style="position:absolute" from="9755,-1696" to="9755,-1019" stroked="true" strokeweight="1.711888pt" strokecolor="#0000ff">
              <v:stroke dashstyle="solid"/>
            </v:line>
            <v:line style="position:absolute" from="9812,-1687" to="9812,-1528" stroked="true" strokeweight=".815185pt" strokecolor="#0000ff">
              <v:stroke dashstyle="solid"/>
            </v:line>
            <v:line style="position:absolute" from="9812,-1696" to="9812,-1519" stroked="true" strokeweight="1.711888pt" strokecolor="#0000ff">
              <v:stroke dashstyle="solid"/>
            </v:line>
            <v:line style="position:absolute" from="9869,-1687" to="9869,-823" stroked="true" strokeweight=".815185pt" strokecolor="#0000ff">
              <v:stroke dashstyle="solid"/>
            </v:line>
            <v:line style="position:absolute" from="9869,-1696" to="9869,-814" stroked="true" strokeweight="1.711888pt" strokecolor="#0000ff">
              <v:stroke dashstyle="solid"/>
            </v:line>
            <v:line style="position:absolute" from="9926,-1687" to="9926,-1028" stroked="true" strokeweight=".815185pt" strokecolor="#0000ff">
              <v:stroke dashstyle="solid"/>
            </v:line>
            <v:line style="position:absolute" from="9926,-1696" to="9926,-1019" stroked="true" strokeweight="1.711888pt" strokecolor="#0000ff">
              <v:stroke dashstyle="solid"/>
            </v:line>
            <v:line style="position:absolute" from="9982,-1687" to="9982,-915" stroked="true" strokeweight=".815185pt" strokecolor="#0000ff">
              <v:stroke dashstyle="solid"/>
            </v:line>
            <v:line style="position:absolute" from="9982,-1696" to="9982,-906" stroked="true" strokeweight="1.711888pt" strokecolor="#0000ff">
              <v:stroke dashstyle="solid"/>
            </v:line>
            <v:line style="position:absolute" from="10039,-1687" to="10039,-1096" stroked="true" strokeweight=".815185pt" strokecolor="#0000ff">
              <v:stroke dashstyle="solid"/>
            </v:line>
            <v:line style="position:absolute" from="10039,-1696" to="10039,-1087" stroked="true" strokeweight="1.711888pt" strokecolor="#0000ff">
              <v:stroke dashstyle="solid"/>
            </v:line>
            <v:rect style="position:absolute;left:10087;top:-1688;width:17;height:46" filled="true" fillcolor="#0000ff" stroked="false">
              <v:fill type="solid"/>
            </v:rect>
            <v:rect style="position:absolute;left:10087;top:-1688;width:17;height:46" filled="false" stroked="true" strokeweight=".896652pt" strokecolor="#0000ff">
              <v:stroke dashstyle="solid"/>
            </v:rect>
            <v:line style="position:absolute" from="10152,-2096" to="10152,-1687" stroked="true" strokeweight=".774426pt" strokecolor="#0000ff">
              <v:stroke dashstyle="solid"/>
            </v:line>
            <v:line style="position:absolute" from="10152,-2105" to="10152,-1678" stroked="true" strokeweight="1.671129pt" strokecolor="#0000ff">
              <v:stroke dashstyle="solid"/>
            </v:line>
            <v:line style="position:absolute" from="10209,-2846" to="10209,-1687" stroked="true" strokeweight=".815185pt" strokecolor="#0000ff">
              <v:stroke dashstyle="solid"/>
            </v:line>
            <v:line style="position:absolute" from="10209,-2855" to="10209,-1678" stroked="true" strokeweight="1.711888pt" strokecolor="#0000ff">
              <v:stroke dashstyle="solid"/>
            </v:line>
            <v:line style="position:absolute" from="10265,-2914" to="10265,-1687" stroked="true" strokeweight=".815185pt" strokecolor="#0000ff">
              <v:stroke dashstyle="solid"/>
            </v:line>
            <v:line style="position:absolute" from="10265,-2923" to="10265,-1678" stroked="true" strokeweight="1.711888pt" strokecolor="#0000ff">
              <v:stroke dashstyle="solid"/>
            </v:line>
            <v:line style="position:absolute" from="7168,-1937" to="7168,-1687" stroked="true" strokeweight=".815185pt" strokecolor="#66ff33">
              <v:stroke dashstyle="solid"/>
            </v:line>
            <v:line style="position:absolute" from="7168,-1945" to="7168,-1680" stroked="true" strokeweight="1.548851pt" strokecolor="#66ff33">
              <v:stroke dashstyle="solid"/>
            </v:line>
            <v:line style="position:absolute" from="7224,-1937" to="7224,-1687" stroked="true" strokeweight=".815185pt" strokecolor="#66ff33">
              <v:stroke dashstyle="solid"/>
            </v:line>
            <v:line style="position:absolute" from="7224,-1945" to="7224,-1680" stroked="true" strokeweight="1.548851pt" strokecolor="#66ff33">
              <v:stroke dashstyle="solid"/>
            </v:line>
            <v:line style="position:absolute" from="7281,-1983" to="7281,-1687" stroked="true" strokeweight=".815185pt" strokecolor="#66ff33">
              <v:stroke dashstyle="solid"/>
            </v:line>
            <v:line style="position:absolute" from="7281,-1990" to="7281,-1680" stroked="true" strokeweight="1.548851pt" strokecolor="#66ff33">
              <v:stroke dashstyle="solid"/>
            </v:line>
            <v:line style="position:absolute" from="7338,-1687" to="7338,-1301" stroked="true" strokeweight=".815185pt" strokecolor="#66ff33">
              <v:stroke dashstyle="solid"/>
            </v:line>
            <v:line style="position:absolute" from="7338,-1694" to="7338,-1294" stroked="true" strokeweight="1.548851pt" strokecolor="#66ff33">
              <v:stroke dashstyle="solid"/>
            </v:line>
            <v:line style="position:absolute" from="7395,-1983" to="7395,-1687" stroked="true" strokeweight=".815185pt" strokecolor="#66ff33">
              <v:stroke dashstyle="solid"/>
            </v:line>
            <v:line style="position:absolute" from="7395,-1990" to="7395,-1680" stroked="true" strokeweight="1.548851pt" strokecolor="#66ff33">
              <v:stroke dashstyle="solid"/>
            </v:line>
            <v:line style="position:absolute" from="7451,-2233" to="7451,-1687" stroked="true" strokeweight=".815185pt" strokecolor="#66ff33">
              <v:stroke dashstyle="solid"/>
            </v:line>
            <v:line style="position:absolute" from="7451,-2240" to="7451,-1680" stroked="true" strokeweight="1.548851pt" strokecolor="#66ff33">
              <v:stroke dashstyle="solid"/>
            </v:line>
            <v:line style="position:absolute" from="7508,-2392" to="7508,-1687" stroked="true" strokeweight=".774426pt" strokecolor="#66ff33">
              <v:stroke dashstyle="solid"/>
            </v:line>
            <v:line style="position:absolute" from="7508,-2399" to="7508,-1680" stroked="true" strokeweight="1.508092pt" strokecolor="#66ff33">
              <v:stroke dashstyle="solid"/>
            </v:line>
            <v:rect style="position:absolute;left:7556;top:-1688;width:17;height:91" filled="false" stroked="true" strokeweight=".733655pt" strokecolor="#66ff33">
              <v:stroke dashstyle="solid"/>
            </v:rect>
            <v:line style="position:absolute" from="7621,-2392" to="7621,-1687" stroked="true" strokeweight=".774426pt" strokecolor="#66ff33">
              <v:stroke dashstyle="solid"/>
            </v:line>
            <v:line style="position:absolute" from="7621,-2399" to="7621,-1680" stroked="true" strokeweight="1.508092pt" strokecolor="#66ff33">
              <v:stroke dashstyle="solid"/>
            </v:line>
            <v:line style="position:absolute" from="7678,-1687" to="7678,-1460" stroked="true" strokeweight=".815185pt" strokecolor="#66ff33">
              <v:stroke dashstyle="solid"/>
            </v:line>
            <v:line style="position:absolute" from="7678,-1694" to="7678,-1452" stroked="true" strokeweight="1.548851pt" strokecolor="#66ff33">
              <v:stroke dashstyle="solid"/>
            </v:line>
            <v:line style="position:absolute" from="7734,-1687" to="7734,-1232" stroked="true" strokeweight=".815185pt" strokecolor="#66ff33">
              <v:stroke dashstyle="solid"/>
            </v:line>
            <v:line style="position:absolute" from="7734,-1694" to="7734,-1225" stroked="true" strokeweight="1.548851pt" strokecolor="#66ff33">
              <v:stroke dashstyle="solid"/>
            </v:line>
            <v:line style="position:absolute" from="7791,-2710" to="7791,-1687" stroked="true" strokeweight=".815185pt" strokecolor="#66ff33">
              <v:stroke dashstyle="solid"/>
            </v:line>
            <v:line style="position:absolute" from="7791,-2717" to="7791,-1680" stroked="true" strokeweight="1.548851pt" strokecolor="#66ff33">
              <v:stroke dashstyle="solid"/>
            </v:line>
            <v:line style="position:absolute" from="7847,-2596" to="7847,-1687" stroked="true" strokeweight=".815185pt" strokecolor="#66ff33">
              <v:stroke dashstyle="solid"/>
            </v:line>
            <v:line style="position:absolute" from="7847,-2604" to="7847,-1680" stroked="true" strokeweight="1.548851pt" strokecolor="#66ff33">
              <v:stroke dashstyle="solid"/>
            </v:line>
            <v:line style="position:absolute" from="7904,-1960" to="7904,-1687" stroked="true" strokeweight=".815185pt" strokecolor="#66ff33">
              <v:stroke dashstyle="solid"/>
            </v:line>
            <v:line style="position:absolute" from="7904,-1967" to="7904,-1680" stroked="true" strokeweight="1.548851pt" strokecolor="#66ff33">
              <v:stroke dashstyle="solid"/>
            </v:line>
            <v:line style="position:absolute" from="7960,-2482" to="7960,-1687" stroked="true" strokeweight=".815185pt" strokecolor="#66ff33">
              <v:stroke dashstyle="solid"/>
            </v:line>
            <v:line style="position:absolute" from="7960,-2490" to="7960,-1680" stroked="true" strokeweight="1.548851pt" strokecolor="#66ff33">
              <v:stroke dashstyle="solid"/>
            </v:line>
            <v:line style="position:absolute" from="8017,-2437" to="8017,-1687" stroked="true" strokeweight=".774426pt" strokecolor="#66ff33">
              <v:stroke dashstyle="solid"/>
            </v:line>
            <v:line style="position:absolute" from="8017,-2444" to="8017,-1680" stroked="true" strokeweight="1.508092pt" strokecolor="#66ff33">
              <v:stroke dashstyle="solid"/>
            </v:line>
            <v:line style="position:absolute" from="8074,-2050" to="8074,-1687" stroked="true" strokeweight=".815185pt" strokecolor="#66ff33">
              <v:stroke dashstyle="solid"/>
            </v:line>
            <v:line style="position:absolute" from="8074,-2058" to="8074,-1680" stroked="true" strokeweight="1.548851pt" strokecolor="#66ff33">
              <v:stroke dashstyle="solid"/>
            </v:line>
            <v:line style="position:absolute" from="8130,-2528" to="8130,-1687" stroked="true" strokeweight=".815185pt" strokecolor="#66ff33">
              <v:stroke dashstyle="solid"/>
            </v:line>
            <v:line style="position:absolute" from="8130,-2535" to="8130,-1680" stroked="true" strokeweight="1.548851pt" strokecolor="#66ff33">
              <v:stroke dashstyle="solid"/>
            </v:line>
            <v:line style="position:absolute" from="8187,-1914" to="8187,-1687" stroked="true" strokeweight=".815185pt" strokecolor="#66ff33">
              <v:stroke dashstyle="solid"/>
            </v:line>
            <v:line style="position:absolute" from="8187,-1922" to="8187,-1680" stroked="true" strokeweight="1.548851pt" strokecolor="#66ff33">
              <v:stroke dashstyle="solid"/>
            </v:line>
            <v:line style="position:absolute" from="8243,-1960" to="8243,-1687" stroked="true" strokeweight=".815185pt" strokecolor="#66ff33">
              <v:stroke dashstyle="solid"/>
            </v:line>
            <v:line style="position:absolute" from="8243,-1967" to="8243,-1680" stroked="true" strokeweight="1.548851pt" strokecolor="#66ff33">
              <v:stroke dashstyle="solid"/>
            </v:line>
            <v:line style="position:absolute" from="8300,-2687" to="8300,-1687" stroked="true" strokeweight=".815185pt" strokecolor="#66ff33">
              <v:stroke dashstyle="solid"/>
            </v:line>
            <v:line style="position:absolute" from="8300,-2694" to="8300,-1680" stroked="true" strokeweight="1.548851pt" strokecolor="#66ff33">
              <v:stroke dashstyle="solid"/>
            </v:line>
            <v:line style="position:absolute" from="8357,-2369" to="8357,-1687" stroked="true" strokeweight=".815185pt" strokecolor="#66ff33">
              <v:stroke dashstyle="solid"/>
            </v:line>
            <v:line style="position:absolute" from="8357,-2376" to="8357,-1680" stroked="true" strokeweight="1.548851pt" strokecolor="#66ff33">
              <v:stroke dashstyle="solid"/>
            </v:line>
            <v:line style="position:absolute" from="8414,-2210" to="8414,-1687" stroked="true" strokeweight=".815185pt" strokecolor="#66ff33">
              <v:stroke dashstyle="solid"/>
            </v:line>
            <v:line style="position:absolute" from="8414,-2218" to="8414,-1680" stroked="true" strokeweight="1.548851pt" strokecolor="#66ff33">
              <v:stroke dashstyle="solid"/>
            </v:line>
            <v:line style="position:absolute" from="8470,-2165" to="8470,-1687" stroked="true" strokeweight=".815185pt" strokecolor="#66ff33">
              <v:stroke dashstyle="solid"/>
            </v:line>
            <v:line style="position:absolute" from="8470,-2172" to="8470,-1680" stroked="true" strokeweight="1.548851pt" strokecolor="#66ff33">
              <v:stroke dashstyle="solid"/>
            </v:line>
            <v:line style="position:absolute" from="8527,-2006" to="8527,-1687" stroked="true" strokeweight=".774426pt" strokecolor="#66ff33">
              <v:stroke dashstyle="solid"/>
            </v:line>
            <v:line style="position:absolute" from="8527,-2013" to="8527,-1680" stroked="true" strokeweight="1.508092pt" strokecolor="#66ff33">
              <v:stroke dashstyle="solid"/>
            </v:line>
            <v:line style="position:absolute" from="8583,-2028" to="8583,-1687" stroked="true" strokeweight=".815185pt" strokecolor="#66ff33">
              <v:stroke dashstyle="solid"/>
            </v:line>
            <v:line style="position:absolute" from="8583,-2036" to="8583,-1680" stroked="true" strokeweight="1.548851pt" strokecolor="#66ff33">
              <v:stroke dashstyle="solid"/>
            </v:line>
            <v:line style="position:absolute" from="8639,-1937" to="8639,-1687" stroked="true" strokeweight=".815185pt" strokecolor="#66ff33">
              <v:stroke dashstyle="solid"/>
            </v:line>
            <v:rect style="position:absolute;left:8623;top:-1945;width:31;height:265" filled="true" fillcolor="#66ff33" stroked="false">
              <v:fill type="solid"/>
            </v:rect>
            <v:line style="position:absolute" from="8696,-2459" to="8696,-1687" stroked="true" strokeweight=".815185pt" strokecolor="#66ff33">
              <v:stroke dashstyle="solid"/>
            </v:line>
            <v:line style="position:absolute" from="8696,-2467" to="8696,-1680" stroked="true" strokeweight="1.548851pt" strokecolor="#66ff33">
              <v:stroke dashstyle="solid"/>
            </v:line>
            <v:line style="position:absolute" from="8753,-2142" to="8753,-1687" stroked="true" strokeweight=".815185pt" strokecolor="#66ff33">
              <v:stroke dashstyle="solid"/>
            </v:line>
            <v:line style="position:absolute" from="8753,-2149" to="8753,-1680" stroked="true" strokeweight="1.548851pt" strokecolor="#66ff33">
              <v:stroke dashstyle="solid"/>
            </v:line>
            <v:line style="position:absolute" from="8810,-1983" to="8810,-1687" stroked="true" strokeweight=".815185pt" strokecolor="#66ff33">
              <v:stroke dashstyle="solid"/>
            </v:line>
            <v:line style="position:absolute" from="8810,-1990" to="8810,-1680" stroked="true" strokeweight="1.548851pt" strokecolor="#66ff33">
              <v:stroke dashstyle="solid"/>
            </v:line>
            <v:line style="position:absolute" from="8866,-2073" to="8866,-1687" stroked="true" strokeweight=".815185pt" strokecolor="#66ff33">
              <v:stroke dashstyle="solid"/>
            </v:line>
            <v:line style="position:absolute" from="8866,-2081" to="8866,-1680" stroked="true" strokeweight="1.548851pt" strokecolor="#66ff33">
              <v:stroke dashstyle="solid"/>
            </v:line>
            <v:line style="position:absolute" from="8923,-2369" to="8923,-1687" stroked="true" strokeweight=".815185pt" strokecolor="#66ff33">
              <v:stroke dashstyle="solid"/>
            </v:line>
            <v:line style="position:absolute" from="8923,-2376" to="8923,-1680" stroked="true" strokeweight="1.548851pt" strokecolor="#66ff33">
              <v:stroke dashstyle="solid"/>
            </v:line>
            <v:rect style="position:absolute;left:8971;top:-1710;width:17;height:23" filled="true" fillcolor="#66ff33" stroked="false">
              <v:fill type="solid"/>
            </v:rect>
            <v:rect style="position:absolute;left:8971;top:-1710;width:17;height:23" filled="false" stroked="true" strokeweight=".733542pt" strokecolor="#66ff33">
              <v:stroke dashstyle="solid"/>
            </v:rect>
            <v:line style="position:absolute" from="9036,-1983" to="9036,-1687" stroked="true" strokeweight=".774426pt" strokecolor="#66ff33">
              <v:stroke dashstyle="solid"/>
            </v:line>
            <v:line style="position:absolute" from="9036,-1990" to="9036,-1680" stroked="true" strokeweight="1.508092pt" strokecolor="#66ff33">
              <v:stroke dashstyle="solid"/>
            </v:line>
            <v:line style="position:absolute" from="9093,-1846" to="9093,-1687" stroked="true" strokeweight=".815185pt" strokecolor="#66ff33">
              <v:stroke dashstyle="solid"/>
            </v:line>
            <v:line style="position:absolute" from="9093,-1853" to="9093,-1680" stroked="true" strokeweight="1.548851pt" strokecolor="#66ff33">
              <v:stroke dashstyle="solid"/>
            </v:line>
            <v:rect style="position:absolute;left:9140;top:-1710;width:17;height:23" filled="true" fillcolor="#66ff33" stroked="false">
              <v:fill type="solid"/>
            </v:rect>
            <v:rect style="position:absolute;left:9140;top:-1710;width:17;height:23" filled="false" stroked="true" strokeweight=".733542pt" strokecolor="#66ff33">
              <v:stroke dashstyle="solid"/>
            </v:rect>
            <v:line style="position:absolute" from="9206,-2165" to="9206,-1687" stroked="true" strokeweight=".815185pt" strokecolor="#66ff33">
              <v:stroke dashstyle="solid"/>
            </v:line>
            <v:line style="position:absolute" from="9206,-2172" to="9206,-1680" stroked="true" strokeweight="1.548851pt" strokecolor="#66ff33">
              <v:stroke dashstyle="solid"/>
            </v:line>
            <v:line style="position:absolute" from="9262,-1869" to="9262,-1687" stroked="true" strokeweight=".815185pt" strokecolor="#66ff33">
              <v:stroke dashstyle="solid"/>
            </v:line>
            <v:line style="position:absolute" from="9262,-1876" to="9262,-1680" stroked="true" strokeweight="1.548851pt" strokecolor="#66ff33">
              <v:stroke dashstyle="solid"/>
            </v:line>
            <v:line style="position:absolute" from="9319,-1937" to="9319,-1687" stroked="true" strokeweight=".815185pt" strokecolor="#66ff33">
              <v:stroke dashstyle="solid"/>
            </v:line>
            <v:line style="position:absolute" from="9319,-1945" to="9319,-1680" stroked="true" strokeweight="1.548851pt" strokecolor="#66ff33">
              <v:stroke dashstyle="solid"/>
            </v:line>
            <v:line style="position:absolute" from="9376,-2006" to="9376,-1687" stroked="true" strokeweight=".815185pt" strokecolor="#66ff33">
              <v:stroke dashstyle="solid"/>
            </v:line>
            <v:line style="position:absolute" from="9376,-2013" to="9376,-1680" stroked="true" strokeweight="1.548851pt" strokecolor="#66ff33">
              <v:stroke dashstyle="solid"/>
            </v:line>
            <v:line style="position:absolute" from="9433,-2096" to="9433,-1687" stroked="true" strokeweight=".815185pt" strokecolor="#66ff33">
              <v:stroke dashstyle="solid"/>
            </v:line>
            <v:line style="position:absolute" from="9433,-2103" to="9433,-1680" stroked="true" strokeweight="1.548851pt" strokecolor="#66ff33">
              <v:stroke dashstyle="solid"/>
            </v:line>
            <v:line style="position:absolute" from="9489,-1914" to="9489,-1687" stroked="true" strokeweight=".815185pt" strokecolor="#66ff33">
              <v:stroke dashstyle="solid"/>
            </v:line>
            <v:line style="position:absolute" from="9489,-1922" to="9489,-1680" stroked="true" strokeweight="1.548851pt" strokecolor="#66ff33">
              <v:stroke dashstyle="solid"/>
            </v:line>
            <v:line style="position:absolute" from="9546,-2142" to="9546,-1687" stroked="true" strokeweight=".774426pt" strokecolor="#66ff33">
              <v:stroke dashstyle="solid"/>
            </v:line>
            <v:line style="position:absolute" from="9546,-2149" to="9546,-1680" stroked="true" strokeweight="1.508092pt" strokecolor="#66ff33">
              <v:stroke dashstyle="solid"/>
            </v:line>
            <v:line style="position:absolute" from="9602,-2028" to="9602,-1687" stroked="true" strokeweight=".815185pt" strokecolor="#66ff33">
              <v:stroke dashstyle="solid"/>
            </v:line>
            <v:line style="position:absolute" from="9602,-2036" to="9602,-1680" stroked="true" strokeweight="1.548851pt" strokecolor="#66ff33">
              <v:stroke dashstyle="solid"/>
            </v:line>
            <v:line style="position:absolute" from="9658,-2301" to="9658,-1687" stroked="true" strokeweight=".815185pt" strokecolor="#66ff33">
              <v:stroke dashstyle="solid"/>
            </v:line>
            <v:line style="position:absolute" from="9658,-2308" to="9658,-1680" stroked="true" strokeweight="1.548851pt" strokecolor="#66ff33">
              <v:stroke dashstyle="solid"/>
            </v:line>
            <v:line style="position:absolute" from="9715,-1687" to="9715,-1483" stroked="true" strokeweight=".815185pt" strokecolor="#66ff33">
              <v:stroke dashstyle="solid"/>
            </v:line>
            <v:line style="position:absolute" from="9715,-1694" to="9715,-1475" stroked="true" strokeweight="1.548851pt" strokecolor="#66ff33">
              <v:stroke dashstyle="solid"/>
            </v:line>
            <v:line style="position:absolute" from="9772,-1892" to="9772,-1687" stroked="true" strokeweight=".815185pt" strokecolor="#66ff33">
              <v:stroke dashstyle="solid"/>
            </v:line>
            <v:line style="position:absolute" from="9772,-1899" to="9772,-1680" stroked="true" strokeweight="1.548851pt" strokecolor="#66ff33">
              <v:stroke dashstyle="solid"/>
            </v:line>
            <v:line style="position:absolute" from="9829,-1914" to="9829,-1687" stroked="true" strokeweight=".815185pt" strokecolor="#66ff33">
              <v:stroke dashstyle="solid"/>
            </v:line>
            <v:line style="position:absolute" from="9829,-1922" to="9829,-1680" stroked="true" strokeweight="1.548851pt" strokecolor="#66ff33">
              <v:stroke dashstyle="solid"/>
            </v:line>
            <v:line style="position:absolute" from="9885,-1914" to="9885,-1687" stroked="true" strokeweight=".815185pt" strokecolor="#66ff33">
              <v:stroke dashstyle="solid"/>
            </v:line>
            <v:line style="position:absolute" from="9885,-1922" to="9885,-1680" stroked="true" strokeweight="1.548851pt" strokecolor="#66ff33">
              <v:stroke dashstyle="solid"/>
            </v:line>
            <v:line style="position:absolute" from="9942,-1914" to="9942,-1687" stroked="true" strokeweight=".774426pt" strokecolor="#66ff33">
              <v:stroke dashstyle="solid"/>
            </v:line>
            <v:line style="position:absolute" from="9942,-1922" to="9942,-1680" stroked="true" strokeweight="1.508092pt" strokecolor="#66ff33">
              <v:stroke dashstyle="solid"/>
            </v:line>
            <v:line style="position:absolute" from="9998,-1937" to="9998,-1687" stroked="true" strokeweight=".815185pt" strokecolor="#66ff33">
              <v:stroke dashstyle="solid"/>
            </v:line>
            <v:line style="position:absolute" from="9998,-1945" to="9998,-1680" stroked="true" strokeweight="1.548851pt" strokecolor="#66ff33">
              <v:stroke dashstyle="solid"/>
            </v:line>
            <v:shape style="position:absolute;left:12463;top:-1442;width:214;height:269" coordorigin="12463,-1442" coordsize="214,269" path="m10047,-1687l10063,-1687,10063,-1778,10047,-1778,10047,-1687xm10104,-1687l10120,-1687,10120,-1778,10104,-1778,10104,-1687xe" filled="false" stroked="true" strokeweight=".733482pt" strokecolor="#66ff33">
              <v:path arrowok="t"/>
              <v:stroke dashstyle="solid"/>
            </v:shape>
            <v:line style="position:absolute" from="10168,-2073" to="10168,-1687" stroked="true" strokeweight=".815185pt" strokecolor="#66ff33">
              <v:stroke dashstyle="solid"/>
            </v:line>
            <v:line style="position:absolute" from="10168,-2081" to="10168,-1680" stroked="true" strokeweight="1.548851pt" strokecolor="#66ff33">
              <v:stroke dashstyle="solid"/>
            </v:line>
            <v:line style="position:absolute" from="10225,-1983" to="10225,-1687" stroked="true" strokeweight=".815185pt" strokecolor="#66ff33">
              <v:stroke dashstyle="solid"/>
            </v:line>
            <v:line style="position:absolute" from="10225,-1990" to="10225,-1680" stroked="true" strokeweight="1.548851pt" strokecolor="#66ff33">
              <v:stroke dashstyle="solid"/>
            </v:line>
            <v:line style="position:absolute" from="10281,-1960" to="10281,-1687" stroked="true" strokeweight=".815185pt" strokecolor="#66ff33">
              <v:stroke dashstyle="solid"/>
            </v:line>
            <v:line style="position:absolute" from="10281,-1967" to="10281,-1680" stroked="true" strokeweight="1.548851pt" strokecolor="#66ff33">
              <v:stroke dashstyle="solid"/>
            </v:line>
            <v:line style="position:absolute" from="10338,-2142" to="10338,-1687" stroked="true" strokeweight=".815185pt" strokecolor="#66ff33">
              <v:stroke dashstyle="solid"/>
            </v:line>
            <v:line style="position:absolute" from="10338,-2149" to="10338,-1680" stroked="true" strokeweight="1.548851pt" strokecolor="#66ff33">
              <v:stroke dashstyle="solid"/>
            </v:line>
            <v:shape style="position:absolute;left:1060;top:-5858;width:12636;height:8031" coordorigin="1061,-5858" coordsize="12636,8031" path="m10415,-551l10415,-3278m10415,-551l10466,-551m10415,-779l10466,-779m10415,-1006l10466,-1006m10415,-1232l10466,-1232m10415,-1460l10466,-1460m10415,-1687l10466,-1687m10415,-1914l10466,-1914m10415,-2142l10466,-2142m10415,-2369l10466,-2369m10415,-2596l10466,-2596m10415,-2824l10466,-2824m10415,-3050l10466,-3050m10415,-3278l10466,-3278m6226,-551l6226,-3278m6174,-551l6226,-551m6174,-892l6226,-892m6174,-1232l6226,-1232m6174,-1574l6226,-1574m6174,-1914l6226,-1914m6174,-2255l6226,-2255m6174,-2596l6226,-2596m6174,-2937l6226,-2937m6174,-3278l6226,-3278m6226,-551l10415,-551e" filled="false" stroked="true" strokeweight=".244494pt" strokecolor="#858585">
              <v:path arrowok="t"/>
              <v:stroke dashstyle="solid"/>
            </v:shape>
            <v:shape style="position:absolute;left:6253;top:-2552;width:4076;height:1928" coordorigin="6254,-2552" coordsize="4076,1928" path="m6254,-1947l6311,-2076,6367,-2062,6424,-2203,6480,-2310,6537,-2225,6594,-2123,6650,-2177,6707,-2052,6763,-2142,6820,-2158,6877,-2190,6934,-2220,6990,-2166,7047,-2271,7103,-2308,7159,-2143,7217,-1965,7273,-1948,7330,-2072,7386,-2369,7443,-2419,7499,-2402,7556,-2281,7613,-2299,7669,-2360,7726,-2233,7782,-2215,7839,-2158,7896,-2262,7953,-2401,8009,-2488,8066,-2552,8122,-2514,8178,-2528,8236,-2330,8292,-1939,8349,-1741,8405,-1647,8462,-1128,8518,-720,8575,-953,8632,-1056,8688,-882,8745,-821,8801,-839,8858,-966,8915,-865,8972,-898,9028,-807,9085,-794,9141,-877,9197,-929,9254,-1067,9311,-1126,9368,-1095,9424,-878,9481,-882,9537,-937,9594,-1094,9651,-1236,9707,-1320,9764,-1393,9820,-1348,9877,-1485,9934,-1609,9991,-1738,10047,-1692,10103,-1346,10160,-1243,10216,-777,10273,-624,10330,-651e" filled="false" stroked="true" strokeweight="1.018562pt" strokecolor="#ff00ff">
              <v:path arrowok="t"/>
              <v:stroke dashstyle="solid"/>
            </v:shape>
            <v:rect style="position:absolute;left:6505;top:-3213;width:131;height:90" filled="true" fillcolor="#0000ff" stroked="false">
              <v:fill type="solid"/>
            </v:rect>
            <v:rect style="position:absolute;left:6505;top:-3213;width:131;height:90" filled="false" stroked="true" strokeweight=".896397pt" strokecolor="#0000ff">
              <v:stroke dashstyle="solid"/>
            </v:rect>
            <v:rect style="position:absolute;left:6505;top:-2987;width:131;height:90" filled="true" fillcolor="#66ff33" stroked="false">
              <v:fill type="solid"/>
            </v:rect>
            <v:rect style="position:absolute;left:6505;top:-2987;width:131;height:90" filled="false" stroked="true" strokeweight=".733416pt" strokecolor="#66ff33">
              <v:stroke dashstyle="solid"/>
            </v:rect>
            <w10:wrap type="none"/>
          </v:group>
        </w:pict>
      </w:r>
      <w:r>
        <w:rPr/>
        <w:t>Note: In the left chart, export volumes are goods and services ex MTIC-related fraud. The right chart uses the average readings for the change in competiveness versus EU and non-EU markets. Sources: EEF, CBI, BCC, CIPS and BoE.</w:t>
      </w:r>
    </w:p>
    <w:p>
      <w:pPr>
        <w:spacing w:after="0" w:line="360" w:lineRule="auto"/>
        <w:sectPr>
          <w:pgSz w:w="11910" w:h="16840"/>
          <w:pgMar w:header="0" w:footer="1338" w:top="1580" w:bottom="1520" w:left="460" w:right="880"/>
        </w:sectPr>
      </w:pPr>
    </w:p>
    <w:p>
      <w:pPr>
        <w:pStyle w:val="BodyText"/>
      </w:pPr>
    </w:p>
    <w:p>
      <w:pPr>
        <w:pStyle w:val="BodyText"/>
      </w:pPr>
    </w:p>
    <w:p>
      <w:pPr>
        <w:pStyle w:val="BodyText"/>
        <w:spacing w:before="4"/>
        <w:rPr>
          <w:sz w:val="21"/>
        </w:rPr>
      </w:pPr>
    </w:p>
    <w:p>
      <w:pPr>
        <w:pStyle w:val="BodyText"/>
        <w:ind w:left="101"/>
      </w:pPr>
      <w:r>
        <w:rPr/>
        <w:pict>
          <v:group style="width:517.8pt;height:205.25pt;mso-position-horizontal-relative:char;mso-position-vertical-relative:line" coordorigin="0,0" coordsize="10356,4105">
            <v:line style="position:absolute" from="10,5" to="5140,5" stroked="true" strokeweight=".48pt" strokecolor="#000000">
              <v:stroke dashstyle="solid"/>
            </v:line>
            <v:line style="position:absolute" from="5149,5" to="10346,5" stroked="true" strokeweight=".48pt" strokecolor="#000000">
              <v:stroke dashstyle="solid"/>
            </v:line>
            <v:line style="position:absolute" from="10,706" to="5140,706" stroked="true" strokeweight=".48pt" strokecolor="#000000">
              <v:stroke dashstyle="solid"/>
            </v:line>
            <v:line style="position:absolute" from="5149,706" to="10346,706" stroked="true" strokeweight=".48pt" strokecolor="#000000">
              <v:stroke dashstyle="solid"/>
            </v:line>
            <v:line style="position:absolute" from="5,0" to="5,4105" stroked="true" strokeweight=".48pt" strokecolor="#000000">
              <v:stroke dashstyle="solid"/>
            </v:line>
            <v:line style="position:absolute" from="10,4100" to="5140,4100" stroked="true" strokeweight=".48001pt" strokecolor="#000000">
              <v:stroke dashstyle="solid"/>
            </v:line>
            <v:line style="position:absolute" from="5145,0" to="5145,4105" stroked="true" strokeweight=".48001pt" strokecolor="#000000">
              <v:stroke dashstyle="solid"/>
            </v:line>
            <v:line style="position:absolute" from="5149,4100" to="10346,4100" stroked="true" strokeweight=".48001pt" strokecolor="#000000">
              <v:stroke dashstyle="solid"/>
            </v:line>
            <v:line style="position:absolute" from="10351,0" to="10351,4105" stroked="true" strokeweight=".47998pt" strokecolor="#000000">
              <v:stroke dashstyle="solid"/>
            </v:line>
            <v:rect style="position:absolute;left:418;top:827;width:3988;height:2686" filled="false" stroked="true" strokeweight=".236509pt" strokecolor="#000000">
              <v:stroke dashstyle="solid"/>
            </v:rect>
            <v:line style="position:absolute" from="456,1696" to="456,2506" stroked="true" strokeweight="1.471339pt" strokecolor="#ff00ff">
              <v:stroke dashstyle="solid"/>
            </v:line>
            <v:rect style="position:absolute;left:440;top:1695;width:30;height:811" filled="false" stroked="true" strokeweight=".226379pt" strokecolor="#ff00ff">
              <v:stroke dashstyle="solid"/>
            </v:rect>
            <v:line style="position:absolute" from="560,2506" to="560,2726" stroked="true" strokeweight="1.471339pt" strokecolor="#ff00ff">
              <v:stroke dashstyle="solid"/>
            </v:line>
            <v:rect style="position:absolute;left:545;top:2505;width:30;height:221" filled="false" stroked="true" strokeweight=".226619pt" strokecolor="#ff00ff">
              <v:stroke dashstyle="solid"/>
            </v:rect>
            <v:line style="position:absolute" from="666,2506" to="666,2857" stroked="true" strokeweight="1.509066pt" strokecolor="#ff00ff">
              <v:stroke dashstyle="solid"/>
            </v:line>
            <v:rect style="position:absolute;left:650;top:2505;width:31;height:352" filled="false" stroked="true" strokeweight=".226468pt" strokecolor="#ff00ff">
              <v:stroke dashstyle="solid"/>
            </v:rect>
            <v:line style="position:absolute" from="771,1831" to="771,2506" stroked="true" strokeweight="1.509066pt" strokecolor="#ff00ff">
              <v:stroke dashstyle="solid"/>
            </v:line>
            <v:rect style="position:absolute;left:755;top:1830;width:31;height:676" filled="false" stroked="true" strokeweight=".226389pt" strokecolor="#ff00ff">
              <v:stroke dashstyle="solid"/>
            </v:rect>
            <v:line style="position:absolute" from="875,1235" to="875,2506" stroked="true" strokeweight="1.509066pt" strokecolor="#ff00ff">
              <v:stroke dashstyle="solid"/>
            </v:line>
            <v:rect style="position:absolute;left:860;top:1235;width:31;height:1271" filled="false" stroked="true" strokeweight=".226368pt" strokecolor="#ff00ff">
              <v:stroke dashstyle="solid"/>
            </v:rect>
            <v:line style="position:absolute" from="980,1947" to="980,2506" stroked="true" strokeweight="1.509066pt" strokecolor="#ff00ff">
              <v:stroke dashstyle="solid"/>
            </v:line>
            <v:rect style="position:absolute;left:965;top:1947;width:31;height:559" filled="false" stroked="true" strokeweight=".226403pt" strokecolor="#ff00ff">
              <v:stroke dashstyle="solid"/>
            </v:rect>
            <v:line style="position:absolute" from="1085,2057" to="1085,2506" stroked="true" strokeweight="1.509066pt" strokecolor="#ff00ff">
              <v:stroke dashstyle="solid"/>
            </v:line>
            <v:rect style="position:absolute;left:1070;top:2056;width:31;height:450" filled="false" stroked="true" strokeweight=".226426pt" strokecolor="#ff00ff">
              <v:stroke dashstyle="solid"/>
            </v:rect>
            <v:line style="position:absolute" from="1190,2246" to="1190,2506" stroked="true" strokeweight="1.509066pt" strokecolor="#ff00ff">
              <v:stroke dashstyle="solid"/>
            </v:line>
            <v:rect style="position:absolute;left:1175;top:2245;width:31;height:261" filled="false" stroked="true" strokeweight=".226555pt" strokecolor="#ff00ff">
              <v:stroke dashstyle="solid"/>
            </v:rect>
            <v:rect style="position:absolute;left:1279;top:2505;width:31;height:8" filled="true" fillcolor="#ff00ff" stroked="false">
              <v:fill type="solid"/>
            </v:rect>
            <v:rect style="position:absolute;left:1279;top:2505;width:31;height:8" filled="false" stroked="true" strokeweight=".240312pt" strokecolor="#ff00ff">
              <v:stroke dashstyle="solid"/>
            </v:rect>
            <v:line style="position:absolute" from="1400,1845" to="1400,2506" stroked="true" strokeweight="1.509066pt" strokecolor="#ff00ff">
              <v:stroke dashstyle="solid"/>
            </v:line>
            <v:rect style="position:absolute;left:1384;top:1844;width:31;height:662" filled="false" stroked="true" strokeweight=".226391pt" strokecolor="#ff00ff">
              <v:stroke dashstyle="solid"/>
            </v:rect>
            <v:line style="position:absolute" from="1505,1424" to="1505,2506" stroked="true" strokeweight="1.509066pt" strokecolor="#ff00ff">
              <v:stroke dashstyle="solid"/>
            </v:line>
            <v:rect style="position:absolute;left:1489;top:1424;width:31;height:1082" filled="false" stroked="true" strokeweight=".226371pt" strokecolor="#ff00ff">
              <v:stroke dashstyle="solid"/>
            </v:rect>
            <v:rect style="position:absolute;left:1595;top:1527;width:30;height:979" filled="true" fillcolor="#ff00ff" stroked="false">
              <v:fill type="solid"/>
            </v:rect>
            <v:rect style="position:absolute;left:1595;top:1527;width:30;height:979" filled="false" stroked="true" strokeweight=".226373pt" strokecolor="#ff00ff">
              <v:stroke dashstyle="solid"/>
            </v:rect>
            <v:line style="position:absolute" from="1715,1488" to="1715,2506" stroked="true" strokeweight="1.471339pt" strokecolor="#ff00ff">
              <v:stroke dashstyle="solid"/>
            </v:line>
            <v:rect style="position:absolute;left:1700;top:1488;width:30;height:1018" filled="false" stroked="true" strokeweight=".226372pt" strokecolor="#ff00ff">
              <v:stroke dashstyle="solid"/>
            </v:rect>
            <v:line style="position:absolute" from="1820,1156" to="1820,2506" stroked="true" strokeweight="1.471339pt" strokecolor="#ff00ff">
              <v:stroke dashstyle="solid"/>
            </v:line>
            <v:rect style="position:absolute;left:1805;top:1155;width:30;height:1351" filled="false" stroked="true" strokeweight=".226367pt" strokecolor="#ff00ff">
              <v:stroke dashstyle="solid"/>
            </v:rect>
            <v:line style="position:absolute" from="1925,1213" to="1925,2506" stroked="true" strokeweight="1.509066pt" strokecolor="#ff00ff">
              <v:stroke dashstyle="solid"/>
            </v:line>
            <v:rect style="position:absolute;left:1909;top:1212;width:31;height:1294" filled="false" stroked="true" strokeweight=".226368pt" strokecolor="#ff00ff">
              <v:stroke dashstyle="solid"/>
            </v:rect>
            <v:line style="position:absolute" from="2030,1126" to="2030,2506" stroked="true" strokeweight="1.509066pt" strokecolor="#ff00ff">
              <v:stroke dashstyle="solid"/>
            </v:line>
            <v:rect style="position:absolute;left:2014;top:1125;width:31;height:1380" filled="false" stroked="true" strokeweight=".226367pt" strokecolor="#ff00ff">
              <v:stroke dashstyle="solid"/>
            </v:rect>
            <v:line style="position:absolute" from="2135,1008" to="2135,2506" stroked="true" strokeweight="1.509066pt" strokecolor="#ff00ff">
              <v:stroke dashstyle="solid"/>
            </v:line>
            <v:rect style="position:absolute;left:2119;top:1007;width:31;height:1499" filled="false" stroked="true" strokeweight=".226366pt" strokecolor="#ff00ff">
              <v:stroke dashstyle="solid"/>
            </v:rect>
            <v:line style="position:absolute" from="2240,1742" to="2240,2506" stroked="true" strokeweight="1.509066pt" strokecolor="#ff00ff">
              <v:stroke dashstyle="solid"/>
            </v:line>
            <v:rect style="position:absolute;left:2224;top:1741;width:31;height:765" filled="false" stroked="true" strokeweight=".226383pt" strokecolor="#ff00ff">
              <v:stroke dashstyle="solid"/>
            </v:rect>
            <v:line style="position:absolute" from="2345,1799" to="2345,2506" stroked="true" strokeweight="1.509066pt" strokecolor="#ff00ff">
              <v:stroke dashstyle="solid"/>
            </v:line>
            <v:rect style="position:absolute;left:2329;top:1799;width:31;height:707" filled="false" stroked="true" strokeweight=".226387pt" strokecolor="#ff00ff">
              <v:stroke dashstyle="solid"/>
            </v:rect>
            <v:line style="position:absolute" from="2449,1177" to="2449,2506" stroked="true" strokeweight="1.509066pt" strokecolor="#ff00ff">
              <v:stroke dashstyle="solid"/>
            </v:line>
            <v:rect style="position:absolute;left:2434;top:1176;width:31;height:1330" filled="false" stroked="true" strokeweight=".226368pt" strokecolor="#ff00ff">
              <v:stroke dashstyle="solid"/>
            </v:rect>
            <v:line style="position:absolute" from="2554,2123" to="2554,2506" stroked="true" strokeweight="1.509066pt" strokecolor="#ff00ff">
              <v:stroke dashstyle="solid"/>
            </v:line>
            <v:rect style="position:absolute;left:2539;top:2123;width:31;height:383" filled="false" stroked="true" strokeweight=".226451pt" strokecolor="#ff00ff">
              <v:stroke dashstyle="solid"/>
            </v:rect>
            <v:line style="position:absolute" from="2659,2506" to="2659,2822" stroked="true" strokeweight="1.509066pt" strokecolor="#ff00ff">
              <v:stroke dashstyle="solid"/>
            </v:line>
            <v:rect style="position:absolute;left:2644;top:2505;width:31;height:316" filled="false" stroked="true" strokeweight=".226493pt" strokecolor="#ff00ff">
              <v:stroke dashstyle="solid"/>
            </v:rect>
            <v:line style="position:absolute" from="2764,2506" to="2764,2728" stroked="true" strokeweight="1.471339pt" strokecolor="#ff00ff">
              <v:stroke dashstyle="solid"/>
            </v:line>
            <v:rect style="position:absolute;left:2749;top:2505;width:30;height:222" filled="false" stroked="true" strokeweight=".226615pt" strokecolor="#ff00ff">
              <v:stroke dashstyle="solid"/>
            </v:rect>
            <v:line style="position:absolute" from="2869,2361" to="2869,2506" stroked="true" strokeweight="1.471339pt" strokecolor="#ff00ff">
              <v:stroke dashstyle="solid"/>
            </v:line>
            <v:rect style="position:absolute;left:2854;top:2361;width:30;height:145" filled="false" stroked="true" strokeweight=".226946pt" strokecolor="#ff00ff">
              <v:stroke dashstyle="solid"/>
            </v:rect>
            <v:line style="position:absolute" from="2974,1994" to="2974,2506" stroked="true" strokeweight="1.471339pt" strokecolor="#ff00ff">
              <v:stroke dashstyle="solid"/>
            </v:line>
            <v:rect style="position:absolute;left:2959;top:1994;width:30;height:512" filled="false" stroked="true" strokeweight=".226408pt" strokecolor="#ff00ff">
              <v:stroke dashstyle="solid"/>
            </v:rect>
            <v:rect style="position:absolute;left:3064;top:2505;width:31;height:13" filled="true" fillcolor="#ff00ff" stroked="false">
              <v:fill type="solid"/>
            </v:rect>
            <v:rect style="position:absolute;left:3064;top:2505;width:31;height:13" filled="false" stroked="true" strokeweight=".238847pt" strokecolor="#ff00ff">
              <v:stroke dashstyle="solid"/>
            </v:rect>
            <v:line style="position:absolute" from="3184,2178" to="3184,2506" stroked="true" strokeweight="1.509066pt" strokecolor="#ff00ff">
              <v:stroke dashstyle="solid"/>
            </v:line>
            <v:rect style="position:absolute;left:3169;top:2178;width:31;height:328" filled="false" stroked="true" strokeweight=".226484pt" strokecolor="#ff00ff">
              <v:stroke dashstyle="solid"/>
            </v:rect>
            <v:line style="position:absolute" from="3289,2243" to="3289,2506" stroked="true" strokeweight="1.509066pt" strokecolor="#ff00ff">
              <v:stroke dashstyle="solid"/>
            </v:line>
            <v:rect style="position:absolute;left:3274;top:2243;width:31;height:263" filled="false" stroked="true" strokeweight=".226552pt" strokecolor="#ff00ff">
              <v:stroke dashstyle="solid"/>
            </v:rect>
            <v:line style="position:absolute" from="3394,2506" to="3394,2699" stroked="true" strokeweight="1.509066pt" strokecolor="#ff00ff">
              <v:stroke dashstyle="solid"/>
            </v:line>
            <v:rect style="position:absolute;left:3379;top:2505;width:31;height:193" filled="false" stroked="true" strokeweight=".226712pt" strokecolor="#ff00ff">
              <v:stroke dashstyle="solid"/>
            </v:rect>
            <v:rect style="position:absolute;left:3483;top:2425;width:31;height:81" filled="true" fillcolor="#ff00ff" stroked="false">
              <v:fill type="solid"/>
            </v:rect>
            <v:rect style="position:absolute;left:3483;top:2425;width:31;height:81" filled="false" stroked="true" strokeweight=".228183pt" strokecolor="#ff00ff">
              <v:stroke dashstyle="solid"/>
            </v:rect>
            <v:line style="position:absolute" from="3604,1693" to="3604,2506" stroked="true" strokeweight="1.509066pt" strokecolor="#ff00ff">
              <v:stroke dashstyle="solid"/>
            </v:line>
            <v:rect style="position:absolute;left:3588;top:1692;width:31;height:814" filled="false" stroked="true" strokeweight=".22638pt" strokecolor="#ff00ff">
              <v:stroke dashstyle="solid"/>
            </v:rect>
            <v:line style="position:absolute" from="3709,1435" to="3709,2506" stroked="true" strokeweight="1.509066pt" strokecolor="#ff00ff">
              <v:stroke dashstyle="solid"/>
            </v:line>
            <v:rect style="position:absolute;left:3693;top:1435;width:31;height:1071" filled="false" stroked="true" strokeweight=".226372pt" strokecolor="#ff00ff">
              <v:stroke dashstyle="solid"/>
            </v:rect>
            <v:line style="position:absolute" from="3814,1697" to="3814,2506" stroked="true" strokeweight="1.509066pt" strokecolor="#ff00ff">
              <v:stroke dashstyle="solid"/>
            </v:line>
            <v:rect style="position:absolute;left:3798;top:1696;width:31;height:810" filled="false" stroked="true" strokeweight=".22638pt" strokecolor="#ff00ff">
              <v:stroke dashstyle="solid"/>
            </v:rect>
            <v:line style="position:absolute" from="3919,1785" to="3919,2506" stroked="true" strokeweight="1.509066pt" strokecolor="#ff00ff">
              <v:stroke dashstyle="solid"/>
            </v:line>
            <v:rect style="position:absolute;left:3903;top:1785;width:31;height:721" filled="false" stroked="true" strokeweight=".226386pt" strokecolor="#ff00ff">
              <v:stroke dashstyle="solid"/>
            </v:rect>
            <v:rect style="position:absolute;left:4009;top:2426;width:30;height:80" filled="true" fillcolor="#ff00ff" stroked="false">
              <v:fill type="solid"/>
            </v:rect>
            <v:rect style="position:absolute;left:4009;top:2426;width:30;height:80" filled="false" stroked="true" strokeweight=".228135pt" strokecolor="#ff00ff">
              <v:stroke dashstyle="solid"/>
            </v:rect>
            <v:line style="position:absolute" from="4129,2506" to="4129,2714" stroked="true" strokeweight="1.471371pt" strokecolor="#ff00ff">
              <v:stroke dashstyle="solid"/>
            </v:line>
            <v:rect style="position:absolute;left:4113;top:2505;width:30;height:209" filled="false" stroked="true" strokeweight=".226649pt" strokecolor="#ff00ff">
              <v:stroke dashstyle="solid"/>
            </v:rect>
            <v:line style="position:absolute" from="4234,2099" to="4234,2506" stroked="true" strokeweight="1.471339pt" strokecolor="#ff00ff">
              <v:stroke dashstyle="solid"/>
            </v:line>
            <v:rect style="position:absolute;left:4218;top:2099;width:30;height:407" filled="false" stroked="true" strokeweight=".226437pt" strokecolor="#ff00ff">
              <v:stroke dashstyle="solid"/>
            </v:rect>
            <v:line style="position:absolute" from="4339,980" to="4339,2506" stroked="true" strokeweight="1.509066pt" strokecolor="#ff00ff">
              <v:stroke dashstyle="solid"/>
            </v:line>
            <v:rect style="position:absolute;left:4323;top:979;width:31;height:1527" filled="false" stroked="true" strokeweight=".226366pt" strokecolor="#ff00ff">
              <v:stroke dashstyle="solid"/>
            </v:rect>
            <v:line style="position:absolute" from="485,1753" to="485,2506" stroked="true" strokeweight="1.509066pt" strokecolor="#0000ff">
              <v:stroke dashstyle="solid"/>
            </v:line>
            <v:rect style="position:absolute;left:470;top:1752;width:31;height:754" filled="false" stroked="true" strokeweight=".226384pt" strokecolor="#0000ff">
              <v:stroke dashstyle="solid"/>
            </v:rect>
            <v:line style="position:absolute" from="590,1528" to="590,2506" stroked="true" strokeweight="1.509066pt" strokecolor="#0000ff">
              <v:stroke dashstyle="solid"/>
            </v:line>
            <v:rect style="position:absolute;left:575;top:1527;width:31;height:979" filled="false" stroked="true" strokeweight=".226374pt" strokecolor="#0000ff">
              <v:stroke dashstyle="solid"/>
            </v:rect>
            <v:line style="position:absolute" from="696,1713" to="696,2506" stroked="true" strokeweight="1.471339pt" strokecolor="#0000ff">
              <v:stroke dashstyle="solid"/>
            </v:line>
            <v:rect style="position:absolute;left:680;top:1713;width:30;height:793" filled="false" stroked="true" strokeweight=".22638pt" strokecolor="#0000ff">
              <v:stroke dashstyle="solid"/>
            </v:rect>
            <v:line style="position:absolute" from="800,1666" to="800,2506" stroked="true" strokeweight="1.471339pt" strokecolor="#0000ff">
              <v:stroke dashstyle="solid"/>
            </v:line>
            <v:rect style="position:absolute;left:785;top:1666;width:30;height:840" filled="false" stroked="true" strokeweight=".226378pt" strokecolor="#0000ff">
              <v:stroke dashstyle="solid"/>
            </v:rect>
            <v:line style="position:absolute" from="905,1352" to="905,2506" stroked="true" strokeweight="1.471339pt" strokecolor="#0000ff">
              <v:stroke dashstyle="solid"/>
            </v:line>
            <v:rect style="position:absolute;left:890;top:1351;width:30;height:1155" filled="false" stroked="true" strokeweight=".226369pt" strokecolor="#0000ff">
              <v:stroke dashstyle="solid"/>
            </v:rect>
            <v:line style="position:absolute" from="1011,1627" to="1011,2506" stroked="true" strokeweight="1.509066pt" strokecolor="#0000ff">
              <v:stroke dashstyle="solid"/>
            </v:line>
            <v:rect style="position:absolute;left:995;top:1626;width:31;height:880" filled="false" stroked="true" strokeweight=".226377pt" strokecolor="#0000ff">
              <v:stroke dashstyle="solid"/>
            </v:rect>
            <v:line style="position:absolute" from="1115,1877" to="1115,2506" stroked="true" strokeweight="1.509066pt" strokecolor="#0000ff">
              <v:stroke dashstyle="solid"/>
            </v:line>
            <v:rect style="position:absolute;left:1100;top:1877;width:31;height:629" filled="false" stroked="true" strokeweight=".226394pt" strokecolor="#0000ff">
              <v:stroke dashstyle="solid"/>
            </v:rect>
            <v:line style="position:absolute" from="1220,1574" to="1220,2506" stroked="true" strokeweight="1.509066pt" strokecolor="#0000ff">
              <v:stroke dashstyle="solid"/>
            </v:line>
            <v:rect style="position:absolute;left:1205;top:1574;width:31;height:932" filled="false" stroked="true" strokeweight=".226375pt" strokecolor="#0000ff">
              <v:stroke dashstyle="solid"/>
            </v:rect>
            <v:line style="position:absolute" from="1325,1496" to="1325,2506" stroked="true" strokeweight="1.509066pt" strokecolor="#0000ff">
              <v:stroke dashstyle="solid"/>
            </v:line>
            <v:rect style="position:absolute;left:1310;top:1496;width:31;height:1010" filled="false" stroked="true" strokeweight=".226373pt" strokecolor="#0000ff">
              <v:stroke dashstyle="solid"/>
            </v:rect>
            <v:line style="position:absolute" from="1430,1539" to="1430,2506" stroked="true" strokeweight="1.509066pt" strokecolor="#0000ff">
              <v:stroke dashstyle="solid"/>
            </v:line>
            <v:rect style="position:absolute;left:1414;top:1539;width:31;height:967" filled="false" stroked="true" strokeweight=".226374pt" strokecolor="#0000ff">
              <v:stroke dashstyle="solid"/>
            </v:rect>
            <v:line style="position:absolute" from="1535,1455" to="1535,2506" stroked="true" strokeweight="1.509066pt" strokecolor="#0000ff">
              <v:stroke dashstyle="solid"/>
            </v:line>
            <v:rect style="position:absolute;left:1519;top:1454;width:31;height:1052" filled="false" stroked="true" strokeweight=".226372pt" strokecolor="#0000ff">
              <v:stroke dashstyle="solid"/>
            </v:rect>
            <v:rect style="position:absolute;left:1624;top:1538;width:31;height:968" filled="true" fillcolor="#0000ff" stroked="false">
              <v:fill type="solid"/>
            </v:rect>
            <v:rect style="position:absolute;left:1624;top:1538;width:31;height:968" filled="false" stroked="true" strokeweight=".226374pt" strokecolor="#0000ff">
              <v:stroke dashstyle="solid"/>
            </v:rect>
            <v:line style="position:absolute" from="1745,1728" to="1745,2506" stroked="true" strokeweight="1.509066pt" strokecolor="#0000ff">
              <v:stroke dashstyle="solid"/>
            </v:line>
            <v:rect style="position:absolute;left:1729;top:1727;width:31;height:778" filled="false" stroked="true" strokeweight=".226382pt" strokecolor="#0000ff">
              <v:stroke dashstyle="solid"/>
            </v:rect>
            <v:line style="position:absolute" from="1850,1914" to="1850,2506" stroked="true" strokeweight="1.509066pt" strokecolor="#0000ff">
              <v:stroke dashstyle="solid"/>
            </v:line>
            <v:rect style="position:absolute;left:1834;top:1914;width:31;height:592" filled="false" stroked="true" strokeweight=".226398pt" strokecolor="#0000ff">
              <v:stroke dashstyle="solid"/>
            </v:rect>
            <v:line style="position:absolute" from="1955,1907" to="1955,2506" stroked="true" strokeweight="1.471339pt" strokecolor="#0000ff">
              <v:stroke dashstyle="solid"/>
            </v:line>
            <v:rect style="position:absolute;left:1940;top:1907;width:30;height:599" filled="false" stroked="true" strokeweight=".226395pt" strokecolor="#0000ff">
              <v:stroke dashstyle="solid"/>
            </v:rect>
            <v:line style="position:absolute" from="2060,1404" to="2060,2506" stroked="true" strokeweight="1.471339pt" strokecolor="#0000ff">
              <v:stroke dashstyle="solid"/>
            </v:line>
            <v:rect style="position:absolute;left:2045;top:1404;width:30;height:1102" filled="false" stroked="true" strokeweight=".22637pt" strokecolor="#0000ff">
              <v:stroke dashstyle="solid"/>
            </v:rect>
            <v:line style="position:absolute" from="2165,1426" to="2165,2506" stroked="true" strokeweight="1.471339pt" strokecolor="#0000ff">
              <v:stroke dashstyle="solid"/>
            </v:line>
            <v:rect style="position:absolute;left:2149;top:1425;width:30;height:1081" filled="false" stroked="true" strokeweight=".226371pt" strokecolor="#0000ff">
              <v:stroke dashstyle="solid"/>
            </v:rect>
            <v:line style="position:absolute" from="2270,1861" to="2270,2506" stroked="true" strokeweight="1.509066pt" strokecolor="#0000ff">
              <v:stroke dashstyle="solid"/>
            </v:line>
            <v:rect style="position:absolute;left:2254;top:1860;width:31;height:646" filled="false" stroked="true" strokeweight=".226392pt" strokecolor="#0000ff">
              <v:stroke dashstyle="solid"/>
            </v:rect>
            <v:line style="position:absolute" from="2375,1849" to="2375,2506" stroked="true" strokeweight="1.509066pt" strokecolor="#0000ff">
              <v:stroke dashstyle="solid"/>
            </v:line>
            <v:rect style="position:absolute;left:2359;top:1848;width:31;height:658" filled="false" stroked="true" strokeweight=".226391pt" strokecolor="#0000ff">
              <v:stroke dashstyle="solid"/>
            </v:rect>
            <v:line style="position:absolute" from="2480,1582" to="2480,2506" stroked="true" strokeweight="1.509066pt" strokecolor="#0000ff">
              <v:stroke dashstyle="solid"/>
            </v:line>
            <v:rect style="position:absolute;left:2464;top:1582;width:31;height:924" filled="false" stroked="true" strokeweight=".226376pt" strokecolor="#0000ff">
              <v:stroke dashstyle="solid"/>
            </v:rect>
            <v:line style="position:absolute" from="2584,1515" to="2584,2506" stroked="true" strokeweight="1.509066pt" strokecolor="#0000ff">
              <v:stroke dashstyle="solid"/>
            </v:line>
            <v:rect style="position:absolute;left:2569;top:1514;width:31;height:991" filled="false" stroked="true" strokeweight=".226374pt" strokecolor="#0000ff">
              <v:stroke dashstyle="solid"/>
            </v:rect>
            <v:line style="position:absolute" from="2689,2252" to="2689,2506" stroked="true" strokeweight="1.509066pt" strokecolor="#0000ff">
              <v:stroke dashstyle="solid"/>
            </v:line>
            <v:rect style="position:absolute;left:2674;top:2251;width:31;height:254" filled="false" stroked="true" strokeweight=".226565pt" strokecolor="#0000ff">
              <v:stroke dashstyle="solid"/>
            </v:rect>
            <v:line style="position:absolute" from="2794,2506" to="2794,3132" stroked="true" strokeweight="1.509066pt" strokecolor="#0000ff">
              <v:stroke dashstyle="solid"/>
            </v:line>
            <v:rect style="position:absolute;left:2779;top:2505;width:31;height:627" filled="false" stroked="true" strokeweight=".226394pt" strokecolor="#0000ff">
              <v:stroke dashstyle="solid"/>
            </v:rect>
            <v:line style="position:absolute" from="2899,2506" to="2899,2903" stroked="true" strokeweight="1.509066pt" strokecolor="#0000ff">
              <v:stroke dashstyle="solid"/>
            </v:line>
            <v:rect style="position:absolute;left:2884;top:2505;width:31;height:398" filled="false" stroked="true" strokeweight=".226445pt" strokecolor="#0000ff">
              <v:stroke dashstyle="solid"/>
            </v:rect>
            <v:line style="position:absolute" from="3004,2169" to="3004,2506" stroked="true" strokeweight="1.509066pt" strokecolor="#0000ff">
              <v:stroke dashstyle="solid"/>
            </v:line>
            <v:rect style="position:absolute;left:2988;top:2169;width:31;height:337" filled="false" stroked="true" strokeweight=".226477pt" strokecolor="#0000ff">
              <v:stroke dashstyle="solid"/>
            </v:rect>
            <v:line style="position:absolute" from="3109,1935" to="3109,2506" stroked="true" strokeweight="1.471339pt" strokecolor="#0000ff">
              <v:stroke dashstyle="solid"/>
            </v:line>
            <v:rect style="position:absolute;left:3094;top:1934;width:30;height:572" filled="false" stroked="true" strokeweight=".226399pt" strokecolor="#0000ff">
              <v:stroke dashstyle="solid"/>
            </v:rect>
            <v:line style="position:absolute" from="3214,1956" to="3214,2506" stroked="true" strokeweight="1.471339pt" strokecolor="#0000ff">
              <v:stroke dashstyle="solid"/>
            </v:line>
            <v:rect style="position:absolute;left:3199;top:1956;width:30;height:550" filled="false" stroked="true" strokeweight=".226402pt" strokecolor="#0000ff">
              <v:stroke dashstyle="solid"/>
            </v:rect>
            <v:line style="position:absolute" from="3319,2045" to="3319,2506" stroked="true" strokeweight="1.471339pt" strokecolor="#0000ff">
              <v:stroke dashstyle="solid"/>
            </v:line>
            <v:rect style="position:absolute;left:3304;top:2044;width:30;height:462" filled="false" stroked="true" strokeweight=".22642pt" strokecolor="#0000ff">
              <v:stroke dashstyle="solid"/>
            </v:rect>
            <v:line style="position:absolute" from="3424,1934" to="3424,2506" stroked="true" strokeweight="1.509066pt" strokecolor="#0000ff">
              <v:stroke dashstyle="solid"/>
            </v:line>
            <v:rect style="position:absolute;left:3409;top:1933;width:31;height:573" filled="false" stroked="true" strokeweight=".226401pt" strokecolor="#0000ff">
              <v:stroke dashstyle="solid"/>
            </v:rect>
            <v:line style="position:absolute" from="3529,1628" to="3529,2506" stroked="true" strokeweight="1.509066pt" strokecolor="#0000ff">
              <v:stroke dashstyle="solid"/>
            </v:line>
            <v:rect style="position:absolute;left:3514;top:1628;width:31;height:878" filled="false" stroked="true" strokeweight=".226377pt" strokecolor="#0000ff">
              <v:stroke dashstyle="solid"/>
            </v:rect>
            <v:line style="position:absolute" from="3634,1872" to="3634,2506" stroked="true" strokeweight="1.509066pt" strokecolor="#0000ff">
              <v:stroke dashstyle="solid"/>
            </v:line>
            <v:rect style="position:absolute;left:3618;top:1871;width:31;height:635" filled="false" stroked="true" strokeweight=".226393pt" strokecolor="#0000ff">
              <v:stroke dashstyle="solid"/>
            </v:rect>
            <v:line style="position:absolute" from="3739,2119" to="3739,2506" stroked="true" strokeweight="1.509066pt" strokecolor="#0000ff">
              <v:stroke dashstyle="solid"/>
            </v:line>
            <v:rect style="position:absolute;left:3723;top:2118;width:31;height:388" filled="false" stroked="true" strokeweight=".226449pt" strokecolor="#0000ff">
              <v:stroke dashstyle="solid"/>
            </v:rect>
            <v:line style="position:absolute" from="3844,1795" to="3844,2506" stroked="true" strokeweight="1.509066pt" strokecolor="#0000ff">
              <v:stroke dashstyle="solid"/>
            </v:line>
            <v:rect style="position:absolute;left:3828;top:1795;width:31;height:711" filled="false" stroked="true" strokeweight=".226386pt" strokecolor="#0000ff">
              <v:stroke dashstyle="solid"/>
            </v:rect>
            <v:line style="position:absolute" from="3949,1627" to="3949,2506" stroked="true" strokeweight="1.509066pt" strokecolor="#0000ff">
              <v:stroke dashstyle="solid"/>
            </v:line>
            <v:rect style="position:absolute;left:3933;top:1626;width:31;height:880" filled="false" stroked="true" strokeweight=".226377pt" strokecolor="#0000ff">
              <v:stroke dashstyle="solid"/>
            </v:rect>
            <v:line style="position:absolute" from="4054,1842" to="4054,2506" stroked="true" strokeweight="1.509066pt" strokecolor="#0000ff">
              <v:stroke dashstyle="solid"/>
            </v:line>
            <v:rect style="position:absolute;left:4038;top:1842;width:31;height:664" filled="false" stroked="true" strokeweight=".22639pt" strokecolor="#0000ff">
              <v:stroke dashstyle="solid"/>
            </v:rect>
            <v:line style="position:absolute" from="4158,1981" to="4158,2506" stroked="true" strokeweight="1.509066pt" strokecolor="#0000ff">
              <v:stroke dashstyle="solid"/>
            </v:line>
            <v:rect style="position:absolute;left:4143;top:1981;width:31;height:525" filled="false" stroked="true" strokeweight=".226409pt" strokecolor="#0000ff">
              <v:stroke dashstyle="solid"/>
            </v:rect>
            <v:line style="position:absolute" from="4263,1983" to="4263,2506" stroked="true" strokeweight="1.509066pt" strokecolor="#0000ff">
              <v:stroke dashstyle="solid"/>
            </v:line>
            <v:rect style="position:absolute;left:4248;top:1982;width:31;height:524" filled="false" stroked="true" strokeweight=".226409pt" strokecolor="#0000ff">
              <v:stroke dashstyle="solid"/>
            </v:rect>
            <v:line style="position:absolute" from="4369,1943" to="4369,2506" stroked="true" strokeweight="1.471339pt" strokecolor="#0000ff">
              <v:stroke dashstyle="solid"/>
            </v:line>
            <v:rect style="position:absolute;left:4353;top:1943;width:30;height:563" filled="false" stroked="true" strokeweight=".2264pt" strokecolor="#0000ff">
              <v:stroke dashstyle="solid"/>
            </v:rect>
            <v:line style="position:absolute" from="418,3513" to="418,827" stroked="true" strokeweight=".22636pt" strokecolor="#858585">
              <v:stroke dashstyle="solid"/>
            </v:line>
            <v:line style="position:absolute" from="370,3513" to="418,3513" stroked="true" strokeweight=".241114pt" strokecolor="#858585">
              <v:stroke dashstyle="solid"/>
            </v:line>
            <v:line style="position:absolute" from="370,3177" to="418,3177" stroked="true" strokeweight=".241114pt" strokecolor="#858585">
              <v:stroke dashstyle="solid"/>
            </v:line>
            <v:line style="position:absolute" from="370,2842" to="418,2842" stroked="true" strokeweight=".241114pt" strokecolor="#858585">
              <v:stroke dashstyle="solid"/>
            </v:line>
            <v:line style="position:absolute" from="370,2506" to="418,2506" stroked="true" strokeweight=".241114pt" strokecolor="#858585">
              <v:stroke dashstyle="solid"/>
            </v:line>
            <v:line style="position:absolute" from="370,2170" to="418,2170" stroked="true" strokeweight=".241114pt" strokecolor="#858585">
              <v:stroke dashstyle="solid"/>
            </v:line>
            <v:line style="position:absolute" from="370,1835" to="418,1835" stroked="true" strokeweight=".241114pt" strokecolor="#858585">
              <v:stroke dashstyle="solid"/>
            </v:line>
            <v:line style="position:absolute" from="370,1499" to="418,1499" stroked="true" strokeweight=".241114pt" strokecolor="#858585">
              <v:stroke dashstyle="solid"/>
            </v:line>
            <v:line style="position:absolute" from="370,1163" to="418,1163" stroked="true" strokeweight=".241114pt" strokecolor="#858585">
              <v:stroke dashstyle="solid"/>
            </v:line>
            <v:line style="position:absolute" from="370,827" to="418,827" stroked="true" strokeweight=".241114pt" strokecolor="#858585">
              <v:stroke dashstyle="solid"/>
            </v:line>
            <v:line style="position:absolute" from="418,2506" to="4406,2506" stroked="true" strokeweight=".241114pt" strokecolor="#858585">
              <v:stroke dashstyle="solid"/>
            </v:line>
            <v:rect style="position:absolute;left:957;top:2639;width:83;height:89" filled="true" fillcolor="#ff00ff" stroked="false">
              <v:fill type="solid"/>
            </v:rect>
            <v:rect style="position:absolute;left:957;top:2639;width:83;height:89" filled="false" stroked="true" strokeweight=".233205pt" strokecolor="#ff00ff">
              <v:stroke dashstyle="solid"/>
            </v:rect>
            <v:rect style="position:absolute;left:957;top:3083;width:83;height:89" filled="true" fillcolor="#0000ff" stroked="false">
              <v:fill type="solid"/>
            </v:rect>
            <v:rect style="position:absolute;left:957;top:3083;width:83;height:89" filled="false" stroked="true" strokeweight=".233205pt" strokecolor="#0000ff">
              <v:stroke dashstyle="solid"/>
            </v:rect>
            <v:rect style="position:absolute;left:115;top:712;width:4601;height:3202" filled="false" stroked="true" strokeweight=".2363pt" strokecolor="#858585">
              <v:stroke dashstyle="solid"/>
            </v:rect>
            <v:rect style="position:absolute;left:5624;top:829;width:4605;height:2329" filled="false" stroked="true" strokeweight=".244457pt" strokecolor="#000000">
              <v:stroke dashstyle="solid"/>
            </v:rect>
            <v:rect style="position:absolute;left:5954;top:2997;width:439;height:161" filled="true" fillcolor="#ff00ff" stroked="false">
              <v:fill type="solid"/>
            </v:rect>
            <v:rect style="position:absolute;left:5954;top:2997;width:439;height:161" filled="false" stroked="true" strokeweight=".244447pt" strokecolor="#ff00ff">
              <v:stroke dashstyle="solid"/>
            </v:rect>
            <v:rect style="position:absolute;left:7489;top:2759;width:439;height:399" filled="true" fillcolor="#ff00ff" stroked="false">
              <v:fill type="solid"/>
            </v:rect>
            <v:rect style="position:absolute;left:7489;top:2759;width:439;height:399" filled="false" stroked="true" strokeweight=".244488pt" strokecolor="#ff00ff">
              <v:stroke dashstyle="solid"/>
            </v:rect>
            <v:rect style="position:absolute;left:9024;top:2340;width:438;height:818" filled="true" fillcolor="#ff00ff" stroked="false">
              <v:fill type="solid"/>
            </v:rect>
            <v:rect style="position:absolute;left:9024;top:2340;width:438;height:818" filled="false" stroked="true" strokeweight=".244528pt" strokecolor="#ff00ff">
              <v:stroke dashstyle="solid"/>
            </v:rect>
            <v:rect style="position:absolute;left:6392;top:1186;width:439;height:1972" filled="true" fillcolor="#0000ff" stroked="false">
              <v:fill type="solid"/>
            </v:rect>
            <v:rect style="position:absolute;left:6392;top:1186;width:439;height:1972" filled="false" stroked="true" strokeweight=".24455pt" strokecolor="#0000ff">
              <v:stroke dashstyle="solid"/>
            </v:rect>
            <v:rect style="position:absolute;left:7927;top:2295;width:439;height:863" filled="true" fillcolor="#0000ff" stroked="false">
              <v:fill type="solid"/>
            </v:rect>
            <v:rect style="position:absolute;left:7927;top:2295;width:439;height:863" filled="false" stroked="true" strokeweight=".24453pt" strokecolor="#0000ff">
              <v:stroke dashstyle="solid"/>
            </v:rect>
            <v:rect style="position:absolute;left:9462;top:2737;width:439;height:421" filled="true" fillcolor="#0000ff" stroked="false">
              <v:fill type="solid"/>
            </v:rect>
            <v:rect style="position:absolute;left:9462;top:2737;width:439;height:421" filled="false" stroked="true" strokeweight=".244491pt" strokecolor="#0000ff">
              <v:stroke dashstyle="solid"/>
            </v:rect>
            <v:line style="position:absolute" from="5625,3158" to="5625,829" stroked="true" strokeweight=".244555pt" strokecolor="#858585">
              <v:stroke dashstyle="solid"/>
            </v:line>
            <v:line style="position:absolute" from="5574,3158" to="5625,3158" stroked="true" strokeweight=".244432pt" strokecolor="#858585">
              <v:stroke dashstyle="solid"/>
            </v:line>
            <v:line style="position:absolute" from="5574,2825" to="5625,2825" stroked="true" strokeweight=".244432pt" strokecolor="#858585">
              <v:stroke dashstyle="solid"/>
            </v:line>
            <v:line style="position:absolute" from="5574,2492" to="5625,2492" stroked="true" strokeweight=".244432pt" strokecolor="#858585">
              <v:stroke dashstyle="solid"/>
            </v:line>
            <v:line style="position:absolute" from="5574,2160" to="5625,2160" stroked="true" strokeweight=".244432pt" strokecolor="#858585">
              <v:stroke dashstyle="solid"/>
            </v:line>
            <v:line style="position:absolute" from="5574,1827" to="5625,1827" stroked="true" strokeweight=".244432pt" strokecolor="#858585">
              <v:stroke dashstyle="solid"/>
            </v:line>
            <v:line style="position:absolute" from="5574,1494" to="5625,1494" stroked="true" strokeweight=".244432pt" strokecolor="#858585">
              <v:stroke dashstyle="solid"/>
            </v:line>
            <v:line style="position:absolute" from="5574,1162" to="5625,1162" stroked="true" strokeweight=".244432pt" strokecolor="#858585">
              <v:stroke dashstyle="solid"/>
            </v:line>
            <v:line style="position:absolute" from="5574,829" to="5625,829" stroked="true" strokeweight=".244432pt" strokecolor="#858585">
              <v:stroke dashstyle="solid"/>
            </v:line>
            <v:line style="position:absolute" from="5625,3158" to="10230,3158" stroked="true" strokeweight=".244432pt" strokecolor="#858585">
              <v:stroke dashstyle="solid"/>
            </v:line>
            <v:rect style="position:absolute;left:7594;top:1187;width:90;height:90" filled="true" fillcolor="#ff00ff" stroked="false">
              <v:fill type="solid"/>
            </v:rect>
            <v:rect style="position:absolute;left:7594;top:1187;width:90;height:90" filled="false" stroked="true" strokeweight=".244494pt" strokecolor="#ff00ff">
              <v:stroke dashstyle="solid"/>
            </v:rect>
            <v:rect style="position:absolute;left:7594;top:1729;width:90;height:90" filled="true" fillcolor="#0000ff" stroked="false">
              <v:fill type="solid"/>
            </v:rect>
            <v:rect style="position:absolute;left:7594;top:1729;width:90;height:90" filled="false" stroked="true" strokeweight=".244494pt" strokecolor="#0000ff">
              <v:stroke dashstyle="solid"/>
            </v:rect>
            <v:rect style="position:absolute;left:5254;top:711;width:4976;height:3251" filled="false" stroked="true" strokeweight=".244469pt" strokecolor="#858585">
              <v:stroke dashstyle="solid"/>
            </v:rect>
            <v:shape style="position:absolute;left:5265;top:753;width:230;height:2493" type="#_x0000_t202" filled="false" stroked="false">
              <v:textbox inset="0,0,0,0">
                <w:txbxContent>
                  <w:p>
                    <w:pPr>
                      <w:spacing w:line="165" w:lineRule="exact" w:before="0"/>
                      <w:ind w:left="0" w:right="0" w:firstLine="0"/>
                      <w:jc w:val="left"/>
                      <w:rPr>
                        <w:rFonts w:ascii="Calibri"/>
                        <w:b/>
                        <w:sz w:val="16"/>
                      </w:rPr>
                    </w:pPr>
                    <w:r>
                      <w:rPr>
                        <w:rFonts w:ascii="Calibri"/>
                        <w:b/>
                        <w:sz w:val="16"/>
                      </w:rPr>
                      <w:t>1.4</w:t>
                    </w:r>
                  </w:p>
                  <w:p>
                    <w:pPr>
                      <w:spacing w:before="137"/>
                      <w:ind w:left="0" w:right="0" w:firstLine="0"/>
                      <w:jc w:val="left"/>
                      <w:rPr>
                        <w:rFonts w:ascii="Calibri"/>
                        <w:b/>
                        <w:sz w:val="16"/>
                      </w:rPr>
                    </w:pPr>
                    <w:r>
                      <w:rPr>
                        <w:rFonts w:ascii="Calibri"/>
                        <w:b/>
                        <w:sz w:val="16"/>
                      </w:rPr>
                      <w:t>1.2</w:t>
                    </w:r>
                  </w:p>
                  <w:p>
                    <w:pPr>
                      <w:spacing w:before="138"/>
                      <w:ind w:left="0" w:right="0" w:firstLine="0"/>
                      <w:jc w:val="left"/>
                      <w:rPr>
                        <w:rFonts w:ascii="Calibri"/>
                        <w:b/>
                        <w:sz w:val="16"/>
                      </w:rPr>
                    </w:pPr>
                    <w:r>
                      <w:rPr>
                        <w:rFonts w:ascii="Calibri"/>
                        <w:b/>
                        <w:sz w:val="16"/>
                      </w:rPr>
                      <w:t>1.0</w:t>
                    </w:r>
                  </w:p>
                  <w:p>
                    <w:pPr>
                      <w:spacing w:before="137"/>
                      <w:ind w:left="0" w:right="0" w:firstLine="0"/>
                      <w:jc w:val="left"/>
                      <w:rPr>
                        <w:rFonts w:ascii="Calibri"/>
                        <w:b/>
                        <w:sz w:val="16"/>
                      </w:rPr>
                    </w:pPr>
                    <w:r>
                      <w:rPr>
                        <w:rFonts w:ascii="Calibri"/>
                        <w:b/>
                        <w:sz w:val="16"/>
                      </w:rPr>
                      <w:t>0.8</w:t>
                    </w:r>
                  </w:p>
                  <w:p>
                    <w:pPr>
                      <w:spacing w:before="138"/>
                      <w:ind w:left="0" w:right="0" w:firstLine="0"/>
                      <w:jc w:val="left"/>
                      <w:rPr>
                        <w:rFonts w:ascii="Calibri"/>
                        <w:b/>
                        <w:sz w:val="16"/>
                      </w:rPr>
                    </w:pPr>
                    <w:r>
                      <w:rPr>
                        <w:rFonts w:ascii="Calibri"/>
                        <w:b/>
                        <w:sz w:val="16"/>
                      </w:rPr>
                      <w:t>0.6</w:t>
                    </w:r>
                  </w:p>
                  <w:p>
                    <w:pPr>
                      <w:spacing w:before="137"/>
                      <w:ind w:left="0" w:right="0" w:firstLine="0"/>
                      <w:jc w:val="left"/>
                      <w:rPr>
                        <w:rFonts w:ascii="Calibri"/>
                        <w:b/>
                        <w:sz w:val="16"/>
                      </w:rPr>
                    </w:pPr>
                    <w:r>
                      <w:rPr>
                        <w:rFonts w:ascii="Calibri"/>
                        <w:b/>
                        <w:sz w:val="16"/>
                      </w:rPr>
                      <w:t>0.4</w:t>
                    </w:r>
                  </w:p>
                  <w:p>
                    <w:pPr>
                      <w:spacing w:before="138"/>
                      <w:ind w:left="0" w:right="0" w:firstLine="0"/>
                      <w:jc w:val="left"/>
                      <w:rPr>
                        <w:rFonts w:ascii="Calibri"/>
                        <w:b/>
                        <w:sz w:val="16"/>
                      </w:rPr>
                    </w:pPr>
                    <w:r>
                      <w:rPr>
                        <w:rFonts w:ascii="Calibri"/>
                        <w:b/>
                        <w:sz w:val="16"/>
                      </w:rPr>
                      <w:t>0.2</w:t>
                    </w:r>
                  </w:p>
                  <w:p>
                    <w:pPr>
                      <w:spacing w:line="193" w:lineRule="exact" w:before="137"/>
                      <w:ind w:left="0" w:right="0" w:firstLine="0"/>
                      <w:jc w:val="left"/>
                      <w:rPr>
                        <w:rFonts w:ascii="Calibri"/>
                        <w:b/>
                        <w:sz w:val="16"/>
                      </w:rPr>
                    </w:pPr>
                    <w:r>
                      <w:rPr>
                        <w:rFonts w:ascii="Calibri"/>
                        <w:b/>
                        <w:sz w:val="16"/>
                      </w:rPr>
                      <w:t>0.0</w:t>
                    </w:r>
                  </w:p>
                </w:txbxContent>
              </v:textbox>
              <w10:wrap type="none"/>
            </v:shape>
            <v:shape style="position:absolute;left:5961;top:3294;width:884;height:163" type="#_x0000_t202" filled="false" stroked="false">
              <v:textbox inset="0,0,0,0">
                <w:txbxContent>
                  <w:p>
                    <w:pPr>
                      <w:spacing w:line="163" w:lineRule="exact" w:before="0"/>
                      <w:ind w:left="0" w:right="0" w:firstLine="0"/>
                      <w:jc w:val="left"/>
                      <w:rPr>
                        <w:rFonts w:ascii="Calibri"/>
                        <w:b/>
                        <w:sz w:val="16"/>
                      </w:rPr>
                    </w:pPr>
                    <w:r>
                      <w:rPr>
                        <w:rFonts w:ascii="Calibri"/>
                        <w:b/>
                        <w:sz w:val="16"/>
                      </w:rPr>
                      <w:t>Sectors With</w:t>
                    </w:r>
                  </w:p>
                </w:txbxContent>
              </v:textbox>
              <w10:wrap type="none"/>
            </v:shape>
            <v:shape style="position:absolute;left:7496;top:3294;width:2594;height:163" type="#_x0000_t202" filled="false" stroked="false">
              <v:textbox inset="0,0,0,0">
                <w:txbxContent>
                  <w:p>
                    <w:pPr>
                      <w:tabs>
                        <w:tab w:pos="1359" w:val="left" w:leader="none"/>
                      </w:tabs>
                      <w:spacing w:line="163" w:lineRule="exact" w:before="0"/>
                      <w:ind w:left="0" w:right="0" w:firstLine="0"/>
                      <w:jc w:val="left"/>
                      <w:rPr>
                        <w:rFonts w:ascii="Calibri"/>
                        <w:b/>
                        <w:sz w:val="16"/>
                      </w:rPr>
                    </w:pPr>
                    <w:r>
                      <w:rPr>
                        <w:rFonts w:ascii="Calibri"/>
                        <w:b/>
                        <w:sz w:val="16"/>
                      </w:rPr>
                      <w:t>Sectors</w:t>
                    </w:r>
                    <w:r>
                      <w:rPr>
                        <w:rFonts w:ascii="Calibri"/>
                        <w:b/>
                        <w:spacing w:val="3"/>
                        <w:sz w:val="16"/>
                      </w:rPr>
                      <w:t> </w:t>
                    </w:r>
                    <w:r>
                      <w:rPr>
                        <w:rFonts w:ascii="Calibri"/>
                        <w:b/>
                        <w:sz w:val="16"/>
                      </w:rPr>
                      <w:t>With</w:t>
                      <w:tab/>
                      <w:t>Sectors With</w:t>
                    </w:r>
                    <w:r>
                      <w:rPr>
                        <w:rFonts w:ascii="Calibri"/>
                        <w:b/>
                        <w:spacing w:val="10"/>
                        <w:sz w:val="16"/>
                      </w:rPr>
                      <w:t> </w:t>
                    </w:r>
                    <w:r>
                      <w:rPr>
                        <w:rFonts w:ascii="Calibri"/>
                        <w:b/>
                        <w:sz w:val="16"/>
                      </w:rPr>
                      <w:t>Very</w:t>
                    </w:r>
                  </w:p>
                </w:txbxContent>
              </v:textbox>
              <w10:wrap type="none"/>
            </v:shape>
            <v:shape style="position:absolute;left:5640;top:3493;width:4443;height:362" type="#_x0000_t202" filled="false" stroked="false">
              <v:textbox inset="0,0,0,0">
                <w:txbxContent>
                  <w:p>
                    <w:pPr>
                      <w:tabs>
                        <w:tab w:pos="3221" w:val="left" w:leader="none"/>
                      </w:tabs>
                      <w:spacing w:line="165" w:lineRule="exact" w:before="0"/>
                      <w:ind w:left="0" w:right="0" w:firstLine="0"/>
                      <w:jc w:val="left"/>
                      <w:rPr>
                        <w:rFonts w:ascii="Calibri"/>
                        <w:b/>
                        <w:sz w:val="16"/>
                      </w:rPr>
                    </w:pPr>
                    <w:r>
                      <w:rPr>
                        <w:rFonts w:ascii="Calibri"/>
                        <w:b/>
                        <w:sz w:val="16"/>
                      </w:rPr>
                      <w:t>Relatively Short Order  Relatively</w:t>
                    </w:r>
                    <w:r>
                      <w:rPr>
                        <w:rFonts w:ascii="Calibri"/>
                        <w:b/>
                        <w:spacing w:val="5"/>
                        <w:sz w:val="16"/>
                      </w:rPr>
                      <w:t> </w:t>
                    </w:r>
                    <w:r>
                      <w:rPr>
                        <w:rFonts w:ascii="Calibri"/>
                        <w:b/>
                        <w:sz w:val="16"/>
                      </w:rPr>
                      <w:t>Long</w:t>
                    </w:r>
                    <w:r>
                      <w:rPr>
                        <w:rFonts w:ascii="Calibri"/>
                        <w:b/>
                        <w:spacing w:val="5"/>
                        <w:sz w:val="16"/>
                      </w:rPr>
                      <w:t> </w:t>
                    </w:r>
                    <w:r>
                      <w:rPr>
                        <w:rFonts w:ascii="Calibri"/>
                        <w:b/>
                        <w:sz w:val="16"/>
                      </w:rPr>
                      <w:t>Order</w:t>
                      <w:tab/>
                      <w:t>Long Order</w:t>
                    </w:r>
                    <w:r>
                      <w:rPr>
                        <w:rFonts w:ascii="Calibri"/>
                        <w:b/>
                        <w:spacing w:val="14"/>
                        <w:sz w:val="16"/>
                      </w:rPr>
                      <w:t> </w:t>
                    </w:r>
                    <w:r>
                      <w:rPr>
                        <w:rFonts w:ascii="Calibri"/>
                        <w:b/>
                        <w:sz w:val="16"/>
                      </w:rPr>
                      <w:t>Books</w:t>
                    </w:r>
                  </w:p>
                  <w:p>
                    <w:pPr>
                      <w:tabs>
                        <w:tab w:pos="2081" w:val="left" w:leader="none"/>
                      </w:tabs>
                      <w:spacing w:line="193" w:lineRule="exact" w:before="3"/>
                      <w:ind w:left="546" w:right="0" w:firstLine="0"/>
                      <w:jc w:val="left"/>
                      <w:rPr>
                        <w:rFonts w:ascii="Calibri"/>
                        <w:b/>
                        <w:sz w:val="16"/>
                      </w:rPr>
                    </w:pPr>
                    <w:r>
                      <w:rPr>
                        <w:rFonts w:ascii="Calibri"/>
                        <w:b/>
                        <w:sz w:val="16"/>
                      </w:rPr>
                      <w:t>Books</w:t>
                      <w:tab/>
                      <w:t>Books</w:t>
                    </w:r>
                  </w:p>
                </w:txbxContent>
              </v:textbox>
              <w10:wrap type="none"/>
            </v:shape>
            <v:shape style="position:absolute;left:7726;top:1698;width:1541;height:164" type="#_x0000_t202" filled="false" stroked="false">
              <v:textbox inset="0,0,0,0">
                <w:txbxContent>
                  <w:p>
                    <w:pPr>
                      <w:spacing w:line="163" w:lineRule="exact" w:before="0"/>
                      <w:ind w:left="0" w:right="0" w:firstLine="0"/>
                      <w:jc w:val="left"/>
                      <w:rPr>
                        <w:rFonts w:ascii="Calibri"/>
                        <w:b/>
                        <w:sz w:val="16"/>
                      </w:rPr>
                    </w:pPr>
                    <w:r>
                      <w:rPr>
                        <w:rFonts w:ascii="Calibri"/>
                        <w:b/>
                        <w:sz w:val="16"/>
                      </w:rPr>
                      <w:t>Oct 2016 and Jan 2017</w:t>
                    </w:r>
                  </w:p>
                </w:txbxContent>
              </v:textbox>
              <w10:wrap type="none"/>
            </v:shape>
            <v:shape style="position:absolute;left:7726;top:1157;width:1607;height:164" type="#_x0000_t202" filled="false" stroked="false">
              <v:textbox inset="0,0,0,0">
                <w:txbxContent>
                  <w:p>
                    <w:pPr>
                      <w:spacing w:line="163" w:lineRule="exact" w:before="0"/>
                      <w:ind w:left="0" w:right="0" w:firstLine="0"/>
                      <w:jc w:val="left"/>
                      <w:rPr>
                        <w:rFonts w:ascii="Calibri"/>
                        <w:b/>
                        <w:sz w:val="16"/>
                      </w:rPr>
                    </w:pPr>
                    <w:r>
                      <w:rPr>
                        <w:rFonts w:ascii="Calibri"/>
                        <w:b/>
                        <w:sz w:val="16"/>
                      </w:rPr>
                      <w:t>4 Quarters to Mid-2016</w:t>
                    </w:r>
                  </w:p>
                </w:txbxContent>
              </v:textbox>
              <w10:wrap type="none"/>
            </v:shape>
            <v:shape style="position:absolute;left:5816;top:1035;width:173;height:163" type="#_x0000_t202" filled="false" stroked="false">
              <v:textbox inset="0,0,0,0">
                <w:txbxContent>
                  <w:p>
                    <w:pPr>
                      <w:spacing w:line="163" w:lineRule="exact" w:before="0"/>
                      <w:ind w:left="0" w:right="0" w:firstLine="0"/>
                      <w:jc w:val="left"/>
                      <w:rPr>
                        <w:rFonts w:ascii="Calibri"/>
                        <w:b/>
                        <w:sz w:val="16"/>
                      </w:rPr>
                    </w:pPr>
                    <w:r>
                      <w:rPr>
                        <w:rFonts w:ascii="Calibri"/>
                        <w:b/>
                        <w:sz w:val="16"/>
                      </w:rPr>
                      <w:t>sd</w:t>
                    </w:r>
                  </w:p>
                </w:txbxContent>
              </v:textbox>
              <w10:wrap type="none"/>
            </v:shape>
            <v:shape style="position:absolute;left:317;top:3647;width:4105;height:161" type="#_x0000_t202" filled="false" stroked="false">
              <v:textbox inset="0,0,0,0">
                <w:txbxContent>
                  <w:p>
                    <w:pPr>
                      <w:spacing w:line="161" w:lineRule="exact" w:before="0"/>
                      <w:ind w:left="0" w:right="0" w:firstLine="0"/>
                      <w:jc w:val="left"/>
                      <w:rPr>
                        <w:rFonts w:ascii="Calibri"/>
                        <w:b/>
                        <w:sz w:val="16"/>
                      </w:rPr>
                    </w:pPr>
                    <w:r>
                      <w:rPr>
                        <w:rFonts w:ascii="Calibri"/>
                        <w:b/>
                        <w:sz w:val="16"/>
                      </w:rPr>
                      <w:t>1998 2000 2002 2004 2006 2008 2010 2012 2014 2016</w:t>
                    </w:r>
                  </w:p>
                </w:txbxContent>
              </v:textbox>
              <w10:wrap type="none"/>
            </v:shape>
            <v:shape style="position:absolute;left:155;top:3438;width:143;height:161" type="#_x0000_t202" filled="false" stroked="false">
              <v:textbox inset="0,0,0,0">
                <w:txbxContent>
                  <w:p>
                    <w:pPr>
                      <w:spacing w:line="161" w:lineRule="exact" w:before="0"/>
                      <w:ind w:left="0" w:right="0" w:firstLine="0"/>
                      <w:jc w:val="left"/>
                      <w:rPr>
                        <w:rFonts w:ascii="Calibri"/>
                        <w:b/>
                        <w:sz w:val="16"/>
                      </w:rPr>
                    </w:pPr>
                    <w:r>
                      <w:rPr>
                        <w:rFonts w:ascii="Calibri"/>
                        <w:b/>
                        <w:sz w:val="16"/>
                      </w:rPr>
                      <w:t>-6</w:t>
                    </w:r>
                  </w:p>
                </w:txbxContent>
              </v:textbox>
              <w10:wrap type="none"/>
            </v:shape>
            <v:shape style="position:absolute;left:1079;top:2609;width:1370;height:801" type="#_x0000_t202" filled="false" stroked="false">
              <v:textbox inset="0,0,0,0">
                <w:txbxContent>
                  <w:p>
                    <w:pPr>
                      <w:spacing w:line="164" w:lineRule="exact" w:before="0"/>
                      <w:ind w:left="0" w:right="0" w:firstLine="0"/>
                      <w:jc w:val="left"/>
                      <w:rPr>
                        <w:rFonts w:ascii="Calibri"/>
                        <w:b/>
                        <w:sz w:val="16"/>
                      </w:rPr>
                    </w:pPr>
                    <w:r>
                      <w:rPr>
                        <w:rFonts w:ascii="Calibri"/>
                        <w:b/>
                        <w:sz w:val="16"/>
                      </w:rPr>
                      <w:t>Sectors With Above-</w:t>
                    </w:r>
                  </w:p>
                  <w:p>
                    <w:pPr>
                      <w:spacing w:before="0"/>
                      <w:ind w:left="0" w:right="0" w:firstLine="0"/>
                      <w:jc w:val="left"/>
                      <w:rPr>
                        <w:rFonts w:ascii="Calibri"/>
                        <w:b/>
                        <w:sz w:val="16"/>
                      </w:rPr>
                    </w:pPr>
                    <w:r>
                      <w:rPr>
                        <w:rFonts w:ascii="Calibri"/>
                        <w:b/>
                        <w:w w:val="95"/>
                        <w:sz w:val="16"/>
                      </w:rPr>
                      <w:t>Average Export</w:t>
                    </w:r>
                    <w:r>
                      <w:rPr>
                        <w:rFonts w:ascii="Calibri"/>
                        <w:b/>
                        <w:spacing w:val="-18"/>
                        <w:w w:val="95"/>
                        <w:sz w:val="16"/>
                      </w:rPr>
                      <w:t> </w:t>
                    </w:r>
                    <w:r>
                      <w:rPr>
                        <w:rFonts w:ascii="Calibri"/>
                        <w:b/>
                        <w:w w:val="95"/>
                        <w:sz w:val="16"/>
                      </w:rPr>
                      <w:t>Share</w:t>
                    </w:r>
                  </w:p>
                  <w:p>
                    <w:pPr>
                      <w:spacing w:before="52"/>
                      <w:ind w:left="0" w:right="2" w:firstLine="0"/>
                      <w:jc w:val="left"/>
                      <w:rPr>
                        <w:rFonts w:ascii="Calibri"/>
                        <w:b/>
                        <w:sz w:val="16"/>
                      </w:rPr>
                    </w:pPr>
                    <w:r>
                      <w:rPr>
                        <w:rFonts w:ascii="Calibri"/>
                        <w:b/>
                        <w:sz w:val="16"/>
                      </w:rPr>
                      <w:t>Sectors With Below- </w:t>
                    </w:r>
                    <w:r>
                      <w:rPr>
                        <w:rFonts w:ascii="Calibri"/>
                        <w:b/>
                        <w:w w:val="95"/>
                        <w:sz w:val="16"/>
                      </w:rPr>
                      <w:t>Average Export</w:t>
                    </w:r>
                    <w:r>
                      <w:rPr>
                        <w:rFonts w:ascii="Calibri"/>
                        <w:b/>
                        <w:spacing w:val="-9"/>
                        <w:w w:val="95"/>
                        <w:sz w:val="16"/>
                      </w:rPr>
                      <w:t> </w:t>
                    </w:r>
                    <w:r>
                      <w:rPr>
                        <w:rFonts w:ascii="Calibri"/>
                        <w:b/>
                        <w:spacing w:val="-4"/>
                        <w:w w:val="95"/>
                        <w:sz w:val="16"/>
                      </w:rPr>
                      <w:t>Share</w:t>
                    </w:r>
                  </w:p>
                </w:txbxContent>
              </v:textbox>
              <w10:wrap type="none"/>
            </v:shape>
            <v:shape style="position:absolute;left:155;top:1424;width:143;height:1840" type="#_x0000_t202" filled="false" stroked="false">
              <v:textbox inset="0,0,0,0">
                <w:txbxContent>
                  <w:p>
                    <w:pPr>
                      <w:spacing w:line="164" w:lineRule="exact" w:before="0"/>
                      <w:ind w:left="46" w:right="0" w:firstLine="0"/>
                      <w:jc w:val="left"/>
                      <w:rPr>
                        <w:rFonts w:ascii="Calibri"/>
                        <w:b/>
                        <w:sz w:val="16"/>
                      </w:rPr>
                    </w:pPr>
                    <w:r>
                      <w:rPr>
                        <w:rFonts w:ascii="Calibri"/>
                        <w:b/>
                        <w:w w:val="94"/>
                        <w:sz w:val="16"/>
                      </w:rPr>
                      <w:t>6</w:t>
                    </w:r>
                  </w:p>
                  <w:p>
                    <w:pPr>
                      <w:spacing w:before="140"/>
                      <w:ind w:left="46" w:right="0" w:firstLine="0"/>
                      <w:jc w:val="left"/>
                      <w:rPr>
                        <w:rFonts w:ascii="Calibri"/>
                        <w:b/>
                        <w:sz w:val="16"/>
                      </w:rPr>
                    </w:pPr>
                    <w:r>
                      <w:rPr>
                        <w:rFonts w:ascii="Calibri"/>
                        <w:b/>
                        <w:w w:val="94"/>
                        <w:sz w:val="16"/>
                      </w:rPr>
                      <w:t>4</w:t>
                    </w:r>
                  </w:p>
                  <w:p>
                    <w:pPr>
                      <w:spacing w:before="141"/>
                      <w:ind w:left="46" w:right="0" w:firstLine="0"/>
                      <w:jc w:val="left"/>
                      <w:rPr>
                        <w:rFonts w:ascii="Calibri"/>
                        <w:b/>
                        <w:sz w:val="16"/>
                      </w:rPr>
                    </w:pPr>
                    <w:r>
                      <w:rPr>
                        <w:rFonts w:ascii="Calibri"/>
                        <w:b/>
                        <w:w w:val="94"/>
                        <w:sz w:val="16"/>
                      </w:rPr>
                      <w:t>2</w:t>
                    </w:r>
                  </w:p>
                  <w:p>
                    <w:pPr>
                      <w:spacing w:before="140"/>
                      <w:ind w:left="46" w:right="0" w:firstLine="0"/>
                      <w:jc w:val="left"/>
                      <w:rPr>
                        <w:rFonts w:ascii="Calibri"/>
                        <w:b/>
                        <w:sz w:val="16"/>
                      </w:rPr>
                    </w:pPr>
                    <w:r>
                      <w:rPr>
                        <w:rFonts w:ascii="Calibri"/>
                        <w:b/>
                        <w:w w:val="94"/>
                        <w:sz w:val="16"/>
                      </w:rPr>
                      <w:t>0</w:t>
                    </w:r>
                  </w:p>
                  <w:p>
                    <w:pPr>
                      <w:spacing w:before="141"/>
                      <w:ind w:left="0" w:right="0" w:firstLine="0"/>
                      <w:jc w:val="left"/>
                      <w:rPr>
                        <w:rFonts w:ascii="Calibri"/>
                        <w:b/>
                        <w:sz w:val="16"/>
                      </w:rPr>
                    </w:pPr>
                    <w:r>
                      <w:rPr>
                        <w:rFonts w:ascii="Calibri"/>
                        <w:b/>
                        <w:sz w:val="16"/>
                      </w:rPr>
                      <w:t>-2</w:t>
                    </w:r>
                  </w:p>
                  <w:p>
                    <w:pPr>
                      <w:spacing w:line="193" w:lineRule="exact" w:before="140"/>
                      <w:ind w:left="0" w:right="0" w:firstLine="0"/>
                      <w:jc w:val="left"/>
                      <w:rPr>
                        <w:rFonts w:ascii="Calibri"/>
                        <w:b/>
                        <w:sz w:val="16"/>
                      </w:rPr>
                    </w:pPr>
                    <w:r>
                      <w:rPr>
                        <w:rFonts w:ascii="Calibri"/>
                        <w:b/>
                        <w:sz w:val="16"/>
                      </w:rPr>
                      <w:t>-4</w:t>
                    </w:r>
                  </w:p>
                </w:txbxContent>
              </v:textbox>
              <w10:wrap type="none"/>
            </v:shape>
            <v:shape style="position:absolute;left:441;top:1031;width:131;height:161" type="#_x0000_t202" filled="false" stroked="false">
              <v:textbox inset="0,0,0,0">
                <w:txbxContent>
                  <w:p>
                    <w:pPr>
                      <w:spacing w:line="161" w:lineRule="exact" w:before="0"/>
                      <w:ind w:left="0" w:right="0" w:firstLine="0"/>
                      <w:jc w:val="left"/>
                      <w:rPr>
                        <w:rFonts w:ascii="Calibri"/>
                        <w:b/>
                        <w:sz w:val="16"/>
                      </w:rPr>
                    </w:pPr>
                    <w:r>
                      <w:rPr>
                        <w:rFonts w:ascii="Calibri"/>
                        <w:b/>
                        <w:w w:val="94"/>
                        <w:sz w:val="16"/>
                      </w:rPr>
                      <w:t>%</w:t>
                    </w:r>
                  </w:p>
                </w:txbxContent>
              </v:textbox>
              <w10:wrap type="none"/>
            </v:shape>
            <v:shape style="position:absolute;left:201;top:1088;width:97;height:161" type="#_x0000_t202" filled="false" stroked="false">
              <v:textbox inset="0,0,0,0">
                <w:txbxContent>
                  <w:p>
                    <w:pPr>
                      <w:spacing w:line="161" w:lineRule="exact" w:before="0"/>
                      <w:ind w:left="0" w:right="0" w:firstLine="0"/>
                      <w:jc w:val="left"/>
                      <w:rPr>
                        <w:rFonts w:ascii="Calibri"/>
                        <w:b/>
                        <w:sz w:val="16"/>
                      </w:rPr>
                    </w:pPr>
                    <w:r>
                      <w:rPr>
                        <w:rFonts w:ascii="Calibri"/>
                        <w:b/>
                        <w:w w:val="94"/>
                        <w:sz w:val="16"/>
                      </w:rPr>
                      <w:t>8</w:t>
                    </w:r>
                  </w:p>
                </w:txbxContent>
              </v:textbox>
              <w10:wrap type="none"/>
            </v:shape>
            <v:shape style="position:absolute;left:125;top:752;width:173;height:161" type="#_x0000_t202" filled="false" stroked="false">
              <v:textbox inset="0,0,0,0">
                <w:txbxContent>
                  <w:p>
                    <w:pPr>
                      <w:spacing w:line="161" w:lineRule="exact" w:before="0"/>
                      <w:ind w:left="0" w:right="0" w:firstLine="0"/>
                      <w:jc w:val="left"/>
                      <w:rPr>
                        <w:rFonts w:ascii="Calibri"/>
                        <w:b/>
                        <w:sz w:val="16"/>
                      </w:rPr>
                    </w:pPr>
                    <w:r>
                      <w:rPr>
                        <w:rFonts w:ascii="Calibri"/>
                        <w:b/>
                        <w:sz w:val="16"/>
                      </w:rPr>
                      <w:t>10</w:t>
                    </w:r>
                  </w:p>
                </w:txbxContent>
              </v:textbox>
              <w10:wrap type="none"/>
            </v:shape>
            <v:shape style="position:absolute;left:5149;top:9;width:5197;height:692" type="#_x0000_t202" filled="false" stroked="false">
              <v:textbox inset="0,0,0,0">
                <w:txbxContent>
                  <w:p>
                    <w:pPr>
                      <w:spacing w:line="360" w:lineRule="auto" w:before="0"/>
                      <w:ind w:left="103" w:right="272" w:firstLine="0"/>
                      <w:jc w:val="left"/>
                      <w:rPr>
                        <w:sz w:val="20"/>
                      </w:rPr>
                    </w:pPr>
                    <w:r>
                      <w:rPr>
                        <w:sz w:val="20"/>
                      </w:rPr>
                      <w:t>Figure 15. Export Optimism (sd from 20-year average) Split By Normal Length of Order Books, 2016-17</w:t>
                    </w:r>
                  </w:p>
                </w:txbxContent>
              </v:textbox>
              <w10:wrap type="none"/>
            </v:shape>
            <v:shape style="position:absolute;left:9;top:9;width:5131;height:692" type="#_x0000_t202" filled="false" stroked="false">
              <v:textbox inset="0,0,0,0">
                <w:txbxContent>
                  <w:p>
                    <w:pPr>
                      <w:spacing w:line="360" w:lineRule="auto" w:before="0"/>
                      <w:ind w:left="103" w:right="186" w:firstLine="0"/>
                      <w:jc w:val="left"/>
                      <w:rPr>
                        <w:sz w:val="20"/>
                      </w:rPr>
                    </w:pPr>
                    <w:r>
                      <w:rPr>
                        <w:sz w:val="20"/>
                      </w:rPr>
                      <w:t>Figure 14. YoY Growth of Nominal Value Added, 1998 H1-2016 H2</w:t>
                    </w:r>
                  </w:p>
                </w:txbxContent>
              </v:textbox>
              <w10:wrap type="none"/>
            </v:shape>
          </v:group>
        </w:pict>
      </w:r>
      <w:r>
        <w:rPr/>
      </w:r>
    </w:p>
    <w:p>
      <w:pPr>
        <w:pStyle w:val="BodyText"/>
        <w:spacing w:line="197" w:lineRule="exact"/>
        <w:ind w:left="673"/>
      </w:pPr>
      <w:r>
        <w:rPr/>
        <w:t>Note: the left chart uses a 97-sector split of the economy, with sectors allocated according to whether the</w:t>
      </w:r>
    </w:p>
    <w:p>
      <w:pPr>
        <w:pStyle w:val="BodyText"/>
        <w:spacing w:line="360" w:lineRule="auto" w:before="115"/>
        <w:ind w:left="673" w:right="327"/>
      </w:pPr>
      <w:r>
        <w:rPr/>
        <w:t>share of exports in sectoral output is above or below average. The right chart uses a 21-sector split of manufacturing industry in the CBI Quarterly Industrial Trends survey. Sectors are split depending in whether the average length of order books over 2010-16 is below or above the average for all sectors. The sectors with very long order books are those for which at least 15% of firms on average have an order book equal to over 12 months of production: this covers aerospace, electrical engineering, motor vehicles and transport equipment. Sources: CBI and BoE.</w:t>
      </w:r>
    </w:p>
    <w:p>
      <w:pPr>
        <w:pStyle w:val="BodyText"/>
      </w:pPr>
    </w:p>
    <w:p>
      <w:pPr>
        <w:pStyle w:val="BodyText"/>
      </w:pPr>
    </w:p>
    <w:p>
      <w:pPr>
        <w:pStyle w:val="BodyText"/>
        <w:spacing w:before="4"/>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587"/>
        <w:gridCol w:w="443"/>
        <w:gridCol w:w="111"/>
        <w:gridCol w:w="4642"/>
        <w:gridCol w:w="456"/>
      </w:tblGrid>
      <w:tr>
        <w:trPr>
          <w:trHeight w:val="689" w:hRule="atLeast"/>
        </w:trPr>
        <w:tc>
          <w:tcPr>
            <w:tcW w:w="5141" w:type="dxa"/>
            <w:gridSpan w:val="3"/>
            <w:tcBorders>
              <w:bottom w:val="single" w:sz="6" w:space="0" w:color="000000"/>
            </w:tcBorders>
          </w:tcPr>
          <w:p>
            <w:pPr>
              <w:pStyle w:val="TableParagraph"/>
              <w:spacing w:line="227" w:lineRule="exact"/>
              <w:ind w:left="107"/>
              <w:rPr>
                <w:rFonts w:ascii="Arial"/>
                <w:sz w:val="20"/>
              </w:rPr>
            </w:pPr>
            <w:r>
              <w:rPr>
                <w:rFonts w:ascii="Arial"/>
                <w:sz w:val="20"/>
              </w:rPr>
              <w:t>Figure 16. Survey Guides to Business Investment,</w:t>
            </w:r>
          </w:p>
          <w:p>
            <w:pPr>
              <w:pStyle w:val="TableParagraph"/>
              <w:spacing w:before="115"/>
              <w:ind w:left="107"/>
              <w:rPr>
                <w:rFonts w:ascii="Arial"/>
                <w:sz w:val="20"/>
              </w:rPr>
            </w:pPr>
            <w:r>
              <w:rPr>
                <w:rFonts w:ascii="Arial"/>
                <w:sz w:val="20"/>
              </w:rPr>
              <w:t>2005-17</w:t>
            </w:r>
          </w:p>
        </w:tc>
        <w:tc>
          <w:tcPr>
            <w:tcW w:w="5209" w:type="dxa"/>
            <w:gridSpan w:val="3"/>
            <w:tcBorders>
              <w:bottom w:val="single" w:sz="6" w:space="0" w:color="000000"/>
            </w:tcBorders>
          </w:tcPr>
          <w:p>
            <w:pPr>
              <w:pStyle w:val="TableParagraph"/>
              <w:spacing w:line="227" w:lineRule="exact"/>
              <w:ind w:left="106"/>
              <w:rPr>
                <w:rFonts w:ascii="Arial"/>
                <w:sz w:val="20"/>
              </w:rPr>
            </w:pPr>
            <w:r>
              <w:rPr>
                <w:rFonts w:ascii="Arial"/>
                <w:sz w:val="20"/>
              </w:rPr>
              <w:t>Figure 17. Profits and Investment as Pct GDP, 1997-</w:t>
            </w:r>
          </w:p>
          <w:p>
            <w:pPr>
              <w:pStyle w:val="TableParagraph"/>
              <w:spacing w:before="115"/>
              <w:ind w:left="106"/>
              <w:rPr>
                <w:rFonts w:ascii="Arial"/>
                <w:sz w:val="20"/>
              </w:rPr>
            </w:pPr>
            <w:r>
              <w:rPr>
                <w:rFonts w:ascii="Arial"/>
                <w:sz w:val="20"/>
              </w:rPr>
              <w:t>2016</w:t>
            </w:r>
          </w:p>
        </w:tc>
      </w:tr>
      <w:tr>
        <w:trPr>
          <w:trHeight w:val="3192" w:hRule="atLeast"/>
        </w:trPr>
        <w:tc>
          <w:tcPr>
            <w:tcW w:w="111" w:type="dxa"/>
            <w:tcBorders>
              <w:bottom w:val="nil"/>
              <w:right w:val="single" w:sz="2" w:space="0" w:color="858585"/>
            </w:tcBorders>
          </w:tcPr>
          <w:p>
            <w:pPr>
              <w:pStyle w:val="TableParagraph"/>
              <w:rPr>
                <w:rFonts w:ascii="Times New Roman"/>
                <w:sz w:val="18"/>
              </w:rPr>
            </w:pPr>
          </w:p>
        </w:tc>
        <w:tc>
          <w:tcPr>
            <w:tcW w:w="4587" w:type="dxa"/>
            <w:tcBorders>
              <w:top w:val="single" w:sz="6" w:space="0" w:color="000000"/>
              <w:left w:val="single" w:sz="2" w:space="0" w:color="858585"/>
              <w:bottom w:val="single" w:sz="2" w:space="0" w:color="858585"/>
              <w:right w:val="single" w:sz="2" w:space="0" w:color="858585"/>
            </w:tcBorders>
          </w:tcPr>
          <w:p>
            <w:pPr>
              <w:pStyle w:val="TableParagraph"/>
              <w:spacing w:before="5"/>
              <w:ind w:left="57"/>
              <w:rPr>
                <w:b/>
                <w:sz w:val="16"/>
              </w:rPr>
            </w:pPr>
            <w:r>
              <w:rPr>
                <w:b/>
                <w:sz w:val="16"/>
              </w:rPr>
              <w:t>20</w:t>
            </w:r>
          </w:p>
          <w:p>
            <w:pPr>
              <w:pStyle w:val="TableParagraph"/>
              <w:tabs>
                <w:tab w:pos="472" w:val="left" w:leader="none"/>
                <w:tab w:pos="1583" w:val="left" w:leader="none"/>
              </w:tabs>
              <w:spacing w:line="364" w:lineRule="auto" w:before="35"/>
              <w:ind w:left="57" w:right="1137"/>
              <w:rPr>
                <w:b/>
                <w:sz w:val="16"/>
              </w:rPr>
            </w:pPr>
            <w:r>
              <w:rPr>
                <w:b/>
                <w:position w:val="-5"/>
                <w:sz w:val="16"/>
              </w:rPr>
              <w:t>15</w:t>
              <w:tab/>
            </w:r>
            <w:r>
              <w:rPr>
                <w:b/>
                <w:sz w:val="16"/>
              </w:rPr>
              <w:t>%</w:t>
              <w:tab/>
            </w:r>
            <w:r>
              <w:rPr>
                <w:b/>
                <w:w w:val="95"/>
                <w:position w:val="1"/>
                <w:sz w:val="16"/>
              </w:rPr>
              <w:t>ONS Business Investment</w:t>
            </w:r>
            <w:r>
              <w:rPr>
                <w:b/>
                <w:spacing w:val="-27"/>
                <w:w w:val="95"/>
                <w:position w:val="1"/>
                <w:sz w:val="16"/>
              </w:rPr>
              <w:t> </w:t>
            </w:r>
            <w:r>
              <w:rPr>
                <w:b/>
                <w:w w:val="95"/>
                <w:position w:val="1"/>
                <w:sz w:val="16"/>
              </w:rPr>
              <w:t>YoY</w:t>
            </w:r>
            <w:r>
              <w:rPr>
                <w:b/>
                <w:w w:val="95"/>
                <w:sz w:val="16"/>
              </w:rPr>
              <w:t> </w:t>
            </w:r>
            <w:r>
              <w:rPr>
                <w:b/>
                <w:sz w:val="16"/>
              </w:rPr>
              <w:t>10</w:t>
            </w:r>
          </w:p>
          <w:p>
            <w:pPr>
              <w:pStyle w:val="TableParagraph"/>
              <w:spacing w:before="1"/>
              <w:ind w:left="133"/>
              <w:rPr>
                <w:b/>
                <w:sz w:val="16"/>
              </w:rPr>
            </w:pPr>
            <w:r>
              <w:rPr>
                <w:b/>
                <w:w w:val="93"/>
                <w:sz w:val="16"/>
              </w:rPr>
              <w:t>5</w:t>
            </w:r>
          </w:p>
          <w:p>
            <w:pPr>
              <w:pStyle w:val="TableParagraph"/>
              <w:spacing w:before="103"/>
              <w:ind w:left="133"/>
              <w:rPr>
                <w:b/>
                <w:sz w:val="16"/>
              </w:rPr>
            </w:pPr>
            <w:r>
              <w:rPr>
                <w:b/>
                <w:w w:val="93"/>
                <w:sz w:val="16"/>
              </w:rPr>
              <w:t>0</w:t>
            </w:r>
          </w:p>
          <w:p>
            <w:pPr>
              <w:pStyle w:val="TableParagraph"/>
              <w:spacing w:before="103"/>
              <w:ind w:left="87"/>
              <w:rPr>
                <w:b/>
                <w:sz w:val="16"/>
              </w:rPr>
            </w:pPr>
            <w:r>
              <w:rPr>
                <w:b/>
                <w:sz w:val="16"/>
              </w:rPr>
              <w:t>-5</w:t>
            </w:r>
          </w:p>
          <w:p>
            <w:pPr>
              <w:pStyle w:val="TableParagraph"/>
              <w:tabs>
                <w:tab w:pos="2298" w:val="left" w:leader="none"/>
              </w:tabs>
              <w:spacing w:before="106"/>
              <w:ind w:left="11"/>
              <w:rPr>
                <w:b/>
                <w:sz w:val="16"/>
              </w:rPr>
            </w:pPr>
            <w:r>
              <w:rPr>
                <w:b/>
                <w:position w:val="1"/>
                <w:sz w:val="16"/>
              </w:rPr>
              <w:t>-10</w:t>
              <w:tab/>
            </w:r>
            <w:r>
              <w:rPr>
                <w:b/>
                <w:sz w:val="16"/>
              </w:rPr>
              <w:t>Range</w:t>
            </w:r>
            <w:r>
              <w:rPr>
                <w:b/>
                <w:spacing w:val="-4"/>
                <w:sz w:val="16"/>
              </w:rPr>
              <w:t> </w:t>
            </w:r>
            <w:r>
              <w:rPr>
                <w:b/>
                <w:sz w:val="16"/>
              </w:rPr>
              <w:t>of</w:t>
            </w:r>
          </w:p>
          <w:p>
            <w:pPr>
              <w:pStyle w:val="TableParagraph"/>
              <w:tabs>
                <w:tab w:pos="2298" w:val="left" w:leader="none"/>
              </w:tabs>
              <w:spacing w:before="1"/>
              <w:ind w:left="11"/>
              <w:rPr>
                <w:b/>
                <w:sz w:val="16"/>
              </w:rPr>
            </w:pPr>
            <w:r>
              <w:rPr>
                <w:b/>
                <w:position w:val="-8"/>
                <w:sz w:val="16"/>
              </w:rPr>
              <w:t>-15</w:t>
              <w:tab/>
            </w:r>
            <w:r>
              <w:rPr>
                <w:b/>
                <w:sz w:val="16"/>
              </w:rPr>
              <w:t>Investment</w:t>
            </w:r>
            <w:r>
              <w:rPr>
                <w:b/>
                <w:spacing w:val="-6"/>
                <w:sz w:val="16"/>
              </w:rPr>
              <w:t> </w:t>
            </w:r>
            <w:r>
              <w:rPr>
                <w:b/>
                <w:sz w:val="16"/>
              </w:rPr>
              <w:t>Guides</w:t>
            </w:r>
          </w:p>
          <w:p>
            <w:pPr>
              <w:pStyle w:val="TableParagraph"/>
              <w:spacing w:before="103"/>
              <w:ind w:left="11"/>
              <w:rPr>
                <w:b/>
                <w:sz w:val="16"/>
              </w:rPr>
            </w:pPr>
            <w:r>
              <w:rPr>
                <w:b/>
                <w:sz w:val="16"/>
              </w:rPr>
              <w:t>-20</w:t>
            </w:r>
          </w:p>
          <w:p>
            <w:pPr>
              <w:pStyle w:val="TableParagraph"/>
              <w:spacing w:before="103"/>
              <w:ind w:left="11"/>
              <w:rPr>
                <w:b/>
                <w:sz w:val="16"/>
              </w:rPr>
            </w:pPr>
            <w:r>
              <w:rPr>
                <w:b/>
                <w:sz w:val="16"/>
              </w:rPr>
              <w:t>-25</w:t>
            </w:r>
          </w:p>
          <w:p>
            <w:pPr>
              <w:pStyle w:val="TableParagraph"/>
              <w:tabs>
                <w:tab w:pos="886" w:val="left" w:leader="none"/>
                <w:tab w:pos="1535" w:val="left" w:leader="none"/>
                <w:tab w:pos="2184" w:val="left" w:leader="none"/>
                <w:tab w:pos="2834" w:val="left" w:leader="none"/>
                <w:tab w:pos="3483" w:val="left" w:leader="none"/>
                <w:tab w:pos="4132" w:val="left" w:leader="none"/>
              </w:tabs>
              <w:spacing w:before="13"/>
              <w:ind w:left="237"/>
              <w:rPr>
                <w:b/>
                <w:sz w:val="16"/>
              </w:rPr>
            </w:pPr>
            <w:r>
              <w:rPr>
                <w:b/>
                <w:sz w:val="16"/>
              </w:rPr>
              <w:t>2005</w:t>
              <w:tab/>
              <w:t>2007</w:t>
              <w:tab/>
              <w:t>2009</w:t>
              <w:tab/>
              <w:t>2011</w:t>
              <w:tab/>
              <w:t>2013</w:t>
              <w:tab/>
              <w:t>2015</w:t>
              <w:tab/>
              <w:t>2017</w:t>
            </w:r>
          </w:p>
        </w:tc>
        <w:tc>
          <w:tcPr>
            <w:tcW w:w="443" w:type="dxa"/>
            <w:vMerge w:val="restart"/>
            <w:tcBorders>
              <w:left w:val="single" w:sz="2" w:space="0" w:color="858585"/>
            </w:tcBorders>
          </w:tcPr>
          <w:p>
            <w:pPr>
              <w:pStyle w:val="TableParagraph"/>
              <w:rPr>
                <w:rFonts w:ascii="Times New Roman"/>
                <w:sz w:val="18"/>
              </w:rPr>
            </w:pPr>
          </w:p>
        </w:tc>
        <w:tc>
          <w:tcPr>
            <w:tcW w:w="111" w:type="dxa"/>
            <w:vMerge w:val="restart"/>
            <w:tcBorders>
              <w:right w:val="single" w:sz="2" w:space="0" w:color="858585"/>
            </w:tcBorders>
          </w:tcPr>
          <w:p>
            <w:pPr>
              <w:pStyle w:val="TableParagraph"/>
              <w:rPr>
                <w:rFonts w:ascii="Times New Roman"/>
                <w:sz w:val="18"/>
              </w:rPr>
            </w:pPr>
          </w:p>
        </w:tc>
        <w:tc>
          <w:tcPr>
            <w:tcW w:w="4642" w:type="dxa"/>
            <w:tcBorders>
              <w:top w:val="single" w:sz="6" w:space="0" w:color="000000"/>
              <w:left w:val="single" w:sz="2" w:space="0" w:color="858585"/>
              <w:bottom w:val="single" w:sz="2" w:space="0" w:color="858585"/>
              <w:right w:val="single" w:sz="2" w:space="0" w:color="858585"/>
            </w:tcBorders>
          </w:tcPr>
          <w:p>
            <w:pPr>
              <w:pStyle w:val="TableParagraph"/>
              <w:tabs>
                <w:tab w:pos="4464" w:val="left" w:leader="none"/>
              </w:tabs>
              <w:spacing w:line="164" w:lineRule="exact" w:before="5"/>
              <w:ind w:left="9"/>
              <w:rPr>
                <w:b/>
                <w:sz w:val="16"/>
              </w:rPr>
            </w:pPr>
            <w:r>
              <w:rPr>
                <w:b/>
                <w:sz w:val="16"/>
              </w:rPr>
              <w:t>23</w:t>
              <w:tab/>
              <w:t>12</w:t>
            </w:r>
          </w:p>
          <w:p>
            <w:pPr>
              <w:pStyle w:val="TableParagraph"/>
              <w:tabs>
                <w:tab w:pos="1479" w:val="left" w:leader="none"/>
                <w:tab w:pos="4021" w:val="left" w:leader="none"/>
              </w:tabs>
              <w:spacing w:line="134" w:lineRule="auto" w:before="5"/>
              <w:ind w:left="380"/>
              <w:rPr>
                <w:b/>
                <w:sz w:val="16"/>
              </w:rPr>
            </w:pPr>
            <w:r>
              <w:rPr>
                <w:b/>
                <w:position w:val="-6"/>
                <w:sz w:val="16"/>
              </w:rPr>
              <w:t>%</w:t>
              <w:tab/>
            </w:r>
            <w:r>
              <w:rPr>
                <w:b/>
                <w:sz w:val="16"/>
              </w:rPr>
              <w:t>Nonoil</w:t>
            </w:r>
            <w:r>
              <w:rPr>
                <w:b/>
                <w:spacing w:val="-14"/>
                <w:sz w:val="16"/>
              </w:rPr>
              <w:t> </w:t>
            </w:r>
            <w:r>
              <w:rPr>
                <w:b/>
                <w:sz w:val="16"/>
              </w:rPr>
              <w:t>Profits</w:t>
            </w:r>
            <w:r>
              <w:rPr>
                <w:b/>
                <w:spacing w:val="-14"/>
                <w:sz w:val="16"/>
              </w:rPr>
              <w:t> </w:t>
            </w:r>
            <w:r>
              <w:rPr>
                <w:b/>
                <w:sz w:val="16"/>
              </w:rPr>
              <w:t>as</w:t>
            </w:r>
            <w:r>
              <w:rPr>
                <w:b/>
                <w:spacing w:val="-14"/>
                <w:sz w:val="16"/>
              </w:rPr>
              <w:t> </w:t>
            </w:r>
            <w:r>
              <w:rPr>
                <w:b/>
                <w:sz w:val="16"/>
              </w:rPr>
              <w:t>Pct</w:t>
            </w:r>
            <w:r>
              <w:rPr>
                <w:b/>
                <w:spacing w:val="-13"/>
                <w:sz w:val="16"/>
              </w:rPr>
              <w:t> </w:t>
            </w:r>
            <w:r>
              <w:rPr>
                <w:b/>
                <w:sz w:val="16"/>
              </w:rPr>
              <w:t>GDP</w:t>
            </w:r>
            <w:r>
              <w:rPr>
                <w:b/>
                <w:spacing w:val="-14"/>
                <w:sz w:val="16"/>
              </w:rPr>
              <w:t> </w:t>
            </w:r>
            <w:r>
              <w:rPr>
                <w:b/>
                <w:sz w:val="16"/>
              </w:rPr>
              <w:t>(left)</w:t>
              <w:tab/>
            </w:r>
            <w:r>
              <w:rPr>
                <w:b/>
                <w:position w:val="-4"/>
                <w:sz w:val="16"/>
              </w:rPr>
              <w:t>%</w:t>
            </w:r>
          </w:p>
          <w:p>
            <w:pPr>
              <w:pStyle w:val="TableParagraph"/>
              <w:spacing w:line="123" w:lineRule="exact"/>
              <w:ind w:left="9"/>
              <w:rPr>
                <w:b/>
                <w:sz w:val="16"/>
              </w:rPr>
            </w:pPr>
            <w:r>
              <w:rPr>
                <w:b/>
                <w:sz w:val="16"/>
              </w:rPr>
              <w:t>22</w:t>
            </w:r>
          </w:p>
          <w:p>
            <w:pPr>
              <w:pStyle w:val="TableParagraph"/>
              <w:spacing w:line="122" w:lineRule="exact"/>
              <w:ind w:left="4464"/>
              <w:rPr>
                <w:b/>
                <w:sz w:val="16"/>
              </w:rPr>
            </w:pPr>
            <w:r>
              <w:rPr>
                <w:b/>
                <w:sz w:val="16"/>
              </w:rPr>
              <w:t>11</w:t>
            </w:r>
          </w:p>
          <w:p>
            <w:pPr>
              <w:pStyle w:val="TableParagraph"/>
              <w:tabs>
                <w:tab w:pos="1479" w:val="left" w:leader="none"/>
              </w:tabs>
              <w:spacing w:line="160" w:lineRule="auto"/>
              <w:ind w:left="9"/>
              <w:rPr>
                <w:b/>
                <w:sz w:val="16"/>
              </w:rPr>
            </w:pPr>
            <w:r>
              <w:rPr>
                <w:b/>
                <w:position w:val="-4"/>
                <w:sz w:val="16"/>
              </w:rPr>
              <w:t>21</w:t>
              <w:tab/>
            </w:r>
            <w:r>
              <w:rPr>
                <w:b/>
                <w:sz w:val="16"/>
              </w:rPr>
              <w:t>Investment</w:t>
            </w:r>
            <w:r>
              <w:rPr>
                <w:b/>
                <w:spacing w:val="-11"/>
                <w:sz w:val="16"/>
              </w:rPr>
              <w:t> </w:t>
            </w:r>
            <w:r>
              <w:rPr>
                <w:b/>
                <w:sz w:val="16"/>
              </w:rPr>
              <w:t>by</w:t>
            </w:r>
            <w:r>
              <w:rPr>
                <w:b/>
                <w:spacing w:val="-10"/>
                <w:sz w:val="16"/>
              </w:rPr>
              <w:t> </w:t>
            </w:r>
            <w:r>
              <w:rPr>
                <w:b/>
                <w:sz w:val="16"/>
              </w:rPr>
              <w:t>Non-Financial</w:t>
            </w:r>
            <w:r>
              <w:rPr>
                <w:b/>
                <w:spacing w:val="-10"/>
                <w:sz w:val="16"/>
              </w:rPr>
              <w:t> </w:t>
            </w:r>
            <w:r>
              <w:rPr>
                <w:b/>
                <w:sz w:val="16"/>
              </w:rPr>
              <w:t>Companies</w:t>
            </w:r>
            <w:r>
              <w:rPr>
                <w:b/>
                <w:spacing w:val="-11"/>
                <w:sz w:val="16"/>
              </w:rPr>
              <w:t> </w:t>
            </w:r>
            <w:r>
              <w:rPr>
                <w:b/>
                <w:sz w:val="16"/>
              </w:rPr>
              <w:t>as</w:t>
            </w:r>
          </w:p>
          <w:p>
            <w:pPr>
              <w:pStyle w:val="TableParagraph"/>
              <w:spacing w:line="157" w:lineRule="exact"/>
              <w:ind w:left="1480"/>
              <w:rPr>
                <w:b/>
                <w:sz w:val="16"/>
              </w:rPr>
            </w:pPr>
            <w:r>
              <w:rPr>
                <w:b/>
                <w:sz w:val="16"/>
              </w:rPr>
              <w:t>Pct GDP (right)</w:t>
            </w:r>
          </w:p>
          <w:p>
            <w:pPr>
              <w:pStyle w:val="TableParagraph"/>
              <w:tabs>
                <w:tab w:pos="4464" w:val="left" w:leader="none"/>
              </w:tabs>
              <w:spacing w:line="176" w:lineRule="exact"/>
              <w:ind w:left="9"/>
              <w:rPr>
                <w:b/>
                <w:sz w:val="16"/>
              </w:rPr>
            </w:pPr>
            <w:r>
              <w:rPr>
                <w:b/>
                <w:sz w:val="16"/>
              </w:rPr>
              <w:t>20</w:t>
              <w:tab/>
              <w:t>10</w:t>
            </w:r>
          </w:p>
          <w:p>
            <w:pPr>
              <w:pStyle w:val="TableParagraph"/>
              <w:spacing w:line="172" w:lineRule="exact" w:before="87"/>
              <w:ind w:left="9"/>
              <w:rPr>
                <w:b/>
                <w:sz w:val="16"/>
              </w:rPr>
            </w:pPr>
            <w:r>
              <w:rPr>
                <w:b/>
                <w:sz w:val="16"/>
              </w:rPr>
              <w:t>19</w:t>
            </w:r>
          </w:p>
          <w:p>
            <w:pPr>
              <w:pStyle w:val="TableParagraph"/>
              <w:spacing w:line="149" w:lineRule="exact"/>
              <w:ind w:left="4464"/>
              <w:rPr>
                <w:b/>
                <w:sz w:val="16"/>
              </w:rPr>
            </w:pPr>
            <w:r>
              <w:rPr>
                <w:b/>
                <w:w w:val="95"/>
                <w:sz w:val="16"/>
              </w:rPr>
              <w:t>9</w:t>
            </w:r>
          </w:p>
          <w:p>
            <w:pPr>
              <w:pStyle w:val="TableParagraph"/>
              <w:spacing w:line="172" w:lineRule="exact"/>
              <w:ind w:left="9"/>
              <w:rPr>
                <w:b/>
                <w:sz w:val="16"/>
              </w:rPr>
            </w:pPr>
            <w:r>
              <w:rPr>
                <w:b/>
                <w:sz w:val="16"/>
              </w:rPr>
              <w:t>18</w:t>
            </w:r>
          </w:p>
          <w:p>
            <w:pPr>
              <w:pStyle w:val="TableParagraph"/>
              <w:tabs>
                <w:tab w:pos="4464" w:val="left" w:leader="none"/>
              </w:tabs>
              <w:spacing w:before="103"/>
              <w:ind w:left="9"/>
              <w:rPr>
                <w:b/>
                <w:sz w:val="16"/>
              </w:rPr>
            </w:pPr>
            <w:r>
              <w:rPr>
                <w:b/>
                <w:sz w:val="16"/>
              </w:rPr>
              <w:t>17</w:t>
              <w:tab/>
              <w:t>8</w:t>
            </w:r>
          </w:p>
          <w:p>
            <w:pPr>
              <w:pStyle w:val="TableParagraph"/>
              <w:spacing w:line="172" w:lineRule="exact" w:before="103"/>
              <w:ind w:left="9"/>
              <w:rPr>
                <w:b/>
                <w:sz w:val="16"/>
              </w:rPr>
            </w:pPr>
            <w:r>
              <w:rPr>
                <w:b/>
                <w:sz w:val="16"/>
              </w:rPr>
              <w:t>16</w:t>
            </w:r>
          </w:p>
          <w:p>
            <w:pPr>
              <w:pStyle w:val="TableParagraph"/>
              <w:spacing w:line="149" w:lineRule="exact"/>
              <w:ind w:left="4464"/>
              <w:rPr>
                <w:b/>
                <w:sz w:val="16"/>
              </w:rPr>
            </w:pPr>
            <w:r>
              <w:rPr>
                <w:b/>
                <w:w w:val="95"/>
                <w:sz w:val="16"/>
              </w:rPr>
              <w:t>7</w:t>
            </w:r>
          </w:p>
          <w:p>
            <w:pPr>
              <w:pStyle w:val="TableParagraph"/>
              <w:spacing w:line="172" w:lineRule="exact"/>
              <w:ind w:left="9"/>
              <w:rPr>
                <w:b/>
                <w:sz w:val="16"/>
              </w:rPr>
            </w:pPr>
            <w:r>
              <w:rPr>
                <w:b/>
                <w:sz w:val="16"/>
              </w:rPr>
              <w:t>15</w:t>
            </w:r>
          </w:p>
          <w:p>
            <w:pPr>
              <w:pStyle w:val="TableParagraph"/>
              <w:tabs>
                <w:tab w:pos="4464" w:val="left" w:leader="none"/>
              </w:tabs>
              <w:spacing w:before="103"/>
              <w:ind w:left="9"/>
              <w:rPr>
                <w:b/>
                <w:sz w:val="16"/>
              </w:rPr>
            </w:pPr>
            <w:r>
              <w:rPr>
                <w:b/>
                <w:sz w:val="16"/>
              </w:rPr>
              <w:t>14</w:t>
              <w:tab/>
              <w:t>6</w:t>
            </w:r>
          </w:p>
          <w:p>
            <w:pPr>
              <w:pStyle w:val="TableParagraph"/>
              <w:spacing w:before="14"/>
              <w:ind w:left="175"/>
              <w:rPr>
                <w:b/>
                <w:sz w:val="16"/>
              </w:rPr>
            </w:pPr>
            <w:r>
              <w:rPr>
                <w:b/>
                <w:sz w:val="16"/>
              </w:rPr>
              <w:t>1997 1999 2001 2003 2005 2007 2009 2011 2013 2015</w:t>
            </w:r>
          </w:p>
        </w:tc>
        <w:tc>
          <w:tcPr>
            <w:tcW w:w="456" w:type="dxa"/>
            <w:vMerge w:val="restart"/>
            <w:tcBorders>
              <w:left w:val="single" w:sz="2" w:space="0" w:color="858585"/>
            </w:tcBorders>
          </w:tcPr>
          <w:p>
            <w:pPr>
              <w:pStyle w:val="TableParagraph"/>
              <w:rPr>
                <w:rFonts w:ascii="Times New Roman"/>
                <w:sz w:val="18"/>
              </w:rPr>
            </w:pPr>
          </w:p>
        </w:tc>
      </w:tr>
      <w:tr>
        <w:trPr>
          <w:trHeight w:val="117" w:hRule="atLeast"/>
        </w:trPr>
        <w:tc>
          <w:tcPr>
            <w:tcW w:w="111" w:type="dxa"/>
            <w:tcBorders>
              <w:top w:val="nil"/>
              <w:right w:val="nil"/>
            </w:tcBorders>
          </w:tcPr>
          <w:p>
            <w:pPr>
              <w:pStyle w:val="TableParagraph"/>
              <w:rPr>
                <w:rFonts w:ascii="Times New Roman"/>
                <w:sz w:val="6"/>
              </w:rPr>
            </w:pPr>
          </w:p>
        </w:tc>
        <w:tc>
          <w:tcPr>
            <w:tcW w:w="4587" w:type="dxa"/>
            <w:tcBorders>
              <w:top w:val="single" w:sz="2" w:space="0" w:color="858585"/>
              <w:left w:val="nil"/>
              <w:right w:val="nil"/>
            </w:tcBorders>
          </w:tcPr>
          <w:p>
            <w:pPr>
              <w:pStyle w:val="TableParagraph"/>
              <w:rPr>
                <w:rFonts w:ascii="Times New Roman"/>
                <w:sz w:val="6"/>
              </w:rPr>
            </w:pPr>
          </w:p>
        </w:tc>
        <w:tc>
          <w:tcPr>
            <w:tcW w:w="443" w:type="dxa"/>
            <w:vMerge/>
            <w:tcBorders>
              <w:top w:val="nil"/>
              <w:left w:val="single" w:sz="2" w:space="0" w:color="858585"/>
            </w:tcBorders>
          </w:tcPr>
          <w:p>
            <w:pPr>
              <w:rPr>
                <w:sz w:val="2"/>
                <w:szCs w:val="2"/>
              </w:rPr>
            </w:pPr>
          </w:p>
        </w:tc>
        <w:tc>
          <w:tcPr>
            <w:tcW w:w="111" w:type="dxa"/>
            <w:vMerge/>
            <w:tcBorders>
              <w:top w:val="nil"/>
              <w:right w:val="single" w:sz="2" w:space="0" w:color="858585"/>
            </w:tcBorders>
          </w:tcPr>
          <w:p>
            <w:pPr>
              <w:rPr>
                <w:sz w:val="2"/>
                <w:szCs w:val="2"/>
              </w:rPr>
            </w:pPr>
          </w:p>
        </w:tc>
        <w:tc>
          <w:tcPr>
            <w:tcW w:w="4642" w:type="dxa"/>
            <w:tcBorders>
              <w:top w:val="single" w:sz="2" w:space="0" w:color="858585"/>
              <w:left w:val="nil"/>
              <w:right w:val="nil"/>
            </w:tcBorders>
          </w:tcPr>
          <w:p>
            <w:pPr>
              <w:pStyle w:val="TableParagraph"/>
              <w:rPr>
                <w:rFonts w:ascii="Times New Roman"/>
                <w:sz w:val="6"/>
              </w:rPr>
            </w:pPr>
          </w:p>
        </w:tc>
        <w:tc>
          <w:tcPr>
            <w:tcW w:w="456" w:type="dxa"/>
            <w:vMerge/>
            <w:tcBorders>
              <w:top w:val="nil"/>
              <w:left w:val="single" w:sz="2" w:space="0" w:color="858585"/>
            </w:tcBorders>
          </w:tcPr>
          <w:p>
            <w:pPr>
              <w:rPr>
                <w:sz w:val="2"/>
                <w:szCs w:val="2"/>
              </w:rPr>
            </w:pPr>
          </w:p>
        </w:tc>
      </w:tr>
    </w:tbl>
    <w:p>
      <w:pPr>
        <w:pStyle w:val="BodyText"/>
        <w:spacing w:line="227" w:lineRule="exact"/>
        <w:ind w:left="673"/>
      </w:pPr>
      <w:r>
        <w:rPr/>
        <w:pict>
          <v:group style="position:absolute;margin-left:48.840427pt;margin-top:-161.028015pt;width:201.3pt;height:134.550pt;mso-position-horizontal-relative:page;mso-position-vertical-relative:paragraph;z-index:-253745152" coordorigin="977,-3221" coordsize="4026,2691">
            <v:rect style="position:absolute;left:1024;top:-3219;width:3977;height:2686" filled="false" stroked="true" strokeweight=".235749pt" strokecolor="#000000">
              <v:stroke dashstyle="solid"/>
            </v:rect>
            <v:shape style="position:absolute;left:1064;top:-2940;width:3895;height:2364" coordorigin="1065,-2940" coordsize="3895,2364" path="m2247,-1777l2119,-1777,2201,-1222,2282,-576,2363,-615,2444,-769,2514,-965,2363,-965,2282,-1565,2247,-1777xm2525,-1976l2444,-1329,2363,-965,2514,-965,2525,-996,2606,-1562,2704,-1562,2769,-1812,2992,-1812,3012,-1837,3093,-1884,3300,-1884,3337,-1955,3644,-1955,3647,-1965,2606,-1965,2525,-1976xm2704,-1562l2606,-1562,2687,-1497,2704,-1562xm2167,-2220l1957,-2220,2038,-1641,2119,-1777,2247,-1777,2201,-2065,2167,-2220xm3614,-1835l3499,-1835,3580,-1698,3614,-1835xm2992,-1812l2769,-1812,2850,-1743,2931,-1735,2992,-1812xm3644,-1955l3337,-1955,3418,-1785,3499,-1835,3614,-1835,3644,-1955xm3300,-1884l3093,-1884,3174,-1792,3255,-1799,3300,-1884xm1065,-2450l1065,-2090,1146,-1811,1227,-1939,1308,-1968,1389,-2098,1470,-2160,1552,-2171,1574,-2203,1227,-2203,1146,-2394,1065,-2450xm4959,-2108l4472,-2108,4554,-2015,4635,-1890,4716,-1865,4797,-1812,4878,-1844,4959,-1997,4959,-2108xm2769,-2888l2687,-2700,2606,-1965,3647,-1965,3661,-2023,3742,-2091,3823,-2108,3904,-2223,3929,-2265,2850,-2265,2769,-2888xm4782,-2400l4067,-2400,4148,-2345,4229,-2227,4310,-2159,4391,-2084,4472,-2108,4959,-2108,4959,-2354,4797,-2354,4782,-2400xm2156,-2270l1795,-2270,1876,-2166,1957,-2220,2167,-2220,2156,-2270xm1389,-2507l1308,-2211,1227,-2203,1574,-2203,1633,-2290,2152,-2290,2135,-2368,1470,-2368,1389,-2507xm2152,-2290l1633,-2290,1714,-2245,1795,-2270,2156,-2270,2152,-2290xm3012,-2665l2850,-2265,3742,-2265,3702,-2340,3580,-2340,3548,-2390,3255,-2390,3174,-2540,3093,-2540,3012,-2665xm3986,-2940l3904,-2869,3823,-2705,3742,-2265,3929,-2265,3986,-2364,4067,-2400,4782,-2400,4772,-2433,4472,-2433,4391,-2483,4310,-2523,4302,-2534,4148,-2534,4067,-2790,3986,-2940xm3661,-2415l3580,-2340,3702,-2340,3661,-2415xm4959,-2564l4878,-2386,4797,-2354,4959,-2354,4959,-2564xm1795,-2809l1714,-2731,1633,-2627,1552,-2553,1470,-2368,2135,-2368,2119,-2440,2065,-2490,1957,-2490,1876,-2790,1795,-2809xm3337,-2540l3255,-2390,3548,-2390,3499,-2465,3418,-2465,3337,-2540xm4635,-2656l4554,-2585,4472,-2433,4772,-2433,4716,-2610,4635,-2656xm2038,-2515l1957,-2490,2065,-2490,2038,-2515xm4229,-2636l4148,-2534,4302,-2534,4229,-2636xe" filled="true" fillcolor="#66ccff" stroked="false">
              <v:path arrowok="t"/>
              <v:fill type="solid"/>
            </v:shape>
            <v:shape style="position:absolute;left:964;top:-5969;width:12862;height:8038" coordorigin="965,-5968" coordsize="12862,8038" path="m1024,-533l1024,-3218m977,-533l1024,-533m977,-831l1024,-831m977,-1129l1024,-1129m977,-1428l1024,-1428m977,-1727l1024,-1727m977,-2025l1024,-2025m977,-2323l1024,-2323m977,-2622l1024,-2622m977,-2920l1024,-2920m977,-3218l1024,-3218m1024,-2025l5000,-2025e" filled="false" stroked="true" strokeweight=".232889pt" strokecolor="#858585">
              <v:path arrowok="t"/>
              <v:stroke dashstyle="solid"/>
            </v:shape>
            <v:shape style="position:absolute;left:1246;top:-5293;width:12190;height:6327" coordorigin="1247,-5293" coordsize="12190,6327" path="m1065,-1464l1146,-2531,1227,-2560,1308,-2360,1389,-2171,1470,-1941,1552,-2372,1633,-2612,1714,-2774,1795,-2804,1876,-2176,1957,-2570,2038,-2291,2120,-2036,2201,-2134,2282,-1411,2363,-1150,2444,-879,2525,-1005,2606,-1263,2687,-1964,2769,-2280,2850,-2551,2931,-2764,3012,-2206,3093,-2322,3174,-2292,3256,-2306,3337,-2681,3418,-2482,3499,-2256,3580,-2416,3661,-2057,3742,-2109,3823,-2363,3904,-2188,3986,-2127,4067,-2499,4148,-2200,4229,-2204,4310,-2589,4392,-2204,4473,-2403,4554,-2138,4635,-1915,4716,-1963,4797,-1889,4878,-1969m2126,-2992l2246,-2992e" filled="false" stroked="true" strokeweight=".970369pt" strokecolor="#3333ff">
              <v:path arrowok="t"/>
              <v:stroke dashstyle="solid"/>
            </v:shape>
            <v:shape style="position:absolute;left:3245;top:-1959;width:49;height:467" coordorigin="3246,-1958" coordsize="49,467" path="m3270,-1949l3268,-1945,3268,-1492,3273,-1492,3273,-1945,3270,-1949xm3270,-1958l3246,-1914,3246,-1912,3248,-1911,3250,-1911,3268,-1945,3268,-1954,3273,-1954,3270,-1958xm3273,-1954l3273,-1954,3273,-1945,3291,-1911,3292,-1911,3294,-1912,3295,-1914,3273,-1954xm3273,-1954l3268,-1954,3268,-1945,3270,-1949,3268,-1952,3273,-1952,3273,-1954xm3273,-1952l3272,-1952,3270,-1949,3273,-1945,3273,-1952xm3272,-1952l3268,-1952,3270,-1949,3272,-1952xe" filled="true" fillcolor="#497dba" stroked="false">
              <v:path arrowok="t"/>
              <v:fill type="solid"/>
            </v:shape>
            <w10:wrap type="none"/>
          </v:group>
        </w:pict>
      </w:r>
      <w:r>
        <w:rPr/>
        <w:pict>
          <v:group style="position:absolute;margin-left:303.620453pt;margin-top:-161.009171pt;width:205.75pt;height:134.5pt;mso-position-horizontal-relative:page;mso-position-vertical-relative:paragraph;z-index:-253744128" coordorigin="6072,-3220" coordsize="4115,2690">
            <v:rect style="position:absolute;left:6121;top:-3218;width:4019;height:2685" filled="false" stroked="true" strokeweight=".236854pt" strokecolor="#000000">
              <v:stroke dashstyle="solid"/>
            </v:rect>
            <v:shape style="position:absolute;left:816;top:-5959;width:12994;height:8028" coordorigin="816,-5959" coordsize="12994,8028" path="m10139,-533l10139,-3218m10139,-533l10187,-533m10139,-980l10187,-980m10139,-1428l10187,-1428m10139,-1875l10187,-1875m10139,-2323l10187,-2323m10139,-2771l10187,-2771m10139,-3218l10187,-3218m6121,-533l6121,-3218m6072,-533l6121,-533m6072,-831l6121,-831m6072,-1129l6121,-1129m6072,-1428l6121,-1428m6072,-1726l6121,-1726m6072,-2024l6121,-2024m6072,-2323l6121,-2323m6072,-2621l6121,-2621m6072,-2920l6121,-2920m6072,-3218l6121,-3218m6121,-533l10139,-533e" filled="false" stroked="true" strokeweight=".234406pt" strokecolor="#858585">
              <v:path arrowok="t"/>
              <v:stroke dashstyle="solid"/>
            </v:shape>
            <v:shape style="position:absolute;left:6145;top:-2880;width:3919;height:2254" coordorigin="6146,-2879" coordsize="3919,2254" path="m6146,-2863l6195,-2285,6245,-2879,6295,-2632,6344,-2487,6394,-2477,6444,-1928,6493,-2399,6542,-2684,6592,-2062,6642,-1832,6691,-1846,6741,-2159,6790,-1964,6840,-1590,6890,-1495,6939,-1187,6989,-1102,7039,-1779,7088,-1277,7138,-1714,7188,-1407,7237,-1483,7287,-1612,7336,-1695,7386,-1438,7436,-1712,7485,-1698,7534,-1699,7584,-1780,7634,-1676,7683,-1328,7733,-1622,7783,-1599,7832,-1703,7882,-1589,7932,-1750,7981,-1476,8031,-1400,8080,-1314,8130,-1553,8180,-1590,8229,-1500,8278,-1330,8329,-1558,8378,-1598,8427,-1689,8478,-1346,8527,-1289,8576,-626,8626,-1214,8676,-838,8725,-1008,8775,-1276,8824,-1187,8874,-1584,8924,-1626,8973,-1228,9022,-1128,9073,-1281,9122,-1008,9171,-984,9222,-1294,9271,-1370,9320,-1740,9370,-1093,9420,-1421,9469,-1238,9519,-1512,9568,-1659,9618,-2037,9668,-1657,9717,-1598,9767,-1708,9817,-1757,9866,-1839,9915,-1801,9966,-1919,10015,-1972,10064,-2164e" filled="false" stroked="true" strokeweight=".990096pt" strokecolor="#0033cc">
              <v:path arrowok="t"/>
              <v:stroke dashstyle="solid"/>
            </v:shape>
            <v:shape style="position:absolute;left:6145;top:-2979;width:3919;height:1927" coordorigin="6146,-2979" coordsize="3919,1927" path="m6146,-2475l6195,-2731,6245,-2744,6295,-2810,6344,-2815,6394,-2838,6444,-2895,6493,-2813,6542,-2879,6592,-2786,6642,-2950,6691,-2576,6741,-2677,6790,-2979,6840,-2577,6890,-2735,6939,-2477,6989,-2485,7039,-2424,7088,-2106,7138,-2099,7188,-2288,7237,-2416,7287,-2179,7336,-2122,7386,-2031,7436,-1895,7485,-1899,7534,-2187,7584,-1580,7634,-1516,7683,-1310,7733,-1444,7783,-1617,7832,-1775,7882,-1622,7932,-1553,7981,-1606,8031,-1806,8080,-1830,8130,-1753,8180,-1886,8229,-1716,8278,-1939,8329,-1643,8378,-1781,8427,-1706,8478,-1491,8527,-1237,8576,-1123,8626,-1106,8676,-1053,8725,-1079,8775,-1053,8824,-1276,8874,-1309,8924,-1059,8973,-1191,9022,-1384,9073,-1468,9122,-1476,9171,-1440,9222,-1399,9271,-1510,9320,-1407,9370,-1492,9420,-1585,9469,-1659,9519,-1430,9568,-1611,9618,-1521,9668,-1598,9717,-1641,9767,-1654,9817,-1717,9866,-1579,9915,-1488,9966,-1533,10015,-1541,10064,-1471e" filled="false" stroked="true" strokeweight=".992972pt" strokecolor="#ff00ff">
              <v:path arrowok="t"/>
              <v:stroke dashstyle="solid"/>
            </v:shape>
            <v:line style="position:absolute" from="7162,-3086" to="7284,-3086" stroked="true" strokeweight="1.003349pt" strokecolor="#0033cc">
              <v:stroke dashstyle="solid"/>
            </v:line>
            <v:line style="position:absolute" from="7162,-2676" to="7284,-2676" stroked="true" strokeweight="1.003349pt" strokecolor="#ff00ff">
              <v:stroke dashstyle="solid"/>
            </v:line>
            <w10:wrap type="none"/>
          </v:group>
        </w:pict>
      </w:r>
      <w:r>
        <w:rPr/>
        <w:t>Sources: EEF, CIPS, BCC, ONS, CBI and BoE.</w:t>
      </w:r>
    </w:p>
    <w:p>
      <w:pPr>
        <w:spacing w:after="0" w:line="227" w:lineRule="exact"/>
        <w:sectPr>
          <w:pgSz w:w="11910" w:h="16840"/>
          <w:pgMar w:header="0" w:footer="1338" w:top="1580" w:bottom="1520" w:left="460" w:right="88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4915"/>
        <w:gridCol w:w="113"/>
        <w:gridCol w:w="110"/>
        <w:gridCol w:w="4975"/>
        <w:gridCol w:w="121"/>
      </w:tblGrid>
      <w:tr>
        <w:trPr>
          <w:trHeight w:val="686" w:hRule="atLeast"/>
        </w:trPr>
        <w:tc>
          <w:tcPr>
            <w:tcW w:w="5139" w:type="dxa"/>
            <w:gridSpan w:val="3"/>
            <w:tcBorders>
              <w:bottom w:val="single" w:sz="8" w:space="0" w:color="000000"/>
            </w:tcBorders>
          </w:tcPr>
          <w:p>
            <w:pPr>
              <w:pStyle w:val="TableParagraph"/>
              <w:spacing w:line="227" w:lineRule="exact"/>
              <w:ind w:left="107"/>
              <w:rPr>
                <w:rFonts w:ascii="Arial"/>
                <w:sz w:val="20"/>
              </w:rPr>
            </w:pPr>
            <w:r>
              <w:rPr>
                <w:rFonts w:ascii="Arial"/>
                <w:sz w:val="20"/>
              </w:rPr>
              <w:t>Figure 18. YoY Growth of Real GDP and Total Hours</w:t>
            </w:r>
          </w:p>
          <w:p>
            <w:pPr>
              <w:pStyle w:val="TableParagraph"/>
              <w:spacing w:before="113"/>
              <w:ind w:left="107"/>
              <w:rPr>
                <w:rFonts w:ascii="Arial"/>
                <w:sz w:val="20"/>
              </w:rPr>
            </w:pPr>
            <w:r>
              <w:rPr>
                <w:rFonts w:ascii="Arial"/>
                <w:sz w:val="20"/>
              </w:rPr>
              <w:t>Worked, 2000-2017</w:t>
            </w:r>
          </w:p>
        </w:tc>
        <w:tc>
          <w:tcPr>
            <w:tcW w:w="5206" w:type="dxa"/>
            <w:gridSpan w:val="3"/>
            <w:tcBorders>
              <w:bottom w:val="single" w:sz="8" w:space="0" w:color="000000"/>
            </w:tcBorders>
          </w:tcPr>
          <w:p>
            <w:pPr>
              <w:pStyle w:val="TableParagraph"/>
              <w:spacing w:line="227" w:lineRule="exact"/>
              <w:ind w:left="108"/>
              <w:rPr>
                <w:rFonts w:ascii="Arial"/>
                <w:sz w:val="20"/>
              </w:rPr>
            </w:pPr>
            <w:r>
              <w:rPr>
                <w:rFonts w:ascii="Arial"/>
                <w:sz w:val="20"/>
              </w:rPr>
              <w:t>Figure 19. BoE Agents Survey Readings for Activity and</w:t>
            </w:r>
          </w:p>
          <w:p>
            <w:pPr>
              <w:pStyle w:val="TableParagraph"/>
              <w:spacing w:before="113"/>
              <w:ind w:left="108"/>
              <w:rPr>
                <w:rFonts w:ascii="Arial"/>
                <w:sz w:val="20"/>
              </w:rPr>
            </w:pPr>
            <w:r>
              <w:rPr>
                <w:rFonts w:ascii="Arial"/>
                <w:sz w:val="20"/>
              </w:rPr>
              <w:t>Hiring, 2010-2017</w:t>
            </w:r>
          </w:p>
        </w:tc>
      </w:tr>
      <w:tr>
        <w:trPr>
          <w:trHeight w:val="3315" w:hRule="atLeast"/>
        </w:trPr>
        <w:tc>
          <w:tcPr>
            <w:tcW w:w="111" w:type="dxa"/>
            <w:tcBorders>
              <w:bottom w:val="nil"/>
              <w:right w:val="single" w:sz="2" w:space="0" w:color="858585"/>
            </w:tcBorders>
          </w:tcPr>
          <w:p>
            <w:pPr>
              <w:pStyle w:val="TableParagraph"/>
              <w:rPr>
                <w:rFonts w:ascii="Times New Roman"/>
                <w:sz w:val="18"/>
              </w:rPr>
            </w:pPr>
          </w:p>
        </w:tc>
        <w:tc>
          <w:tcPr>
            <w:tcW w:w="4915" w:type="dxa"/>
            <w:tcBorders>
              <w:top w:val="single" w:sz="8" w:space="0" w:color="000000"/>
              <w:left w:val="single" w:sz="2" w:space="0" w:color="858585"/>
              <w:bottom w:val="single" w:sz="2" w:space="0" w:color="858585"/>
              <w:right w:val="single" w:sz="2" w:space="0" w:color="858585"/>
            </w:tcBorders>
          </w:tcPr>
          <w:p>
            <w:pPr>
              <w:pStyle w:val="TableParagraph"/>
              <w:spacing w:before="17"/>
              <w:ind w:left="61"/>
              <w:rPr>
                <w:b/>
                <w:sz w:val="16"/>
              </w:rPr>
            </w:pPr>
            <w:r>
              <w:rPr>
                <w:b/>
                <w:w w:val="100"/>
                <w:sz w:val="16"/>
              </w:rPr>
              <w:t>6</w:t>
            </w:r>
          </w:p>
          <w:p>
            <w:pPr>
              <w:pStyle w:val="TableParagraph"/>
              <w:spacing w:line="188" w:lineRule="exact" w:before="22"/>
              <w:ind w:left="496"/>
              <w:rPr>
                <w:b/>
                <w:sz w:val="16"/>
              </w:rPr>
            </w:pPr>
            <w:r>
              <w:rPr>
                <w:b/>
                <w:w w:val="100"/>
                <w:sz w:val="16"/>
              </w:rPr>
              <w:t>%</w:t>
            </w:r>
          </w:p>
          <w:p>
            <w:pPr>
              <w:pStyle w:val="TableParagraph"/>
              <w:spacing w:line="188" w:lineRule="exact"/>
              <w:ind w:left="61"/>
              <w:rPr>
                <w:b/>
                <w:sz w:val="16"/>
              </w:rPr>
            </w:pPr>
            <w:r>
              <w:rPr>
                <w:b/>
                <w:w w:val="100"/>
                <w:sz w:val="16"/>
              </w:rPr>
              <w:t>4</w:t>
            </w:r>
          </w:p>
          <w:p>
            <w:pPr>
              <w:pStyle w:val="TableParagraph"/>
              <w:spacing w:before="8"/>
              <w:rPr>
                <w:rFonts w:ascii="Arial"/>
                <w:sz w:val="17"/>
              </w:rPr>
            </w:pPr>
          </w:p>
          <w:p>
            <w:pPr>
              <w:pStyle w:val="TableParagraph"/>
              <w:ind w:left="61"/>
              <w:rPr>
                <w:b/>
                <w:sz w:val="16"/>
              </w:rPr>
            </w:pPr>
            <w:r>
              <w:rPr>
                <w:b/>
                <w:w w:val="100"/>
                <w:sz w:val="16"/>
              </w:rPr>
              <w:t>2</w:t>
            </w:r>
          </w:p>
          <w:p>
            <w:pPr>
              <w:pStyle w:val="TableParagraph"/>
              <w:spacing w:before="8"/>
              <w:rPr>
                <w:rFonts w:ascii="Arial"/>
                <w:sz w:val="17"/>
              </w:rPr>
            </w:pPr>
          </w:p>
          <w:p>
            <w:pPr>
              <w:pStyle w:val="TableParagraph"/>
              <w:ind w:left="61"/>
              <w:rPr>
                <w:b/>
                <w:sz w:val="16"/>
              </w:rPr>
            </w:pPr>
            <w:r>
              <w:rPr>
                <w:b/>
                <w:w w:val="100"/>
                <w:sz w:val="16"/>
              </w:rPr>
              <w:t>0</w:t>
            </w:r>
          </w:p>
          <w:p>
            <w:pPr>
              <w:pStyle w:val="TableParagraph"/>
              <w:spacing w:before="7"/>
              <w:rPr>
                <w:rFonts w:ascii="Arial"/>
                <w:sz w:val="17"/>
              </w:rPr>
            </w:pPr>
          </w:p>
          <w:p>
            <w:pPr>
              <w:pStyle w:val="TableParagraph"/>
              <w:ind w:left="12"/>
              <w:rPr>
                <w:b/>
                <w:sz w:val="16"/>
              </w:rPr>
            </w:pPr>
            <w:r>
              <w:rPr>
                <w:b/>
                <w:sz w:val="16"/>
              </w:rPr>
              <w:t>-2</w:t>
            </w:r>
          </w:p>
          <w:p>
            <w:pPr>
              <w:pStyle w:val="TableParagraph"/>
              <w:spacing w:line="158" w:lineRule="exact" w:before="16"/>
              <w:ind w:left="632"/>
              <w:rPr>
                <w:b/>
                <w:sz w:val="16"/>
              </w:rPr>
            </w:pPr>
            <w:r>
              <w:rPr>
                <w:b/>
                <w:sz w:val="16"/>
              </w:rPr>
              <w:t>Real GDP YoY</w:t>
            </w:r>
          </w:p>
          <w:p>
            <w:pPr>
              <w:pStyle w:val="TableParagraph"/>
              <w:tabs>
                <w:tab w:pos="2930" w:val="left" w:leader="none"/>
              </w:tabs>
              <w:spacing w:line="180" w:lineRule="auto"/>
              <w:ind w:left="12"/>
              <w:rPr>
                <w:b/>
                <w:sz w:val="16"/>
              </w:rPr>
            </w:pPr>
            <w:r>
              <w:rPr>
                <w:b/>
                <w:position w:val="-6"/>
                <w:sz w:val="16"/>
              </w:rPr>
              <w:t>-4</w:t>
              <w:tab/>
            </w:r>
            <w:r>
              <w:rPr>
                <w:b/>
                <w:sz w:val="16"/>
              </w:rPr>
              <w:t>Q1-2017</w:t>
            </w:r>
            <w:r>
              <w:rPr>
                <w:b/>
                <w:spacing w:val="1"/>
                <w:sz w:val="16"/>
              </w:rPr>
              <w:t> </w:t>
            </w:r>
            <w:r>
              <w:rPr>
                <w:b/>
                <w:sz w:val="16"/>
              </w:rPr>
              <w:t>estimate</w:t>
            </w:r>
          </w:p>
          <w:p>
            <w:pPr>
              <w:pStyle w:val="TableParagraph"/>
              <w:spacing w:before="4"/>
              <w:ind w:left="632"/>
              <w:rPr>
                <w:b/>
                <w:sz w:val="16"/>
              </w:rPr>
            </w:pPr>
            <w:r>
              <w:rPr>
                <w:b/>
                <w:sz w:val="16"/>
              </w:rPr>
              <w:t>Total Hours Worked YoY</w:t>
            </w:r>
          </w:p>
          <w:p>
            <w:pPr>
              <w:pStyle w:val="TableParagraph"/>
              <w:spacing w:before="13"/>
              <w:ind w:left="12"/>
              <w:rPr>
                <w:b/>
                <w:sz w:val="16"/>
              </w:rPr>
            </w:pPr>
            <w:r>
              <w:rPr>
                <w:b/>
                <w:sz w:val="16"/>
              </w:rPr>
              <w:t>-6</w:t>
            </w:r>
          </w:p>
          <w:p>
            <w:pPr>
              <w:pStyle w:val="TableParagraph"/>
              <w:spacing w:before="7"/>
              <w:rPr>
                <w:rFonts w:ascii="Arial"/>
                <w:sz w:val="17"/>
              </w:rPr>
            </w:pPr>
          </w:p>
          <w:p>
            <w:pPr>
              <w:pStyle w:val="TableParagraph"/>
              <w:spacing w:before="1"/>
              <w:ind w:left="12"/>
              <w:rPr>
                <w:b/>
                <w:sz w:val="16"/>
              </w:rPr>
            </w:pPr>
            <w:r>
              <w:rPr>
                <w:b/>
                <w:sz w:val="16"/>
              </w:rPr>
              <w:t>-8</w:t>
            </w:r>
          </w:p>
          <w:p>
            <w:pPr>
              <w:pStyle w:val="TableParagraph"/>
              <w:spacing w:before="21"/>
              <w:ind w:left="160"/>
              <w:rPr>
                <w:b/>
                <w:sz w:val="16"/>
              </w:rPr>
            </w:pPr>
            <w:r>
              <w:rPr>
                <w:b/>
                <w:sz w:val="16"/>
              </w:rPr>
              <w:t>2000 2002 2004 2006 2008 2010 2012 2014 2016</w:t>
            </w:r>
          </w:p>
        </w:tc>
        <w:tc>
          <w:tcPr>
            <w:tcW w:w="113" w:type="dxa"/>
            <w:vMerge w:val="restart"/>
            <w:tcBorders>
              <w:left w:val="single" w:sz="2" w:space="0" w:color="858585"/>
            </w:tcBorders>
          </w:tcPr>
          <w:p>
            <w:pPr>
              <w:pStyle w:val="TableParagraph"/>
              <w:rPr>
                <w:rFonts w:ascii="Times New Roman"/>
                <w:sz w:val="18"/>
              </w:rPr>
            </w:pPr>
          </w:p>
        </w:tc>
        <w:tc>
          <w:tcPr>
            <w:tcW w:w="110" w:type="dxa"/>
            <w:vMerge w:val="restart"/>
            <w:tcBorders>
              <w:right w:val="single" w:sz="4" w:space="0" w:color="858585"/>
            </w:tcBorders>
          </w:tcPr>
          <w:p>
            <w:pPr>
              <w:pStyle w:val="TableParagraph"/>
              <w:rPr>
                <w:rFonts w:ascii="Times New Roman"/>
                <w:sz w:val="18"/>
              </w:rPr>
            </w:pPr>
          </w:p>
        </w:tc>
        <w:tc>
          <w:tcPr>
            <w:tcW w:w="4975" w:type="dxa"/>
            <w:tcBorders>
              <w:top w:val="single" w:sz="8" w:space="0" w:color="000000"/>
              <w:left w:val="single" w:sz="4" w:space="0" w:color="858585"/>
              <w:bottom w:val="single" w:sz="4" w:space="0" w:color="858585"/>
              <w:right w:val="single" w:sz="4" w:space="0" w:color="858585"/>
            </w:tcBorders>
          </w:tcPr>
          <w:p>
            <w:pPr>
              <w:pStyle w:val="TableParagraph"/>
              <w:tabs>
                <w:tab w:pos="657" w:val="left" w:leader="none"/>
              </w:tabs>
              <w:spacing w:line="156" w:lineRule="exact" w:before="5"/>
              <w:ind w:left="58"/>
              <w:rPr>
                <w:b/>
                <w:sz w:val="16"/>
              </w:rPr>
            </w:pPr>
            <w:r>
              <w:rPr>
                <w:b/>
                <w:sz w:val="16"/>
              </w:rPr>
              <w:t>2.5</w:t>
              <w:tab/>
            </w:r>
            <w:r>
              <w:rPr>
                <w:b/>
                <w:w w:val="101"/>
                <w:sz w:val="16"/>
                <w:u w:val="single" w:color="FF00FF"/>
              </w:rPr>
              <w:t> </w:t>
            </w:r>
            <w:r>
              <w:rPr>
                <w:b/>
                <w:spacing w:val="1"/>
                <w:sz w:val="16"/>
                <w:u w:val="single" w:color="FF00FF"/>
              </w:rPr>
              <w:t> </w:t>
            </w:r>
          </w:p>
          <w:p>
            <w:pPr>
              <w:pStyle w:val="TableParagraph"/>
              <w:spacing w:line="156" w:lineRule="exact"/>
              <w:ind w:left="804"/>
              <w:rPr>
                <w:b/>
                <w:sz w:val="16"/>
              </w:rPr>
            </w:pPr>
            <w:r>
              <w:rPr>
                <w:b/>
                <w:sz w:val="16"/>
              </w:rPr>
              <w:t>Guides to Demand Growth</w:t>
            </w:r>
          </w:p>
          <w:p>
            <w:pPr>
              <w:pStyle w:val="TableParagraph"/>
              <w:tabs>
                <w:tab w:pos="804" w:val="left" w:leader="none"/>
              </w:tabs>
              <w:spacing w:line="204" w:lineRule="auto" w:before="65"/>
              <w:ind w:left="804" w:right="2437" w:hanging="746"/>
              <w:rPr>
                <w:b/>
                <w:sz w:val="16"/>
              </w:rPr>
            </w:pPr>
            <w:r>
              <w:rPr>
                <w:b/>
                <w:position w:val="-9"/>
                <w:sz w:val="16"/>
              </w:rPr>
              <w:t>2.0</w:t>
              <w:tab/>
            </w:r>
            <w:r>
              <w:rPr>
                <w:b/>
                <w:sz w:val="16"/>
              </w:rPr>
              <w:t>Guides to Output Growth Hiring</w:t>
            </w:r>
            <w:r>
              <w:rPr>
                <w:b/>
                <w:spacing w:val="3"/>
                <w:sz w:val="16"/>
              </w:rPr>
              <w:t> </w:t>
            </w:r>
            <w:r>
              <w:rPr>
                <w:b/>
                <w:sz w:val="16"/>
              </w:rPr>
              <w:t>Intentions</w:t>
            </w:r>
          </w:p>
          <w:p>
            <w:pPr>
              <w:pStyle w:val="TableParagraph"/>
              <w:spacing w:before="123"/>
              <w:ind w:left="58"/>
              <w:rPr>
                <w:b/>
                <w:sz w:val="16"/>
              </w:rPr>
            </w:pPr>
            <w:r>
              <w:rPr>
                <w:b/>
                <w:sz w:val="16"/>
              </w:rPr>
              <w:t>1.5</w:t>
            </w:r>
          </w:p>
          <w:p>
            <w:pPr>
              <w:pStyle w:val="TableParagraph"/>
              <w:spacing w:before="6"/>
              <w:rPr>
                <w:rFonts w:ascii="Arial"/>
                <w:sz w:val="23"/>
              </w:rPr>
            </w:pPr>
          </w:p>
          <w:p>
            <w:pPr>
              <w:pStyle w:val="TableParagraph"/>
              <w:ind w:left="58"/>
              <w:rPr>
                <w:b/>
                <w:sz w:val="16"/>
              </w:rPr>
            </w:pPr>
            <w:r>
              <w:rPr>
                <w:b/>
                <w:sz w:val="16"/>
              </w:rPr>
              <w:t>1.0</w:t>
            </w:r>
          </w:p>
          <w:p>
            <w:pPr>
              <w:pStyle w:val="TableParagraph"/>
              <w:spacing w:before="6"/>
              <w:rPr>
                <w:rFonts w:ascii="Arial"/>
                <w:sz w:val="23"/>
              </w:rPr>
            </w:pPr>
          </w:p>
          <w:p>
            <w:pPr>
              <w:pStyle w:val="TableParagraph"/>
              <w:ind w:left="58"/>
              <w:rPr>
                <w:b/>
                <w:sz w:val="16"/>
              </w:rPr>
            </w:pPr>
            <w:r>
              <w:rPr>
                <w:b/>
                <w:sz w:val="16"/>
              </w:rPr>
              <w:t>0.5</w:t>
            </w:r>
          </w:p>
          <w:p>
            <w:pPr>
              <w:pStyle w:val="TableParagraph"/>
              <w:spacing w:before="6"/>
              <w:rPr>
                <w:rFonts w:ascii="Arial"/>
                <w:sz w:val="23"/>
              </w:rPr>
            </w:pPr>
          </w:p>
          <w:p>
            <w:pPr>
              <w:pStyle w:val="TableParagraph"/>
              <w:ind w:left="58"/>
              <w:rPr>
                <w:b/>
                <w:sz w:val="16"/>
              </w:rPr>
            </w:pPr>
            <w:r>
              <w:rPr>
                <w:b/>
                <w:sz w:val="16"/>
              </w:rPr>
              <w:t>0.0</w:t>
            </w:r>
          </w:p>
          <w:p>
            <w:pPr>
              <w:pStyle w:val="TableParagraph"/>
              <w:spacing w:before="6"/>
              <w:rPr>
                <w:rFonts w:ascii="Arial"/>
                <w:sz w:val="23"/>
              </w:rPr>
            </w:pPr>
          </w:p>
          <w:p>
            <w:pPr>
              <w:pStyle w:val="TableParagraph"/>
              <w:ind w:left="8"/>
              <w:rPr>
                <w:b/>
                <w:sz w:val="16"/>
              </w:rPr>
            </w:pPr>
            <w:r>
              <w:rPr>
                <w:b/>
                <w:sz w:val="16"/>
              </w:rPr>
              <w:t>-0.5</w:t>
            </w:r>
          </w:p>
          <w:p>
            <w:pPr>
              <w:pStyle w:val="TableParagraph"/>
              <w:tabs>
                <w:tab w:pos="879" w:val="left" w:leader="none"/>
                <w:tab w:pos="1480" w:val="left" w:leader="none"/>
                <w:tab w:pos="2081" w:val="left" w:leader="none"/>
                <w:tab w:pos="2682" w:val="left" w:leader="none"/>
                <w:tab w:pos="3283" w:val="left" w:leader="none"/>
                <w:tab w:pos="3883" w:val="left" w:leader="none"/>
                <w:tab w:pos="4484" w:val="left" w:leader="none"/>
              </w:tabs>
              <w:spacing w:before="22"/>
              <w:ind w:left="278"/>
              <w:rPr>
                <w:b/>
                <w:sz w:val="16"/>
              </w:rPr>
            </w:pPr>
            <w:r>
              <w:rPr>
                <w:b/>
                <w:sz w:val="16"/>
              </w:rPr>
              <w:t>2010</w:t>
              <w:tab/>
              <w:t>2011</w:t>
              <w:tab/>
              <w:t>2012</w:t>
              <w:tab/>
              <w:t>2013</w:t>
              <w:tab/>
              <w:t>2014</w:t>
              <w:tab/>
              <w:t>2015</w:t>
              <w:tab/>
              <w:t>2016</w:t>
              <w:tab/>
              <w:t>2017</w:t>
            </w:r>
          </w:p>
        </w:tc>
        <w:tc>
          <w:tcPr>
            <w:tcW w:w="121" w:type="dxa"/>
            <w:tcBorders>
              <w:left w:val="single" w:sz="4" w:space="0" w:color="858585"/>
              <w:bottom w:val="nil"/>
            </w:tcBorders>
          </w:tcPr>
          <w:p>
            <w:pPr>
              <w:pStyle w:val="TableParagraph"/>
              <w:rPr>
                <w:rFonts w:ascii="Times New Roman"/>
                <w:sz w:val="18"/>
              </w:rPr>
            </w:pPr>
          </w:p>
        </w:tc>
      </w:tr>
      <w:tr>
        <w:trPr>
          <w:trHeight w:val="113" w:hRule="atLeast"/>
        </w:trPr>
        <w:tc>
          <w:tcPr>
            <w:tcW w:w="111" w:type="dxa"/>
            <w:tcBorders>
              <w:top w:val="nil"/>
              <w:right w:val="nil"/>
            </w:tcBorders>
          </w:tcPr>
          <w:p>
            <w:pPr>
              <w:pStyle w:val="TableParagraph"/>
              <w:rPr>
                <w:rFonts w:ascii="Times New Roman"/>
                <w:sz w:val="6"/>
              </w:rPr>
            </w:pPr>
          </w:p>
        </w:tc>
        <w:tc>
          <w:tcPr>
            <w:tcW w:w="4915" w:type="dxa"/>
            <w:tcBorders>
              <w:top w:val="single" w:sz="2" w:space="0" w:color="858585"/>
              <w:left w:val="nil"/>
              <w:right w:val="nil"/>
            </w:tcBorders>
          </w:tcPr>
          <w:p>
            <w:pPr>
              <w:pStyle w:val="TableParagraph"/>
              <w:rPr>
                <w:rFonts w:ascii="Times New Roman"/>
                <w:sz w:val="6"/>
              </w:rPr>
            </w:pPr>
          </w:p>
        </w:tc>
        <w:tc>
          <w:tcPr>
            <w:tcW w:w="113" w:type="dxa"/>
            <w:vMerge/>
            <w:tcBorders>
              <w:top w:val="nil"/>
              <w:left w:val="single" w:sz="2" w:space="0" w:color="858585"/>
            </w:tcBorders>
          </w:tcPr>
          <w:p>
            <w:pPr>
              <w:rPr>
                <w:sz w:val="2"/>
                <w:szCs w:val="2"/>
              </w:rPr>
            </w:pPr>
          </w:p>
        </w:tc>
        <w:tc>
          <w:tcPr>
            <w:tcW w:w="110" w:type="dxa"/>
            <w:vMerge/>
            <w:tcBorders>
              <w:top w:val="nil"/>
              <w:right w:val="single" w:sz="4" w:space="0" w:color="858585"/>
            </w:tcBorders>
          </w:tcPr>
          <w:p>
            <w:pPr>
              <w:rPr>
                <w:sz w:val="2"/>
                <w:szCs w:val="2"/>
              </w:rPr>
            </w:pPr>
          </w:p>
        </w:tc>
        <w:tc>
          <w:tcPr>
            <w:tcW w:w="4975" w:type="dxa"/>
            <w:tcBorders>
              <w:top w:val="single" w:sz="4" w:space="0" w:color="858585"/>
              <w:left w:val="nil"/>
              <w:right w:val="nil"/>
            </w:tcBorders>
          </w:tcPr>
          <w:p>
            <w:pPr>
              <w:pStyle w:val="TableParagraph"/>
              <w:rPr>
                <w:rFonts w:ascii="Times New Roman"/>
                <w:sz w:val="6"/>
              </w:rPr>
            </w:pPr>
          </w:p>
        </w:tc>
        <w:tc>
          <w:tcPr>
            <w:tcW w:w="121" w:type="dxa"/>
            <w:tcBorders>
              <w:top w:val="nil"/>
              <w:left w:val="nil"/>
            </w:tcBorders>
          </w:tcPr>
          <w:p>
            <w:pPr>
              <w:pStyle w:val="TableParagraph"/>
              <w:rPr>
                <w:rFonts w:ascii="Times New Roman"/>
                <w:sz w:val="6"/>
              </w:rPr>
            </w:pPr>
          </w:p>
        </w:tc>
      </w:tr>
    </w:tbl>
    <w:p>
      <w:pPr>
        <w:pStyle w:val="BodyText"/>
        <w:spacing w:line="360" w:lineRule="auto" w:before="19"/>
        <w:ind w:left="673" w:right="314"/>
      </w:pPr>
      <w:r>
        <w:rPr/>
        <w:pict>
          <v:group style="position:absolute;margin-left:45.822815pt;margin-top:-165.371613pt;width:221.7pt;height:139.75pt;mso-position-horizontal-relative:page;mso-position-vertical-relative:paragraph;z-index:-253743104" coordorigin="916,-3307" coordsize="4434,2795">
            <v:rect style="position:absolute;left:967;top:-3305;width:4380;height:2790" filled="false" stroked="true" strokeweight=".247617pt" strokecolor="#000000">
              <v:stroke dashstyle="solid"/>
            </v:rect>
            <v:shape style="position:absolute;left:720;top:1861;width:13212;height:8031" coordorigin="720,1861" coordsize="13212,8031" path="m968,-515l968,-3305m916,-515l968,-515m916,-914l968,-914m916,-1312l968,-1312m916,-1711l968,-1711m916,-2109l968,-2109m916,-2508l968,-2508m916,-2906l968,-2906m916,-3305l968,-3305m968,-2109l5347,-2109e" filled="false" stroked="true" strokeweight=".245786pt" strokecolor="#858585">
              <v:path arrowok="t"/>
              <v:stroke dashstyle="solid"/>
            </v:shape>
            <v:shape style="position:absolute;left:998;top:-3112;width:4254;height:2202" coordorigin="999,-3111" coordsize="4254,2202" path="m999,-2957l1062,-3111,1124,-2816,1186,-2557,1249,-2627,1312,-2598,1374,-2670,1437,-2718,1500,-2542,1562,-2562,1624,-2560,1687,-2676,1750,-2744,1812,-2786,1875,-2851,1937,-2821,2000,-2770,2062,-2696,2125,-2512,2188,-2487,2251,-2484,2312,-2592,2375,-2788,2438,-2936,2500,-2888,2563,-2708,2626,-2533,2688,-2318,2750,-2463,2813,-2567,2876,-2669,2939,-2771,3001,-2580,3063,-2312,3126,-1827,3188,-1229,3251,-910,3314,-963,3376,-1312,3438,-1837,3501,-2258,3564,-2536,3627,-2621,3689,-2555,3752,-2552,3814,-2360,3876,-2338,3939,-2379,4002,-2357,4065,-2316,4127,-2458,4189,-2355,4252,-2395,4315,-2517,4377,-2452,4440,-2595,4502,-2633,4564,-2729,4627,-2725,4690,-2801,4753,-2678,4815,-2575,4878,-2475,4940,-2434,5003,-2433,5065,-2451,5128,-2507,5191,-2504,5253,-2567e" filled="false" stroked="true" strokeweight="1.117293pt" strokecolor="#ff00ff">
              <v:path arrowok="t"/>
              <v:stroke dashstyle="solid"/>
            </v:shape>
            <v:shape style="position:absolute;left:998;top:-2760;width:4254;height:1309" coordorigin="999,-2759" coordsize="4254,1309" path="m999,-2022l1062,-2215,1124,-2136,1186,-2252,1249,-2472,1312,-2357,1374,-2307,1437,-2111,1500,-2131,1562,-1911,1624,-2087,1687,-2149,1750,-2178,1812,-2327,1875,-2206,1937,-2079,2000,-2297,2062,-2166,2125,-2188,2188,-2531,2251,-2343,2312,-2397,2375,-2494,2438,-2246,2500,-2280,2563,-2273,2626,-2159,2688,-2245,2750,-2225,2813,-2338,2876,-2351,2939,-2269,3001,-2492,3063,-2181,3126,-2154,3188,-2033,3251,-1450,3314,-1593,3376,-1477,3438,-1603,3501,-1913,3564,-2157,3627,-2364,3689,-2442,3752,-2477,3814,-2090,3876,-2105,3939,-2080,4002,-2199,4065,-2529,4127,-2621,4189,-2603,4252,-2518,4315,-2457,4377,-2482,4440,-2457,4502,-2621,4564,-2759,4627,-2598,4690,-2677,4753,-2549,4815,-2327,4878,-2277,4940,-2497,5003,-2384,5065,-2467,5128,-2507,5191,-2227,5253,-2448e" filled="false" stroked="true" strokeweight="1.039030pt" strokecolor="#0000ff">
              <v:path arrowok="t"/>
              <v:stroke dashstyle="solid"/>
            </v:shape>
            <v:line style="position:absolute" from="1165,-1500" to="1294,-1500" stroked="true" strokeweight="1.125523pt" strokecolor="#ff00ff">
              <v:stroke dashstyle="solid"/>
            </v:line>
            <v:line style="position:absolute" from="1165,-1123" to="1294,-1123" stroked="true" strokeweight="1.042151pt" strokecolor="#0000ff">
              <v:stroke dashstyle="solid"/>
            </v:line>
            <v:shape style="position:absolute;left:5152;top:-2782;width:120;height:1053" coordorigin="5152,-2781" coordsize="120,1053" path="m5152,-2761l5152,-2772,5161,-2781,5172,-2781,5252,-2781,5263,-2781,5272,-2772,5272,-2761,5272,-1750,5272,-1738,5263,-1729,5252,-1729,5172,-1729,5161,-1729,5152,-1738,5152,-1750,5152,-2761xe" filled="false" stroked="true" strokeweight=".322088pt" strokecolor="#000000">
              <v:path arrowok="t"/>
              <v:stroke dashstyle="shortdash"/>
            </v:shape>
            <v:shape style="position:absolute;left:4809;top:-1834;width:267;height:365" type="#_x0000_t75" stroked="false">
              <v:imagedata r:id="rId17" o:title=""/>
            </v:shape>
            <w10:wrap type="none"/>
          </v:group>
        </w:pict>
      </w:r>
      <w:r>
        <w:rPr/>
        <w:pict>
          <v:group style="position:absolute;margin-left:309.158691pt;margin-top:-165.981628pt;width:222.7pt;height:139.950pt;mso-position-horizontal-relative:page;mso-position-vertical-relative:paragraph;z-index:-253742080" coordorigin="6183,-3320" coordsize="4454,2799">
            <v:rect style="position:absolute;left:6234;top:-3318;width:4400;height:2794" filled="false" stroked="true" strokeweight=".258857pt" strokecolor="#000000">
              <v:stroke dashstyle="solid"/>
            </v:rect>
            <v:shape style="position:absolute;left:1087;top:1827;width:13111;height:8040" coordorigin="1088,1828" coordsize="13111,8040" path="m6234,-524l6234,-3317m6183,-524l6234,-524m6183,-988l6234,-988m6183,-1457l6234,-1457m6183,-1920l6234,-1920m6183,-2384l6234,-2384m6183,-2848l6234,-2848m6183,-3317l6234,-3317m6234,-988l10634,-988e" filled="false" stroked="true" strokeweight=".257588pt" strokecolor="#858585">
              <v:path arrowok="t"/>
              <v:stroke dashstyle="solid"/>
            </v:shape>
            <v:shape style="position:absolute;left:6259;top:-2833;width:4201;height:1246" coordorigin="6260,-2832" coordsize="4201,1246" path="m6260,-1842l6407,-2337,6560,-2483,6708,-2389,6860,-2395,7008,-2165,7161,-1983,7309,-1696,7461,-1853,7609,-1800,7762,-1587,7909,-1790,8062,-1863,8210,-2066,8358,-2520,8510,-2509,8658,-2681,8811,-2832,8958,-2535,9111,-2342,9259,-2468,9412,-2301,9559,-2108,9712,-2030,9860,-1800,10012,-1905,10160,-1905,10313,-2217,10461,-2358e" filled="false" stroked="true" strokeweight=".78027pt" strokecolor="#ff00ff">
              <v:path arrowok="t"/>
              <v:stroke dashstyle="solid"/>
            </v:shape>
            <v:shape style="position:absolute;left:6259;top:-3099;width:4201;height:2028" coordorigin="6260,-3098" coordsize="4201,2028" path="m6260,-1071l6407,-1707,6560,-2186,6708,-2139,6860,-2238,7008,-2176,7161,-1988,7309,-1519,7461,-1712,7609,-1545,7762,-1274,7909,-1425,8062,-1634,8210,-1785,8358,-2426,8510,-2697,8658,-3098,8811,-3067,8958,-2931,9111,-2723,9259,-2749,9412,-2613,9559,-2504,9712,-2395,9860,-2118,10012,-2040,10160,-1821,10313,-2066,10461,-2207e" filled="false" stroked="true" strokeweight=".778335pt" strokecolor="#0000ff">
              <v:path arrowok="t"/>
              <v:stroke dashstyle="solid"/>
            </v:shape>
            <v:shape style="position:absolute;left:6257;top:-2403;width:4207;height:1653" coordorigin="6257,-2402" coordsize="4207,1653" path="m6257,-1063l6410,-1444,6557,-1522,6710,-1662,6858,-1642,7011,-1553,7158,-1360,7311,-808,7459,-750,7611,-808,7759,-860,7912,-1110,8060,-1100,8212,-1235,8360,-1553,8508,-1777,8660,-1970,8808,-2402,8961,-2298,9109,-2126,9261,-1980,9409,-2210,9562,-1855,9709,-1621,9862,-1365,10010,-1162,10163,-875,10310,-886,10463,-1209e" filled="false" stroked="true" strokeweight="1.039098pt" strokecolor="#66ff33">
              <v:path arrowok="t"/>
              <v:stroke dashstyle="solid"/>
            </v:shape>
            <v:line style="position:absolute" from="6473,-2947" to="6606,-2947" stroked="true" strokeweight=".781718pt" strokecolor="#0000ff">
              <v:stroke dashstyle="solid"/>
            </v:line>
            <v:line style="position:absolute" from="6476,-2694" to="6603,-2694" stroked="true" strokeweight="1.04229pt" strokecolor="#66ff33">
              <v:stroke dashstyle="solid"/>
            </v:line>
            <w10:wrap type="none"/>
          </v:group>
        </w:pict>
      </w:r>
      <w:r>
        <w:rPr/>
        <w:t>Note: The left chart assumes that Q1 real GDP rose 0.5% QoQ, in line with the NIESR estimate. The latest figure for total hours worked is for the three months ended February. The right chart uses a weighted average of the BoE Agents readings for different sectors. Sources: ONS and BoE.</w:t>
      </w:r>
    </w:p>
    <w:p>
      <w:pPr>
        <w:spacing w:after="0" w:line="360" w:lineRule="auto"/>
        <w:sectPr>
          <w:pgSz w:w="11910" w:h="16840"/>
          <w:pgMar w:header="0" w:footer="1338" w:top="1580" w:bottom="1520" w:left="460" w:right="880"/>
        </w:sectPr>
      </w:pPr>
    </w:p>
    <w:p>
      <w:pPr>
        <w:spacing w:before="79"/>
        <w:ind w:left="673" w:right="0" w:firstLine="0"/>
        <w:jc w:val="left"/>
        <w:rPr>
          <w:b/>
          <w:sz w:val="24"/>
        </w:rPr>
      </w:pPr>
      <w:r>
        <w:rPr>
          <w:b/>
          <w:sz w:val="24"/>
        </w:rPr>
        <w:t>References</w:t>
      </w:r>
    </w:p>
    <w:p>
      <w:pPr>
        <w:pStyle w:val="BodyText"/>
        <w:rPr>
          <w:b/>
          <w:sz w:val="26"/>
        </w:rPr>
      </w:pPr>
    </w:p>
    <w:p>
      <w:pPr>
        <w:spacing w:line="360" w:lineRule="auto" w:before="181"/>
        <w:ind w:left="673" w:right="1029" w:firstLine="0"/>
        <w:jc w:val="left"/>
        <w:rPr>
          <w:sz w:val="20"/>
        </w:rPr>
      </w:pPr>
      <w:r>
        <w:rPr>
          <w:b/>
          <w:sz w:val="20"/>
        </w:rPr>
        <w:t>Alcala, Francisco and Antonio Ciccone (2004)</w:t>
      </w:r>
      <w:r>
        <w:rPr>
          <w:sz w:val="20"/>
        </w:rPr>
        <w:t>, “Trade and Productivity”, </w:t>
      </w:r>
      <w:r>
        <w:rPr>
          <w:i/>
          <w:sz w:val="20"/>
        </w:rPr>
        <w:t>The Quarterly Journal of </w:t>
      </w:r>
      <w:r>
        <w:rPr>
          <w:i/>
          <w:sz w:val="20"/>
        </w:rPr>
        <w:t>Economics, vol. 119, May 2004</w:t>
      </w:r>
      <w:r>
        <w:rPr>
          <w:sz w:val="20"/>
        </w:rPr>
        <w:t>.</w:t>
      </w:r>
    </w:p>
    <w:p>
      <w:pPr>
        <w:pStyle w:val="BodyText"/>
        <w:spacing w:before="11"/>
        <w:rPr>
          <w:sz w:val="29"/>
        </w:rPr>
      </w:pPr>
    </w:p>
    <w:p>
      <w:pPr>
        <w:spacing w:line="362" w:lineRule="auto" w:before="0"/>
        <w:ind w:left="673" w:right="629" w:firstLine="0"/>
        <w:jc w:val="left"/>
        <w:rPr>
          <w:sz w:val="20"/>
        </w:rPr>
      </w:pPr>
      <w:r>
        <w:rPr>
          <w:b/>
          <w:sz w:val="20"/>
        </w:rPr>
        <w:t>Alfaroy, Ivan, Nicholas Bloom and Xiaoji Linx (2016)</w:t>
      </w:r>
      <w:r>
        <w:rPr>
          <w:sz w:val="20"/>
        </w:rPr>
        <w:t>, “The Finance-Uncertainty Multiplier”, December 2016.</w:t>
      </w:r>
    </w:p>
    <w:p>
      <w:pPr>
        <w:pStyle w:val="BodyText"/>
        <w:spacing w:before="6"/>
        <w:rPr>
          <w:sz w:val="29"/>
        </w:rPr>
      </w:pPr>
    </w:p>
    <w:p>
      <w:pPr>
        <w:spacing w:before="0"/>
        <w:ind w:left="673" w:right="0" w:firstLine="0"/>
        <w:jc w:val="left"/>
        <w:rPr>
          <w:sz w:val="20"/>
        </w:rPr>
      </w:pPr>
      <w:r>
        <w:rPr>
          <w:b/>
          <w:sz w:val="20"/>
        </w:rPr>
        <w:t>Baker, Scott, Nicholas Bloom, Steven Davis (2015)</w:t>
      </w:r>
      <w:r>
        <w:rPr>
          <w:sz w:val="20"/>
        </w:rPr>
        <w:t>, “Measuring Economic Policy Uncertainty”, NBER</w:t>
      </w:r>
    </w:p>
    <w:p>
      <w:pPr>
        <w:spacing w:before="116"/>
        <w:ind w:left="673" w:right="0" w:firstLine="0"/>
        <w:jc w:val="left"/>
        <w:rPr>
          <w:i/>
          <w:sz w:val="20"/>
        </w:rPr>
      </w:pPr>
      <w:r>
        <w:rPr>
          <w:i/>
          <w:sz w:val="20"/>
        </w:rPr>
        <w:t>Working Paper No. 21633, October 2015</w:t>
      </w:r>
    </w:p>
    <w:p>
      <w:pPr>
        <w:pStyle w:val="BodyText"/>
        <w:rPr>
          <w:i/>
          <w:sz w:val="22"/>
        </w:rPr>
      </w:pPr>
    </w:p>
    <w:p>
      <w:pPr>
        <w:pStyle w:val="BodyText"/>
        <w:spacing w:before="11"/>
        <w:rPr>
          <w:i/>
          <w:sz w:val="17"/>
        </w:rPr>
      </w:pPr>
    </w:p>
    <w:p>
      <w:pPr>
        <w:spacing w:line="362" w:lineRule="auto" w:before="0"/>
        <w:ind w:left="673" w:right="595" w:firstLine="0"/>
        <w:jc w:val="left"/>
        <w:rPr>
          <w:sz w:val="20"/>
        </w:rPr>
      </w:pPr>
      <w:r>
        <w:rPr>
          <w:b/>
          <w:sz w:val="20"/>
        </w:rPr>
        <w:t>Broadbent, Ben (2016)</w:t>
      </w:r>
      <w:r>
        <w:rPr>
          <w:sz w:val="20"/>
        </w:rPr>
        <w:t>, “Uncertain times”, </w:t>
      </w:r>
      <w:r>
        <w:rPr>
          <w:i/>
          <w:sz w:val="20"/>
        </w:rPr>
        <w:t>speech at the Wall Street Journal, October 2016</w:t>
      </w:r>
      <w:r>
        <w:rPr>
          <w:sz w:val="20"/>
        </w:rPr>
        <w:t>. Available at </w:t>
      </w:r>
      <w:hyperlink r:id="rId18">
        <w:r>
          <w:rPr>
            <w:color w:val="0000FF"/>
            <w:sz w:val="20"/>
            <w:u w:val="single" w:color="0000FF"/>
          </w:rPr>
          <w:t>http://www.bankofengland.co.uk/publications/Documents/speeches/2016/speech929.pdf</w:t>
        </w:r>
      </w:hyperlink>
    </w:p>
    <w:p>
      <w:pPr>
        <w:pStyle w:val="BodyText"/>
        <w:spacing w:before="8"/>
        <w:rPr>
          <w:sz w:val="21"/>
        </w:rPr>
      </w:pPr>
    </w:p>
    <w:p>
      <w:pPr>
        <w:spacing w:line="360" w:lineRule="auto" w:before="93"/>
        <w:ind w:left="673" w:right="349" w:firstLine="0"/>
        <w:jc w:val="left"/>
        <w:rPr>
          <w:sz w:val="20"/>
        </w:rPr>
      </w:pPr>
      <w:r>
        <w:rPr>
          <w:b/>
          <w:sz w:val="20"/>
        </w:rPr>
        <w:t>Broadbent, Ben (2017)</w:t>
      </w:r>
      <w:r>
        <w:rPr>
          <w:sz w:val="20"/>
        </w:rPr>
        <w:t>, “Brexit and the Pound”, </w:t>
      </w:r>
      <w:r>
        <w:rPr>
          <w:i/>
          <w:sz w:val="20"/>
        </w:rPr>
        <w:t>speech at Imperial College London, March 2017</w:t>
      </w:r>
      <w:r>
        <w:rPr>
          <w:sz w:val="20"/>
        </w:rPr>
        <w:t>. Available at </w:t>
      </w:r>
      <w:hyperlink r:id="rId19">
        <w:r>
          <w:rPr>
            <w:color w:val="0000FF"/>
            <w:sz w:val="20"/>
            <w:u w:val="single" w:color="0000FF"/>
          </w:rPr>
          <w:t>http://www.bankofengland.co.uk/publications/Pages/speeches/2017/969.aspx</w:t>
        </w:r>
      </w:hyperlink>
    </w:p>
    <w:p>
      <w:pPr>
        <w:pStyle w:val="BodyText"/>
        <w:spacing w:before="10"/>
        <w:rPr>
          <w:sz w:val="21"/>
        </w:rPr>
      </w:pPr>
    </w:p>
    <w:p>
      <w:pPr>
        <w:spacing w:line="360" w:lineRule="auto" w:before="93"/>
        <w:ind w:left="673" w:right="239" w:firstLine="0"/>
        <w:jc w:val="left"/>
        <w:rPr>
          <w:sz w:val="20"/>
        </w:rPr>
      </w:pPr>
      <w:r>
        <w:rPr>
          <w:b/>
          <w:sz w:val="20"/>
        </w:rPr>
        <w:t>Budd, Alan (1998)</w:t>
      </w:r>
      <w:r>
        <w:rPr>
          <w:sz w:val="20"/>
        </w:rPr>
        <w:t>, “Economic policy, with and without forecasts”, </w:t>
      </w:r>
      <w:r>
        <w:rPr>
          <w:i/>
          <w:sz w:val="20"/>
        </w:rPr>
        <w:t>speech at the Sir Alec Cairncross Lecture, </w:t>
      </w:r>
      <w:r>
        <w:rPr>
          <w:i/>
          <w:sz w:val="20"/>
        </w:rPr>
        <w:t>November 1998</w:t>
      </w:r>
      <w:r>
        <w:rPr>
          <w:sz w:val="20"/>
        </w:rPr>
        <w:t>.</w:t>
      </w:r>
    </w:p>
    <w:p>
      <w:pPr>
        <w:pStyle w:val="BodyText"/>
        <w:spacing w:before="10"/>
        <w:rPr>
          <w:sz w:val="29"/>
        </w:rPr>
      </w:pPr>
    </w:p>
    <w:p>
      <w:pPr>
        <w:spacing w:line="360" w:lineRule="auto" w:before="1"/>
        <w:ind w:left="673" w:right="619" w:firstLine="0"/>
        <w:jc w:val="left"/>
        <w:rPr>
          <w:sz w:val="20"/>
        </w:rPr>
      </w:pPr>
      <w:r>
        <w:rPr>
          <w:b/>
          <w:sz w:val="20"/>
        </w:rPr>
        <w:t>Caldara, Dario, Cristina Fuentes-Albero, Simon Gilchrist and Egon Zakrajšek</w:t>
      </w:r>
      <w:r>
        <w:rPr>
          <w:sz w:val="20"/>
        </w:rPr>
        <w:t>, “The Macroeconomic Impact of Financial and Uncertainty Shocks”, </w:t>
      </w:r>
      <w:r>
        <w:rPr>
          <w:i/>
          <w:sz w:val="20"/>
        </w:rPr>
        <w:t>NBER Working Paper 22058, March 2016</w:t>
      </w:r>
      <w:r>
        <w:rPr>
          <w:sz w:val="20"/>
        </w:rPr>
        <w:t>.</w:t>
      </w:r>
    </w:p>
    <w:p>
      <w:pPr>
        <w:pStyle w:val="BodyText"/>
        <w:spacing w:before="11"/>
        <w:rPr>
          <w:sz w:val="29"/>
        </w:rPr>
      </w:pPr>
    </w:p>
    <w:p>
      <w:pPr>
        <w:spacing w:line="360" w:lineRule="auto" w:before="0"/>
        <w:ind w:left="673" w:right="933" w:firstLine="0"/>
        <w:jc w:val="left"/>
        <w:rPr>
          <w:i/>
          <w:sz w:val="20"/>
        </w:rPr>
      </w:pPr>
      <w:r>
        <w:rPr>
          <w:b/>
          <w:sz w:val="20"/>
        </w:rPr>
        <w:t>Edwards, Sebastian (1998)</w:t>
      </w:r>
      <w:r>
        <w:rPr>
          <w:sz w:val="20"/>
        </w:rPr>
        <w:t>, “Openness, Productivity and Growth: What Do We really Know?” </w:t>
      </w:r>
      <w:r>
        <w:rPr>
          <w:i/>
          <w:sz w:val="20"/>
        </w:rPr>
        <w:t>The </w:t>
      </w:r>
      <w:r>
        <w:rPr>
          <w:i/>
          <w:sz w:val="20"/>
        </w:rPr>
        <w:t>Economic Journal, March 1998.</w:t>
      </w:r>
    </w:p>
    <w:p>
      <w:pPr>
        <w:pStyle w:val="BodyText"/>
        <w:spacing w:before="2"/>
        <w:rPr>
          <w:i/>
          <w:sz w:val="30"/>
        </w:rPr>
      </w:pPr>
    </w:p>
    <w:p>
      <w:pPr>
        <w:spacing w:line="360" w:lineRule="auto" w:before="0"/>
        <w:ind w:left="673" w:right="437" w:firstLine="0"/>
        <w:jc w:val="left"/>
        <w:rPr>
          <w:sz w:val="20"/>
        </w:rPr>
      </w:pPr>
      <w:r>
        <w:rPr>
          <w:b/>
          <w:sz w:val="20"/>
        </w:rPr>
        <w:t>Forbes, Kristin (2015)</w:t>
      </w:r>
      <w:r>
        <w:rPr>
          <w:sz w:val="20"/>
        </w:rPr>
        <w:t>, “Much ado about something important: How do exchange rate movements affect inflation?”, </w:t>
      </w:r>
      <w:r>
        <w:rPr>
          <w:i/>
          <w:sz w:val="20"/>
        </w:rPr>
        <w:t>speech at Money, Macro and Finance Research Group Annual Conference, Cardiff, September </w:t>
      </w:r>
      <w:r>
        <w:rPr>
          <w:i/>
          <w:sz w:val="20"/>
        </w:rPr>
        <w:t>2015</w:t>
      </w:r>
      <w:r>
        <w:rPr>
          <w:sz w:val="20"/>
        </w:rPr>
        <w:t>. Available at </w:t>
      </w:r>
      <w:hyperlink r:id="rId20">
        <w:r>
          <w:rPr>
            <w:color w:val="0000FF"/>
            <w:sz w:val="20"/>
            <w:u w:val="single" w:color="0000FF"/>
          </w:rPr>
          <w:t>http://www.bankofengland.co.uk/publications/Documents/speeches/2015/speech839.pdf</w:t>
        </w:r>
      </w:hyperlink>
    </w:p>
    <w:p>
      <w:pPr>
        <w:pStyle w:val="BodyText"/>
        <w:spacing w:before="8"/>
        <w:rPr>
          <w:sz w:val="21"/>
        </w:rPr>
      </w:pPr>
    </w:p>
    <w:p>
      <w:pPr>
        <w:spacing w:line="362" w:lineRule="auto" w:before="93"/>
        <w:ind w:left="673" w:right="0" w:firstLine="0"/>
        <w:jc w:val="left"/>
        <w:rPr>
          <w:sz w:val="20"/>
        </w:rPr>
      </w:pPr>
      <w:r>
        <w:rPr>
          <w:b/>
          <w:sz w:val="20"/>
        </w:rPr>
        <w:t>Forbes, Kristin (2016)</w:t>
      </w:r>
      <w:r>
        <w:rPr>
          <w:sz w:val="20"/>
        </w:rPr>
        <w:t>, “Uncertainty about Uncertainty”, </w:t>
      </w:r>
      <w:r>
        <w:rPr>
          <w:i/>
          <w:sz w:val="20"/>
        </w:rPr>
        <w:t>speech at JP Morgan Cazenove “Best of British” </w:t>
      </w:r>
      <w:r>
        <w:rPr>
          <w:i/>
          <w:sz w:val="20"/>
        </w:rPr>
        <w:t>conference, November 2016</w:t>
      </w:r>
      <w:r>
        <w:rPr>
          <w:sz w:val="20"/>
        </w:rPr>
        <w:t>. Available at </w:t>
      </w:r>
      <w:hyperlink r:id="rId21">
        <w:r>
          <w:rPr>
            <w:color w:val="0000FF"/>
            <w:sz w:val="20"/>
            <w:u w:val="single" w:color="0000FF"/>
          </w:rPr>
          <w:t>http://www.bankofengland.co.uk/publications/Pages/speeches/2016/942.aspx</w:t>
        </w:r>
      </w:hyperlink>
    </w:p>
    <w:p>
      <w:pPr>
        <w:pStyle w:val="BodyText"/>
        <w:spacing w:before="5"/>
        <w:rPr>
          <w:sz w:val="21"/>
        </w:rPr>
      </w:pPr>
    </w:p>
    <w:p>
      <w:pPr>
        <w:spacing w:line="360" w:lineRule="auto" w:before="92"/>
        <w:ind w:left="673" w:right="307" w:firstLine="0"/>
        <w:jc w:val="left"/>
        <w:rPr>
          <w:i/>
          <w:sz w:val="20"/>
        </w:rPr>
      </w:pPr>
      <w:r>
        <w:rPr>
          <w:b/>
          <w:sz w:val="20"/>
        </w:rPr>
        <w:t>Giannoni, Marc and Michael Woodford (2003a)</w:t>
      </w:r>
      <w:r>
        <w:rPr>
          <w:sz w:val="20"/>
        </w:rPr>
        <w:t>, “Optimal Inflation Targeting Rules”, </w:t>
      </w:r>
      <w:r>
        <w:rPr>
          <w:i/>
          <w:sz w:val="20"/>
        </w:rPr>
        <w:t>NBER Working paper </w:t>
      </w:r>
      <w:r>
        <w:rPr>
          <w:i/>
          <w:sz w:val="20"/>
        </w:rPr>
        <w:t>no. 9939, September 2003.</w:t>
      </w:r>
    </w:p>
    <w:p>
      <w:pPr>
        <w:spacing w:after="0" w:line="360" w:lineRule="auto"/>
        <w:jc w:val="left"/>
        <w:rPr>
          <w:sz w:val="20"/>
        </w:rPr>
        <w:sectPr>
          <w:pgSz w:w="11910" w:h="16840"/>
          <w:pgMar w:header="0" w:footer="1338" w:top="1520" w:bottom="1520" w:left="460" w:right="880"/>
        </w:sectPr>
      </w:pPr>
    </w:p>
    <w:p>
      <w:pPr>
        <w:spacing w:before="76"/>
        <w:ind w:left="673" w:right="0" w:firstLine="0"/>
        <w:jc w:val="left"/>
        <w:rPr>
          <w:sz w:val="20"/>
        </w:rPr>
      </w:pPr>
      <w:r>
        <w:rPr>
          <w:b/>
          <w:sz w:val="20"/>
        </w:rPr>
        <w:t>Giannoni, Marc and Michael Woodford (2003b)</w:t>
      </w:r>
      <w:r>
        <w:rPr>
          <w:sz w:val="20"/>
        </w:rPr>
        <w:t>, “How Forward-Looking is Optimal Monetary Policy?”,</w:t>
      </w:r>
    </w:p>
    <w:p>
      <w:pPr>
        <w:spacing w:before="114"/>
        <w:ind w:left="673" w:right="0" w:firstLine="0"/>
        <w:jc w:val="left"/>
        <w:rPr>
          <w:sz w:val="20"/>
        </w:rPr>
      </w:pPr>
      <w:r>
        <w:rPr>
          <w:i/>
          <w:sz w:val="20"/>
        </w:rPr>
        <w:t>Journal of Money, Credit and Banking, vol 35 (6), December 2003</w:t>
      </w:r>
      <w:r>
        <w:rPr>
          <w:sz w:val="20"/>
        </w:rPr>
        <w:t>.</w:t>
      </w:r>
    </w:p>
    <w:p>
      <w:pPr>
        <w:pStyle w:val="BodyText"/>
        <w:rPr>
          <w:sz w:val="22"/>
        </w:rPr>
      </w:pPr>
    </w:p>
    <w:p>
      <w:pPr>
        <w:pStyle w:val="BodyText"/>
        <w:spacing w:before="1"/>
        <w:rPr>
          <w:sz w:val="18"/>
        </w:rPr>
      </w:pPr>
    </w:p>
    <w:p>
      <w:pPr>
        <w:spacing w:line="360" w:lineRule="auto" w:before="0"/>
        <w:ind w:left="673" w:right="285" w:firstLine="0"/>
        <w:jc w:val="left"/>
        <w:rPr>
          <w:sz w:val="20"/>
        </w:rPr>
      </w:pPr>
      <w:r>
        <w:rPr>
          <w:b/>
          <w:sz w:val="20"/>
        </w:rPr>
        <w:t>Haddow, Abigail, Chris Hare, John Hooley, Tamarah Shakir</w:t>
      </w:r>
      <w:r>
        <w:rPr>
          <w:sz w:val="20"/>
        </w:rPr>
        <w:t>, “Macroeconomic uncertainty: what is it, how can we measure it and why does it matter?”, </w:t>
      </w:r>
      <w:r>
        <w:rPr>
          <w:i/>
          <w:sz w:val="20"/>
        </w:rPr>
        <w:t>Bank of England Quarterly Bulletin 2013 Q2, June 2013</w:t>
      </w:r>
      <w:r>
        <w:rPr>
          <w:sz w:val="20"/>
        </w:rPr>
        <w:t>.</w:t>
      </w:r>
    </w:p>
    <w:p>
      <w:pPr>
        <w:pStyle w:val="BodyText"/>
        <w:spacing w:before="1"/>
        <w:ind w:left="673"/>
      </w:pPr>
      <w:r>
        <w:rPr/>
        <w:t>Available at </w:t>
      </w:r>
      <w:hyperlink r:id="rId22">
        <w:r>
          <w:rPr>
            <w:color w:val="0000FF"/>
            <w:u w:val="single" w:color="0000FF"/>
          </w:rPr>
          <w:t>http://www.bankofengland.co.uk/publications/Documents/quarterlybulletin/2013/qb130201.pdf</w:t>
        </w:r>
      </w:hyperlink>
    </w:p>
    <w:p>
      <w:pPr>
        <w:pStyle w:val="BodyText"/>
      </w:pPr>
    </w:p>
    <w:p>
      <w:pPr>
        <w:pStyle w:val="BodyText"/>
        <w:spacing w:before="10"/>
        <w:rPr>
          <w:sz w:val="19"/>
        </w:rPr>
      </w:pPr>
    </w:p>
    <w:p>
      <w:pPr>
        <w:spacing w:line="360" w:lineRule="auto" w:before="1"/>
        <w:ind w:left="673" w:right="0" w:firstLine="0"/>
        <w:jc w:val="left"/>
        <w:rPr>
          <w:sz w:val="20"/>
        </w:rPr>
      </w:pPr>
      <w:r>
        <w:rPr>
          <w:b/>
          <w:sz w:val="20"/>
        </w:rPr>
        <w:t>IMF (2016a)</w:t>
      </w:r>
      <w:r>
        <w:rPr>
          <w:sz w:val="20"/>
        </w:rPr>
        <w:t>, “Selected Issues: Macroeconomic Implications of the United Kingdom leaving the European Union”, </w:t>
      </w:r>
      <w:r>
        <w:rPr>
          <w:i/>
          <w:sz w:val="20"/>
        </w:rPr>
        <w:t>IMF Country Report No.16/169, dated 1 June 2016, published 18 June 2016</w:t>
      </w:r>
      <w:r>
        <w:rPr>
          <w:sz w:val="20"/>
        </w:rPr>
        <w:t>. Available at </w:t>
      </w:r>
      <w:hyperlink r:id="rId23">
        <w:r>
          <w:rPr>
            <w:color w:val="0000FF"/>
            <w:sz w:val="20"/>
            <w:u w:val="single" w:color="0000FF"/>
          </w:rPr>
          <w:t>https://www.imf.org/external/pubs/ft/scr/2016/cr16169.pdf</w:t>
        </w:r>
      </w:hyperlink>
    </w:p>
    <w:p>
      <w:pPr>
        <w:pStyle w:val="BodyText"/>
        <w:spacing w:before="10"/>
        <w:rPr>
          <w:sz w:val="21"/>
        </w:rPr>
      </w:pPr>
    </w:p>
    <w:p>
      <w:pPr>
        <w:pStyle w:val="BodyText"/>
        <w:spacing w:line="360" w:lineRule="auto" w:before="93"/>
        <w:ind w:left="673" w:right="320"/>
        <w:jc w:val="both"/>
      </w:pPr>
      <w:r>
        <w:rPr>
          <w:b/>
        </w:rPr>
        <w:t>IMF</w:t>
      </w:r>
      <w:r>
        <w:rPr>
          <w:b/>
          <w:spacing w:val="-4"/>
        </w:rPr>
        <w:t> </w:t>
      </w:r>
      <w:r>
        <w:rPr>
          <w:b/>
        </w:rPr>
        <w:t>(2016b)</w:t>
      </w:r>
      <w:r>
        <w:rPr/>
        <w:t>,</w:t>
      </w:r>
      <w:r>
        <w:rPr>
          <w:spacing w:val="-3"/>
        </w:rPr>
        <w:t> </w:t>
      </w:r>
      <w:r>
        <w:rPr/>
        <w:t>“IMF</w:t>
      </w:r>
      <w:r>
        <w:rPr>
          <w:spacing w:val="-3"/>
        </w:rPr>
        <w:t> </w:t>
      </w:r>
      <w:r>
        <w:rPr/>
        <w:t>Cuts</w:t>
      </w:r>
      <w:r>
        <w:rPr>
          <w:spacing w:val="-4"/>
        </w:rPr>
        <w:t> </w:t>
      </w:r>
      <w:r>
        <w:rPr/>
        <w:t>Global</w:t>
      </w:r>
      <w:r>
        <w:rPr>
          <w:spacing w:val="-4"/>
        </w:rPr>
        <w:t> </w:t>
      </w:r>
      <w:r>
        <w:rPr/>
        <w:t>Growth</w:t>
      </w:r>
      <w:r>
        <w:rPr>
          <w:spacing w:val="-4"/>
        </w:rPr>
        <w:t> </w:t>
      </w:r>
      <w:r>
        <w:rPr/>
        <w:t>Forecasts</w:t>
      </w:r>
      <w:r>
        <w:rPr>
          <w:spacing w:val="-3"/>
        </w:rPr>
        <w:t> </w:t>
      </w:r>
      <w:r>
        <w:rPr/>
        <w:t>on</w:t>
      </w:r>
      <w:r>
        <w:rPr>
          <w:spacing w:val="-3"/>
        </w:rPr>
        <w:t> </w:t>
      </w:r>
      <w:r>
        <w:rPr/>
        <w:t>Brexit,</w:t>
      </w:r>
      <w:r>
        <w:rPr>
          <w:spacing w:val="-7"/>
        </w:rPr>
        <w:t> </w:t>
      </w:r>
      <w:r>
        <w:rPr/>
        <w:t>Warns</w:t>
      </w:r>
      <w:r>
        <w:rPr>
          <w:spacing w:val="-3"/>
        </w:rPr>
        <w:t> </w:t>
      </w:r>
      <w:r>
        <w:rPr/>
        <w:t>of</w:t>
      </w:r>
      <w:r>
        <w:rPr>
          <w:spacing w:val="-2"/>
        </w:rPr>
        <w:t> </w:t>
      </w:r>
      <w:r>
        <w:rPr/>
        <w:t>Risks</w:t>
      </w:r>
      <w:r>
        <w:rPr>
          <w:spacing w:val="-3"/>
        </w:rPr>
        <w:t> </w:t>
      </w:r>
      <w:r>
        <w:rPr/>
        <w:t>to</w:t>
      </w:r>
      <w:r>
        <w:rPr>
          <w:spacing w:val="-4"/>
        </w:rPr>
        <w:t> </w:t>
      </w:r>
      <w:r>
        <w:rPr/>
        <w:t>Outlook”,</w:t>
      </w:r>
      <w:r>
        <w:rPr>
          <w:spacing w:val="-4"/>
        </w:rPr>
        <w:t> </w:t>
      </w:r>
      <w:r>
        <w:rPr/>
        <w:t>July</w:t>
      </w:r>
      <w:r>
        <w:rPr>
          <w:spacing w:val="-7"/>
        </w:rPr>
        <w:t> </w:t>
      </w:r>
      <w:r>
        <w:rPr/>
        <w:t>2016.</w:t>
      </w:r>
      <w:r>
        <w:rPr>
          <w:spacing w:val="-2"/>
        </w:rPr>
        <w:t> </w:t>
      </w:r>
      <w:r>
        <w:rPr/>
        <w:t>Available at </w:t>
      </w:r>
      <w:hyperlink r:id="rId24">
        <w:r>
          <w:rPr>
            <w:color w:val="0000FF"/>
            <w:u w:val="single" w:color="0000FF"/>
          </w:rPr>
          <w:t>https://www.imf.org/en/News/Articles/2016/07/18/18/11/NA07192016-IMF-Cuts-Global-Growth-Forecasts-</w:t>
        </w:r>
      </w:hyperlink>
      <w:r>
        <w:rPr>
          <w:color w:val="0000FF"/>
        </w:rPr>
        <w:t> </w:t>
      </w:r>
      <w:hyperlink r:id="rId24">
        <w:r>
          <w:rPr>
            <w:color w:val="0000FF"/>
            <w:u w:val="single" w:color="0000FF"/>
          </w:rPr>
          <w:t>on-Brexit-Warns-of-Risks-to-Outlook</w:t>
        </w:r>
      </w:hyperlink>
    </w:p>
    <w:p>
      <w:pPr>
        <w:pStyle w:val="BodyText"/>
        <w:spacing w:line="360" w:lineRule="auto" w:before="3"/>
        <w:ind w:left="673" w:right="315"/>
        <w:jc w:val="both"/>
      </w:pPr>
      <w:r>
        <w:rPr/>
        <w:t>OECD (2016a), “The Economic Consequences of Brexit: A Taxing Decision”, OECD Economic Policy paper, April 2016.</w:t>
      </w:r>
    </w:p>
    <w:p>
      <w:pPr>
        <w:pStyle w:val="BodyText"/>
        <w:spacing w:before="8"/>
        <w:rPr>
          <w:sz w:val="29"/>
        </w:rPr>
      </w:pPr>
    </w:p>
    <w:p>
      <w:pPr>
        <w:pStyle w:val="BodyText"/>
        <w:spacing w:line="362" w:lineRule="auto"/>
        <w:ind w:left="673"/>
      </w:pPr>
      <w:r>
        <w:rPr>
          <w:b/>
        </w:rPr>
        <w:t>OECD (2016b)</w:t>
      </w:r>
      <w:r>
        <w:rPr/>
        <w:t>, “Interim Economic Assessment. Global growth warning: Weak trade, financial distortions”, September 2016.</w:t>
      </w:r>
    </w:p>
    <w:p>
      <w:pPr>
        <w:pStyle w:val="BodyText"/>
        <w:spacing w:before="6"/>
        <w:rPr>
          <w:sz w:val="29"/>
        </w:rPr>
      </w:pPr>
    </w:p>
    <w:p>
      <w:pPr>
        <w:pStyle w:val="BodyText"/>
        <w:spacing w:line="362" w:lineRule="auto" w:before="1"/>
        <w:ind w:left="673" w:right="540"/>
      </w:pPr>
      <w:r>
        <w:rPr>
          <w:b/>
        </w:rPr>
        <w:t>OECD (2016c)</w:t>
      </w:r>
      <w:r>
        <w:rPr/>
        <w:t>, “The Quantification of Structural Reforms in OECD Countries: A New Framework”, OECD Working Paper no. 1354, December 2016.</w:t>
      </w:r>
    </w:p>
    <w:p>
      <w:pPr>
        <w:pStyle w:val="BodyText"/>
        <w:spacing w:before="9"/>
        <w:rPr>
          <w:sz w:val="29"/>
        </w:rPr>
      </w:pPr>
    </w:p>
    <w:p>
      <w:pPr>
        <w:pStyle w:val="BodyText"/>
        <w:spacing w:line="360" w:lineRule="auto"/>
        <w:ind w:left="673" w:right="314"/>
      </w:pPr>
      <w:r>
        <w:rPr>
          <w:b/>
        </w:rPr>
        <w:t>Stockton, David (2012)</w:t>
      </w:r>
      <w:r>
        <w:rPr/>
        <w:t>, “Review of the Monetary Policy Committee’s Forecasting Capability”, October 2012. Available at </w:t>
      </w:r>
      <w:hyperlink r:id="rId25">
        <w:r>
          <w:rPr>
            <w:color w:val="0000FF"/>
            <w:u w:val="single" w:color="0000FF"/>
          </w:rPr>
          <w:t>http://www.bankofengland.co.uk/publications/Documents/news/2012/cr3stockton.pdf</w:t>
        </w:r>
      </w:hyperlink>
    </w:p>
    <w:p>
      <w:pPr>
        <w:pStyle w:val="BodyText"/>
        <w:spacing w:before="10"/>
        <w:rPr>
          <w:sz w:val="21"/>
        </w:rPr>
      </w:pPr>
    </w:p>
    <w:p>
      <w:pPr>
        <w:pStyle w:val="BodyText"/>
        <w:spacing w:line="360" w:lineRule="auto" w:before="93"/>
        <w:ind w:left="673" w:right="427"/>
      </w:pPr>
      <w:r>
        <w:rPr>
          <w:b/>
        </w:rPr>
        <w:t>Vlieghe, Gertjan (2017), </w:t>
      </w:r>
      <w:r>
        <w:rPr/>
        <w:t>“Good policy vs accurate forecasts”, speech at Bloomberg London Headquarters, April 2017. Available at </w:t>
      </w:r>
      <w:hyperlink r:id="rId26">
        <w:r>
          <w:rPr>
            <w:color w:val="0000FF"/>
            <w:u w:val="single" w:color="0000FF"/>
          </w:rPr>
          <w:t>http://www.bankofengland.co.uk/publications/Documents/speeches/2017/speech972.pdf</w:t>
        </w:r>
      </w:hyperlink>
    </w:p>
    <w:sectPr>
      <w:pgSz w:w="11910" w:h="16840"/>
      <w:pgMar w:header="0" w:footer="1338" w:top="1520" w:bottom="1520" w:left="4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36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83526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8342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0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7994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6pt;height:13.15pt;mso-position-horizontal-relative:page;mso-position-vertical-relative:page;z-index:-253798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797376" type="#_x0000_t202" filled="false" stroked="false">
          <v:textbox inset="0,0,0,0">
            <w:txbxContent>
              <w:p>
                <w:pPr>
                  <w:pStyle w:val="BodyText"/>
                  <w:spacing w:before="12"/>
                  <w:ind w:left="20"/>
                </w:pPr>
                <w:r>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33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3219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6pt;height:13.15pt;mso-position-horizontal-relative:page;mso-position-vertical-relative:page;z-index:-2538311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301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29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2809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6pt;height:13.15pt;mso-position-horizontal-relative:page;mso-position-vertical-relative:page;z-index:-2538270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2604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25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2400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6pt;height:13.15pt;mso-position-horizontal-relative:page;mso-position-vertical-relative:page;z-index:-2538229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2195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20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1990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6pt;height:13.15pt;mso-position-horizontal-relative:page;mso-position-vertical-relative:page;z-index:-2538188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1785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16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1580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6pt;height:13.15pt;mso-position-horizontal-relative:page;mso-position-vertical-relative:page;z-index:-2538147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1376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12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1171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6pt;height:13.15pt;mso-position-horizontal-relative:page;mso-position-vertical-relative:page;z-index:-253810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0966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8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80761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6pt;height:13.15pt;mso-position-horizontal-relative:page;mso-position-vertical-relative:page;z-index:-253806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0556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4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803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6pt;height:13.15pt;mso-position-horizontal-relative:page;mso-position-vertical-relative:page;z-index:-253802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801472"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www.bankofengland.co.uk/publications/Documents/speeches/2016/speech929.pdf" TargetMode="External"/><Relationship Id="rId19" Type="http://schemas.openxmlformats.org/officeDocument/2006/relationships/hyperlink" Target="http://www.bankofengland.co.uk/publications/Pages/speeches/2017/969.aspx" TargetMode="External"/><Relationship Id="rId20" Type="http://schemas.openxmlformats.org/officeDocument/2006/relationships/hyperlink" Target="http://www.bankofengland.co.uk/publications/Documents/speeches/2015/speech839.pdf" TargetMode="External"/><Relationship Id="rId21" Type="http://schemas.openxmlformats.org/officeDocument/2006/relationships/hyperlink" Target="http://www.bankofengland.co.uk/publications/Pages/speeches/2016/942.aspx" TargetMode="External"/><Relationship Id="rId22" Type="http://schemas.openxmlformats.org/officeDocument/2006/relationships/hyperlink" Target="http://www.bankofengland.co.uk/publications/Documents/quarterlybulletin/2013/qb130201.pdf" TargetMode="External"/><Relationship Id="rId23" Type="http://schemas.openxmlformats.org/officeDocument/2006/relationships/hyperlink" Target="https://www.imf.org/external/pubs/ft/scr/2016/cr16169.pdf" TargetMode="External"/><Relationship Id="rId24" Type="http://schemas.openxmlformats.org/officeDocument/2006/relationships/hyperlink" Target="https://www.imf.org/en/News/Articles/2016/07/18/18/11/NA07192016-IMF-Cuts-Global-Growth-Forecasts-on-Brexit-Warns-of-Risks-to-Outlook" TargetMode="External"/><Relationship Id="rId25" Type="http://schemas.openxmlformats.org/officeDocument/2006/relationships/hyperlink" Target="http://www.bankofengland.co.uk/publications/Documents/news/2012/cr3stockton.pdf" TargetMode="External"/><Relationship Id="rId26" Type="http://schemas.openxmlformats.org/officeDocument/2006/relationships/hyperlink" Target="http://www.bankofengland.co.uk/publications/Documents/speeches/2017/speech97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Ten months after the EU Referendum: How is the economy doing?</dc:title>
  <dcterms:created xsi:type="dcterms:W3CDTF">2020-06-02T18:32:24Z</dcterms:created>
  <dcterms:modified xsi:type="dcterms:W3CDTF">2020-06-02T18:32:24Z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LastSaved">
    <vt:filetime>2020-06-02T00:00:00Z</vt:filetime>
  </property>
</Properties>
</file>