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Default Extension="png" ContentType="image/pn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hAns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hAnsi="Arial"/>
          <w:b/>
          <w:color w:val="6A719F"/>
          <w:sz w:val="32"/>
        </w:rPr>
        <w:t>The Current Downturn – A Bust Without a Boom?</w:t>
      </w:r>
    </w:p>
    <w:p>
      <w:pPr>
        <w:pStyle w:val="BodyText"/>
        <w:spacing w:before="281"/>
        <w:ind w:left="352"/>
        <w:rPr>
          <w:rFonts w:ascii="Arial"/>
        </w:rPr>
      </w:pPr>
      <w:r>
        <w:rPr>
          <w:rFonts w:ascii="Arial"/>
        </w:rPr>
        <w:t>Speech given by</w:t>
      </w:r>
    </w:p>
    <w:p>
      <w:pPr>
        <w:pStyle w:val="BodyText"/>
        <w:spacing w:before="136"/>
        <w:ind w:left="352"/>
        <w:rPr>
          <w:rFonts w:ascii="Arial"/>
        </w:rPr>
      </w:pPr>
      <w:r>
        <w:rPr>
          <w:rFonts w:ascii="Arial"/>
        </w:rPr>
        <w:t>Andrew Sentence, Member of the Monetary Policy Committee, Bank of England</w:t>
      </w:r>
    </w:p>
    <w:p>
      <w:pPr>
        <w:pStyle w:val="BodyText"/>
        <w:rPr>
          <w:rFonts w:ascii="Arial"/>
          <w:sz w:val="26"/>
        </w:rPr>
      </w:pPr>
    </w:p>
    <w:p>
      <w:pPr>
        <w:pStyle w:val="BodyText"/>
        <w:rPr>
          <w:rFonts w:ascii="Arial"/>
          <w:sz w:val="22"/>
        </w:rPr>
      </w:pPr>
    </w:p>
    <w:p>
      <w:pPr>
        <w:pStyle w:val="BodyText"/>
        <w:spacing w:line="360" w:lineRule="auto"/>
        <w:ind w:left="352" w:right="613"/>
        <w:rPr>
          <w:rFonts w:ascii="Arial"/>
        </w:rPr>
      </w:pPr>
      <w:r>
        <w:rPr>
          <w:rFonts w:ascii="Arial"/>
        </w:rPr>
        <w:t>At the MPR Monetary Policy and the Markets Conference, Chandos House, London 9 December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8"/>
        </w:rPr>
      </w:pPr>
    </w:p>
    <w:p>
      <w:pPr>
        <w:spacing w:before="93"/>
        <w:ind w:left="352" w:right="530" w:firstLine="0"/>
        <w:jc w:val="both"/>
        <w:rPr>
          <w:rFonts w:ascii="Arial"/>
          <w:sz w:val="20"/>
        </w:rPr>
      </w:pPr>
      <w:r>
        <w:rPr>
          <w:rFonts w:ascii="Arial"/>
          <w:sz w:val="20"/>
        </w:rPr>
        <w:t>I would like to thank Michael Hume and Abigail Hughes for research assistance and I am also grateful for helpful comments from other colleagues. The views expressed are my own and do not necessarily reflect those of the Bank of England or other members of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8"/>
        <w:rPr>
          <w:rFonts w:ascii="Arial"/>
          <w:sz w:val="12"/>
        </w:rPr>
      </w:pPr>
    </w:p>
    <w:p>
      <w:pPr>
        <w:pStyle w:val="BodyText"/>
        <w:spacing w:line="360" w:lineRule="auto" w:before="90"/>
        <w:ind w:left="1020" w:right="537"/>
        <w:jc w:val="both"/>
      </w:pPr>
      <w:r>
        <w:rPr/>
        <w:t>I am very pleased to have the opportunity to speak at this year’s Monetary Policy and the Markets conference. Over the course of this year, extreme market volatility has posed some very big challenges for the setting of monetary policy in the UK and other major economies.</w:t>
      </w:r>
    </w:p>
    <w:p>
      <w:pPr>
        <w:pStyle w:val="BodyText"/>
        <w:rPr>
          <w:sz w:val="36"/>
        </w:rPr>
      </w:pPr>
    </w:p>
    <w:p>
      <w:pPr>
        <w:pStyle w:val="BodyText"/>
        <w:spacing w:line="360" w:lineRule="auto" w:before="1"/>
        <w:ind w:left="1020" w:right="537"/>
        <w:jc w:val="both"/>
      </w:pPr>
      <w:r>
        <w:rPr/>
        <w:t>First of all, we have seen a giant rollercoaster in energy and many other commodity markets. The oil price, which started the year at around $90/barrel, rose to nearly</w:t>
      </w:r>
    </w:p>
    <w:p>
      <w:pPr>
        <w:pStyle w:val="BodyText"/>
        <w:spacing w:line="360" w:lineRule="auto"/>
        <w:ind w:left="1019" w:right="536"/>
        <w:jc w:val="both"/>
      </w:pPr>
      <w:r>
        <w:rPr/>
        <w:t>$150 and has since fallen back to just over $40. The surge in energy and commodity prices has generated a rise in UK consumer price inflation to over 5% – its highest level for over sixteen years. It is also the sharpest upward movement in this measure of inflation in the history of this data series, which goes back to the late 1980s. This rise in inflation has squeezed real incomes, contributing to the slowdown in consumer spending over the course of this year – though, over the months ahead, we should see both these effects reverse as recent falls in energy and commodity prices feed through to consumers and</w:t>
      </w:r>
      <w:r>
        <w:rPr>
          <w:spacing w:val="-1"/>
        </w:rPr>
        <w:t> </w:t>
      </w:r>
      <w:r>
        <w:rPr/>
        <w:t>firms.</w:t>
      </w:r>
    </w:p>
    <w:p>
      <w:pPr>
        <w:pStyle w:val="BodyText"/>
        <w:rPr>
          <w:sz w:val="36"/>
        </w:rPr>
      </w:pPr>
    </w:p>
    <w:p>
      <w:pPr>
        <w:pStyle w:val="BodyText"/>
        <w:spacing w:line="360" w:lineRule="auto"/>
        <w:ind w:left="1019" w:right="536"/>
        <w:jc w:val="both"/>
      </w:pPr>
      <w:r>
        <w:rPr/>
        <w:t>Second, there has been extreme volatility and stress in financial markets, resulting in the most serious banking crisis in modern economic history. The disruption to financial markets and its knock-on impact on the cost and availability of credit, as well as on business and consumer confidence, has pushed many economies across the globe into recession in the second half of this year, including the UK. The financial crisis has also complicated the operation of monetary policy by creating a large and uncertain wedge between the rates set by Central Banks and lending rates</w:t>
      </w:r>
      <w:r>
        <w:rPr>
          <w:spacing w:val="22"/>
        </w:rPr>
        <w:t> </w:t>
      </w:r>
      <w:r>
        <w:rPr/>
        <w:t>more generally across the</w:t>
      </w:r>
      <w:r>
        <w:rPr>
          <w:spacing w:val="-4"/>
        </w:rPr>
        <w:t> </w:t>
      </w:r>
      <w:r>
        <w:rPr/>
        <w:t>economy.</w:t>
      </w:r>
    </w:p>
    <w:p>
      <w:pPr>
        <w:pStyle w:val="BodyText"/>
        <w:spacing w:before="10"/>
        <w:rPr>
          <w:sz w:val="35"/>
        </w:rPr>
      </w:pPr>
    </w:p>
    <w:p>
      <w:pPr>
        <w:pStyle w:val="BodyText"/>
        <w:spacing w:line="360" w:lineRule="auto" w:before="1"/>
        <w:ind w:left="1020" w:right="535"/>
        <w:jc w:val="both"/>
      </w:pPr>
      <w:r>
        <w:rPr/>
        <w:t>It is difficult to imagine a more turbulent market environment against which we have had to operate monetary policy. As separate developments, a rise in inflation to over 5% and a move into recession would have seemed remote possibilities at the start of this year. The fact that both have happened together, accompanied by a major financial crisis, is an indication of how unusual and unprecedented the events of 2008 have been.</w:t>
      </w:r>
    </w:p>
    <w:p>
      <w:pPr>
        <w:spacing w:after="0" w:line="360" w:lineRule="auto"/>
        <w:jc w:val="both"/>
        <w:sectPr>
          <w:headerReference w:type="default" r:id="rId7"/>
          <w:footerReference w:type="default" r:id="rId8"/>
          <w:pgSz w:w="11910" w:h="16840"/>
          <w:pgMar w:header="716" w:footer="777" w:top="1200" w:bottom="960" w:left="780" w:right="1258"/>
          <w:pgNumType w:start="2"/>
        </w:sectPr>
      </w:pPr>
    </w:p>
    <w:p>
      <w:pPr>
        <w:pStyle w:val="BodyText"/>
        <w:spacing w:before="11"/>
        <w:rPr>
          <w:sz w:val="12"/>
        </w:rPr>
      </w:pPr>
    </w:p>
    <w:p>
      <w:pPr>
        <w:pStyle w:val="Heading1"/>
        <w:spacing w:before="90"/>
      </w:pPr>
      <w:r>
        <w:rPr/>
        <w:t>Policy responses</w:t>
      </w:r>
    </w:p>
    <w:p>
      <w:pPr>
        <w:pStyle w:val="BodyText"/>
        <w:rPr>
          <w:b/>
          <w:sz w:val="26"/>
        </w:rPr>
      </w:pPr>
    </w:p>
    <w:p>
      <w:pPr>
        <w:pStyle w:val="BodyText"/>
        <w:spacing w:before="9"/>
        <w:rPr>
          <w:b/>
          <w:sz w:val="21"/>
        </w:rPr>
      </w:pPr>
    </w:p>
    <w:p>
      <w:pPr>
        <w:pStyle w:val="BodyText"/>
        <w:spacing w:line="360" w:lineRule="auto"/>
        <w:ind w:left="1020" w:right="536"/>
        <w:jc w:val="both"/>
      </w:pPr>
      <w:r>
        <w:rPr/>
        <w:t>Some dramatic steps have now been taken by policy-makers to stabilise the financial system and to head off the sharp downturn in demand which has emerged in the wake of the turmoil on financial and commodity markets. September and October saw dramatic moves by governments and financial regulators to restore order to the banking system in the wake of the collapse of Lehman Brothers. That has included direct government injections of capital into some major banks in the UK, the US and in other major economies.</w:t>
      </w:r>
      <w:r>
        <w:rPr>
          <w:vertAlign w:val="superscript"/>
        </w:rPr>
        <w:t>1</w:t>
      </w:r>
    </w:p>
    <w:p>
      <w:pPr>
        <w:pStyle w:val="BodyText"/>
        <w:rPr>
          <w:sz w:val="36"/>
        </w:rPr>
      </w:pPr>
    </w:p>
    <w:p>
      <w:pPr>
        <w:pStyle w:val="BodyText"/>
        <w:spacing w:line="360" w:lineRule="auto"/>
        <w:ind w:left="1020" w:right="534"/>
        <w:jc w:val="both"/>
      </w:pPr>
      <w:r>
        <w:rPr/>
        <w:t>Monetary policy has also been relaxed dramatically. In the UK, Bank Rate has been reduced to its lowest level since 1951. The three percentage point reduction in the official policy rate matches the sharp reduction we saw in the wake of the UK’s exit from the ERM in the autumn of 1992.</w:t>
      </w:r>
      <w:r>
        <w:rPr>
          <w:vertAlign w:val="superscript"/>
        </w:rPr>
        <w:t>2</w:t>
      </w:r>
      <w:r>
        <w:rPr>
          <w:vertAlign w:val="baseline"/>
        </w:rPr>
        <w:t> In the last hundred years, there are only two occasions when interest rates have fallen more sharply in a three-month period – in 1914 and in 1977. And in both of these episodes, the fall in interest rates was reversing a sharp rise in the months before the cut – which is not the case at</w:t>
      </w:r>
      <w:r>
        <w:rPr>
          <w:spacing w:val="-8"/>
          <w:vertAlign w:val="baseline"/>
        </w:rPr>
        <w:t> </w:t>
      </w:r>
      <w:r>
        <w:rPr>
          <w:vertAlign w:val="baseline"/>
        </w:rPr>
        <w:t>present.</w:t>
      </w:r>
    </w:p>
    <w:p>
      <w:pPr>
        <w:pStyle w:val="BodyText"/>
        <w:spacing w:line="360" w:lineRule="auto" w:before="1"/>
        <w:ind w:left="1020" w:right="536"/>
        <w:jc w:val="both"/>
      </w:pPr>
      <w:r>
        <w:rPr/>
        <w:t>Interest rates also started to be cut at an earlier stage of this downturn than was the case in previous UK recessions.</w:t>
      </w:r>
    </w:p>
    <w:p>
      <w:pPr>
        <w:pStyle w:val="BodyText"/>
        <w:spacing w:before="10"/>
        <w:rPr>
          <w:sz w:val="35"/>
        </w:rPr>
      </w:pPr>
    </w:p>
    <w:p>
      <w:pPr>
        <w:pStyle w:val="BodyText"/>
        <w:spacing w:line="360" w:lineRule="auto"/>
        <w:ind w:left="1020" w:right="537"/>
        <w:jc w:val="both"/>
      </w:pPr>
      <w:r>
        <w:rPr/>
        <w:t>The stimulus to demand provided by this relaxation in monetary policy will be supported by the fiscal measures announced last month in the Pre-Budget Report. Fiscal and monetary responses in other countries affected by the current downturn should also help to support export demand as we move through next year.</w:t>
      </w:r>
    </w:p>
    <w:p>
      <w:pPr>
        <w:pStyle w:val="BodyText"/>
        <w:rPr>
          <w:sz w:val="36"/>
        </w:rPr>
      </w:pPr>
    </w:p>
    <w:p>
      <w:pPr>
        <w:pStyle w:val="BodyText"/>
        <w:spacing w:line="360" w:lineRule="auto"/>
        <w:ind w:left="1020" w:right="535"/>
        <w:jc w:val="both"/>
      </w:pPr>
      <w:r>
        <w:rPr/>
        <w:t>But it will take time for these policy measures to take effect. At the same time, the consequences of the recent financial market turbulence are also still feeding through. Following the contraction in GDP in the third quarter of this year, the latest business survey evidence suggests that the downturn intensified in the fourth quarter. This downturn is most noticeable in surveys of manufacturers – such as the CBI Monthly</w:t>
      </w:r>
    </w:p>
    <w:p>
      <w:pPr>
        <w:pStyle w:val="BodyText"/>
        <w:rPr>
          <w:sz w:val="20"/>
        </w:rPr>
      </w:pPr>
    </w:p>
    <w:p>
      <w:pPr>
        <w:pStyle w:val="BodyText"/>
        <w:rPr>
          <w:sz w:val="20"/>
        </w:rPr>
      </w:pPr>
    </w:p>
    <w:p>
      <w:pPr>
        <w:pStyle w:val="BodyText"/>
        <w:spacing w:before="6"/>
        <w:rPr>
          <w:sz w:val="20"/>
        </w:rPr>
      </w:pPr>
      <w:r>
        <w:rPr/>
        <w:pict>
          <v:shape style="position:absolute;margin-left:90pt;margin-top:14.095186pt;width:144pt;height:.1pt;mso-position-horizontal-relative:page;mso-position-vertical-relative:paragraph;z-index:-251656192;mso-wrap-distance-left:0;mso-wrap-distance-right:0" coordorigin="1800,282" coordsize="2880,0" path="m1800,282l4680,282e" filled="false" stroked="true" strokeweight=".599980pt" strokecolor="#000000">
            <v:path arrowok="t"/>
            <v:stroke dashstyle="solid"/>
            <w10:wrap type="topAndBottom"/>
          </v:shape>
        </w:pict>
      </w:r>
    </w:p>
    <w:p>
      <w:pPr>
        <w:spacing w:line="242" w:lineRule="exact" w:before="49"/>
        <w:ind w:left="1020" w:right="0" w:firstLine="0"/>
        <w:jc w:val="left"/>
        <w:rPr>
          <w:sz w:val="20"/>
        </w:rPr>
      </w:pPr>
      <w:r>
        <w:rPr>
          <w:position w:val="9"/>
          <w:sz w:val="13"/>
        </w:rPr>
        <w:t>1 </w:t>
      </w:r>
      <w:r>
        <w:rPr>
          <w:sz w:val="20"/>
        </w:rPr>
        <w:t>See the Bank of England’s latest </w:t>
      </w:r>
      <w:r>
        <w:rPr>
          <w:i/>
          <w:sz w:val="20"/>
        </w:rPr>
        <w:t>Financial Stability Report </w:t>
      </w:r>
      <w:r>
        <w:rPr>
          <w:sz w:val="20"/>
        </w:rPr>
        <w:t>(October 2008) for a fuller analysis.</w:t>
      </w:r>
    </w:p>
    <w:p>
      <w:pPr>
        <w:spacing w:line="230" w:lineRule="exact" w:before="14"/>
        <w:ind w:left="1019" w:right="537" w:firstLine="0"/>
        <w:jc w:val="left"/>
        <w:rPr>
          <w:sz w:val="20"/>
        </w:rPr>
      </w:pPr>
      <w:r>
        <w:rPr>
          <w:position w:val="9"/>
          <w:sz w:val="13"/>
        </w:rPr>
        <w:t>2 </w:t>
      </w:r>
      <w:r>
        <w:rPr>
          <w:sz w:val="20"/>
        </w:rPr>
        <w:t>This excludes the very short-lived increase in Bank Rate from 10% to 12% on 16 September 1992 which was reversed the following day.</w:t>
      </w:r>
    </w:p>
    <w:p>
      <w:pPr>
        <w:spacing w:after="0" w:line="230" w:lineRule="exact"/>
        <w:jc w:val="left"/>
        <w:rPr>
          <w:sz w:val="20"/>
        </w:rPr>
        <w:sectPr>
          <w:headerReference w:type="default" r:id="rId9"/>
          <w:footerReference w:type="default" r:id="rId10"/>
          <w:pgSz w:w="11910" w:h="16840"/>
          <w:pgMar w:header="716" w:footer="777" w:top="1200" w:bottom="960" w:left="780" w:right="1258"/>
          <w:pgNumType w:start="3"/>
        </w:sectPr>
      </w:pPr>
    </w:p>
    <w:p>
      <w:pPr>
        <w:pStyle w:val="BodyText"/>
        <w:spacing w:before="8"/>
        <w:rPr>
          <w:sz w:val="12"/>
        </w:rPr>
      </w:pPr>
    </w:p>
    <w:p>
      <w:pPr>
        <w:pStyle w:val="BodyText"/>
        <w:spacing w:line="360" w:lineRule="auto" w:before="90"/>
        <w:ind w:left="1020" w:right="537"/>
      </w:pPr>
      <w:r>
        <w:rPr/>
        <w:pict>
          <v:group style="position:absolute;margin-left:134.190002pt;margin-top:100.093452pt;width:320.25pt;height:165.1pt;mso-position-horizontal-relative:page;mso-position-vertical-relative:paragraph;z-index:-254993408" coordorigin="2684,2002" coordsize="6405,3302">
            <v:shape style="position:absolute;left:2698;top:2002;width:6390;height:3300" coordorigin="2699,2002" coordsize="6390,3300" path="m9043,2002l9043,5302m9043,5302l9089,5302m9043,4897l9089,4897m9043,4477l9089,4477m9043,4072l9089,4072m9043,3652l9089,3652m9043,3247l9089,3247m9043,2827l9089,2827m9043,2422l9089,2422m9043,2002l9089,2002m2699,3247l9043,3247m2699,3247l2699,3202e" filled="false" stroked="true" strokeweight=".06pt" strokecolor="#000000">
              <v:path arrowok="t"/>
              <v:stroke dashstyle="solid"/>
            </v:shape>
            <v:shape style="position:absolute;left:2683;top:2407;width:6375;height:2475" type="#_x0000_t75" stroked="false">
              <v:imagedata r:id="rId13" o:title=""/>
            </v:shape>
            <v:line style="position:absolute" from="6613,5032" to="6973,5032" stroked="true" strokeweight="1.5pt" strokecolor="#9a3300">
              <v:stroke dashstyle="solid"/>
            </v:line>
            <w10:wrap type="none"/>
          </v:group>
        </w:pict>
      </w:r>
      <w:r>
        <w:rPr/>
        <w:t>Trends Survey, which is recording the weakest output expectations since the early 1980s, as Chart 1 shows.</w:t>
      </w:r>
    </w:p>
    <w:p>
      <w:pPr>
        <w:pStyle w:val="BodyText"/>
        <w:spacing w:before="4"/>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3"/>
        <w:gridCol w:w="937"/>
        <w:gridCol w:w="937"/>
        <w:gridCol w:w="945"/>
        <w:gridCol w:w="840"/>
        <w:gridCol w:w="2085"/>
        <w:gridCol w:w="1296"/>
      </w:tblGrid>
      <w:tr>
        <w:trPr>
          <w:trHeight w:val="275" w:hRule="atLeast"/>
        </w:trPr>
        <w:tc>
          <w:tcPr>
            <w:tcW w:w="84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1: Output expectations and orders</w:t>
            </w:r>
          </w:p>
        </w:tc>
      </w:tr>
      <w:tr>
        <w:trPr>
          <w:trHeight w:val="276" w:hRule="atLeast"/>
        </w:trPr>
        <w:tc>
          <w:tcPr>
            <w:tcW w:w="84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sz w:val="24"/>
              </w:rPr>
            </w:pPr>
            <w:r>
              <w:rPr>
                <w:sz w:val="24"/>
              </w:rPr>
              <w:t>CBI Monthly Trends survey balances</w:t>
            </w:r>
          </w:p>
        </w:tc>
      </w:tr>
      <w:tr>
        <w:trPr>
          <w:trHeight w:val="423" w:hRule="atLeast"/>
        </w:trPr>
        <w:tc>
          <w:tcPr>
            <w:tcW w:w="1373" w:type="dxa"/>
            <w:tcBorders>
              <w:top w:val="single" w:sz="4" w:space="0" w:color="000000"/>
              <w:left w:val="single" w:sz="4" w:space="0" w:color="000000"/>
            </w:tcBorders>
          </w:tcPr>
          <w:p>
            <w:pPr>
              <w:pStyle w:val="TableParagraph"/>
              <w:rPr>
                <w:sz w:val="22"/>
              </w:rPr>
            </w:pPr>
          </w:p>
        </w:tc>
        <w:tc>
          <w:tcPr>
            <w:tcW w:w="937" w:type="dxa"/>
            <w:tcBorders>
              <w:top w:val="single" w:sz="4" w:space="0" w:color="000000"/>
            </w:tcBorders>
          </w:tcPr>
          <w:p>
            <w:pPr>
              <w:pStyle w:val="TableParagraph"/>
              <w:rPr>
                <w:sz w:val="22"/>
              </w:rPr>
            </w:pPr>
          </w:p>
        </w:tc>
        <w:tc>
          <w:tcPr>
            <w:tcW w:w="937" w:type="dxa"/>
            <w:tcBorders>
              <w:top w:val="single" w:sz="4" w:space="0" w:color="000000"/>
            </w:tcBorders>
          </w:tcPr>
          <w:p>
            <w:pPr>
              <w:pStyle w:val="TableParagraph"/>
              <w:rPr>
                <w:sz w:val="22"/>
              </w:rPr>
            </w:pPr>
          </w:p>
        </w:tc>
        <w:tc>
          <w:tcPr>
            <w:tcW w:w="945" w:type="dxa"/>
            <w:tcBorders>
              <w:top w:val="single" w:sz="4" w:space="0" w:color="000000"/>
            </w:tcBorders>
          </w:tcPr>
          <w:p>
            <w:pPr>
              <w:pStyle w:val="TableParagraph"/>
              <w:rPr>
                <w:sz w:val="22"/>
              </w:rPr>
            </w:pPr>
          </w:p>
        </w:tc>
        <w:tc>
          <w:tcPr>
            <w:tcW w:w="840" w:type="dxa"/>
            <w:tcBorders>
              <w:top w:val="single" w:sz="4" w:space="0" w:color="000000"/>
            </w:tcBorders>
          </w:tcPr>
          <w:p>
            <w:pPr>
              <w:pStyle w:val="TableParagraph"/>
              <w:rPr>
                <w:sz w:val="22"/>
              </w:rPr>
            </w:pPr>
          </w:p>
        </w:tc>
        <w:tc>
          <w:tcPr>
            <w:tcW w:w="2085" w:type="dxa"/>
            <w:tcBorders>
              <w:top w:val="single" w:sz="4" w:space="0" w:color="000000"/>
            </w:tcBorders>
          </w:tcPr>
          <w:p>
            <w:pPr>
              <w:pStyle w:val="TableParagraph"/>
              <w:rPr>
                <w:sz w:val="22"/>
              </w:rPr>
            </w:pPr>
          </w:p>
        </w:tc>
        <w:tc>
          <w:tcPr>
            <w:tcW w:w="1296" w:type="dxa"/>
            <w:tcBorders>
              <w:top w:val="single" w:sz="4" w:space="0" w:color="000000"/>
              <w:right w:val="single" w:sz="4" w:space="0" w:color="000000"/>
            </w:tcBorders>
          </w:tcPr>
          <w:p>
            <w:pPr>
              <w:pStyle w:val="TableParagraph"/>
              <w:spacing w:before="121"/>
              <w:ind w:left="252"/>
              <w:rPr>
                <w:rFonts w:ascii="Arial"/>
                <w:b/>
                <w:sz w:val="16"/>
              </w:rPr>
            </w:pPr>
            <w:r>
              <w:rPr>
                <w:rFonts w:ascii="Arial"/>
                <w:b/>
                <w:w w:val="105"/>
                <w:sz w:val="16"/>
              </w:rPr>
              <w:t>60</w:t>
            </w:r>
          </w:p>
        </w:tc>
      </w:tr>
      <w:tr>
        <w:trPr>
          <w:trHeight w:val="412" w:hRule="atLeast"/>
        </w:trPr>
        <w:tc>
          <w:tcPr>
            <w:tcW w:w="1373" w:type="dxa"/>
            <w:tcBorders>
              <w:left w:val="single" w:sz="4" w:space="0" w:color="000000"/>
            </w:tcBorders>
          </w:tcPr>
          <w:p>
            <w:pPr>
              <w:pStyle w:val="TableParagraph"/>
              <w:rPr>
                <w:sz w:val="22"/>
              </w:rPr>
            </w:pPr>
          </w:p>
        </w:tc>
        <w:tc>
          <w:tcPr>
            <w:tcW w:w="937" w:type="dxa"/>
          </w:tcPr>
          <w:p>
            <w:pPr>
              <w:pStyle w:val="TableParagraph"/>
              <w:rPr>
                <w:sz w:val="22"/>
              </w:rPr>
            </w:pPr>
          </w:p>
        </w:tc>
        <w:tc>
          <w:tcPr>
            <w:tcW w:w="937" w:type="dxa"/>
          </w:tcPr>
          <w:p>
            <w:pPr>
              <w:pStyle w:val="TableParagraph"/>
              <w:rPr>
                <w:sz w:val="22"/>
              </w:rPr>
            </w:pPr>
          </w:p>
        </w:tc>
        <w:tc>
          <w:tcPr>
            <w:tcW w:w="945" w:type="dxa"/>
          </w:tcPr>
          <w:p>
            <w:pPr>
              <w:pStyle w:val="TableParagraph"/>
              <w:rPr>
                <w:sz w:val="22"/>
              </w:rPr>
            </w:pPr>
          </w:p>
        </w:tc>
        <w:tc>
          <w:tcPr>
            <w:tcW w:w="840" w:type="dxa"/>
          </w:tcPr>
          <w:p>
            <w:pPr>
              <w:pStyle w:val="TableParagraph"/>
              <w:rPr>
                <w:sz w:val="22"/>
              </w:rPr>
            </w:pPr>
          </w:p>
        </w:tc>
        <w:tc>
          <w:tcPr>
            <w:tcW w:w="2085" w:type="dxa"/>
          </w:tcPr>
          <w:p>
            <w:pPr>
              <w:pStyle w:val="TableParagraph"/>
              <w:rPr>
                <w:sz w:val="22"/>
              </w:rPr>
            </w:pPr>
          </w:p>
        </w:tc>
        <w:tc>
          <w:tcPr>
            <w:tcW w:w="1296" w:type="dxa"/>
            <w:tcBorders>
              <w:right w:val="single" w:sz="4" w:space="0" w:color="000000"/>
            </w:tcBorders>
          </w:tcPr>
          <w:p>
            <w:pPr>
              <w:pStyle w:val="TableParagraph"/>
              <w:spacing w:before="117"/>
              <w:ind w:left="252"/>
              <w:rPr>
                <w:rFonts w:ascii="Arial"/>
                <w:b/>
                <w:sz w:val="16"/>
              </w:rPr>
            </w:pPr>
            <w:r>
              <w:rPr>
                <w:rFonts w:ascii="Arial"/>
                <w:b/>
                <w:w w:val="105"/>
                <w:sz w:val="16"/>
              </w:rPr>
              <w:t>40</w:t>
            </w:r>
          </w:p>
        </w:tc>
      </w:tr>
      <w:tr>
        <w:trPr>
          <w:trHeight w:val="412" w:hRule="atLeast"/>
        </w:trPr>
        <w:tc>
          <w:tcPr>
            <w:tcW w:w="1373" w:type="dxa"/>
            <w:tcBorders>
              <w:left w:val="single" w:sz="4" w:space="0" w:color="000000"/>
            </w:tcBorders>
          </w:tcPr>
          <w:p>
            <w:pPr>
              <w:pStyle w:val="TableParagraph"/>
              <w:rPr>
                <w:sz w:val="22"/>
              </w:rPr>
            </w:pPr>
          </w:p>
        </w:tc>
        <w:tc>
          <w:tcPr>
            <w:tcW w:w="937" w:type="dxa"/>
          </w:tcPr>
          <w:p>
            <w:pPr>
              <w:pStyle w:val="TableParagraph"/>
              <w:rPr>
                <w:sz w:val="22"/>
              </w:rPr>
            </w:pPr>
          </w:p>
        </w:tc>
        <w:tc>
          <w:tcPr>
            <w:tcW w:w="937" w:type="dxa"/>
          </w:tcPr>
          <w:p>
            <w:pPr>
              <w:pStyle w:val="TableParagraph"/>
              <w:rPr>
                <w:sz w:val="22"/>
              </w:rPr>
            </w:pPr>
          </w:p>
        </w:tc>
        <w:tc>
          <w:tcPr>
            <w:tcW w:w="945" w:type="dxa"/>
          </w:tcPr>
          <w:p>
            <w:pPr>
              <w:pStyle w:val="TableParagraph"/>
              <w:rPr>
                <w:sz w:val="22"/>
              </w:rPr>
            </w:pPr>
          </w:p>
        </w:tc>
        <w:tc>
          <w:tcPr>
            <w:tcW w:w="840" w:type="dxa"/>
          </w:tcPr>
          <w:p>
            <w:pPr>
              <w:pStyle w:val="TableParagraph"/>
              <w:rPr>
                <w:sz w:val="22"/>
              </w:rPr>
            </w:pPr>
          </w:p>
        </w:tc>
        <w:tc>
          <w:tcPr>
            <w:tcW w:w="2085" w:type="dxa"/>
          </w:tcPr>
          <w:p>
            <w:pPr>
              <w:pStyle w:val="TableParagraph"/>
              <w:rPr>
                <w:sz w:val="22"/>
              </w:rPr>
            </w:pPr>
          </w:p>
        </w:tc>
        <w:tc>
          <w:tcPr>
            <w:tcW w:w="1296" w:type="dxa"/>
            <w:tcBorders>
              <w:right w:val="single" w:sz="4" w:space="0" w:color="000000"/>
            </w:tcBorders>
          </w:tcPr>
          <w:p>
            <w:pPr>
              <w:pStyle w:val="TableParagraph"/>
              <w:spacing w:before="109"/>
              <w:ind w:left="252"/>
              <w:rPr>
                <w:rFonts w:ascii="Arial"/>
                <w:b/>
                <w:sz w:val="16"/>
              </w:rPr>
            </w:pPr>
            <w:r>
              <w:rPr>
                <w:rFonts w:ascii="Arial"/>
                <w:b/>
                <w:w w:val="105"/>
                <w:sz w:val="16"/>
              </w:rPr>
              <w:t>20</w:t>
            </w:r>
          </w:p>
        </w:tc>
      </w:tr>
      <w:tr>
        <w:trPr>
          <w:trHeight w:val="412" w:hRule="atLeast"/>
        </w:trPr>
        <w:tc>
          <w:tcPr>
            <w:tcW w:w="1373" w:type="dxa"/>
            <w:tcBorders>
              <w:left w:val="single" w:sz="4" w:space="0" w:color="000000"/>
            </w:tcBorders>
          </w:tcPr>
          <w:p>
            <w:pPr>
              <w:pStyle w:val="TableParagraph"/>
              <w:rPr>
                <w:sz w:val="22"/>
              </w:rPr>
            </w:pPr>
          </w:p>
        </w:tc>
        <w:tc>
          <w:tcPr>
            <w:tcW w:w="937" w:type="dxa"/>
          </w:tcPr>
          <w:p>
            <w:pPr>
              <w:pStyle w:val="TableParagraph"/>
              <w:rPr>
                <w:sz w:val="22"/>
              </w:rPr>
            </w:pPr>
          </w:p>
        </w:tc>
        <w:tc>
          <w:tcPr>
            <w:tcW w:w="937" w:type="dxa"/>
          </w:tcPr>
          <w:p>
            <w:pPr>
              <w:pStyle w:val="TableParagraph"/>
              <w:rPr>
                <w:sz w:val="22"/>
              </w:rPr>
            </w:pPr>
          </w:p>
        </w:tc>
        <w:tc>
          <w:tcPr>
            <w:tcW w:w="945" w:type="dxa"/>
          </w:tcPr>
          <w:p>
            <w:pPr>
              <w:pStyle w:val="TableParagraph"/>
              <w:rPr>
                <w:sz w:val="22"/>
              </w:rPr>
            </w:pPr>
          </w:p>
        </w:tc>
        <w:tc>
          <w:tcPr>
            <w:tcW w:w="840" w:type="dxa"/>
          </w:tcPr>
          <w:p>
            <w:pPr>
              <w:pStyle w:val="TableParagraph"/>
              <w:rPr>
                <w:sz w:val="22"/>
              </w:rPr>
            </w:pPr>
          </w:p>
        </w:tc>
        <w:tc>
          <w:tcPr>
            <w:tcW w:w="2085" w:type="dxa"/>
          </w:tcPr>
          <w:p>
            <w:pPr>
              <w:pStyle w:val="TableParagraph"/>
              <w:rPr>
                <w:sz w:val="22"/>
              </w:rPr>
            </w:pPr>
          </w:p>
        </w:tc>
        <w:tc>
          <w:tcPr>
            <w:tcW w:w="1296" w:type="dxa"/>
            <w:tcBorders>
              <w:right w:val="single" w:sz="4" w:space="0" w:color="000000"/>
            </w:tcBorders>
          </w:tcPr>
          <w:p>
            <w:pPr>
              <w:pStyle w:val="TableParagraph"/>
              <w:spacing w:before="117"/>
              <w:ind w:left="252"/>
              <w:rPr>
                <w:rFonts w:ascii="Arial"/>
                <w:b/>
                <w:sz w:val="16"/>
              </w:rPr>
            </w:pPr>
            <w:r>
              <w:rPr>
                <w:rFonts w:ascii="Arial"/>
                <w:b/>
                <w:w w:val="103"/>
                <w:sz w:val="16"/>
              </w:rPr>
              <w:t>0</w:t>
            </w:r>
          </w:p>
        </w:tc>
      </w:tr>
      <w:tr>
        <w:trPr>
          <w:trHeight w:val="412" w:hRule="atLeast"/>
        </w:trPr>
        <w:tc>
          <w:tcPr>
            <w:tcW w:w="1373" w:type="dxa"/>
            <w:tcBorders>
              <w:left w:val="single" w:sz="4" w:space="0" w:color="000000"/>
            </w:tcBorders>
          </w:tcPr>
          <w:p>
            <w:pPr>
              <w:pStyle w:val="TableParagraph"/>
              <w:rPr>
                <w:sz w:val="22"/>
              </w:rPr>
            </w:pPr>
          </w:p>
        </w:tc>
        <w:tc>
          <w:tcPr>
            <w:tcW w:w="937" w:type="dxa"/>
          </w:tcPr>
          <w:p>
            <w:pPr>
              <w:pStyle w:val="TableParagraph"/>
              <w:rPr>
                <w:sz w:val="22"/>
              </w:rPr>
            </w:pPr>
          </w:p>
        </w:tc>
        <w:tc>
          <w:tcPr>
            <w:tcW w:w="937" w:type="dxa"/>
          </w:tcPr>
          <w:p>
            <w:pPr>
              <w:pStyle w:val="TableParagraph"/>
              <w:rPr>
                <w:sz w:val="22"/>
              </w:rPr>
            </w:pPr>
          </w:p>
        </w:tc>
        <w:tc>
          <w:tcPr>
            <w:tcW w:w="945" w:type="dxa"/>
          </w:tcPr>
          <w:p>
            <w:pPr>
              <w:pStyle w:val="TableParagraph"/>
              <w:rPr>
                <w:sz w:val="22"/>
              </w:rPr>
            </w:pPr>
          </w:p>
        </w:tc>
        <w:tc>
          <w:tcPr>
            <w:tcW w:w="840" w:type="dxa"/>
          </w:tcPr>
          <w:p>
            <w:pPr>
              <w:pStyle w:val="TableParagraph"/>
              <w:rPr>
                <w:sz w:val="22"/>
              </w:rPr>
            </w:pPr>
          </w:p>
        </w:tc>
        <w:tc>
          <w:tcPr>
            <w:tcW w:w="2085" w:type="dxa"/>
          </w:tcPr>
          <w:p>
            <w:pPr>
              <w:pStyle w:val="TableParagraph"/>
              <w:rPr>
                <w:sz w:val="22"/>
              </w:rPr>
            </w:pPr>
          </w:p>
        </w:tc>
        <w:tc>
          <w:tcPr>
            <w:tcW w:w="1296" w:type="dxa"/>
            <w:tcBorders>
              <w:right w:val="single" w:sz="4" w:space="0" w:color="000000"/>
            </w:tcBorders>
          </w:tcPr>
          <w:p>
            <w:pPr>
              <w:pStyle w:val="TableParagraph"/>
              <w:spacing w:before="110"/>
              <w:ind w:left="252"/>
              <w:rPr>
                <w:rFonts w:ascii="Arial"/>
                <w:b/>
                <w:sz w:val="16"/>
              </w:rPr>
            </w:pPr>
            <w:r>
              <w:rPr>
                <w:rFonts w:ascii="Arial"/>
                <w:b/>
                <w:w w:val="105"/>
                <w:sz w:val="16"/>
              </w:rPr>
              <w:t>-20</w:t>
            </w:r>
          </w:p>
        </w:tc>
      </w:tr>
      <w:tr>
        <w:trPr>
          <w:trHeight w:val="412" w:hRule="atLeast"/>
        </w:trPr>
        <w:tc>
          <w:tcPr>
            <w:tcW w:w="1373" w:type="dxa"/>
            <w:tcBorders>
              <w:left w:val="single" w:sz="4" w:space="0" w:color="000000"/>
            </w:tcBorders>
          </w:tcPr>
          <w:p>
            <w:pPr>
              <w:pStyle w:val="TableParagraph"/>
              <w:rPr>
                <w:sz w:val="22"/>
              </w:rPr>
            </w:pPr>
          </w:p>
        </w:tc>
        <w:tc>
          <w:tcPr>
            <w:tcW w:w="937" w:type="dxa"/>
          </w:tcPr>
          <w:p>
            <w:pPr>
              <w:pStyle w:val="TableParagraph"/>
              <w:rPr>
                <w:sz w:val="22"/>
              </w:rPr>
            </w:pPr>
          </w:p>
        </w:tc>
        <w:tc>
          <w:tcPr>
            <w:tcW w:w="937" w:type="dxa"/>
          </w:tcPr>
          <w:p>
            <w:pPr>
              <w:pStyle w:val="TableParagraph"/>
              <w:rPr>
                <w:sz w:val="22"/>
              </w:rPr>
            </w:pPr>
          </w:p>
        </w:tc>
        <w:tc>
          <w:tcPr>
            <w:tcW w:w="945" w:type="dxa"/>
          </w:tcPr>
          <w:p>
            <w:pPr>
              <w:pStyle w:val="TableParagraph"/>
              <w:rPr>
                <w:sz w:val="22"/>
              </w:rPr>
            </w:pPr>
          </w:p>
        </w:tc>
        <w:tc>
          <w:tcPr>
            <w:tcW w:w="840" w:type="dxa"/>
          </w:tcPr>
          <w:p>
            <w:pPr>
              <w:pStyle w:val="TableParagraph"/>
              <w:rPr>
                <w:sz w:val="22"/>
              </w:rPr>
            </w:pPr>
          </w:p>
        </w:tc>
        <w:tc>
          <w:tcPr>
            <w:tcW w:w="2085" w:type="dxa"/>
          </w:tcPr>
          <w:p>
            <w:pPr>
              <w:pStyle w:val="TableParagraph"/>
              <w:rPr>
                <w:sz w:val="22"/>
              </w:rPr>
            </w:pPr>
          </w:p>
        </w:tc>
        <w:tc>
          <w:tcPr>
            <w:tcW w:w="1296" w:type="dxa"/>
            <w:tcBorders>
              <w:right w:val="single" w:sz="4" w:space="0" w:color="000000"/>
            </w:tcBorders>
          </w:tcPr>
          <w:p>
            <w:pPr>
              <w:pStyle w:val="TableParagraph"/>
              <w:spacing w:before="117"/>
              <w:ind w:left="252"/>
              <w:rPr>
                <w:rFonts w:ascii="Arial"/>
                <w:b/>
                <w:sz w:val="16"/>
              </w:rPr>
            </w:pPr>
            <w:r>
              <w:rPr>
                <w:rFonts w:ascii="Arial"/>
                <w:b/>
                <w:w w:val="105"/>
                <w:sz w:val="16"/>
              </w:rPr>
              <w:t>-40</w:t>
            </w:r>
          </w:p>
        </w:tc>
      </w:tr>
      <w:tr>
        <w:trPr>
          <w:trHeight w:val="299" w:hRule="atLeast"/>
        </w:trPr>
        <w:tc>
          <w:tcPr>
            <w:tcW w:w="1373" w:type="dxa"/>
            <w:tcBorders>
              <w:left w:val="single" w:sz="4" w:space="0" w:color="000000"/>
            </w:tcBorders>
          </w:tcPr>
          <w:p>
            <w:pPr>
              <w:pStyle w:val="TableParagraph"/>
              <w:rPr>
                <w:sz w:val="22"/>
              </w:rPr>
            </w:pPr>
          </w:p>
        </w:tc>
        <w:tc>
          <w:tcPr>
            <w:tcW w:w="937" w:type="dxa"/>
          </w:tcPr>
          <w:p>
            <w:pPr>
              <w:pStyle w:val="TableParagraph"/>
              <w:rPr>
                <w:sz w:val="22"/>
              </w:rPr>
            </w:pPr>
          </w:p>
        </w:tc>
        <w:tc>
          <w:tcPr>
            <w:tcW w:w="937" w:type="dxa"/>
          </w:tcPr>
          <w:p>
            <w:pPr>
              <w:pStyle w:val="TableParagraph"/>
              <w:rPr>
                <w:sz w:val="22"/>
              </w:rPr>
            </w:pPr>
          </w:p>
        </w:tc>
        <w:tc>
          <w:tcPr>
            <w:tcW w:w="945" w:type="dxa"/>
          </w:tcPr>
          <w:p>
            <w:pPr>
              <w:pStyle w:val="TableParagraph"/>
              <w:rPr>
                <w:sz w:val="22"/>
              </w:rPr>
            </w:pPr>
          </w:p>
        </w:tc>
        <w:tc>
          <w:tcPr>
            <w:tcW w:w="840" w:type="dxa"/>
          </w:tcPr>
          <w:p>
            <w:pPr>
              <w:pStyle w:val="TableParagraph"/>
              <w:rPr>
                <w:sz w:val="22"/>
              </w:rPr>
            </w:pPr>
          </w:p>
        </w:tc>
        <w:tc>
          <w:tcPr>
            <w:tcW w:w="2085" w:type="dxa"/>
          </w:tcPr>
          <w:p>
            <w:pPr>
              <w:pStyle w:val="TableParagraph"/>
              <w:rPr>
                <w:sz w:val="22"/>
              </w:rPr>
            </w:pPr>
          </w:p>
        </w:tc>
        <w:tc>
          <w:tcPr>
            <w:tcW w:w="1296" w:type="dxa"/>
            <w:tcBorders>
              <w:right w:val="single" w:sz="4" w:space="0" w:color="000000"/>
            </w:tcBorders>
          </w:tcPr>
          <w:p>
            <w:pPr>
              <w:pStyle w:val="TableParagraph"/>
              <w:spacing w:line="171" w:lineRule="exact" w:before="109"/>
              <w:ind w:left="252"/>
              <w:rPr>
                <w:rFonts w:ascii="Arial"/>
                <w:b/>
                <w:sz w:val="16"/>
              </w:rPr>
            </w:pPr>
            <w:r>
              <w:rPr>
                <w:rFonts w:ascii="Arial"/>
                <w:b/>
                <w:w w:val="105"/>
                <w:sz w:val="16"/>
              </w:rPr>
              <w:t>-60</w:t>
            </w:r>
          </w:p>
        </w:tc>
      </w:tr>
      <w:tr>
        <w:trPr>
          <w:trHeight w:val="210" w:hRule="atLeast"/>
        </w:trPr>
        <w:tc>
          <w:tcPr>
            <w:tcW w:w="1373" w:type="dxa"/>
            <w:tcBorders>
              <w:left w:val="single" w:sz="4" w:space="0" w:color="000000"/>
            </w:tcBorders>
          </w:tcPr>
          <w:p>
            <w:pPr>
              <w:pStyle w:val="TableParagraph"/>
              <w:rPr>
                <w:sz w:val="14"/>
              </w:rPr>
            </w:pPr>
          </w:p>
        </w:tc>
        <w:tc>
          <w:tcPr>
            <w:tcW w:w="937" w:type="dxa"/>
          </w:tcPr>
          <w:p>
            <w:pPr>
              <w:pStyle w:val="TableParagraph"/>
              <w:rPr>
                <w:sz w:val="14"/>
              </w:rPr>
            </w:pPr>
          </w:p>
        </w:tc>
        <w:tc>
          <w:tcPr>
            <w:tcW w:w="937" w:type="dxa"/>
          </w:tcPr>
          <w:p>
            <w:pPr>
              <w:pStyle w:val="TableParagraph"/>
              <w:rPr>
                <w:sz w:val="14"/>
              </w:rPr>
            </w:pPr>
          </w:p>
        </w:tc>
        <w:tc>
          <w:tcPr>
            <w:tcW w:w="945" w:type="dxa"/>
          </w:tcPr>
          <w:p>
            <w:pPr>
              <w:pStyle w:val="TableParagraph"/>
              <w:rPr>
                <w:sz w:val="14"/>
              </w:rPr>
            </w:pPr>
          </w:p>
        </w:tc>
        <w:tc>
          <w:tcPr>
            <w:tcW w:w="840" w:type="dxa"/>
          </w:tcPr>
          <w:p>
            <w:pPr>
              <w:pStyle w:val="TableParagraph"/>
              <w:rPr>
                <w:sz w:val="14"/>
              </w:rPr>
            </w:pPr>
          </w:p>
        </w:tc>
        <w:tc>
          <w:tcPr>
            <w:tcW w:w="2085" w:type="dxa"/>
          </w:tcPr>
          <w:p>
            <w:pPr>
              <w:pStyle w:val="TableParagraph"/>
              <w:spacing w:before="5"/>
              <w:ind w:left="191"/>
              <w:rPr>
                <w:rFonts w:ascii="Arial"/>
                <w:b/>
                <w:sz w:val="16"/>
              </w:rPr>
            </w:pPr>
            <w:r>
              <w:rPr>
                <w:rFonts w:ascii="Arial"/>
                <w:b/>
                <w:w w:val="105"/>
                <w:sz w:val="16"/>
              </w:rPr>
              <w:t>Total orders</w:t>
            </w:r>
          </w:p>
        </w:tc>
        <w:tc>
          <w:tcPr>
            <w:tcW w:w="1296" w:type="dxa"/>
            <w:tcBorders>
              <w:right w:val="single" w:sz="4" w:space="0" w:color="000000"/>
            </w:tcBorders>
          </w:tcPr>
          <w:p>
            <w:pPr>
              <w:pStyle w:val="TableParagraph"/>
              <w:rPr>
                <w:sz w:val="14"/>
              </w:rPr>
            </w:pPr>
          </w:p>
        </w:tc>
      </w:tr>
      <w:tr>
        <w:trPr>
          <w:trHeight w:val="180" w:hRule="atLeast"/>
        </w:trPr>
        <w:tc>
          <w:tcPr>
            <w:tcW w:w="1373" w:type="dxa"/>
            <w:tcBorders>
              <w:left w:val="single" w:sz="4" w:space="0" w:color="000000"/>
            </w:tcBorders>
          </w:tcPr>
          <w:p>
            <w:pPr>
              <w:pStyle w:val="TableParagraph"/>
              <w:rPr>
                <w:sz w:val="12"/>
              </w:rPr>
            </w:pPr>
          </w:p>
        </w:tc>
        <w:tc>
          <w:tcPr>
            <w:tcW w:w="937" w:type="dxa"/>
          </w:tcPr>
          <w:p>
            <w:pPr>
              <w:pStyle w:val="TableParagraph"/>
              <w:rPr>
                <w:sz w:val="12"/>
              </w:rPr>
            </w:pPr>
          </w:p>
        </w:tc>
        <w:tc>
          <w:tcPr>
            <w:tcW w:w="937" w:type="dxa"/>
          </w:tcPr>
          <w:p>
            <w:pPr>
              <w:pStyle w:val="TableParagraph"/>
              <w:rPr>
                <w:sz w:val="12"/>
              </w:rPr>
            </w:pPr>
          </w:p>
        </w:tc>
        <w:tc>
          <w:tcPr>
            <w:tcW w:w="945" w:type="dxa"/>
          </w:tcPr>
          <w:p>
            <w:pPr>
              <w:pStyle w:val="TableParagraph"/>
              <w:rPr>
                <w:sz w:val="12"/>
              </w:rPr>
            </w:pPr>
          </w:p>
        </w:tc>
        <w:tc>
          <w:tcPr>
            <w:tcW w:w="840" w:type="dxa"/>
          </w:tcPr>
          <w:p>
            <w:pPr>
              <w:pStyle w:val="TableParagraph"/>
              <w:rPr>
                <w:sz w:val="12"/>
              </w:rPr>
            </w:pPr>
          </w:p>
        </w:tc>
        <w:tc>
          <w:tcPr>
            <w:tcW w:w="2085" w:type="dxa"/>
          </w:tcPr>
          <w:p>
            <w:pPr>
              <w:pStyle w:val="TableParagraph"/>
              <w:rPr>
                <w:sz w:val="12"/>
              </w:rPr>
            </w:pPr>
          </w:p>
        </w:tc>
        <w:tc>
          <w:tcPr>
            <w:tcW w:w="1296" w:type="dxa"/>
            <w:tcBorders>
              <w:right w:val="single" w:sz="4" w:space="0" w:color="000000"/>
            </w:tcBorders>
          </w:tcPr>
          <w:p>
            <w:pPr>
              <w:pStyle w:val="TableParagraph"/>
              <w:spacing w:line="141" w:lineRule="exact" w:before="19"/>
              <w:ind w:left="252"/>
              <w:rPr>
                <w:rFonts w:ascii="Arial"/>
                <w:b/>
                <w:sz w:val="16"/>
              </w:rPr>
            </w:pPr>
            <w:r>
              <w:rPr>
                <w:rFonts w:ascii="Arial"/>
                <w:b/>
                <w:w w:val="105"/>
                <w:sz w:val="16"/>
              </w:rPr>
              <w:t>-80</w:t>
            </w:r>
          </w:p>
        </w:tc>
      </w:tr>
      <w:tr>
        <w:trPr>
          <w:trHeight w:val="202" w:hRule="atLeast"/>
        </w:trPr>
        <w:tc>
          <w:tcPr>
            <w:tcW w:w="1373" w:type="dxa"/>
            <w:tcBorders>
              <w:left w:val="single" w:sz="4" w:space="0" w:color="000000"/>
            </w:tcBorders>
          </w:tcPr>
          <w:p>
            <w:pPr>
              <w:pStyle w:val="TableParagraph"/>
              <w:rPr>
                <w:sz w:val="14"/>
              </w:rPr>
            </w:pPr>
          </w:p>
        </w:tc>
        <w:tc>
          <w:tcPr>
            <w:tcW w:w="937" w:type="dxa"/>
          </w:tcPr>
          <w:p>
            <w:pPr>
              <w:pStyle w:val="TableParagraph"/>
              <w:rPr>
                <w:sz w:val="14"/>
              </w:rPr>
            </w:pPr>
          </w:p>
        </w:tc>
        <w:tc>
          <w:tcPr>
            <w:tcW w:w="937" w:type="dxa"/>
          </w:tcPr>
          <w:p>
            <w:pPr>
              <w:pStyle w:val="TableParagraph"/>
              <w:rPr>
                <w:sz w:val="14"/>
              </w:rPr>
            </w:pPr>
          </w:p>
        </w:tc>
        <w:tc>
          <w:tcPr>
            <w:tcW w:w="945" w:type="dxa"/>
          </w:tcPr>
          <w:p>
            <w:pPr>
              <w:pStyle w:val="TableParagraph"/>
              <w:rPr>
                <w:sz w:val="14"/>
              </w:rPr>
            </w:pPr>
          </w:p>
        </w:tc>
        <w:tc>
          <w:tcPr>
            <w:tcW w:w="840" w:type="dxa"/>
          </w:tcPr>
          <w:p>
            <w:pPr>
              <w:pStyle w:val="TableParagraph"/>
              <w:rPr>
                <w:sz w:val="14"/>
              </w:rPr>
            </w:pPr>
          </w:p>
        </w:tc>
        <w:tc>
          <w:tcPr>
            <w:tcW w:w="2085" w:type="dxa"/>
          </w:tcPr>
          <w:p>
            <w:pPr>
              <w:pStyle w:val="TableParagraph"/>
              <w:spacing w:line="159" w:lineRule="exact"/>
              <w:ind w:left="191"/>
              <w:rPr>
                <w:rFonts w:ascii="Arial"/>
                <w:b/>
                <w:sz w:val="16"/>
              </w:rPr>
            </w:pPr>
            <w:r>
              <w:rPr>
                <w:rFonts w:ascii="Arial"/>
                <w:b/>
                <w:w w:val="105"/>
                <w:sz w:val="16"/>
              </w:rPr>
              <w:t>Output expectations</w:t>
            </w:r>
          </w:p>
        </w:tc>
        <w:tc>
          <w:tcPr>
            <w:tcW w:w="1296" w:type="dxa"/>
            <w:tcBorders>
              <w:right w:val="single" w:sz="4" w:space="0" w:color="000000"/>
            </w:tcBorders>
          </w:tcPr>
          <w:p>
            <w:pPr>
              <w:pStyle w:val="TableParagraph"/>
              <w:rPr>
                <w:sz w:val="14"/>
              </w:rPr>
            </w:pPr>
          </w:p>
        </w:tc>
      </w:tr>
      <w:tr>
        <w:trPr>
          <w:trHeight w:val="254" w:hRule="atLeast"/>
        </w:trPr>
        <w:tc>
          <w:tcPr>
            <w:tcW w:w="1373" w:type="dxa"/>
            <w:tcBorders>
              <w:left w:val="single" w:sz="4" w:space="0" w:color="000000"/>
            </w:tcBorders>
          </w:tcPr>
          <w:p>
            <w:pPr>
              <w:pStyle w:val="TableParagraph"/>
              <w:rPr>
                <w:sz w:val="18"/>
              </w:rPr>
            </w:pPr>
          </w:p>
        </w:tc>
        <w:tc>
          <w:tcPr>
            <w:tcW w:w="937" w:type="dxa"/>
          </w:tcPr>
          <w:p>
            <w:pPr>
              <w:pStyle w:val="TableParagraph"/>
              <w:rPr>
                <w:sz w:val="18"/>
              </w:rPr>
            </w:pPr>
          </w:p>
        </w:tc>
        <w:tc>
          <w:tcPr>
            <w:tcW w:w="937" w:type="dxa"/>
          </w:tcPr>
          <w:p>
            <w:pPr>
              <w:pStyle w:val="TableParagraph"/>
              <w:rPr>
                <w:sz w:val="18"/>
              </w:rPr>
            </w:pPr>
          </w:p>
        </w:tc>
        <w:tc>
          <w:tcPr>
            <w:tcW w:w="945" w:type="dxa"/>
          </w:tcPr>
          <w:p>
            <w:pPr>
              <w:pStyle w:val="TableParagraph"/>
              <w:rPr>
                <w:sz w:val="18"/>
              </w:rPr>
            </w:pPr>
          </w:p>
        </w:tc>
        <w:tc>
          <w:tcPr>
            <w:tcW w:w="840" w:type="dxa"/>
          </w:tcPr>
          <w:p>
            <w:pPr>
              <w:pStyle w:val="TableParagraph"/>
              <w:rPr>
                <w:sz w:val="18"/>
              </w:rPr>
            </w:pPr>
          </w:p>
        </w:tc>
        <w:tc>
          <w:tcPr>
            <w:tcW w:w="2085" w:type="dxa"/>
          </w:tcPr>
          <w:p>
            <w:pPr>
              <w:pStyle w:val="TableParagraph"/>
              <w:rPr>
                <w:sz w:val="18"/>
              </w:rPr>
            </w:pPr>
          </w:p>
        </w:tc>
        <w:tc>
          <w:tcPr>
            <w:tcW w:w="1296" w:type="dxa"/>
            <w:tcBorders>
              <w:right w:val="single" w:sz="4" w:space="0" w:color="000000"/>
            </w:tcBorders>
          </w:tcPr>
          <w:p>
            <w:pPr>
              <w:pStyle w:val="TableParagraph"/>
              <w:spacing w:before="42"/>
              <w:ind w:left="252"/>
              <w:rPr>
                <w:rFonts w:ascii="Arial"/>
                <w:b/>
                <w:sz w:val="16"/>
              </w:rPr>
            </w:pPr>
            <w:r>
              <w:rPr>
                <w:rFonts w:ascii="Arial"/>
                <w:b/>
                <w:w w:val="105"/>
                <w:sz w:val="16"/>
              </w:rPr>
              <w:t>-100</w:t>
            </w:r>
          </w:p>
        </w:tc>
      </w:tr>
      <w:tr>
        <w:trPr>
          <w:trHeight w:val="370" w:hRule="atLeast"/>
        </w:trPr>
        <w:tc>
          <w:tcPr>
            <w:tcW w:w="1373" w:type="dxa"/>
            <w:tcBorders>
              <w:left w:val="single" w:sz="4" w:space="0" w:color="000000"/>
              <w:bottom w:val="single" w:sz="4" w:space="0" w:color="000000"/>
            </w:tcBorders>
          </w:tcPr>
          <w:p>
            <w:pPr>
              <w:pStyle w:val="TableParagraph"/>
              <w:spacing w:before="27"/>
              <w:ind w:left="719"/>
              <w:rPr>
                <w:rFonts w:ascii="Arial"/>
                <w:b/>
                <w:sz w:val="16"/>
              </w:rPr>
            </w:pPr>
            <w:r>
              <w:rPr>
                <w:rFonts w:ascii="Arial"/>
                <w:b/>
                <w:w w:val="105"/>
                <w:sz w:val="16"/>
              </w:rPr>
              <w:t>1975</w:t>
            </w:r>
          </w:p>
        </w:tc>
        <w:tc>
          <w:tcPr>
            <w:tcW w:w="937" w:type="dxa"/>
            <w:tcBorders>
              <w:bottom w:val="single" w:sz="4" w:space="0" w:color="000000"/>
            </w:tcBorders>
          </w:tcPr>
          <w:p>
            <w:pPr>
              <w:pStyle w:val="TableParagraph"/>
              <w:spacing w:before="27"/>
              <w:ind w:left="296"/>
              <w:rPr>
                <w:rFonts w:ascii="Arial"/>
                <w:b/>
                <w:sz w:val="16"/>
              </w:rPr>
            </w:pPr>
            <w:r>
              <w:rPr>
                <w:rFonts w:ascii="Arial"/>
                <w:b/>
                <w:w w:val="105"/>
                <w:sz w:val="16"/>
              </w:rPr>
              <w:t>1980</w:t>
            </w:r>
          </w:p>
        </w:tc>
        <w:tc>
          <w:tcPr>
            <w:tcW w:w="937" w:type="dxa"/>
            <w:tcBorders>
              <w:bottom w:val="single" w:sz="4" w:space="0" w:color="000000"/>
            </w:tcBorders>
          </w:tcPr>
          <w:p>
            <w:pPr>
              <w:pStyle w:val="TableParagraph"/>
              <w:spacing w:before="27"/>
              <w:ind w:left="288"/>
              <w:rPr>
                <w:rFonts w:ascii="Arial"/>
                <w:b/>
                <w:sz w:val="16"/>
              </w:rPr>
            </w:pPr>
            <w:r>
              <w:rPr>
                <w:rFonts w:ascii="Arial"/>
                <w:b/>
                <w:w w:val="105"/>
                <w:sz w:val="16"/>
              </w:rPr>
              <w:t>1985</w:t>
            </w:r>
          </w:p>
        </w:tc>
        <w:tc>
          <w:tcPr>
            <w:tcW w:w="945" w:type="dxa"/>
            <w:tcBorders>
              <w:bottom w:val="single" w:sz="4" w:space="0" w:color="000000"/>
            </w:tcBorders>
          </w:tcPr>
          <w:p>
            <w:pPr>
              <w:pStyle w:val="TableParagraph"/>
              <w:spacing w:before="27"/>
              <w:ind w:left="296"/>
              <w:rPr>
                <w:rFonts w:ascii="Arial"/>
                <w:b/>
                <w:sz w:val="16"/>
              </w:rPr>
            </w:pPr>
            <w:r>
              <w:rPr>
                <w:rFonts w:ascii="Arial"/>
                <w:b/>
                <w:w w:val="105"/>
                <w:sz w:val="16"/>
              </w:rPr>
              <w:t>1990</w:t>
            </w:r>
          </w:p>
        </w:tc>
        <w:tc>
          <w:tcPr>
            <w:tcW w:w="840" w:type="dxa"/>
            <w:tcBorders>
              <w:bottom w:val="single" w:sz="4" w:space="0" w:color="000000"/>
            </w:tcBorders>
          </w:tcPr>
          <w:p>
            <w:pPr>
              <w:pStyle w:val="TableParagraph"/>
              <w:spacing w:before="27"/>
              <w:ind w:left="296"/>
              <w:rPr>
                <w:rFonts w:ascii="Arial"/>
                <w:b/>
                <w:sz w:val="16"/>
              </w:rPr>
            </w:pPr>
            <w:r>
              <w:rPr>
                <w:rFonts w:ascii="Arial"/>
                <w:b/>
                <w:w w:val="105"/>
                <w:sz w:val="16"/>
              </w:rPr>
              <w:t>1995</w:t>
            </w:r>
          </w:p>
        </w:tc>
        <w:tc>
          <w:tcPr>
            <w:tcW w:w="2085" w:type="dxa"/>
            <w:tcBorders>
              <w:bottom w:val="single" w:sz="4" w:space="0" w:color="000000"/>
            </w:tcBorders>
          </w:tcPr>
          <w:p>
            <w:pPr>
              <w:pStyle w:val="TableParagraph"/>
              <w:tabs>
                <w:tab w:pos="1330" w:val="left" w:leader="none"/>
              </w:tabs>
              <w:spacing w:before="27"/>
              <w:ind w:left="386"/>
              <w:rPr>
                <w:rFonts w:ascii="Arial"/>
                <w:b/>
                <w:sz w:val="16"/>
              </w:rPr>
            </w:pPr>
            <w:r>
              <w:rPr>
                <w:rFonts w:ascii="Arial"/>
                <w:b/>
                <w:w w:val="105"/>
                <w:sz w:val="16"/>
              </w:rPr>
              <w:t>2000</w:t>
              <w:tab/>
              <w:t>2005</w:t>
            </w:r>
          </w:p>
        </w:tc>
        <w:tc>
          <w:tcPr>
            <w:tcW w:w="1296" w:type="dxa"/>
            <w:tcBorders>
              <w:bottom w:val="single" w:sz="4" w:space="0" w:color="000000"/>
              <w:right w:val="single" w:sz="4" w:space="0" w:color="000000"/>
            </w:tcBorders>
          </w:tcPr>
          <w:p>
            <w:pPr>
              <w:pStyle w:val="TableParagraph"/>
              <w:rPr>
                <w:sz w:val="22"/>
              </w:rPr>
            </w:pPr>
          </w:p>
        </w:tc>
      </w:tr>
      <w:tr>
        <w:trPr>
          <w:trHeight w:val="700" w:hRule="atLeast"/>
        </w:trPr>
        <w:tc>
          <w:tcPr>
            <w:tcW w:w="84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Note: </w:t>
            </w:r>
            <w:r>
              <w:rPr>
                <w:sz w:val="20"/>
              </w:rPr>
              <w:t>The survey covers manufacturing firms only</w:t>
            </w:r>
          </w:p>
          <w:p>
            <w:pPr>
              <w:pStyle w:val="TableParagraph"/>
              <w:spacing w:before="120"/>
              <w:ind w:left="107"/>
              <w:rPr>
                <w:sz w:val="20"/>
              </w:rPr>
            </w:pPr>
            <w:r>
              <w:rPr>
                <w:i/>
                <w:sz w:val="20"/>
              </w:rPr>
              <w:t>Source: </w:t>
            </w:r>
            <w:r>
              <w:rPr>
                <w:sz w:val="20"/>
              </w:rPr>
              <w:t>CBI</w:t>
            </w:r>
          </w:p>
        </w:tc>
      </w:tr>
    </w:tbl>
    <w:p>
      <w:pPr>
        <w:pStyle w:val="BodyText"/>
        <w:spacing w:before="10"/>
        <w:rPr>
          <w:sz w:val="27"/>
        </w:rPr>
      </w:pPr>
    </w:p>
    <w:p>
      <w:pPr>
        <w:pStyle w:val="BodyText"/>
        <w:spacing w:line="360" w:lineRule="auto" w:before="90"/>
        <w:ind w:left="1019" w:right="535"/>
        <w:jc w:val="both"/>
      </w:pPr>
      <w:r>
        <w:rPr/>
        <w:t>This is consistent with an acceleration in the downturn driven by weak global demand and reinforced by a stock cycle in which lower demand from final consumers ripples down the supply chain. Both weak global demand and a rundown in stock levels throughout the supply chain are likely to affect manufacturing industry more than other sectors – and the survey evidence is consistent with this view. This stock cycle and the knock-on consequences of weak global demand may have further to run – particularly for durable purchases such as motor cars. Further reductions in output are therefore likely in the first half of next year.</w:t>
      </w:r>
    </w:p>
    <w:p>
      <w:pPr>
        <w:pStyle w:val="BodyText"/>
        <w:rPr>
          <w:sz w:val="36"/>
        </w:rPr>
      </w:pPr>
    </w:p>
    <w:p>
      <w:pPr>
        <w:pStyle w:val="BodyText"/>
        <w:spacing w:line="360" w:lineRule="auto"/>
        <w:ind w:left="1020" w:right="536"/>
        <w:jc w:val="both"/>
      </w:pPr>
      <w:r>
        <w:rPr/>
        <w:t>Even if we do see a recovery beginning in the second half of 2009 – as suggested by the Bank’s November Inflation Report forecast – this recession is likely to be comparable in length and depth with the previous three major post-war UK downturns in the mid-70s, early-80s and early-90s.</w:t>
      </w:r>
      <w:r>
        <w:rPr>
          <w:vertAlign w:val="superscript"/>
        </w:rPr>
        <w:t>3</w:t>
      </w:r>
      <w:r>
        <w:rPr>
          <w:vertAlign w:val="baseline"/>
        </w:rPr>
        <w:t> In each of these earlier episodes, the output</w:t>
      </w:r>
    </w:p>
    <w:p>
      <w:pPr>
        <w:pStyle w:val="BodyText"/>
        <w:rPr>
          <w:sz w:val="20"/>
        </w:rPr>
      </w:pPr>
    </w:p>
    <w:p>
      <w:pPr>
        <w:pStyle w:val="BodyText"/>
        <w:rPr>
          <w:sz w:val="20"/>
        </w:rPr>
      </w:pPr>
    </w:p>
    <w:p>
      <w:pPr>
        <w:pStyle w:val="BodyText"/>
        <w:rPr>
          <w:sz w:val="20"/>
        </w:rPr>
      </w:pPr>
    </w:p>
    <w:p>
      <w:pPr>
        <w:pStyle w:val="BodyText"/>
        <w:spacing w:before="1"/>
        <w:rPr>
          <w:sz w:val="22"/>
        </w:rPr>
      </w:pPr>
    </w:p>
    <w:p>
      <w:pPr>
        <w:spacing w:before="94"/>
        <w:ind w:left="1019" w:right="537" w:firstLine="0"/>
        <w:jc w:val="left"/>
        <w:rPr>
          <w:sz w:val="20"/>
        </w:rPr>
      </w:pPr>
      <w:r>
        <w:rPr>
          <w:position w:val="9"/>
          <w:sz w:val="13"/>
        </w:rPr>
        <w:t>3 </w:t>
      </w:r>
      <w:r>
        <w:rPr>
          <w:sz w:val="20"/>
        </w:rPr>
        <w:t>The November Inflation Report forecast was for a recession that is slightly less deep than in the three major post-war UK downturns. However, recent survey data have been weaker than that forecast implied and so I now expect the recession to be of comparable depth to those previous downturns.</w:t>
      </w:r>
    </w:p>
    <w:p>
      <w:pPr>
        <w:spacing w:after="0"/>
        <w:jc w:val="left"/>
        <w:rPr>
          <w:sz w:val="20"/>
        </w:rPr>
        <w:sectPr>
          <w:headerReference w:type="default" r:id="rId11"/>
          <w:footerReference w:type="default" r:id="rId12"/>
          <w:pgSz w:w="11910" w:h="16840"/>
          <w:pgMar w:header="716" w:footer="1165" w:top="1200" w:bottom="1360" w:left="780" w:right="1258"/>
          <w:pgNumType w:start="4"/>
        </w:sectPr>
      </w:pPr>
    </w:p>
    <w:p>
      <w:pPr>
        <w:pStyle w:val="BodyText"/>
        <w:spacing w:before="8"/>
        <w:rPr>
          <w:sz w:val="12"/>
        </w:rPr>
      </w:pPr>
    </w:p>
    <w:p>
      <w:pPr>
        <w:pStyle w:val="BodyText"/>
        <w:spacing w:line="360" w:lineRule="auto" w:before="90"/>
        <w:ind w:left="1020" w:right="539"/>
        <w:jc w:val="both"/>
      </w:pPr>
      <w:r>
        <w:rPr/>
        <w:t>of the economy fell by at least 2.5% over a period of a year or more, resulting in a significant rise in unemployment.</w:t>
      </w:r>
      <w:r>
        <w:rPr>
          <w:vertAlign w:val="superscript"/>
        </w:rPr>
        <w:t>4</w:t>
      </w:r>
    </w:p>
    <w:p>
      <w:pPr>
        <w:pStyle w:val="BodyText"/>
        <w:rPr>
          <w:sz w:val="36"/>
        </w:rPr>
      </w:pPr>
    </w:p>
    <w:p>
      <w:pPr>
        <w:pStyle w:val="BodyText"/>
        <w:spacing w:line="360" w:lineRule="auto" w:before="1"/>
        <w:ind w:left="1020" w:right="535"/>
        <w:jc w:val="both"/>
      </w:pPr>
      <w:r>
        <w:rPr/>
        <w:t>However, unlike those previous recessions, this one is being driven significantly by developments in financial markets, rather than the inflationary boom-bust cycles we have seen in the past. In my speech today, I want to discuss what difference this  might make to the kind of downturn we can expect and the way in which policy responds to</w:t>
      </w:r>
      <w:r>
        <w:rPr>
          <w:spacing w:val="-2"/>
        </w:rPr>
        <w:t> </w:t>
      </w:r>
      <w:r>
        <w:rPr/>
        <w:t>it.</w:t>
      </w:r>
    </w:p>
    <w:p>
      <w:pPr>
        <w:pStyle w:val="BodyText"/>
        <w:spacing w:before="2"/>
        <w:rPr>
          <w:sz w:val="36"/>
        </w:rPr>
      </w:pPr>
    </w:p>
    <w:p>
      <w:pPr>
        <w:pStyle w:val="Heading1"/>
      </w:pPr>
      <w:r>
        <w:rPr/>
        <w:t>Post-war recessionary cycles</w:t>
      </w:r>
    </w:p>
    <w:p>
      <w:pPr>
        <w:pStyle w:val="BodyText"/>
        <w:rPr>
          <w:b/>
          <w:sz w:val="26"/>
        </w:rPr>
      </w:pPr>
    </w:p>
    <w:p>
      <w:pPr>
        <w:pStyle w:val="BodyText"/>
        <w:spacing w:before="9"/>
        <w:rPr>
          <w:b/>
          <w:sz w:val="21"/>
        </w:rPr>
      </w:pPr>
    </w:p>
    <w:p>
      <w:pPr>
        <w:pStyle w:val="BodyText"/>
        <w:spacing w:line="360" w:lineRule="auto"/>
        <w:ind w:left="1020" w:right="537"/>
        <w:jc w:val="both"/>
      </w:pPr>
      <w:r>
        <w:rPr/>
        <w:pict>
          <v:group style="position:absolute;margin-left:133.050003pt;margin-top:163.123444pt;width:331.5pt;height:168.75pt;mso-position-horizontal-relative:page;mso-position-vertical-relative:paragraph;z-index:-254991360" coordorigin="2661,3262" coordsize="6630,3375">
            <v:rect style="position:absolute;left:5360;top:3262;width:210;height:2265" filled="true" fillcolor="#c0c0c0" stroked="false">
              <v:fill type="solid"/>
            </v:rect>
            <v:line style="position:absolute" from="5578,3262" to="5578,5527" stroked="true" strokeweight=".78pt" strokecolor="#c0c0c0">
              <v:stroke dashstyle="solid"/>
            </v:line>
            <v:line style="position:absolute" from="5601,3262" to="5601,5527" stroked="true" strokeweight="1.5pt" strokecolor="#c0c0c0">
              <v:stroke dashstyle="solid"/>
            </v:line>
            <v:shape style="position:absolute;left:6096;top:3262;width:1259;height:2265" coordorigin="6096,3262" coordsize="1259,2265" path="m6246,3262l6216,3262,6186,3262,6156,3262,6126,3262,6096,3262,6096,5527,6126,5527,6156,5527,6186,5527,6216,5527,6246,5527,6246,3262m7355,3262l7325,3262,7295,3262,7295,5527,7325,5527,7355,5527,7355,3262e" filled="true" fillcolor="#c0c0c0" stroked="false">
              <v:path arrowok="t"/>
              <v:fill type="solid"/>
            </v:shape>
            <v:line style="position:absolute" from="7363,3262" to="7363,5527" stroked="true" strokeweight=".78pt" strokecolor="#c0c0c0">
              <v:stroke dashstyle="solid"/>
            </v:line>
            <v:shape style="position:absolute;left:7370;top:3262;width:60;height:2265" coordorigin="7370,3262" coordsize="60,2265" path="m7430,3262l7400,3262,7370,3262,7370,5527,7400,5527,7430,5527,7430,3262e" filled="true" fillcolor="#c0c0c0" stroked="false">
              <v:path arrowok="t"/>
              <v:fill type="solid"/>
            </v:shape>
            <v:shape style="position:absolute;left:2676;top:3292;width:6615;height:3345" coordorigin="2676,3292" coordsize="6615,3345" path="m9245,3292l9245,6637m9245,6637l9290,6637m9245,6081l9290,6081m9245,5527l9290,5527m9245,4972l9290,4972m9245,4402l9290,4402m9245,3847l9290,3847m9245,3292l9290,3292m2676,5527l9245,5527m2676,5571l2676,5527m3246,5571l3246,5527m3816,5571l3816,5527m4370,5571l4370,5527m4940,5571l4940,5527m5510,5571l5510,5527m6080,5571l6080,5527m6635,5571l6635,5527m7205,5571l7205,5527m7775,5571l7775,5527m8345,5571l8345,5527m8900,5571l8900,5527e" filled="false" stroked="true" strokeweight=".06pt" strokecolor="#000000">
              <v:path arrowok="t"/>
              <v:stroke dashstyle="solid"/>
            </v:shape>
            <v:line style="position:absolute" from="2676,4597" to="2796,4642" stroked="true" strokeweight="1.5pt" strokecolor="#33339a">
              <v:stroke dashstyle="solid"/>
            </v:line>
            <v:shape style="position:absolute;left:2796;top:3516;width:4979;height:2580" coordorigin="2796,3517" coordsize="4979,2580" path="m2796,4642l2900,4762m2900,4762l3020,5511m3020,5511l3126,4447m3126,4447l3246,4372m3246,4372l3350,4552m3350,4552l3470,5257m3470,5257l3576,5062m3576,5062l3696,5437m3696,5437l3816,4327m3816,4327l3920,4042m3920,4042l4040,4867m4040,4867l4146,5227m4146,5227l4266,4327m4266,4327l4370,3997m4370,3997l4490,4897m4490,4897l4596,4987m4596,4987l4716,4837m4716,4837l4820,4357m4820,4357l4940,4942m4940,4942l5060,4897m5060,4897l5166,4942m5166,4942l5286,4507m5286,4507l5390,3517m5390,3517l5510,5887m5510,5887l5616,5691m5616,5691l5736,4792m5736,4792l5840,4867m5840,4867l5960,4627m5960,4627l6080,4777m6080,4777l6186,6097m6186,6097l6306,5887m6306,5887l6410,4942m6410,4942l6530,4507m6530,4507l6635,4777m6635,4777l6755,4522m6755,4522l6860,4402m6860,4402l6980,4252m6980,4252l7100,4117m7100,4117l7205,4882m7205,4882l7325,5302m7325,5302l7430,5917m7430,5917l7550,5481m7550,5481l7655,4897m7655,4897l7775,4327e" filled="false" stroked="true" strokeweight="1.5pt" strokecolor="#33339a">
              <v:path arrowok="t"/>
              <v:stroke dashstyle="solid"/>
            </v:shape>
            <v:shape style="position:absolute;left:7759;top:4311;width:706;height:420" type="#_x0000_t75" stroked="false">
              <v:imagedata r:id="rId16" o:title=""/>
            </v:shape>
            <v:shape style="position:absolute;left:8450;top:4432;width:675;height:510" coordorigin="8450,4432" coordsize="675,510" path="m8450,4432l8570,4837m8570,4837l8675,4942m8675,4942l8795,4732m8795,4732l8900,4747m8900,4747l9020,4942m9020,4942l9125,4732e" filled="false" stroked="true" strokeweight="1.5pt" strokecolor="#33339a">
              <v:path arrowok="t"/>
              <v:stroke dashstyle="solid"/>
            </v:shape>
            <v:line style="position:absolute" from="9125,4732" to="9245,4672" stroked="true" strokeweight="1.5pt" strokecolor="#33339a">
              <v:stroke dashstyle="solid"/>
            </v:line>
            <v:shape style="position:absolute;left:3126;top:4416;width:5999;height:886" coordorigin="3126,4417" coordsize="5999,886" path="m3126,4792l3246,4747m3246,4747l3350,4732m3350,4732l3470,4837m3470,4837l3576,4747m3576,4747l3696,4942m3696,4942l3816,4927m3816,4927l3920,4822m3920,4822l4040,4747m4040,4747l4146,4777m4146,4777l4266,4552m4266,4552l4370,4492m4370,4492l4490,4657m4490,4657l4596,4687m4596,4687l4716,4612m4716,4612l4820,4612m4820,4612l4940,4807m4940,4807l5060,4807m5060,4807l5166,4792m5166,4792l5286,4732m5286,4732l5390,4567m5390,4567l5510,4747m5510,4747l5616,4912m5616,4912l5736,4882m5736,4882l5840,4942m5840,4942l5960,5167m5960,5167l6080,4942m6080,4942l6186,5032m6186,5032l6306,5257m6306,5257l6410,5272m6410,5272l6530,5242m6530,5242l6635,5242m6635,5242l6755,4927m6755,4927l6860,4627m6860,4627l6980,4492m6980,4492l7100,4417m7100,4417l7205,4432m7205,4432l7325,4597m7325,4597l7430,4897m7430,4897l7550,5137m7550,5137l7655,5302m7655,5302l7775,5182m7775,5182l7880,5062m7880,5062l8000,4822m8000,4822l8105,4642m8105,4642l8225,4567m8225,4567l8345,4612m8345,4612l8450,4567m8450,4567l8570,4582m8570,4582l8675,4657m8675,4657l8795,4702m8795,4702l8900,4732m8900,4732l9020,4837m9020,4837l9125,4822e" filled="false" stroked="true" strokeweight="1.5pt" strokecolor="#9a3300">
              <v:path arrowok="t"/>
              <v:stroke dashstyle="solid"/>
            </v:shape>
            <v:line style="position:absolute" from="9125,4822" to="9245,4777" stroked="true" strokeweight="1.5pt" strokecolor="#9a3300">
              <v:stroke dashstyle="solid"/>
            </v:line>
            <v:line style="position:absolute" from="2750,6299" to="3110,6299" stroked="true" strokeweight="5.22pt" strokecolor="#c0c0c0">
              <v:stroke dashstyle="solid"/>
            </v:line>
            <v:line style="position:absolute" from="4686,6291" to="5046,6291" stroked="true" strokeweight="1.5pt" strokecolor="#33339a">
              <v:stroke dashstyle="solid"/>
            </v:line>
            <v:line style="position:absolute" from="6755,6291" to="7115,6291" stroked="true" strokeweight="1.5pt" strokecolor="#9a3300">
              <v:stroke dashstyle="solid"/>
            </v:line>
            <w10:wrap type="none"/>
          </v:group>
        </w:pict>
      </w:r>
      <w:r>
        <w:rPr/>
        <w:t>Prior to the current recession, the major downturns we had previously seen in the UK generally had the characteristics of an inflationary “boom-bust cycle”. A period of rapidly expanding demand puts strain on the supply potential of the economy, resulting in a pick-up in inflation. The impact of high inflation and the  policies needed to contain it sow the seeds of the downturn which then</w:t>
      </w:r>
      <w:r>
        <w:rPr>
          <w:spacing w:val="-19"/>
        </w:rPr>
        <w:t> </w:t>
      </w:r>
      <w:r>
        <w:rPr/>
        <w:t>follows.</w:t>
      </w:r>
    </w:p>
    <w:p>
      <w:pPr>
        <w:pStyle w:val="BodyText"/>
        <w:rPr>
          <w:sz w:val="20"/>
        </w:rPr>
      </w:pPr>
    </w:p>
    <w:p>
      <w:pPr>
        <w:pStyle w:val="BodyText"/>
        <w:spacing w:before="4"/>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722"/>
        <w:gridCol w:w="2237"/>
        <w:gridCol w:w="2302"/>
        <w:gridCol w:w="990"/>
      </w:tblGrid>
      <w:tr>
        <w:trPr>
          <w:trHeight w:val="275" w:hRule="atLeast"/>
        </w:trPr>
        <w:tc>
          <w:tcPr>
            <w:tcW w:w="84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2: Post-war UK GDP growth</w:t>
            </w:r>
          </w:p>
        </w:tc>
      </w:tr>
      <w:tr>
        <w:trPr>
          <w:trHeight w:val="275" w:hRule="atLeast"/>
        </w:trPr>
        <w:tc>
          <w:tcPr>
            <w:tcW w:w="84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Annual percentage change</w:t>
            </w:r>
          </w:p>
        </w:tc>
      </w:tr>
      <w:tr>
        <w:trPr>
          <w:trHeight w:val="492" w:hRule="atLeast"/>
        </w:trPr>
        <w:tc>
          <w:tcPr>
            <w:tcW w:w="1162" w:type="dxa"/>
            <w:tcBorders>
              <w:top w:val="single" w:sz="4" w:space="0" w:color="000000"/>
              <w:left w:val="single" w:sz="4" w:space="0" w:color="000000"/>
            </w:tcBorders>
          </w:tcPr>
          <w:p>
            <w:pPr>
              <w:pStyle w:val="TableParagraph"/>
              <w:rPr>
                <w:sz w:val="22"/>
              </w:rPr>
            </w:pPr>
          </w:p>
        </w:tc>
        <w:tc>
          <w:tcPr>
            <w:tcW w:w="1722" w:type="dxa"/>
            <w:tcBorders>
              <w:top w:val="single" w:sz="4" w:space="0" w:color="000000"/>
            </w:tcBorders>
          </w:tcPr>
          <w:p>
            <w:pPr>
              <w:pStyle w:val="TableParagraph"/>
              <w:rPr>
                <w:sz w:val="22"/>
              </w:rPr>
            </w:pPr>
          </w:p>
        </w:tc>
        <w:tc>
          <w:tcPr>
            <w:tcW w:w="2237" w:type="dxa"/>
            <w:tcBorders>
              <w:top w:val="single" w:sz="4" w:space="0" w:color="000000"/>
            </w:tcBorders>
          </w:tcPr>
          <w:p>
            <w:pPr>
              <w:pStyle w:val="TableParagraph"/>
              <w:rPr>
                <w:sz w:val="22"/>
              </w:rPr>
            </w:pPr>
          </w:p>
        </w:tc>
        <w:tc>
          <w:tcPr>
            <w:tcW w:w="2302" w:type="dxa"/>
            <w:tcBorders>
              <w:top w:val="single" w:sz="4" w:space="0" w:color="000000"/>
            </w:tcBorders>
          </w:tcPr>
          <w:p>
            <w:pPr>
              <w:pStyle w:val="TableParagraph"/>
              <w:rPr>
                <w:sz w:val="22"/>
              </w:rPr>
            </w:pPr>
          </w:p>
        </w:tc>
        <w:tc>
          <w:tcPr>
            <w:tcW w:w="990" w:type="dxa"/>
            <w:tcBorders>
              <w:top w:val="single" w:sz="4" w:space="0" w:color="000000"/>
              <w:right w:val="single" w:sz="4" w:space="0" w:color="000000"/>
            </w:tcBorders>
          </w:tcPr>
          <w:p>
            <w:pPr>
              <w:pStyle w:val="TableParagraph"/>
              <w:spacing w:before="122"/>
              <w:ind w:left="147"/>
              <w:rPr>
                <w:rFonts w:ascii="Arial"/>
                <w:b/>
                <w:sz w:val="16"/>
              </w:rPr>
            </w:pPr>
            <w:r>
              <w:rPr>
                <w:rFonts w:ascii="Arial"/>
                <w:b/>
                <w:w w:val="103"/>
                <w:sz w:val="16"/>
              </w:rPr>
              <w:t>8</w:t>
            </w:r>
          </w:p>
        </w:tc>
      </w:tr>
      <w:tr>
        <w:trPr>
          <w:trHeight w:val="555" w:hRule="atLeast"/>
        </w:trPr>
        <w:tc>
          <w:tcPr>
            <w:tcW w:w="1162" w:type="dxa"/>
            <w:tcBorders>
              <w:left w:val="single" w:sz="4" w:space="0" w:color="000000"/>
            </w:tcBorders>
          </w:tcPr>
          <w:p>
            <w:pPr>
              <w:pStyle w:val="TableParagraph"/>
              <w:rPr>
                <w:sz w:val="22"/>
              </w:rPr>
            </w:pPr>
          </w:p>
        </w:tc>
        <w:tc>
          <w:tcPr>
            <w:tcW w:w="1722" w:type="dxa"/>
          </w:tcPr>
          <w:p>
            <w:pPr>
              <w:pStyle w:val="TableParagraph"/>
              <w:rPr>
                <w:sz w:val="22"/>
              </w:rPr>
            </w:pPr>
          </w:p>
        </w:tc>
        <w:tc>
          <w:tcPr>
            <w:tcW w:w="2237" w:type="dxa"/>
          </w:tcPr>
          <w:p>
            <w:pPr>
              <w:pStyle w:val="TableParagraph"/>
              <w:rPr>
                <w:sz w:val="22"/>
              </w:rPr>
            </w:pPr>
          </w:p>
        </w:tc>
        <w:tc>
          <w:tcPr>
            <w:tcW w:w="2302" w:type="dxa"/>
          </w:tcPr>
          <w:p>
            <w:pPr>
              <w:pStyle w:val="TableParagraph"/>
              <w:rPr>
                <w:sz w:val="22"/>
              </w:rPr>
            </w:pPr>
          </w:p>
        </w:tc>
        <w:tc>
          <w:tcPr>
            <w:tcW w:w="990" w:type="dxa"/>
            <w:tcBorders>
              <w:right w:val="single" w:sz="4" w:space="0" w:color="000000"/>
            </w:tcBorders>
          </w:tcPr>
          <w:p>
            <w:pPr>
              <w:pStyle w:val="TableParagraph"/>
              <w:rPr>
                <w:sz w:val="16"/>
              </w:rPr>
            </w:pPr>
          </w:p>
          <w:p>
            <w:pPr>
              <w:pStyle w:val="TableParagraph"/>
              <w:ind w:left="147"/>
              <w:rPr>
                <w:rFonts w:ascii="Arial"/>
                <w:b/>
                <w:sz w:val="16"/>
              </w:rPr>
            </w:pPr>
            <w:r>
              <w:rPr>
                <w:rFonts w:ascii="Arial"/>
                <w:b/>
                <w:w w:val="103"/>
                <w:sz w:val="16"/>
              </w:rPr>
              <w:t>6</w:t>
            </w:r>
          </w:p>
        </w:tc>
      </w:tr>
      <w:tr>
        <w:trPr>
          <w:trHeight w:val="562" w:hRule="atLeast"/>
        </w:trPr>
        <w:tc>
          <w:tcPr>
            <w:tcW w:w="1162" w:type="dxa"/>
            <w:tcBorders>
              <w:left w:val="single" w:sz="4" w:space="0" w:color="000000"/>
            </w:tcBorders>
          </w:tcPr>
          <w:p>
            <w:pPr>
              <w:pStyle w:val="TableParagraph"/>
              <w:rPr>
                <w:sz w:val="22"/>
              </w:rPr>
            </w:pPr>
          </w:p>
        </w:tc>
        <w:tc>
          <w:tcPr>
            <w:tcW w:w="1722" w:type="dxa"/>
          </w:tcPr>
          <w:p>
            <w:pPr>
              <w:pStyle w:val="TableParagraph"/>
              <w:rPr>
                <w:sz w:val="22"/>
              </w:rPr>
            </w:pPr>
          </w:p>
        </w:tc>
        <w:tc>
          <w:tcPr>
            <w:tcW w:w="2237" w:type="dxa"/>
          </w:tcPr>
          <w:p>
            <w:pPr>
              <w:pStyle w:val="TableParagraph"/>
              <w:rPr>
                <w:sz w:val="22"/>
              </w:rPr>
            </w:pPr>
          </w:p>
        </w:tc>
        <w:tc>
          <w:tcPr>
            <w:tcW w:w="2302" w:type="dxa"/>
          </w:tcPr>
          <w:p>
            <w:pPr>
              <w:pStyle w:val="TableParagraph"/>
              <w:rPr>
                <w:sz w:val="22"/>
              </w:rPr>
            </w:pPr>
          </w:p>
        </w:tc>
        <w:tc>
          <w:tcPr>
            <w:tcW w:w="990" w:type="dxa"/>
            <w:tcBorders>
              <w:right w:val="single" w:sz="4" w:space="0" w:color="000000"/>
            </w:tcBorders>
          </w:tcPr>
          <w:p>
            <w:pPr>
              <w:pStyle w:val="TableParagraph"/>
              <w:rPr>
                <w:sz w:val="16"/>
              </w:rPr>
            </w:pPr>
          </w:p>
          <w:p>
            <w:pPr>
              <w:pStyle w:val="TableParagraph"/>
              <w:spacing w:before="1"/>
              <w:ind w:left="147"/>
              <w:rPr>
                <w:rFonts w:ascii="Arial"/>
                <w:b/>
                <w:sz w:val="16"/>
              </w:rPr>
            </w:pPr>
            <w:r>
              <w:rPr>
                <w:rFonts w:ascii="Arial"/>
                <w:b/>
                <w:w w:val="103"/>
                <w:sz w:val="16"/>
              </w:rPr>
              <w:t>4</w:t>
            </w:r>
          </w:p>
        </w:tc>
      </w:tr>
      <w:tr>
        <w:trPr>
          <w:trHeight w:val="562" w:hRule="atLeast"/>
        </w:trPr>
        <w:tc>
          <w:tcPr>
            <w:tcW w:w="1162" w:type="dxa"/>
            <w:tcBorders>
              <w:left w:val="single" w:sz="4" w:space="0" w:color="000000"/>
            </w:tcBorders>
          </w:tcPr>
          <w:p>
            <w:pPr>
              <w:pStyle w:val="TableParagraph"/>
              <w:rPr>
                <w:sz w:val="22"/>
              </w:rPr>
            </w:pPr>
          </w:p>
        </w:tc>
        <w:tc>
          <w:tcPr>
            <w:tcW w:w="1722" w:type="dxa"/>
          </w:tcPr>
          <w:p>
            <w:pPr>
              <w:pStyle w:val="TableParagraph"/>
              <w:rPr>
                <w:sz w:val="22"/>
              </w:rPr>
            </w:pPr>
          </w:p>
        </w:tc>
        <w:tc>
          <w:tcPr>
            <w:tcW w:w="2237" w:type="dxa"/>
          </w:tcPr>
          <w:p>
            <w:pPr>
              <w:pStyle w:val="TableParagraph"/>
              <w:rPr>
                <w:sz w:val="22"/>
              </w:rPr>
            </w:pPr>
          </w:p>
        </w:tc>
        <w:tc>
          <w:tcPr>
            <w:tcW w:w="2302" w:type="dxa"/>
          </w:tcPr>
          <w:p>
            <w:pPr>
              <w:pStyle w:val="TableParagraph"/>
              <w:rPr>
                <w:sz w:val="22"/>
              </w:rPr>
            </w:pPr>
          </w:p>
        </w:tc>
        <w:tc>
          <w:tcPr>
            <w:tcW w:w="990" w:type="dxa"/>
            <w:tcBorders>
              <w:right w:val="single" w:sz="4" w:space="0" w:color="000000"/>
            </w:tcBorders>
          </w:tcPr>
          <w:p>
            <w:pPr>
              <w:pStyle w:val="TableParagraph"/>
              <w:spacing w:before="8"/>
              <w:rPr>
                <w:sz w:val="16"/>
              </w:rPr>
            </w:pPr>
          </w:p>
          <w:p>
            <w:pPr>
              <w:pStyle w:val="TableParagraph"/>
              <w:ind w:left="147"/>
              <w:rPr>
                <w:rFonts w:ascii="Arial"/>
                <w:b/>
                <w:sz w:val="16"/>
              </w:rPr>
            </w:pPr>
            <w:r>
              <w:rPr>
                <w:rFonts w:ascii="Arial"/>
                <w:b/>
                <w:w w:val="103"/>
                <w:sz w:val="16"/>
              </w:rPr>
              <w:t>2</w:t>
            </w:r>
          </w:p>
        </w:tc>
      </w:tr>
      <w:tr>
        <w:trPr>
          <w:trHeight w:val="554" w:hRule="atLeast"/>
        </w:trPr>
        <w:tc>
          <w:tcPr>
            <w:tcW w:w="1162" w:type="dxa"/>
            <w:tcBorders>
              <w:left w:val="single" w:sz="4" w:space="0" w:color="000000"/>
            </w:tcBorders>
          </w:tcPr>
          <w:p>
            <w:pPr>
              <w:pStyle w:val="TableParagraph"/>
              <w:rPr>
                <w:sz w:val="22"/>
              </w:rPr>
            </w:pPr>
          </w:p>
        </w:tc>
        <w:tc>
          <w:tcPr>
            <w:tcW w:w="1722" w:type="dxa"/>
          </w:tcPr>
          <w:p>
            <w:pPr>
              <w:pStyle w:val="TableParagraph"/>
              <w:rPr>
                <w:sz w:val="22"/>
              </w:rPr>
            </w:pPr>
          </w:p>
        </w:tc>
        <w:tc>
          <w:tcPr>
            <w:tcW w:w="2237" w:type="dxa"/>
          </w:tcPr>
          <w:p>
            <w:pPr>
              <w:pStyle w:val="TableParagraph"/>
              <w:rPr>
                <w:sz w:val="22"/>
              </w:rPr>
            </w:pPr>
          </w:p>
        </w:tc>
        <w:tc>
          <w:tcPr>
            <w:tcW w:w="2302" w:type="dxa"/>
          </w:tcPr>
          <w:p>
            <w:pPr>
              <w:pStyle w:val="TableParagraph"/>
              <w:rPr>
                <w:sz w:val="22"/>
              </w:rPr>
            </w:pPr>
          </w:p>
        </w:tc>
        <w:tc>
          <w:tcPr>
            <w:tcW w:w="990" w:type="dxa"/>
            <w:tcBorders>
              <w:right w:val="single" w:sz="4" w:space="0" w:color="000000"/>
            </w:tcBorders>
          </w:tcPr>
          <w:p>
            <w:pPr>
              <w:pStyle w:val="TableParagraph"/>
              <w:rPr>
                <w:sz w:val="16"/>
              </w:rPr>
            </w:pPr>
          </w:p>
          <w:p>
            <w:pPr>
              <w:pStyle w:val="TableParagraph"/>
              <w:ind w:left="147"/>
              <w:rPr>
                <w:rFonts w:ascii="Arial"/>
                <w:b/>
                <w:sz w:val="16"/>
              </w:rPr>
            </w:pPr>
            <w:r>
              <w:rPr>
                <w:rFonts w:ascii="Arial"/>
                <w:b/>
                <w:w w:val="103"/>
                <w:sz w:val="16"/>
              </w:rPr>
              <w:t>0</w:t>
            </w:r>
          </w:p>
        </w:tc>
      </w:tr>
      <w:tr>
        <w:trPr>
          <w:trHeight w:val="382" w:hRule="atLeast"/>
        </w:trPr>
        <w:tc>
          <w:tcPr>
            <w:tcW w:w="1162" w:type="dxa"/>
            <w:tcBorders>
              <w:left w:val="single" w:sz="4" w:space="0" w:color="000000"/>
            </w:tcBorders>
          </w:tcPr>
          <w:p>
            <w:pPr>
              <w:pStyle w:val="TableParagraph"/>
              <w:rPr>
                <w:sz w:val="22"/>
              </w:rPr>
            </w:pPr>
          </w:p>
        </w:tc>
        <w:tc>
          <w:tcPr>
            <w:tcW w:w="1722" w:type="dxa"/>
          </w:tcPr>
          <w:p>
            <w:pPr>
              <w:pStyle w:val="TableParagraph"/>
              <w:rPr>
                <w:sz w:val="22"/>
              </w:rPr>
            </w:pPr>
          </w:p>
        </w:tc>
        <w:tc>
          <w:tcPr>
            <w:tcW w:w="2237" w:type="dxa"/>
          </w:tcPr>
          <w:p>
            <w:pPr>
              <w:pStyle w:val="TableParagraph"/>
              <w:rPr>
                <w:sz w:val="22"/>
              </w:rPr>
            </w:pPr>
          </w:p>
        </w:tc>
        <w:tc>
          <w:tcPr>
            <w:tcW w:w="2302" w:type="dxa"/>
          </w:tcPr>
          <w:p>
            <w:pPr>
              <w:pStyle w:val="TableParagraph"/>
              <w:rPr>
                <w:sz w:val="22"/>
              </w:rPr>
            </w:pPr>
          </w:p>
        </w:tc>
        <w:tc>
          <w:tcPr>
            <w:tcW w:w="990" w:type="dxa"/>
            <w:tcBorders>
              <w:right w:val="single" w:sz="4" w:space="0" w:color="000000"/>
            </w:tcBorders>
          </w:tcPr>
          <w:p>
            <w:pPr>
              <w:pStyle w:val="TableParagraph"/>
              <w:rPr>
                <w:sz w:val="16"/>
              </w:rPr>
            </w:pPr>
          </w:p>
          <w:p>
            <w:pPr>
              <w:pStyle w:val="TableParagraph"/>
              <w:spacing w:line="178" w:lineRule="exact"/>
              <w:ind w:left="147"/>
              <w:rPr>
                <w:rFonts w:ascii="Arial"/>
                <w:b/>
                <w:sz w:val="16"/>
              </w:rPr>
            </w:pPr>
            <w:r>
              <w:rPr>
                <w:rFonts w:ascii="Arial"/>
                <w:b/>
                <w:w w:val="105"/>
                <w:sz w:val="16"/>
              </w:rPr>
              <w:t>-2</w:t>
            </w:r>
          </w:p>
        </w:tc>
      </w:tr>
      <w:tr>
        <w:trPr>
          <w:trHeight w:val="277" w:hRule="atLeast"/>
        </w:trPr>
        <w:tc>
          <w:tcPr>
            <w:tcW w:w="1162" w:type="dxa"/>
            <w:tcBorders>
              <w:left w:val="single" w:sz="4" w:space="0" w:color="000000"/>
            </w:tcBorders>
          </w:tcPr>
          <w:p>
            <w:pPr>
              <w:pStyle w:val="TableParagraph"/>
              <w:rPr>
                <w:sz w:val="20"/>
              </w:rPr>
            </w:pPr>
          </w:p>
        </w:tc>
        <w:tc>
          <w:tcPr>
            <w:tcW w:w="1722" w:type="dxa"/>
          </w:tcPr>
          <w:p>
            <w:pPr>
              <w:pStyle w:val="TableParagraph"/>
              <w:spacing w:before="12"/>
              <w:ind w:left="198"/>
              <w:rPr>
                <w:rFonts w:ascii="Arial"/>
                <w:b/>
                <w:sz w:val="16"/>
              </w:rPr>
            </w:pPr>
            <w:r>
              <w:rPr>
                <w:rFonts w:ascii="Arial"/>
                <w:b/>
                <w:w w:val="105"/>
                <w:sz w:val="16"/>
              </w:rPr>
              <w:t>Recession period</w:t>
            </w:r>
          </w:p>
        </w:tc>
        <w:tc>
          <w:tcPr>
            <w:tcW w:w="2237" w:type="dxa"/>
          </w:tcPr>
          <w:p>
            <w:pPr>
              <w:pStyle w:val="TableParagraph"/>
              <w:spacing w:before="12"/>
              <w:ind w:left="412"/>
              <w:rPr>
                <w:rFonts w:ascii="Arial"/>
                <w:b/>
                <w:sz w:val="16"/>
              </w:rPr>
            </w:pPr>
            <w:r>
              <w:rPr>
                <w:rFonts w:ascii="Arial"/>
                <w:b/>
                <w:w w:val="105"/>
                <w:sz w:val="16"/>
              </w:rPr>
              <w:t>Annual GDP grow th</w:t>
            </w:r>
          </w:p>
        </w:tc>
        <w:tc>
          <w:tcPr>
            <w:tcW w:w="2302" w:type="dxa"/>
          </w:tcPr>
          <w:p>
            <w:pPr>
              <w:pStyle w:val="TableParagraph"/>
              <w:spacing w:before="12"/>
              <w:ind w:right="214"/>
              <w:jc w:val="right"/>
              <w:rPr>
                <w:rFonts w:ascii="Arial"/>
                <w:b/>
                <w:sz w:val="16"/>
              </w:rPr>
            </w:pPr>
            <w:r>
              <w:rPr>
                <w:rFonts w:ascii="Arial"/>
                <w:b/>
                <w:w w:val="105"/>
                <w:sz w:val="16"/>
              </w:rPr>
              <w:t>5 year average grow th</w:t>
            </w:r>
          </w:p>
        </w:tc>
        <w:tc>
          <w:tcPr>
            <w:tcW w:w="990" w:type="dxa"/>
            <w:tcBorders>
              <w:right w:val="single" w:sz="4" w:space="0" w:color="000000"/>
            </w:tcBorders>
          </w:tcPr>
          <w:p>
            <w:pPr>
              <w:pStyle w:val="TableParagraph"/>
              <w:rPr>
                <w:sz w:val="20"/>
              </w:rPr>
            </w:pPr>
          </w:p>
        </w:tc>
      </w:tr>
      <w:tr>
        <w:trPr>
          <w:trHeight w:val="292" w:hRule="atLeast"/>
        </w:trPr>
        <w:tc>
          <w:tcPr>
            <w:tcW w:w="1162" w:type="dxa"/>
            <w:tcBorders>
              <w:left w:val="single" w:sz="4" w:space="0" w:color="000000"/>
            </w:tcBorders>
          </w:tcPr>
          <w:p>
            <w:pPr>
              <w:pStyle w:val="TableParagraph"/>
              <w:rPr>
                <w:sz w:val="20"/>
              </w:rPr>
            </w:pPr>
          </w:p>
        </w:tc>
        <w:tc>
          <w:tcPr>
            <w:tcW w:w="1722" w:type="dxa"/>
          </w:tcPr>
          <w:p>
            <w:pPr>
              <w:pStyle w:val="TableParagraph"/>
              <w:rPr>
                <w:sz w:val="20"/>
              </w:rPr>
            </w:pPr>
          </w:p>
        </w:tc>
        <w:tc>
          <w:tcPr>
            <w:tcW w:w="2237" w:type="dxa"/>
          </w:tcPr>
          <w:p>
            <w:pPr>
              <w:pStyle w:val="TableParagraph"/>
              <w:rPr>
                <w:sz w:val="20"/>
              </w:rPr>
            </w:pPr>
          </w:p>
        </w:tc>
        <w:tc>
          <w:tcPr>
            <w:tcW w:w="2302" w:type="dxa"/>
          </w:tcPr>
          <w:p>
            <w:pPr>
              <w:pStyle w:val="TableParagraph"/>
              <w:rPr>
                <w:sz w:val="20"/>
              </w:rPr>
            </w:pPr>
          </w:p>
        </w:tc>
        <w:tc>
          <w:tcPr>
            <w:tcW w:w="990" w:type="dxa"/>
            <w:tcBorders>
              <w:right w:val="single" w:sz="4" w:space="0" w:color="000000"/>
            </w:tcBorders>
          </w:tcPr>
          <w:p>
            <w:pPr>
              <w:pStyle w:val="TableParagraph"/>
              <w:spacing w:before="80"/>
              <w:ind w:left="147"/>
              <w:rPr>
                <w:rFonts w:ascii="Arial"/>
                <w:b/>
                <w:sz w:val="16"/>
              </w:rPr>
            </w:pPr>
            <w:r>
              <w:rPr>
                <w:rFonts w:ascii="Arial"/>
                <w:b/>
                <w:w w:val="105"/>
                <w:sz w:val="16"/>
              </w:rPr>
              <w:t>-4</w:t>
            </w:r>
          </w:p>
        </w:tc>
      </w:tr>
      <w:tr>
        <w:trPr>
          <w:trHeight w:val="370" w:hRule="atLeast"/>
        </w:trPr>
        <w:tc>
          <w:tcPr>
            <w:tcW w:w="1162" w:type="dxa"/>
            <w:tcBorders>
              <w:left w:val="single" w:sz="4" w:space="0" w:color="000000"/>
              <w:bottom w:val="single" w:sz="4" w:space="0" w:color="000000"/>
            </w:tcBorders>
          </w:tcPr>
          <w:p>
            <w:pPr>
              <w:pStyle w:val="TableParagraph"/>
              <w:spacing w:before="27"/>
              <w:ind w:left="696"/>
              <w:rPr>
                <w:rFonts w:ascii="Arial"/>
                <w:b/>
                <w:sz w:val="16"/>
              </w:rPr>
            </w:pPr>
            <w:r>
              <w:rPr>
                <w:rFonts w:ascii="Arial"/>
                <w:b/>
                <w:w w:val="105"/>
                <w:sz w:val="16"/>
              </w:rPr>
              <w:t>1949</w:t>
            </w:r>
          </w:p>
        </w:tc>
        <w:tc>
          <w:tcPr>
            <w:tcW w:w="1722" w:type="dxa"/>
            <w:tcBorders>
              <w:bottom w:val="single" w:sz="4" w:space="0" w:color="000000"/>
            </w:tcBorders>
          </w:tcPr>
          <w:p>
            <w:pPr>
              <w:pStyle w:val="TableParagraph"/>
              <w:tabs>
                <w:tab w:pos="678" w:val="left" w:leader="none"/>
              </w:tabs>
              <w:spacing w:before="27"/>
              <w:ind w:left="108"/>
              <w:rPr>
                <w:rFonts w:ascii="Arial"/>
                <w:b/>
                <w:sz w:val="16"/>
              </w:rPr>
            </w:pPr>
            <w:r>
              <w:rPr>
                <w:rFonts w:ascii="Arial"/>
                <w:b/>
                <w:w w:val="105"/>
                <w:sz w:val="16"/>
              </w:rPr>
              <w:t>1954</w:t>
              <w:tab/>
              <w:t>1959</w:t>
            </w:r>
            <w:r>
              <w:rPr>
                <w:rFonts w:ascii="Arial"/>
                <w:b/>
                <w:spacing w:val="36"/>
                <w:w w:val="105"/>
                <w:sz w:val="16"/>
              </w:rPr>
              <w:t> </w:t>
            </w:r>
            <w:r>
              <w:rPr>
                <w:rFonts w:ascii="Arial"/>
                <w:b/>
                <w:w w:val="105"/>
                <w:sz w:val="16"/>
              </w:rPr>
              <w:t>1964</w:t>
            </w:r>
          </w:p>
        </w:tc>
        <w:tc>
          <w:tcPr>
            <w:tcW w:w="2237" w:type="dxa"/>
            <w:tcBorders>
              <w:bottom w:val="single" w:sz="4" w:space="0" w:color="000000"/>
            </w:tcBorders>
          </w:tcPr>
          <w:p>
            <w:pPr>
              <w:pStyle w:val="TableParagraph"/>
              <w:tabs>
                <w:tab w:pos="651" w:val="left" w:leader="none"/>
                <w:tab w:pos="1221" w:val="left" w:leader="none"/>
              </w:tabs>
              <w:spacing w:before="27"/>
              <w:ind w:left="82"/>
              <w:rPr>
                <w:rFonts w:ascii="Arial"/>
                <w:b/>
                <w:sz w:val="16"/>
              </w:rPr>
            </w:pPr>
            <w:r>
              <w:rPr>
                <w:rFonts w:ascii="Arial"/>
                <w:b/>
                <w:w w:val="105"/>
                <w:sz w:val="16"/>
              </w:rPr>
              <w:t>1969</w:t>
              <w:tab/>
              <w:t>1974</w:t>
              <w:tab/>
              <w:t>1979</w:t>
            </w:r>
            <w:r>
              <w:rPr>
                <w:rFonts w:ascii="Arial"/>
                <w:b/>
                <w:spacing w:val="34"/>
                <w:w w:val="105"/>
                <w:sz w:val="16"/>
              </w:rPr>
              <w:t> </w:t>
            </w:r>
            <w:r>
              <w:rPr>
                <w:rFonts w:ascii="Arial"/>
                <w:b/>
                <w:w w:val="105"/>
                <w:sz w:val="16"/>
              </w:rPr>
              <w:t>1984</w:t>
            </w:r>
          </w:p>
        </w:tc>
        <w:tc>
          <w:tcPr>
            <w:tcW w:w="2302" w:type="dxa"/>
            <w:tcBorders>
              <w:bottom w:val="single" w:sz="4" w:space="0" w:color="000000"/>
            </w:tcBorders>
          </w:tcPr>
          <w:p>
            <w:pPr>
              <w:pStyle w:val="TableParagraph"/>
              <w:tabs>
                <w:tab w:pos="569" w:val="left" w:leader="none"/>
                <w:tab w:pos="1139" w:val="left" w:leader="none"/>
              </w:tabs>
              <w:spacing w:before="27"/>
              <w:ind w:right="136"/>
              <w:jc w:val="right"/>
              <w:rPr>
                <w:rFonts w:ascii="Arial"/>
                <w:b/>
                <w:sz w:val="16"/>
              </w:rPr>
            </w:pPr>
            <w:r>
              <w:rPr>
                <w:rFonts w:ascii="Arial"/>
                <w:b/>
                <w:w w:val="105"/>
                <w:sz w:val="16"/>
              </w:rPr>
              <w:t>1989</w:t>
              <w:tab/>
              <w:t>1994</w:t>
              <w:tab/>
              <w:t>1999</w:t>
            </w:r>
            <w:r>
              <w:rPr>
                <w:rFonts w:ascii="Arial"/>
                <w:b/>
                <w:spacing w:val="25"/>
                <w:w w:val="105"/>
                <w:sz w:val="16"/>
              </w:rPr>
              <w:t> </w:t>
            </w:r>
            <w:r>
              <w:rPr>
                <w:rFonts w:ascii="Arial"/>
                <w:b/>
                <w:w w:val="105"/>
                <w:sz w:val="16"/>
              </w:rPr>
              <w:t>2004</w:t>
            </w:r>
          </w:p>
        </w:tc>
        <w:tc>
          <w:tcPr>
            <w:tcW w:w="990" w:type="dxa"/>
            <w:tcBorders>
              <w:bottom w:val="single" w:sz="4" w:space="0" w:color="000000"/>
              <w:right w:val="single" w:sz="4" w:space="0" w:color="000000"/>
            </w:tcBorders>
          </w:tcPr>
          <w:p>
            <w:pPr>
              <w:pStyle w:val="TableParagraph"/>
              <w:rPr>
                <w:sz w:val="22"/>
              </w:rPr>
            </w:pPr>
          </w:p>
        </w:tc>
      </w:tr>
      <w:tr>
        <w:trPr>
          <w:trHeight w:val="351" w:hRule="atLeast"/>
        </w:trPr>
        <w:tc>
          <w:tcPr>
            <w:tcW w:w="8413"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Source: </w:t>
            </w:r>
            <w:r>
              <w:rPr>
                <w:sz w:val="20"/>
              </w:rPr>
              <w:t>ONS</w:t>
            </w:r>
          </w:p>
        </w:tc>
      </w:tr>
    </w:tbl>
    <w:p>
      <w:pPr>
        <w:pStyle w:val="BodyText"/>
        <w:rPr>
          <w:sz w:val="20"/>
        </w:rPr>
      </w:pPr>
    </w:p>
    <w:p>
      <w:pPr>
        <w:pStyle w:val="BodyText"/>
        <w:rPr>
          <w:sz w:val="20"/>
        </w:rPr>
      </w:pPr>
    </w:p>
    <w:p>
      <w:pPr>
        <w:pStyle w:val="BodyText"/>
        <w:rPr>
          <w:sz w:val="20"/>
        </w:rPr>
      </w:pPr>
    </w:p>
    <w:p>
      <w:pPr>
        <w:pStyle w:val="BodyText"/>
        <w:spacing w:before="2"/>
        <w:rPr>
          <w:sz w:val="13"/>
        </w:rPr>
      </w:pPr>
      <w:r>
        <w:rPr/>
        <w:pict>
          <v:shape style="position:absolute;margin-left:90pt;margin-top:9.842925pt;width:144pt;height:.1pt;mso-position-horizontal-relative:page;mso-position-vertical-relative:paragraph;z-index:-251654144;mso-wrap-distance-left:0;mso-wrap-distance-right:0" coordorigin="1800,197" coordsize="2880,0" path="m1800,197l4680,197e" filled="false" stroked="true" strokeweight=".600010pt" strokecolor="#000000">
            <v:path arrowok="t"/>
            <v:stroke dashstyle="solid"/>
            <w10:wrap type="topAndBottom"/>
          </v:shape>
        </w:pict>
      </w:r>
    </w:p>
    <w:p>
      <w:pPr>
        <w:spacing w:before="49"/>
        <w:ind w:left="1020" w:right="0" w:firstLine="0"/>
        <w:jc w:val="both"/>
        <w:rPr>
          <w:sz w:val="20"/>
        </w:rPr>
      </w:pPr>
      <w:r>
        <w:rPr>
          <w:position w:val="9"/>
          <w:sz w:val="13"/>
        </w:rPr>
        <w:t>4 </w:t>
      </w:r>
      <w:r>
        <w:rPr>
          <w:sz w:val="20"/>
        </w:rPr>
        <w:t>Output declined by 3.3%, 4.6% and 2.5% from the peak level of activity in the periods 1973-75,</w:t>
      </w:r>
    </w:p>
    <w:p>
      <w:pPr>
        <w:spacing w:before="0"/>
        <w:ind w:left="1019" w:right="576" w:firstLine="0"/>
        <w:jc w:val="both"/>
        <w:rPr>
          <w:sz w:val="20"/>
        </w:rPr>
      </w:pPr>
      <w:r>
        <w:rPr>
          <w:sz w:val="20"/>
        </w:rPr>
        <w:t>1979-81 and 1990-92. Claimant count unemployment rose by 540,000 in the three years from the peak of the 1973-75 cycle, and by 1.40 million and 1.34 million respectively in the equivalent three years in the following two recession. See also Sentance (2008b).</w:t>
      </w:r>
    </w:p>
    <w:p>
      <w:pPr>
        <w:spacing w:after="0"/>
        <w:jc w:val="both"/>
        <w:rPr>
          <w:sz w:val="20"/>
        </w:rPr>
        <w:sectPr>
          <w:headerReference w:type="default" r:id="rId14"/>
          <w:footerReference w:type="default" r:id="rId15"/>
          <w:pgSz w:w="11910" w:h="16840"/>
          <w:pgMar w:header="716" w:footer="777" w:top="1200" w:bottom="960" w:left="780" w:right="1258"/>
          <w:pgNumType w:start="5"/>
        </w:sectPr>
      </w:pPr>
    </w:p>
    <w:p>
      <w:pPr>
        <w:pStyle w:val="BodyText"/>
        <w:spacing w:before="8"/>
        <w:rPr>
          <w:sz w:val="12"/>
        </w:rPr>
      </w:pPr>
    </w:p>
    <w:p>
      <w:pPr>
        <w:pStyle w:val="BodyText"/>
        <w:spacing w:line="360" w:lineRule="auto" w:before="90"/>
        <w:ind w:left="1019" w:right="536"/>
        <w:jc w:val="both"/>
      </w:pPr>
      <w:r>
        <w:rPr/>
        <w:t>Chart 2 shows that the mid-1970s and early-1990s recessions clearly followed periods of very strong GDP growth. The 1974-75 recession followed the Barber Boom,  which saw the single strongest calendar year of postwar economic growth – when the output of the economy rose by over 7% in 1973. The intensity of the boom was such that even though GDP then fell back in the next two calendar years, GDP in 1975 was still over 5% up on three years</w:t>
      </w:r>
      <w:r>
        <w:rPr>
          <w:spacing w:val="-6"/>
        </w:rPr>
        <w:t> </w:t>
      </w:r>
      <w:r>
        <w:rPr/>
        <w:t>ago.</w:t>
      </w:r>
    </w:p>
    <w:p>
      <w:pPr>
        <w:pStyle w:val="BodyText"/>
        <w:rPr>
          <w:sz w:val="36"/>
        </w:rPr>
      </w:pPr>
    </w:p>
    <w:p>
      <w:pPr>
        <w:pStyle w:val="BodyText"/>
        <w:spacing w:line="360" w:lineRule="auto" w:before="1"/>
        <w:ind w:left="1019" w:right="532"/>
        <w:jc w:val="both"/>
      </w:pPr>
      <w:r>
        <w:rPr/>
        <w:pict>
          <v:group style="position:absolute;margin-left:143.910004pt;margin-top:143.94342pt;width:309.05pt;height:167.25pt;mso-position-horizontal-relative:page;mso-position-vertical-relative:paragraph;z-index:-254990336" coordorigin="2878,2879" coordsize="6181,3345">
            <v:shape style="position:absolute;left:5338;top:3433;width:90;height:2746" coordorigin="5339,3434" coordsize="90,2746" path="m5429,3434l5399,3434,5369,3434,5339,3434,5339,6179,5369,6179,5399,6179,5429,6179,5429,3434e" filled="true" fillcolor="#c0c0c0" stroked="false">
              <v:path arrowok="t"/>
              <v:fill type="solid"/>
            </v:shape>
            <v:line style="position:absolute" from="5436,3434" to="5436,6179" stroked="true" strokeweight=".71997pt" strokecolor="#c0c0c0">
              <v:stroke dashstyle="solid"/>
            </v:line>
            <v:shape style="position:absolute;left:5443;top:3433;width:90;height:2746" coordorigin="5443,3434" coordsize="90,2746" path="m5533,3434l5503,3434,5473,3434,5443,3434,5443,6179,5473,6179,5503,6179,5533,6179,5533,3434e" filled="true" fillcolor="#c0c0c0" stroked="false">
              <v:path arrowok="t"/>
              <v:fill type="solid"/>
            </v:shape>
            <v:line style="position:absolute" from="5541,3434" to="5541,6179" stroked="true" strokeweight=".78pt" strokecolor="#c0c0c0">
              <v:stroke dashstyle="solid"/>
            </v:line>
            <v:line style="position:absolute" from="5564,3434" to="5564,6179" stroked="true" strokeweight="1.5pt" strokecolor="#c0c0c0">
              <v:stroke dashstyle="solid"/>
            </v:line>
            <v:line style="position:absolute" from="6036,3434" to="6036,6179" stroked="true" strokeweight=".71997pt" strokecolor="#c0c0c0">
              <v:stroke dashstyle="solid"/>
            </v:line>
            <v:shape style="position:absolute;left:6043;top:3433;width:90;height:2746" coordorigin="6043,3434" coordsize="90,2746" path="m6133,3434l6103,3434,6073,3434,6043,3434,6043,6179,6073,6179,6103,6179,6133,6179,6133,3434e" filled="true" fillcolor="#c0c0c0" stroked="false">
              <v:path arrowok="t"/>
              <v:fill type="solid"/>
            </v:shape>
            <v:line style="position:absolute" from="6141,3434" to="6141,6179" stroked="true" strokeweight=".78pt" strokecolor="#c0c0c0">
              <v:stroke dashstyle="solid"/>
            </v:line>
            <v:shape style="position:absolute;left:7123;top:3433;width:60;height:2746" coordorigin="7123,3434" coordsize="60,2746" path="m7183,3434l7153,3434,7123,3434,7123,6179,7153,6179,7183,6179,7183,3434e" filled="true" fillcolor="#c0c0c0" stroked="false">
              <v:path arrowok="t"/>
              <v:fill type="solid"/>
            </v:shape>
            <v:line style="position:absolute" from="7191,3434" to="7191,6179" stroked="true" strokeweight=".78pt" strokecolor="#c0c0c0">
              <v:stroke dashstyle="solid"/>
            </v:line>
            <v:shape style="position:absolute;left:7198;top:3433;width:60;height:2746" coordorigin="7199,3434" coordsize="60,2746" path="m7259,3434l7229,3434,7199,3434,7199,6179,7229,6179,7259,6179,7259,3434e" filled="true" fillcolor="#c0c0c0" stroked="false">
              <v:path arrowok="t"/>
              <v:fill type="solid"/>
            </v:shape>
            <v:shape style="position:absolute;left:2878;top:2879;width:6180;height:3345" coordorigin="2879,2879" coordsize="6180,3345" path="m9013,2879l9013,6179m9013,6179l9059,6179m9013,5624l9059,5624m9013,5084l9059,5084m9013,4529l9059,4529m9013,3974l9059,3974m9013,3434l9059,3434m9013,2879l9059,2879m2879,6179l9013,6179m2879,6224l2879,6179m3929,6224l3929,6179m4979,6224l4979,6179m6029,6224l6029,6179m7079,6224l7079,6179m8129,6224l8129,6179e" filled="false" stroked="true" strokeweight=".06pt" strokecolor="#000000">
              <v:path arrowok="t"/>
              <v:stroke dashstyle="solid"/>
            </v:shape>
            <v:shape style="position:absolute;left:2954;top:3629;width:6029;height:2415" coordorigin="2954,3629" coordsize="6029,2415" path="m2954,5954l3059,5099m3059,5099l3164,5594m3164,5594l3269,5999m3269,5999l3373,5819m3373,5819l3479,5819m3479,5819l3583,5669m3583,5669l3689,5849m3689,5849l3793,5864m3793,5864l3899,6029m3899,6029l4003,6029m4003,6029l4109,5879m4109,5879l4213,5744m4213,5744l4319,5894m4319,5894l4423,5909m4423,5909l4529,5504m4529,5504l4633,5804m4633,5804l4739,5939m4739,5939l4843,5579m4843,5579l4949,5609m4949,5609l5053,5534m5053,5534l5159,5264m5159,5264l5263,5429m5263,5429l5369,5204m5369,5204l5473,4244m5473,4244l5579,3629m5579,3629l5683,4454m5683,4454l5789,4544m5789,4544l5893,5129m5893,5129l5999,4679m5999,4679l6103,4394m6103,4394l6209,4964m6209,4964l6313,5264m6313,5264l6419,5579m6419,5579l6523,5609m6523,5609l6629,5594m6629,5594l6733,5699m6733,5699l6839,5699m6839,5699l6943,5654m6943,5654l7049,5504m7049,5504l7153,5324m7153,5324l7259,5354m7259,5354l7363,5669m7363,5669l7469,5789m7469,5789l7573,5954m7573,5954l7679,5819m7679,5819l7783,5804m7783,5804l7889,5909m7889,5909l7993,5924m7993,5924l8099,6044m8099,6044l8203,6044m8203,6044l8309,5954m8309,5954l8413,6014m8413,6014l8519,5984m8519,5984l8623,5999m8623,5999l8729,5909m8729,5909l8833,5909,8939,5909m8939,5909l8983,5909e" filled="false" stroked="true" strokeweight="1.5pt" strokecolor="#9a3300">
              <v:path arrowok="t"/>
              <v:stroke dashstyle="solid"/>
            </v:shape>
            <v:shape style="position:absolute;left:2954;top:3719;width:3255;height:2085" coordorigin="2954,3719" coordsize="3255,2085" path="m2954,5804l3059,4409m3059,4409l3164,5639m3164,5639l3269,5369m3269,5369l3373,5609m3373,5609l3479,5234m3479,5234l3583,5519m3583,5519l3689,5564m3689,5564l3793,5744m3793,5744l3899,5519m3899,5519l4003,5369m4003,5369l4109,5594m4109,5594l4213,5699m4213,5699l4319,5489m4319,5489l4423,5024m4423,5024l4529,5414m4529,5414l4633,5534m4633,5534l4739,5429m4739,5429l4843,5264m4843,5264l4949,5564m4949,5564l5053,5129m5053,5129l5159,4889m5159,4889l5263,4799m5263,4799l5369,4109m5369,4109l5473,4334m5473,4334l5579,3719m5579,3719l5683,4094m5683,4094l5789,4739m5789,4739l5893,4604m5893,4604l5999,4184m5999,4184l6103,4529m6103,4529l6209,5114e" filled="false" stroked="true" strokeweight="1.5pt" strokecolor="#33339a">
              <v:path arrowok="t"/>
              <v:stroke dashstyle="solid"/>
            </v:shape>
            <v:shape style="position:absolute;left:6193;top:5008;width:660;height:286" type="#_x0000_t75" stroked="false">
              <v:imagedata r:id="rId19" o:title=""/>
            </v:shape>
            <v:shape style="position:absolute;left:6838;top:4603;width:2175;height:1200" coordorigin="6839,4604" coordsize="2175,1200" path="m6839,5024l6943,4604m6943,4604l7049,5054m7049,5054l7153,5399m7153,5399l7259,5804m7259,5804l7363,5699m7363,5699l7469,5654m7469,5654l7573,5564m7573,5564l7679,5579m7679,5579l7783,5474m7783,5474l7889,5549m7889,5549l7993,5369m7993,5369l8099,5474m8099,5474l8203,5564m8203,5564l8309,5609m8309,5609l8413,5564m8413,5564l8519,5564m8519,5564l8623,5534m8623,5534l8729,5624m8729,5624l8833,5579m8833,5579l8939,5519m8939,5519l9013,5699e" filled="false" stroked="true" strokeweight="1.5pt" strokecolor="#33339a">
              <v:path arrowok="t"/>
              <v:stroke dashstyle="solid"/>
            </v:shape>
            <v:line style="position:absolute" from="3044,2947" to="3403,2947" stroked="true" strokeweight="5.22pt" strokecolor="#c0c0c0">
              <v:stroke dashstyle="solid"/>
            </v:line>
            <v:line style="position:absolute" from="3044,3374" to="3403,3374" stroked="true" strokeweight="1.5pt" strokecolor="#9a3300">
              <v:stroke dashstyle="solid"/>
            </v:line>
            <v:line style="position:absolute" from="3044,3794" to="3403,3794" stroked="true" strokeweight="1.5pt" strokecolor="#33339a">
              <v:stroke dashstyle="solid"/>
            </v:line>
            <w10:wrap type="none"/>
          </v:group>
        </w:pict>
      </w:r>
      <w:r>
        <w:rPr/>
        <w:t>The Lawson boom in the late 1980s saw a more sustained boom – even if we did not see such a strong single year of rapid growth as in 1973. Growth averaged around 4% per annum in the five years to 1988, the peak growth year, and this represented the strongest five-year period of growth since the Second World War.</w:t>
      </w:r>
    </w:p>
    <w:p>
      <w:pPr>
        <w:pStyle w:val="BodyText"/>
        <w:rPr>
          <w:sz w:val="20"/>
        </w:rPr>
      </w:pPr>
    </w:p>
    <w:p>
      <w:pPr>
        <w:pStyle w:val="BodyText"/>
        <w:spacing w:before="3"/>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5"/>
        <w:gridCol w:w="2249"/>
        <w:gridCol w:w="1050"/>
        <w:gridCol w:w="1050"/>
        <w:gridCol w:w="1125"/>
        <w:gridCol w:w="1485"/>
      </w:tblGrid>
      <w:tr>
        <w:trPr>
          <w:trHeight w:val="275"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3: Inflation and domestic demand</w:t>
            </w:r>
          </w:p>
        </w:tc>
      </w:tr>
      <w:tr>
        <w:trPr>
          <w:trHeight w:val="275"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Annual percentage change</w:t>
            </w:r>
          </w:p>
        </w:tc>
      </w:tr>
      <w:tr>
        <w:trPr>
          <w:trHeight w:val="487" w:hRule="atLeast"/>
        </w:trPr>
        <w:tc>
          <w:tcPr>
            <w:tcW w:w="1455" w:type="dxa"/>
            <w:tcBorders>
              <w:top w:val="single" w:sz="4" w:space="0" w:color="000000"/>
              <w:left w:val="single" w:sz="4" w:space="0" w:color="000000"/>
            </w:tcBorders>
          </w:tcPr>
          <w:p>
            <w:pPr>
              <w:pStyle w:val="TableParagraph"/>
              <w:rPr>
                <w:sz w:val="22"/>
              </w:rPr>
            </w:pPr>
          </w:p>
        </w:tc>
        <w:tc>
          <w:tcPr>
            <w:tcW w:w="2249" w:type="dxa"/>
            <w:vMerge w:val="restart"/>
            <w:tcBorders>
              <w:top w:val="single" w:sz="4" w:space="0" w:color="000000"/>
              <w:bottom w:val="single" w:sz="4" w:space="0" w:color="000000"/>
            </w:tcBorders>
          </w:tcPr>
          <w:p>
            <w:pPr>
              <w:pStyle w:val="TableParagraph"/>
              <w:spacing w:before="9"/>
              <w:rPr>
                <w:sz w:val="15"/>
              </w:rPr>
            </w:pPr>
          </w:p>
          <w:p>
            <w:pPr>
              <w:pStyle w:val="TableParagraph"/>
              <w:ind w:left="198"/>
              <w:rPr>
                <w:rFonts w:ascii="Arial"/>
                <w:b/>
                <w:sz w:val="16"/>
              </w:rPr>
            </w:pPr>
            <w:r>
              <w:rPr>
                <w:rFonts w:ascii="Arial"/>
                <w:b/>
                <w:w w:val="105"/>
                <w:sz w:val="16"/>
              </w:rPr>
              <w:t>Recession period</w:t>
            </w:r>
          </w:p>
          <w:p>
            <w:pPr>
              <w:pStyle w:val="TableParagraph"/>
              <w:spacing w:before="9"/>
              <w:rPr>
                <w:sz w:val="21"/>
              </w:rPr>
            </w:pPr>
          </w:p>
          <w:p>
            <w:pPr>
              <w:pStyle w:val="TableParagraph"/>
              <w:ind w:left="198"/>
              <w:rPr>
                <w:rFonts w:ascii="Arial"/>
                <w:b/>
                <w:sz w:val="16"/>
              </w:rPr>
            </w:pPr>
            <w:r>
              <w:rPr>
                <w:rFonts w:ascii="Arial"/>
                <w:b/>
                <w:w w:val="105"/>
                <w:sz w:val="16"/>
              </w:rPr>
              <w:t>Consumer</w:t>
            </w:r>
          </w:p>
          <w:p>
            <w:pPr>
              <w:pStyle w:val="TableParagraph"/>
              <w:spacing w:line="273" w:lineRule="auto" w:before="26"/>
              <w:ind w:left="198" w:right="194"/>
              <w:rPr>
                <w:rFonts w:ascii="Arial"/>
                <w:b/>
                <w:sz w:val="16"/>
              </w:rPr>
            </w:pPr>
            <w:r>
              <w:rPr>
                <w:rFonts w:ascii="Arial"/>
                <w:b/>
                <w:w w:val="105"/>
                <w:sz w:val="16"/>
              </w:rPr>
              <w:t>expenditure deflator Nom inal Domestic Dem and</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tabs>
                <w:tab w:pos="1548" w:val="left" w:leader="none"/>
              </w:tabs>
              <w:spacing w:before="137"/>
              <w:ind w:left="498"/>
              <w:rPr>
                <w:rFonts w:ascii="Arial"/>
                <w:b/>
                <w:sz w:val="16"/>
              </w:rPr>
            </w:pPr>
            <w:r>
              <w:rPr>
                <w:rFonts w:ascii="Arial"/>
                <w:b/>
                <w:w w:val="105"/>
                <w:sz w:val="16"/>
              </w:rPr>
              <w:t>1960</w:t>
              <w:tab/>
              <w:t>1970</w:t>
            </w:r>
          </w:p>
        </w:tc>
        <w:tc>
          <w:tcPr>
            <w:tcW w:w="1050" w:type="dxa"/>
            <w:tcBorders>
              <w:top w:val="single" w:sz="4" w:space="0" w:color="000000"/>
            </w:tcBorders>
          </w:tcPr>
          <w:p>
            <w:pPr>
              <w:pStyle w:val="TableParagraph"/>
              <w:rPr>
                <w:sz w:val="22"/>
              </w:rPr>
            </w:pPr>
          </w:p>
        </w:tc>
        <w:tc>
          <w:tcPr>
            <w:tcW w:w="1050" w:type="dxa"/>
            <w:tcBorders>
              <w:top w:val="single" w:sz="4" w:space="0" w:color="000000"/>
            </w:tcBorders>
          </w:tcPr>
          <w:p>
            <w:pPr>
              <w:pStyle w:val="TableParagraph"/>
              <w:rPr>
                <w:sz w:val="22"/>
              </w:rPr>
            </w:pPr>
          </w:p>
        </w:tc>
        <w:tc>
          <w:tcPr>
            <w:tcW w:w="1125" w:type="dxa"/>
            <w:tcBorders>
              <w:top w:val="single" w:sz="4" w:space="0" w:color="000000"/>
            </w:tcBorders>
          </w:tcPr>
          <w:p>
            <w:pPr>
              <w:pStyle w:val="TableParagraph"/>
              <w:rPr>
                <w:sz w:val="22"/>
              </w:rPr>
            </w:pPr>
          </w:p>
        </w:tc>
        <w:tc>
          <w:tcPr>
            <w:tcW w:w="1485" w:type="dxa"/>
            <w:tcBorders>
              <w:top w:val="single" w:sz="4" w:space="0" w:color="000000"/>
              <w:right w:val="single" w:sz="4" w:space="0" w:color="000000"/>
            </w:tcBorders>
          </w:tcPr>
          <w:p>
            <w:pPr>
              <w:pStyle w:val="TableParagraph"/>
              <w:spacing w:before="122"/>
              <w:ind w:left="424"/>
              <w:rPr>
                <w:rFonts w:ascii="Arial"/>
                <w:b/>
                <w:sz w:val="16"/>
              </w:rPr>
            </w:pPr>
            <w:r>
              <w:rPr>
                <w:rFonts w:ascii="Arial"/>
                <w:b/>
                <w:w w:val="105"/>
                <w:sz w:val="16"/>
              </w:rPr>
              <w:t>30</w:t>
            </w:r>
          </w:p>
        </w:tc>
      </w:tr>
      <w:tr>
        <w:trPr>
          <w:trHeight w:val="537" w:hRule="atLeast"/>
        </w:trPr>
        <w:tc>
          <w:tcPr>
            <w:tcW w:w="1455" w:type="dxa"/>
            <w:tcBorders>
              <w:left w:val="single" w:sz="4" w:space="0" w:color="000000"/>
            </w:tcBorders>
          </w:tcPr>
          <w:p>
            <w:pPr>
              <w:pStyle w:val="TableParagraph"/>
              <w:rPr>
                <w:sz w:val="22"/>
              </w:rPr>
            </w:pPr>
          </w:p>
        </w:tc>
        <w:tc>
          <w:tcPr>
            <w:tcW w:w="2249" w:type="dxa"/>
            <w:vMerge/>
            <w:tcBorders>
              <w:top w:val="nil"/>
              <w:bottom w:val="single" w:sz="4" w:space="0" w:color="000000"/>
            </w:tcBorders>
          </w:tcPr>
          <w:p>
            <w:pPr>
              <w:rPr>
                <w:sz w:val="2"/>
                <w:szCs w:val="2"/>
              </w:rPr>
            </w:pPr>
          </w:p>
        </w:tc>
        <w:tc>
          <w:tcPr>
            <w:tcW w:w="1050" w:type="dxa"/>
          </w:tcPr>
          <w:p>
            <w:pPr>
              <w:pStyle w:val="TableParagraph"/>
              <w:rPr>
                <w:sz w:val="22"/>
              </w:rPr>
            </w:pPr>
          </w:p>
        </w:tc>
        <w:tc>
          <w:tcPr>
            <w:tcW w:w="1050" w:type="dxa"/>
          </w:tcPr>
          <w:p>
            <w:pPr>
              <w:pStyle w:val="TableParagraph"/>
              <w:rPr>
                <w:sz w:val="22"/>
              </w:rPr>
            </w:pPr>
          </w:p>
        </w:tc>
        <w:tc>
          <w:tcPr>
            <w:tcW w:w="1125" w:type="dxa"/>
          </w:tcPr>
          <w:p>
            <w:pPr>
              <w:pStyle w:val="TableParagraph"/>
              <w:rPr>
                <w:sz w:val="22"/>
              </w:rPr>
            </w:pPr>
          </w:p>
        </w:tc>
        <w:tc>
          <w:tcPr>
            <w:tcW w:w="1485" w:type="dxa"/>
            <w:tcBorders>
              <w:right w:val="single" w:sz="4" w:space="0" w:color="000000"/>
            </w:tcBorders>
          </w:tcPr>
          <w:p>
            <w:pPr>
              <w:pStyle w:val="TableParagraph"/>
              <w:spacing w:before="6"/>
              <w:rPr>
                <w:sz w:val="15"/>
              </w:rPr>
            </w:pPr>
          </w:p>
          <w:p>
            <w:pPr>
              <w:pStyle w:val="TableParagraph"/>
              <w:spacing w:before="1"/>
              <w:ind w:left="424"/>
              <w:rPr>
                <w:rFonts w:ascii="Arial"/>
                <w:b/>
                <w:sz w:val="16"/>
              </w:rPr>
            </w:pPr>
            <w:r>
              <w:rPr>
                <w:rFonts w:ascii="Arial"/>
                <w:b/>
                <w:w w:val="105"/>
                <w:sz w:val="16"/>
              </w:rPr>
              <w:t>25</w:t>
            </w:r>
          </w:p>
        </w:tc>
      </w:tr>
      <w:tr>
        <w:trPr>
          <w:trHeight w:val="537" w:hRule="atLeast"/>
        </w:trPr>
        <w:tc>
          <w:tcPr>
            <w:tcW w:w="1455" w:type="dxa"/>
            <w:tcBorders>
              <w:left w:val="single" w:sz="4" w:space="0" w:color="000000"/>
            </w:tcBorders>
          </w:tcPr>
          <w:p>
            <w:pPr>
              <w:pStyle w:val="TableParagraph"/>
              <w:rPr>
                <w:sz w:val="22"/>
              </w:rPr>
            </w:pPr>
          </w:p>
        </w:tc>
        <w:tc>
          <w:tcPr>
            <w:tcW w:w="2249" w:type="dxa"/>
            <w:vMerge/>
            <w:tcBorders>
              <w:top w:val="nil"/>
              <w:bottom w:val="single" w:sz="4" w:space="0" w:color="000000"/>
            </w:tcBorders>
          </w:tcPr>
          <w:p>
            <w:pPr>
              <w:rPr>
                <w:sz w:val="2"/>
                <w:szCs w:val="2"/>
              </w:rPr>
            </w:pPr>
          </w:p>
        </w:tc>
        <w:tc>
          <w:tcPr>
            <w:tcW w:w="1050" w:type="dxa"/>
          </w:tcPr>
          <w:p>
            <w:pPr>
              <w:pStyle w:val="TableParagraph"/>
              <w:rPr>
                <w:sz w:val="22"/>
              </w:rPr>
            </w:pPr>
          </w:p>
        </w:tc>
        <w:tc>
          <w:tcPr>
            <w:tcW w:w="1050" w:type="dxa"/>
          </w:tcPr>
          <w:p>
            <w:pPr>
              <w:pStyle w:val="TableParagraph"/>
              <w:rPr>
                <w:sz w:val="22"/>
              </w:rPr>
            </w:pPr>
          </w:p>
        </w:tc>
        <w:tc>
          <w:tcPr>
            <w:tcW w:w="1125" w:type="dxa"/>
          </w:tcPr>
          <w:p>
            <w:pPr>
              <w:pStyle w:val="TableParagraph"/>
              <w:rPr>
                <w:sz w:val="22"/>
              </w:rPr>
            </w:pPr>
          </w:p>
        </w:tc>
        <w:tc>
          <w:tcPr>
            <w:tcW w:w="1485" w:type="dxa"/>
            <w:tcBorders>
              <w:right w:val="single" w:sz="4" w:space="0" w:color="000000"/>
            </w:tcBorders>
          </w:tcPr>
          <w:p>
            <w:pPr>
              <w:pStyle w:val="TableParagraph"/>
              <w:spacing w:before="11"/>
              <w:rPr>
                <w:sz w:val="14"/>
              </w:rPr>
            </w:pPr>
          </w:p>
          <w:p>
            <w:pPr>
              <w:pStyle w:val="TableParagraph"/>
              <w:ind w:left="424"/>
              <w:rPr>
                <w:rFonts w:ascii="Arial"/>
                <w:b/>
                <w:sz w:val="16"/>
              </w:rPr>
            </w:pPr>
            <w:r>
              <w:rPr>
                <w:rFonts w:ascii="Arial"/>
                <w:b/>
                <w:w w:val="105"/>
                <w:sz w:val="16"/>
              </w:rPr>
              <w:t>20</w:t>
            </w:r>
          </w:p>
        </w:tc>
      </w:tr>
      <w:tr>
        <w:trPr>
          <w:trHeight w:val="544" w:hRule="atLeast"/>
        </w:trPr>
        <w:tc>
          <w:tcPr>
            <w:tcW w:w="1455" w:type="dxa"/>
            <w:tcBorders>
              <w:left w:val="single" w:sz="4" w:space="0" w:color="000000"/>
            </w:tcBorders>
          </w:tcPr>
          <w:p>
            <w:pPr>
              <w:pStyle w:val="TableParagraph"/>
              <w:rPr>
                <w:sz w:val="22"/>
              </w:rPr>
            </w:pPr>
          </w:p>
        </w:tc>
        <w:tc>
          <w:tcPr>
            <w:tcW w:w="2249" w:type="dxa"/>
            <w:vMerge/>
            <w:tcBorders>
              <w:top w:val="nil"/>
              <w:bottom w:val="single" w:sz="4" w:space="0" w:color="000000"/>
            </w:tcBorders>
          </w:tcPr>
          <w:p>
            <w:pPr>
              <w:rPr>
                <w:sz w:val="2"/>
                <w:szCs w:val="2"/>
              </w:rPr>
            </w:pPr>
          </w:p>
        </w:tc>
        <w:tc>
          <w:tcPr>
            <w:tcW w:w="1050" w:type="dxa"/>
          </w:tcPr>
          <w:p>
            <w:pPr>
              <w:pStyle w:val="TableParagraph"/>
              <w:rPr>
                <w:sz w:val="22"/>
              </w:rPr>
            </w:pPr>
          </w:p>
        </w:tc>
        <w:tc>
          <w:tcPr>
            <w:tcW w:w="1050" w:type="dxa"/>
          </w:tcPr>
          <w:p>
            <w:pPr>
              <w:pStyle w:val="TableParagraph"/>
              <w:rPr>
                <w:sz w:val="22"/>
              </w:rPr>
            </w:pPr>
          </w:p>
        </w:tc>
        <w:tc>
          <w:tcPr>
            <w:tcW w:w="1125" w:type="dxa"/>
          </w:tcPr>
          <w:p>
            <w:pPr>
              <w:pStyle w:val="TableParagraph"/>
              <w:rPr>
                <w:sz w:val="22"/>
              </w:rPr>
            </w:pPr>
          </w:p>
        </w:tc>
        <w:tc>
          <w:tcPr>
            <w:tcW w:w="1485" w:type="dxa"/>
            <w:tcBorders>
              <w:right w:val="single" w:sz="4" w:space="0" w:color="000000"/>
            </w:tcBorders>
          </w:tcPr>
          <w:p>
            <w:pPr>
              <w:pStyle w:val="TableParagraph"/>
              <w:spacing w:before="7"/>
              <w:rPr>
                <w:sz w:val="15"/>
              </w:rPr>
            </w:pPr>
          </w:p>
          <w:p>
            <w:pPr>
              <w:pStyle w:val="TableParagraph"/>
              <w:ind w:left="424"/>
              <w:rPr>
                <w:rFonts w:ascii="Arial"/>
                <w:b/>
                <w:sz w:val="16"/>
              </w:rPr>
            </w:pPr>
            <w:r>
              <w:rPr>
                <w:rFonts w:ascii="Arial"/>
                <w:b/>
                <w:w w:val="105"/>
                <w:sz w:val="16"/>
              </w:rPr>
              <w:t>15</w:t>
            </w:r>
          </w:p>
        </w:tc>
      </w:tr>
      <w:tr>
        <w:trPr>
          <w:trHeight w:val="601" w:hRule="atLeast"/>
        </w:trPr>
        <w:tc>
          <w:tcPr>
            <w:tcW w:w="1455" w:type="dxa"/>
            <w:tcBorders>
              <w:left w:val="single" w:sz="4" w:space="0" w:color="000000"/>
            </w:tcBorders>
          </w:tcPr>
          <w:p>
            <w:pPr>
              <w:pStyle w:val="TableParagraph"/>
              <w:rPr>
                <w:sz w:val="22"/>
              </w:rPr>
            </w:pPr>
          </w:p>
        </w:tc>
        <w:tc>
          <w:tcPr>
            <w:tcW w:w="2249" w:type="dxa"/>
            <w:vMerge/>
            <w:tcBorders>
              <w:top w:val="nil"/>
              <w:bottom w:val="single" w:sz="4" w:space="0" w:color="000000"/>
            </w:tcBorders>
          </w:tcPr>
          <w:p>
            <w:pPr>
              <w:rPr>
                <w:sz w:val="2"/>
                <w:szCs w:val="2"/>
              </w:rPr>
            </w:pPr>
          </w:p>
        </w:tc>
        <w:tc>
          <w:tcPr>
            <w:tcW w:w="1050" w:type="dxa"/>
          </w:tcPr>
          <w:p>
            <w:pPr>
              <w:pStyle w:val="TableParagraph"/>
              <w:rPr>
                <w:sz w:val="22"/>
              </w:rPr>
            </w:pPr>
          </w:p>
        </w:tc>
        <w:tc>
          <w:tcPr>
            <w:tcW w:w="1050" w:type="dxa"/>
          </w:tcPr>
          <w:p>
            <w:pPr>
              <w:pStyle w:val="TableParagraph"/>
              <w:rPr>
                <w:sz w:val="22"/>
              </w:rPr>
            </w:pPr>
          </w:p>
        </w:tc>
        <w:tc>
          <w:tcPr>
            <w:tcW w:w="1125" w:type="dxa"/>
          </w:tcPr>
          <w:p>
            <w:pPr>
              <w:pStyle w:val="TableParagraph"/>
              <w:rPr>
                <w:sz w:val="22"/>
              </w:rPr>
            </w:pPr>
          </w:p>
        </w:tc>
        <w:tc>
          <w:tcPr>
            <w:tcW w:w="1485" w:type="dxa"/>
            <w:tcBorders>
              <w:right w:val="single" w:sz="4" w:space="0" w:color="000000"/>
            </w:tcBorders>
          </w:tcPr>
          <w:p>
            <w:pPr>
              <w:pStyle w:val="TableParagraph"/>
              <w:spacing w:before="6"/>
              <w:rPr>
                <w:sz w:val="15"/>
              </w:rPr>
            </w:pPr>
          </w:p>
          <w:p>
            <w:pPr>
              <w:pStyle w:val="TableParagraph"/>
              <w:spacing w:before="1"/>
              <w:ind w:left="424"/>
              <w:rPr>
                <w:rFonts w:ascii="Arial"/>
                <w:b/>
                <w:sz w:val="16"/>
              </w:rPr>
            </w:pPr>
            <w:r>
              <w:rPr>
                <w:rFonts w:ascii="Arial"/>
                <w:b/>
                <w:w w:val="105"/>
                <w:sz w:val="16"/>
              </w:rPr>
              <w:t>10</w:t>
            </w:r>
          </w:p>
        </w:tc>
      </w:tr>
      <w:tr>
        <w:trPr>
          <w:trHeight w:val="473" w:hRule="atLeast"/>
        </w:trPr>
        <w:tc>
          <w:tcPr>
            <w:tcW w:w="1455" w:type="dxa"/>
            <w:tcBorders>
              <w:left w:val="single" w:sz="4" w:space="0" w:color="000000"/>
            </w:tcBorders>
          </w:tcPr>
          <w:p>
            <w:pPr>
              <w:pStyle w:val="TableParagraph"/>
              <w:rPr>
                <w:sz w:val="22"/>
              </w:rPr>
            </w:pPr>
          </w:p>
        </w:tc>
        <w:tc>
          <w:tcPr>
            <w:tcW w:w="2249" w:type="dxa"/>
            <w:vMerge/>
            <w:tcBorders>
              <w:top w:val="nil"/>
              <w:bottom w:val="single" w:sz="4" w:space="0" w:color="000000"/>
            </w:tcBorders>
          </w:tcPr>
          <w:p>
            <w:pPr>
              <w:rPr>
                <w:sz w:val="2"/>
                <w:szCs w:val="2"/>
              </w:rPr>
            </w:pPr>
          </w:p>
        </w:tc>
        <w:tc>
          <w:tcPr>
            <w:tcW w:w="1050" w:type="dxa"/>
          </w:tcPr>
          <w:p>
            <w:pPr>
              <w:pStyle w:val="TableParagraph"/>
              <w:rPr>
                <w:sz w:val="22"/>
              </w:rPr>
            </w:pPr>
          </w:p>
        </w:tc>
        <w:tc>
          <w:tcPr>
            <w:tcW w:w="1050" w:type="dxa"/>
          </w:tcPr>
          <w:p>
            <w:pPr>
              <w:pStyle w:val="TableParagraph"/>
              <w:rPr>
                <w:sz w:val="22"/>
              </w:rPr>
            </w:pPr>
          </w:p>
        </w:tc>
        <w:tc>
          <w:tcPr>
            <w:tcW w:w="1125" w:type="dxa"/>
          </w:tcPr>
          <w:p>
            <w:pPr>
              <w:pStyle w:val="TableParagraph"/>
              <w:rPr>
                <w:sz w:val="22"/>
              </w:rPr>
            </w:pPr>
          </w:p>
        </w:tc>
        <w:tc>
          <w:tcPr>
            <w:tcW w:w="1485" w:type="dxa"/>
            <w:tcBorders>
              <w:right w:val="single" w:sz="4" w:space="0" w:color="000000"/>
            </w:tcBorders>
          </w:tcPr>
          <w:p>
            <w:pPr>
              <w:pStyle w:val="TableParagraph"/>
              <w:spacing w:before="108"/>
              <w:ind w:left="424"/>
              <w:rPr>
                <w:rFonts w:ascii="Arial"/>
                <w:b/>
                <w:sz w:val="16"/>
              </w:rPr>
            </w:pPr>
            <w:r>
              <w:rPr>
                <w:rFonts w:ascii="Arial"/>
                <w:b/>
                <w:w w:val="103"/>
                <w:sz w:val="16"/>
              </w:rPr>
              <w:t>5</w:t>
            </w:r>
          </w:p>
        </w:tc>
      </w:tr>
      <w:tr>
        <w:trPr>
          <w:trHeight w:val="387" w:hRule="atLeast"/>
        </w:trPr>
        <w:tc>
          <w:tcPr>
            <w:tcW w:w="1455" w:type="dxa"/>
            <w:tcBorders>
              <w:left w:val="single" w:sz="4" w:space="0" w:color="000000"/>
            </w:tcBorders>
          </w:tcPr>
          <w:p>
            <w:pPr>
              <w:pStyle w:val="TableParagraph"/>
              <w:rPr>
                <w:sz w:val="22"/>
              </w:rPr>
            </w:pPr>
          </w:p>
        </w:tc>
        <w:tc>
          <w:tcPr>
            <w:tcW w:w="2249" w:type="dxa"/>
            <w:vMerge/>
            <w:tcBorders>
              <w:top w:val="nil"/>
              <w:bottom w:val="single" w:sz="4" w:space="0" w:color="000000"/>
            </w:tcBorders>
          </w:tcPr>
          <w:p>
            <w:pPr>
              <w:rPr>
                <w:sz w:val="2"/>
                <w:szCs w:val="2"/>
              </w:rPr>
            </w:pPr>
          </w:p>
        </w:tc>
        <w:tc>
          <w:tcPr>
            <w:tcW w:w="1050" w:type="dxa"/>
          </w:tcPr>
          <w:p>
            <w:pPr>
              <w:pStyle w:val="TableParagraph"/>
              <w:rPr>
                <w:sz w:val="22"/>
              </w:rPr>
            </w:pPr>
          </w:p>
        </w:tc>
        <w:tc>
          <w:tcPr>
            <w:tcW w:w="1050" w:type="dxa"/>
          </w:tcPr>
          <w:p>
            <w:pPr>
              <w:pStyle w:val="TableParagraph"/>
              <w:rPr>
                <w:sz w:val="22"/>
              </w:rPr>
            </w:pPr>
          </w:p>
        </w:tc>
        <w:tc>
          <w:tcPr>
            <w:tcW w:w="1125" w:type="dxa"/>
          </w:tcPr>
          <w:p>
            <w:pPr>
              <w:pStyle w:val="TableParagraph"/>
              <w:rPr>
                <w:sz w:val="22"/>
              </w:rPr>
            </w:pPr>
          </w:p>
        </w:tc>
        <w:tc>
          <w:tcPr>
            <w:tcW w:w="1485" w:type="dxa"/>
            <w:tcBorders>
              <w:right w:val="single" w:sz="4" w:space="0" w:color="000000"/>
            </w:tcBorders>
          </w:tcPr>
          <w:p>
            <w:pPr>
              <w:pStyle w:val="TableParagraph"/>
              <w:spacing w:before="7"/>
              <w:rPr>
                <w:sz w:val="15"/>
              </w:rPr>
            </w:pPr>
          </w:p>
          <w:p>
            <w:pPr>
              <w:pStyle w:val="TableParagraph"/>
              <w:ind w:left="424"/>
              <w:rPr>
                <w:rFonts w:ascii="Arial"/>
                <w:b/>
                <w:sz w:val="16"/>
              </w:rPr>
            </w:pPr>
            <w:r>
              <w:rPr>
                <w:rFonts w:ascii="Arial"/>
                <w:b/>
                <w:w w:val="103"/>
                <w:sz w:val="16"/>
              </w:rPr>
              <w:t>0</w:t>
            </w:r>
          </w:p>
        </w:tc>
      </w:tr>
      <w:tr>
        <w:trPr>
          <w:trHeight w:val="365" w:hRule="atLeast"/>
        </w:trPr>
        <w:tc>
          <w:tcPr>
            <w:tcW w:w="1455" w:type="dxa"/>
            <w:tcBorders>
              <w:left w:val="single" w:sz="4" w:space="0" w:color="000000"/>
              <w:bottom w:val="single" w:sz="4" w:space="0" w:color="000000"/>
            </w:tcBorders>
          </w:tcPr>
          <w:p>
            <w:pPr>
              <w:pStyle w:val="TableParagraph"/>
              <w:spacing w:before="22"/>
              <w:ind w:left="899"/>
              <w:rPr>
                <w:rFonts w:ascii="Arial"/>
                <w:b/>
                <w:sz w:val="16"/>
              </w:rPr>
            </w:pPr>
            <w:r>
              <w:rPr>
                <w:rFonts w:ascii="Arial"/>
                <w:b/>
                <w:w w:val="105"/>
                <w:sz w:val="16"/>
              </w:rPr>
              <w:t>1950</w:t>
            </w:r>
          </w:p>
        </w:tc>
        <w:tc>
          <w:tcPr>
            <w:tcW w:w="2249" w:type="dxa"/>
            <w:vMerge/>
            <w:tcBorders>
              <w:top w:val="nil"/>
              <w:bottom w:val="single" w:sz="4" w:space="0" w:color="000000"/>
            </w:tcBorders>
          </w:tcPr>
          <w:p>
            <w:pPr>
              <w:rPr>
                <w:sz w:val="2"/>
                <w:szCs w:val="2"/>
              </w:rPr>
            </w:pPr>
          </w:p>
        </w:tc>
        <w:tc>
          <w:tcPr>
            <w:tcW w:w="1050" w:type="dxa"/>
            <w:tcBorders>
              <w:bottom w:val="single" w:sz="4" w:space="0" w:color="000000"/>
            </w:tcBorders>
          </w:tcPr>
          <w:p>
            <w:pPr>
              <w:pStyle w:val="TableParagraph"/>
              <w:spacing w:before="22"/>
              <w:ind w:left="349"/>
              <w:rPr>
                <w:rFonts w:ascii="Arial"/>
                <w:b/>
                <w:sz w:val="16"/>
              </w:rPr>
            </w:pPr>
            <w:r>
              <w:rPr>
                <w:rFonts w:ascii="Arial"/>
                <w:b/>
                <w:w w:val="105"/>
                <w:sz w:val="16"/>
              </w:rPr>
              <w:t>1980</w:t>
            </w:r>
          </w:p>
        </w:tc>
        <w:tc>
          <w:tcPr>
            <w:tcW w:w="1050" w:type="dxa"/>
            <w:tcBorders>
              <w:bottom w:val="single" w:sz="4" w:space="0" w:color="000000"/>
            </w:tcBorders>
          </w:tcPr>
          <w:p>
            <w:pPr>
              <w:pStyle w:val="TableParagraph"/>
              <w:spacing w:before="22"/>
              <w:ind w:left="349"/>
              <w:rPr>
                <w:rFonts w:ascii="Arial"/>
                <w:b/>
                <w:sz w:val="16"/>
              </w:rPr>
            </w:pPr>
            <w:r>
              <w:rPr>
                <w:rFonts w:ascii="Arial"/>
                <w:b/>
                <w:w w:val="105"/>
                <w:sz w:val="16"/>
              </w:rPr>
              <w:t>1990</w:t>
            </w:r>
          </w:p>
        </w:tc>
        <w:tc>
          <w:tcPr>
            <w:tcW w:w="1125" w:type="dxa"/>
            <w:tcBorders>
              <w:bottom w:val="single" w:sz="4" w:space="0" w:color="000000"/>
            </w:tcBorders>
          </w:tcPr>
          <w:p>
            <w:pPr>
              <w:pStyle w:val="TableParagraph"/>
              <w:spacing w:before="22"/>
              <w:ind w:left="349"/>
              <w:rPr>
                <w:rFonts w:ascii="Arial"/>
                <w:b/>
                <w:sz w:val="16"/>
              </w:rPr>
            </w:pPr>
            <w:r>
              <w:rPr>
                <w:rFonts w:ascii="Arial"/>
                <w:b/>
                <w:w w:val="105"/>
                <w:sz w:val="16"/>
              </w:rPr>
              <w:t>2000</w:t>
            </w:r>
          </w:p>
        </w:tc>
        <w:tc>
          <w:tcPr>
            <w:tcW w:w="1485" w:type="dxa"/>
            <w:tcBorders>
              <w:bottom w:val="single" w:sz="4" w:space="0" w:color="000000"/>
              <w:right w:val="single" w:sz="4" w:space="0" w:color="000000"/>
            </w:tcBorders>
          </w:tcPr>
          <w:p>
            <w:pPr>
              <w:pStyle w:val="TableParagraph"/>
              <w:rPr>
                <w:sz w:val="22"/>
              </w:rPr>
            </w:pPr>
          </w:p>
        </w:tc>
      </w:tr>
      <w:tr>
        <w:trPr>
          <w:trHeight w:val="930" w:hRule="atLeast"/>
        </w:trPr>
        <w:tc>
          <w:tcPr>
            <w:tcW w:w="8414" w:type="dxa"/>
            <w:gridSpan w:val="6"/>
            <w:tcBorders>
              <w:top w:val="single" w:sz="4" w:space="0" w:color="000000"/>
              <w:left w:val="single" w:sz="4" w:space="0" w:color="000000"/>
              <w:bottom w:val="single" w:sz="4" w:space="0" w:color="000000"/>
              <w:right w:val="single" w:sz="4" w:space="0" w:color="000000"/>
            </w:tcBorders>
          </w:tcPr>
          <w:p>
            <w:pPr>
              <w:pStyle w:val="TableParagraph"/>
              <w:ind w:left="107" w:right="297"/>
              <w:rPr>
                <w:sz w:val="20"/>
              </w:rPr>
            </w:pPr>
            <w:r>
              <w:rPr>
                <w:i/>
                <w:sz w:val="20"/>
              </w:rPr>
              <w:t>Note: </w:t>
            </w:r>
            <w:r>
              <w:rPr>
                <w:sz w:val="20"/>
              </w:rPr>
              <w:t>2008 domestic demand data are an average of Q1-Q3, consumer expenditure deflator data are an average of Q1-Q2</w:t>
            </w:r>
          </w:p>
          <w:p>
            <w:pPr>
              <w:pStyle w:val="TableParagraph"/>
              <w:spacing w:before="116"/>
              <w:ind w:left="107"/>
              <w:rPr>
                <w:sz w:val="20"/>
              </w:rPr>
            </w:pPr>
            <w:r>
              <w:rPr>
                <w:i/>
                <w:sz w:val="20"/>
              </w:rPr>
              <w:t>Source: </w:t>
            </w:r>
            <w:r>
              <w:rPr>
                <w:sz w:val="20"/>
              </w:rPr>
              <w:t>ONS</w:t>
            </w:r>
          </w:p>
        </w:tc>
      </w:tr>
    </w:tbl>
    <w:p>
      <w:pPr>
        <w:pStyle w:val="BodyText"/>
        <w:spacing w:before="10"/>
        <w:rPr>
          <w:sz w:val="27"/>
        </w:rPr>
      </w:pPr>
    </w:p>
    <w:p>
      <w:pPr>
        <w:pStyle w:val="BodyText"/>
        <w:spacing w:line="360" w:lineRule="auto" w:before="90"/>
        <w:ind w:left="1019" w:right="534"/>
        <w:jc w:val="both"/>
      </w:pPr>
      <w:r>
        <w:rPr/>
        <w:t>The early 1980s recession was not immediately preceded by such a strong surge in GDP growth. However, there was still a sharp pick-up in the growth of money spending and of inflation, as Chart 3 shows. Indeed, double digit growth in nominal spending and a sustained pick-up in inflation – followed by a squeeze on both demand and inflation – is a key common ingredient in all these previous recessionary cycles in the UK.</w:t>
      </w:r>
    </w:p>
    <w:p>
      <w:pPr>
        <w:spacing w:after="0" w:line="360" w:lineRule="auto"/>
        <w:jc w:val="both"/>
        <w:sectPr>
          <w:headerReference w:type="default" r:id="rId17"/>
          <w:footerReference w:type="default" r:id="rId18"/>
          <w:pgSz w:w="11910" w:h="16840"/>
          <w:pgMar w:header="716" w:footer="777" w:top="1200" w:bottom="960" w:left="780" w:right="1258"/>
          <w:pgNumType w:start="6"/>
        </w:sectPr>
      </w:pPr>
    </w:p>
    <w:p>
      <w:pPr>
        <w:pStyle w:val="BodyText"/>
        <w:spacing w:before="8"/>
        <w:rPr>
          <w:sz w:val="12"/>
        </w:rPr>
      </w:pPr>
    </w:p>
    <w:p>
      <w:pPr>
        <w:pStyle w:val="BodyText"/>
        <w:spacing w:line="360" w:lineRule="auto" w:before="90"/>
        <w:ind w:left="1019" w:right="537"/>
        <w:jc w:val="both"/>
      </w:pPr>
      <w:r>
        <w:rPr/>
        <w:t>However, Chart 3 also shows that this pattern has not been repeated in the run-up to the current recession. Though inflation has picked up over the course of this year, this was due to a surge in global energy and commodity prices – and has not been driven by demand factors in the UK. Nominal domestic demand has been slowing recently, and other indicators of domestic inflationary pressure – such as wage growth – have also been subdued. GDP growth in the five years prior to this year’s downturn (2003- 2007) averaged 2.7% per annum – just 0.1% above the postwar average growth rate.</w:t>
      </w:r>
    </w:p>
    <w:p>
      <w:pPr>
        <w:pStyle w:val="BodyText"/>
        <w:spacing w:before="1"/>
        <w:rPr>
          <w:sz w:val="36"/>
        </w:rPr>
      </w:pPr>
    </w:p>
    <w:p>
      <w:pPr>
        <w:pStyle w:val="BodyText"/>
        <w:spacing w:line="360" w:lineRule="auto"/>
        <w:ind w:left="1019" w:right="536"/>
        <w:jc w:val="both"/>
      </w:pPr>
      <w:r>
        <w:rPr/>
        <w:t>In one sense this is not surprising. The inflation target framework established in the 1990s, within which the Monetary Policy Committee operates, was designed precisely to avoid the inflationary boom-bust cycles that we have seen before in the UK. The MPC has been sensitive to signs of a pick-up in domestic inflationary pressures – raising interest rates in the late 1990s, 2003/4 and 2006/7 to head off this risk. The resulting record of low and stable inflation has helped to anchor expectations when inflationary threats have emerged – as they did with the sharp surge in energy and commodity prices this year.</w:t>
      </w:r>
    </w:p>
    <w:p>
      <w:pPr>
        <w:pStyle w:val="BodyText"/>
        <w:spacing w:before="2"/>
        <w:rPr>
          <w:sz w:val="36"/>
        </w:rPr>
      </w:pPr>
    </w:p>
    <w:p>
      <w:pPr>
        <w:pStyle w:val="Heading1"/>
        <w:ind w:left="1019"/>
      </w:pPr>
      <w:r>
        <w:rPr/>
        <w:t>A bust without a boom?</w:t>
      </w:r>
    </w:p>
    <w:p>
      <w:pPr>
        <w:pStyle w:val="BodyText"/>
        <w:spacing w:before="8"/>
        <w:rPr>
          <w:b/>
          <w:sz w:val="35"/>
        </w:rPr>
      </w:pPr>
    </w:p>
    <w:p>
      <w:pPr>
        <w:pStyle w:val="BodyText"/>
        <w:spacing w:line="360" w:lineRule="auto"/>
        <w:ind w:left="1019" w:right="536"/>
        <w:jc w:val="both"/>
      </w:pPr>
      <w:r>
        <w:rPr/>
        <w:t>Viewed through the lens of the classic inflationary boom-bust cycle, therefore, we appear to be experiencing a bust without having experienced a preceding boom, at least in terms of short-term measures of the growth of UK demand and domestic inflationary pressures. But there have been some aspects of the recent period of economic expansion which are more characteristic of a boom-bust cycle, though perhaps in a different form to those we have seen in the past.</w:t>
      </w:r>
    </w:p>
    <w:p>
      <w:pPr>
        <w:spacing w:after="0" w:line="360" w:lineRule="auto"/>
        <w:jc w:val="both"/>
        <w:sectPr>
          <w:headerReference w:type="default" r:id="rId20"/>
          <w:footerReference w:type="default" r:id="rId21"/>
          <w:pgSz w:w="11910" w:h="16840"/>
          <w:pgMar w:header="716" w:footer="777" w:top="1200" w:bottom="960" w:left="780" w:right="1258"/>
          <w:pgNumType w:start="7"/>
        </w:sectPr>
      </w:pPr>
    </w:p>
    <w:p>
      <w:pPr>
        <w:pStyle w:val="BodyText"/>
        <w:spacing w:before="10"/>
        <w:rPr>
          <w:sz w:val="20"/>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0"/>
        <w:gridCol w:w="945"/>
        <w:gridCol w:w="937"/>
        <w:gridCol w:w="3070"/>
        <w:gridCol w:w="731"/>
        <w:gridCol w:w="1290"/>
      </w:tblGrid>
      <w:tr>
        <w:trPr>
          <w:trHeight w:val="275" w:hRule="atLeast"/>
        </w:trPr>
        <w:tc>
          <w:tcPr>
            <w:tcW w:w="84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4: World GDP growth since the 1960s</w:t>
            </w:r>
          </w:p>
        </w:tc>
      </w:tr>
      <w:tr>
        <w:trPr>
          <w:trHeight w:val="276" w:hRule="atLeast"/>
        </w:trPr>
        <w:tc>
          <w:tcPr>
            <w:tcW w:w="84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sz w:val="24"/>
              </w:rPr>
            </w:pPr>
            <w:r>
              <w:rPr>
                <w:sz w:val="24"/>
              </w:rPr>
              <w:t>Annual percentage change</w:t>
            </w:r>
          </w:p>
        </w:tc>
      </w:tr>
      <w:tr>
        <w:trPr>
          <w:trHeight w:val="512" w:hRule="atLeast"/>
        </w:trPr>
        <w:tc>
          <w:tcPr>
            <w:tcW w:w="1440" w:type="dxa"/>
            <w:tcBorders>
              <w:top w:val="single" w:sz="4" w:space="0" w:color="000000"/>
              <w:left w:val="single" w:sz="4" w:space="0" w:color="000000"/>
            </w:tcBorders>
          </w:tcPr>
          <w:p>
            <w:pPr>
              <w:pStyle w:val="TableParagraph"/>
              <w:rPr>
                <w:sz w:val="20"/>
              </w:rPr>
            </w:pPr>
          </w:p>
        </w:tc>
        <w:tc>
          <w:tcPr>
            <w:tcW w:w="945" w:type="dxa"/>
            <w:tcBorders>
              <w:top w:val="single" w:sz="4" w:space="0" w:color="000000"/>
            </w:tcBorders>
          </w:tcPr>
          <w:p>
            <w:pPr>
              <w:pStyle w:val="TableParagraph"/>
              <w:rPr>
                <w:sz w:val="20"/>
              </w:rPr>
            </w:pPr>
          </w:p>
        </w:tc>
        <w:tc>
          <w:tcPr>
            <w:tcW w:w="937" w:type="dxa"/>
            <w:tcBorders>
              <w:top w:val="single" w:sz="4" w:space="0" w:color="000000"/>
            </w:tcBorders>
          </w:tcPr>
          <w:p>
            <w:pPr>
              <w:pStyle w:val="TableParagraph"/>
              <w:rPr>
                <w:sz w:val="20"/>
              </w:rPr>
            </w:pPr>
          </w:p>
        </w:tc>
        <w:tc>
          <w:tcPr>
            <w:tcW w:w="3070" w:type="dxa"/>
            <w:vMerge w:val="restart"/>
            <w:tcBorders>
              <w:top w:val="single" w:sz="4" w:space="0" w:color="000000"/>
              <w:bottom w:val="single" w:sz="4" w:space="0" w:color="000000"/>
            </w:tcBorders>
          </w:tcPr>
          <w:p>
            <w:pPr>
              <w:pStyle w:val="TableParagraph"/>
              <w:rPr>
                <w:sz w:val="18"/>
              </w:rPr>
            </w:pPr>
          </w:p>
          <w:p>
            <w:pPr>
              <w:pStyle w:val="TableParagraph"/>
              <w:spacing w:before="6"/>
              <w:rPr>
                <w:sz w:val="19"/>
              </w:rPr>
            </w:pPr>
          </w:p>
          <w:p>
            <w:pPr>
              <w:pStyle w:val="TableParagraph"/>
              <w:spacing w:line="489" w:lineRule="auto"/>
              <w:ind w:left="528" w:right="16"/>
              <w:rPr>
                <w:rFonts w:ascii="Arial"/>
                <w:sz w:val="16"/>
              </w:rPr>
            </w:pPr>
            <w:r>
              <w:rPr>
                <w:rFonts w:ascii="Arial"/>
                <w:w w:val="105"/>
                <w:sz w:val="16"/>
              </w:rPr>
              <w:t>Valued</w:t>
            </w:r>
            <w:r>
              <w:rPr>
                <w:rFonts w:ascii="Arial"/>
                <w:spacing w:val="-16"/>
                <w:w w:val="105"/>
                <w:sz w:val="16"/>
              </w:rPr>
              <w:t> </w:t>
            </w:r>
            <w:r>
              <w:rPr>
                <w:rFonts w:ascii="Arial"/>
                <w:w w:val="105"/>
                <w:sz w:val="16"/>
              </w:rPr>
              <w:t>at</w:t>
            </w:r>
            <w:r>
              <w:rPr>
                <w:rFonts w:ascii="Arial"/>
                <w:spacing w:val="-15"/>
                <w:w w:val="105"/>
                <w:sz w:val="16"/>
              </w:rPr>
              <w:t> </w:t>
            </w:r>
            <w:r>
              <w:rPr>
                <w:rFonts w:ascii="Arial"/>
                <w:w w:val="105"/>
                <w:sz w:val="16"/>
              </w:rPr>
              <w:t>purchasing</w:t>
            </w:r>
            <w:r>
              <w:rPr>
                <w:rFonts w:ascii="Arial"/>
                <w:spacing w:val="-14"/>
                <w:w w:val="105"/>
                <w:sz w:val="16"/>
              </w:rPr>
              <w:t> </w:t>
            </w:r>
            <w:r>
              <w:rPr>
                <w:rFonts w:ascii="Arial"/>
                <w:w w:val="105"/>
                <w:sz w:val="16"/>
              </w:rPr>
              <w:t>pow</w:t>
            </w:r>
            <w:r>
              <w:rPr>
                <w:rFonts w:ascii="Arial"/>
                <w:spacing w:val="-25"/>
                <w:w w:val="105"/>
                <w:sz w:val="16"/>
              </w:rPr>
              <w:t> </w:t>
            </w:r>
            <w:r>
              <w:rPr>
                <w:rFonts w:ascii="Arial"/>
                <w:w w:val="105"/>
                <w:sz w:val="16"/>
              </w:rPr>
              <w:t>er</w:t>
            </w:r>
            <w:r>
              <w:rPr>
                <w:rFonts w:ascii="Arial"/>
                <w:spacing w:val="-11"/>
                <w:w w:val="105"/>
                <w:sz w:val="16"/>
              </w:rPr>
              <w:t> </w:t>
            </w:r>
            <w:r>
              <w:rPr>
                <w:rFonts w:ascii="Arial"/>
                <w:w w:val="105"/>
                <w:sz w:val="16"/>
              </w:rPr>
              <w:t>parity Valued at </w:t>
            </w:r>
            <w:r>
              <w:rPr>
                <w:rFonts w:ascii="Arial"/>
                <w:spacing w:val="-5"/>
                <w:w w:val="105"/>
                <w:sz w:val="16"/>
              </w:rPr>
              <w:t>market </w:t>
            </w:r>
            <w:r>
              <w:rPr>
                <w:rFonts w:ascii="Arial"/>
                <w:w w:val="105"/>
                <w:sz w:val="16"/>
              </w:rPr>
              <w:t>exchange</w:t>
            </w:r>
            <w:r>
              <w:rPr>
                <w:rFonts w:ascii="Arial"/>
                <w:spacing w:val="-31"/>
                <w:w w:val="105"/>
                <w:sz w:val="16"/>
              </w:rPr>
              <w:t> </w:t>
            </w:r>
            <w:r>
              <w:rPr>
                <w:rFonts w:ascii="Arial"/>
                <w:w w:val="105"/>
                <w:sz w:val="16"/>
              </w:rPr>
              <w:t>rates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5"/>
              </w:rPr>
            </w:pPr>
          </w:p>
          <w:p>
            <w:pPr>
              <w:pStyle w:val="TableParagraph"/>
              <w:tabs>
                <w:tab w:pos="1232" w:val="left" w:leader="none"/>
                <w:tab w:pos="2162" w:val="left" w:leader="none"/>
              </w:tabs>
              <w:ind w:left="288"/>
              <w:rPr>
                <w:rFonts w:ascii="Arial"/>
                <w:sz w:val="16"/>
              </w:rPr>
            </w:pPr>
            <w:r>
              <w:rPr>
                <w:rFonts w:ascii="Arial"/>
                <w:w w:val="105"/>
                <w:sz w:val="16"/>
              </w:rPr>
              <w:t>1981</w:t>
              <w:tab/>
              <w:t>1988</w:t>
              <w:tab/>
              <w:t>1995</w:t>
            </w:r>
          </w:p>
        </w:tc>
        <w:tc>
          <w:tcPr>
            <w:tcW w:w="731" w:type="dxa"/>
            <w:tcBorders>
              <w:top w:val="single" w:sz="4" w:space="0" w:color="000000"/>
            </w:tcBorders>
          </w:tcPr>
          <w:p>
            <w:pPr>
              <w:pStyle w:val="TableParagraph"/>
              <w:rPr>
                <w:sz w:val="20"/>
              </w:rPr>
            </w:pPr>
          </w:p>
        </w:tc>
        <w:tc>
          <w:tcPr>
            <w:tcW w:w="1290" w:type="dxa"/>
            <w:tcBorders>
              <w:top w:val="single" w:sz="4" w:space="0" w:color="000000"/>
              <w:right w:val="single" w:sz="4" w:space="0" w:color="000000"/>
            </w:tcBorders>
          </w:tcPr>
          <w:p>
            <w:pPr>
              <w:pStyle w:val="TableParagraph"/>
              <w:spacing w:before="3"/>
              <w:rPr>
                <w:sz w:val="19"/>
              </w:rPr>
            </w:pPr>
          </w:p>
          <w:p>
            <w:pPr>
              <w:pStyle w:val="TableParagraph"/>
              <w:ind w:left="342"/>
              <w:rPr>
                <w:rFonts w:ascii="Arial"/>
                <w:sz w:val="16"/>
              </w:rPr>
            </w:pPr>
            <w:r>
              <w:rPr>
                <w:rFonts w:ascii="Arial"/>
                <w:w w:val="105"/>
                <w:sz w:val="16"/>
              </w:rPr>
              <w:t>8.0</w:t>
            </w:r>
          </w:p>
        </w:tc>
      </w:tr>
      <w:tr>
        <w:trPr>
          <w:trHeight w:val="387" w:hRule="atLeast"/>
        </w:trPr>
        <w:tc>
          <w:tcPr>
            <w:tcW w:w="1440" w:type="dxa"/>
            <w:tcBorders>
              <w:left w:val="single" w:sz="4" w:space="0" w:color="000000"/>
            </w:tcBorders>
          </w:tcPr>
          <w:p>
            <w:pPr>
              <w:pStyle w:val="TableParagraph"/>
              <w:rPr>
                <w:sz w:val="20"/>
              </w:rPr>
            </w:pPr>
          </w:p>
        </w:tc>
        <w:tc>
          <w:tcPr>
            <w:tcW w:w="945" w:type="dxa"/>
          </w:tcPr>
          <w:p>
            <w:pPr>
              <w:pStyle w:val="TableParagraph"/>
              <w:rPr>
                <w:sz w:val="20"/>
              </w:rPr>
            </w:pPr>
          </w:p>
        </w:tc>
        <w:tc>
          <w:tcPr>
            <w:tcW w:w="937" w:type="dxa"/>
          </w:tcPr>
          <w:p>
            <w:pPr>
              <w:pStyle w:val="TableParagraph"/>
              <w:rPr>
                <w:sz w:val="20"/>
              </w:rPr>
            </w:pPr>
          </w:p>
        </w:tc>
        <w:tc>
          <w:tcPr>
            <w:tcW w:w="3070" w:type="dxa"/>
            <w:vMerge/>
            <w:tcBorders>
              <w:top w:val="nil"/>
              <w:bottom w:val="single" w:sz="4" w:space="0" w:color="000000"/>
            </w:tcBorders>
          </w:tcPr>
          <w:p>
            <w:pPr>
              <w:rPr>
                <w:sz w:val="2"/>
                <w:szCs w:val="2"/>
              </w:rPr>
            </w:pPr>
          </w:p>
        </w:tc>
        <w:tc>
          <w:tcPr>
            <w:tcW w:w="731" w:type="dxa"/>
          </w:tcPr>
          <w:p>
            <w:pPr>
              <w:pStyle w:val="TableParagraph"/>
              <w:rPr>
                <w:sz w:val="20"/>
              </w:rPr>
            </w:pPr>
          </w:p>
        </w:tc>
        <w:tc>
          <w:tcPr>
            <w:tcW w:w="1290" w:type="dxa"/>
            <w:tcBorders>
              <w:right w:val="single" w:sz="4" w:space="0" w:color="000000"/>
            </w:tcBorders>
          </w:tcPr>
          <w:p>
            <w:pPr>
              <w:pStyle w:val="TableParagraph"/>
              <w:spacing w:before="105"/>
              <w:ind w:left="342"/>
              <w:rPr>
                <w:rFonts w:ascii="Arial"/>
                <w:sz w:val="16"/>
              </w:rPr>
            </w:pPr>
            <w:r>
              <w:rPr>
                <w:rFonts w:ascii="Arial"/>
                <w:w w:val="105"/>
                <w:sz w:val="16"/>
              </w:rPr>
              <w:t>7.0</w:t>
            </w:r>
          </w:p>
        </w:tc>
      </w:tr>
      <w:tr>
        <w:trPr>
          <w:trHeight w:val="387" w:hRule="atLeast"/>
        </w:trPr>
        <w:tc>
          <w:tcPr>
            <w:tcW w:w="1440" w:type="dxa"/>
            <w:tcBorders>
              <w:left w:val="single" w:sz="4" w:space="0" w:color="000000"/>
            </w:tcBorders>
          </w:tcPr>
          <w:p>
            <w:pPr>
              <w:pStyle w:val="TableParagraph"/>
              <w:rPr>
                <w:sz w:val="20"/>
              </w:rPr>
            </w:pPr>
          </w:p>
        </w:tc>
        <w:tc>
          <w:tcPr>
            <w:tcW w:w="945" w:type="dxa"/>
          </w:tcPr>
          <w:p>
            <w:pPr>
              <w:pStyle w:val="TableParagraph"/>
              <w:rPr>
                <w:sz w:val="20"/>
              </w:rPr>
            </w:pPr>
          </w:p>
        </w:tc>
        <w:tc>
          <w:tcPr>
            <w:tcW w:w="937" w:type="dxa"/>
          </w:tcPr>
          <w:p>
            <w:pPr>
              <w:pStyle w:val="TableParagraph"/>
              <w:rPr>
                <w:sz w:val="20"/>
              </w:rPr>
            </w:pPr>
          </w:p>
        </w:tc>
        <w:tc>
          <w:tcPr>
            <w:tcW w:w="3070" w:type="dxa"/>
            <w:vMerge/>
            <w:tcBorders>
              <w:top w:val="nil"/>
              <w:bottom w:val="single" w:sz="4" w:space="0" w:color="000000"/>
            </w:tcBorders>
          </w:tcPr>
          <w:p>
            <w:pPr>
              <w:rPr>
                <w:sz w:val="2"/>
                <w:szCs w:val="2"/>
              </w:rPr>
            </w:pPr>
          </w:p>
        </w:tc>
        <w:tc>
          <w:tcPr>
            <w:tcW w:w="731" w:type="dxa"/>
          </w:tcPr>
          <w:p>
            <w:pPr>
              <w:pStyle w:val="TableParagraph"/>
              <w:rPr>
                <w:sz w:val="20"/>
              </w:rPr>
            </w:pPr>
          </w:p>
        </w:tc>
        <w:tc>
          <w:tcPr>
            <w:tcW w:w="1290" w:type="dxa"/>
            <w:tcBorders>
              <w:right w:val="single" w:sz="4" w:space="0" w:color="000000"/>
            </w:tcBorders>
          </w:tcPr>
          <w:p>
            <w:pPr>
              <w:pStyle w:val="TableParagraph"/>
              <w:spacing w:before="97"/>
              <w:ind w:left="342"/>
              <w:rPr>
                <w:rFonts w:ascii="Arial"/>
                <w:sz w:val="16"/>
              </w:rPr>
            </w:pPr>
            <w:r>
              <w:rPr>
                <w:rFonts w:ascii="Arial"/>
                <w:w w:val="105"/>
                <w:sz w:val="16"/>
              </w:rPr>
              <w:t>6.0</w:t>
            </w:r>
          </w:p>
        </w:tc>
      </w:tr>
      <w:tr>
        <w:trPr>
          <w:trHeight w:val="387" w:hRule="atLeast"/>
        </w:trPr>
        <w:tc>
          <w:tcPr>
            <w:tcW w:w="1440" w:type="dxa"/>
            <w:tcBorders>
              <w:left w:val="single" w:sz="4" w:space="0" w:color="000000"/>
            </w:tcBorders>
          </w:tcPr>
          <w:p>
            <w:pPr>
              <w:pStyle w:val="TableParagraph"/>
              <w:rPr>
                <w:sz w:val="20"/>
              </w:rPr>
            </w:pPr>
          </w:p>
        </w:tc>
        <w:tc>
          <w:tcPr>
            <w:tcW w:w="945" w:type="dxa"/>
          </w:tcPr>
          <w:p>
            <w:pPr>
              <w:pStyle w:val="TableParagraph"/>
              <w:rPr>
                <w:sz w:val="20"/>
              </w:rPr>
            </w:pPr>
          </w:p>
        </w:tc>
        <w:tc>
          <w:tcPr>
            <w:tcW w:w="937" w:type="dxa"/>
          </w:tcPr>
          <w:p>
            <w:pPr>
              <w:pStyle w:val="TableParagraph"/>
              <w:rPr>
                <w:sz w:val="20"/>
              </w:rPr>
            </w:pPr>
          </w:p>
        </w:tc>
        <w:tc>
          <w:tcPr>
            <w:tcW w:w="3070" w:type="dxa"/>
            <w:vMerge/>
            <w:tcBorders>
              <w:top w:val="nil"/>
              <w:bottom w:val="single" w:sz="4" w:space="0" w:color="000000"/>
            </w:tcBorders>
          </w:tcPr>
          <w:p>
            <w:pPr>
              <w:rPr>
                <w:sz w:val="2"/>
                <w:szCs w:val="2"/>
              </w:rPr>
            </w:pPr>
          </w:p>
        </w:tc>
        <w:tc>
          <w:tcPr>
            <w:tcW w:w="731" w:type="dxa"/>
          </w:tcPr>
          <w:p>
            <w:pPr>
              <w:pStyle w:val="TableParagraph"/>
              <w:rPr>
                <w:sz w:val="20"/>
              </w:rPr>
            </w:pPr>
          </w:p>
        </w:tc>
        <w:tc>
          <w:tcPr>
            <w:tcW w:w="1290" w:type="dxa"/>
            <w:tcBorders>
              <w:right w:val="single" w:sz="4" w:space="0" w:color="000000"/>
            </w:tcBorders>
          </w:tcPr>
          <w:p>
            <w:pPr>
              <w:pStyle w:val="TableParagraph"/>
              <w:spacing w:before="104"/>
              <w:ind w:left="342"/>
              <w:rPr>
                <w:rFonts w:ascii="Arial"/>
                <w:sz w:val="16"/>
              </w:rPr>
            </w:pPr>
            <w:r>
              <w:rPr>
                <w:rFonts w:ascii="Arial"/>
                <w:w w:val="105"/>
                <w:sz w:val="16"/>
              </w:rPr>
              <w:t>5.0</w:t>
            </w:r>
          </w:p>
        </w:tc>
      </w:tr>
      <w:tr>
        <w:trPr>
          <w:trHeight w:val="387" w:hRule="atLeast"/>
        </w:trPr>
        <w:tc>
          <w:tcPr>
            <w:tcW w:w="1440" w:type="dxa"/>
            <w:tcBorders>
              <w:left w:val="single" w:sz="4" w:space="0" w:color="000000"/>
            </w:tcBorders>
          </w:tcPr>
          <w:p>
            <w:pPr>
              <w:pStyle w:val="TableParagraph"/>
              <w:rPr>
                <w:sz w:val="20"/>
              </w:rPr>
            </w:pPr>
          </w:p>
        </w:tc>
        <w:tc>
          <w:tcPr>
            <w:tcW w:w="945" w:type="dxa"/>
          </w:tcPr>
          <w:p>
            <w:pPr>
              <w:pStyle w:val="TableParagraph"/>
              <w:rPr>
                <w:sz w:val="20"/>
              </w:rPr>
            </w:pPr>
          </w:p>
        </w:tc>
        <w:tc>
          <w:tcPr>
            <w:tcW w:w="937" w:type="dxa"/>
          </w:tcPr>
          <w:p>
            <w:pPr>
              <w:pStyle w:val="TableParagraph"/>
              <w:rPr>
                <w:sz w:val="20"/>
              </w:rPr>
            </w:pPr>
          </w:p>
        </w:tc>
        <w:tc>
          <w:tcPr>
            <w:tcW w:w="3070" w:type="dxa"/>
            <w:vMerge/>
            <w:tcBorders>
              <w:top w:val="nil"/>
              <w:bottom w:val="single" w:sz="4" w:space="0" w:color="000000"/>
            </w:tcBorders>
          </w:tcPr>
          <w:p>
            <w:pPr>
              <w:rPr>
                <w:sz w:val="2"/>
                <w:szCs w:val="2"/>
              </w:rPr>
            </w:pPr>
          </w:p>
        </w:tc>
        <w:tc>
          <w:tcPr>
            <w:tcW w:w="731" w:type="dxa"/>
          </w:tcPr>
          <w:p>
            <w:pPr>
              <w:pStyle w:val="TableParagraph"/>
              <w:rPr>
                <w:sz w:val="20"/>
              </w:rPr>
            </w:pPr>
          </w:p>
        </w:tc>
        <w:tc>
          <w:tcPr>
            <w:tcW w:w="1290" w:type="dxa"/>
            <w:tcBorders>
              <w:right w:val="single" w:sz="4" w:space="0" w:color="000000"/>
            </w:tcBorders>
          </w:tcPr>
          <w:p>
            <w:pPr>
              <w:pStyle w:val="TableParagraph"/>
              <w:spacing w:before="97"/>
              <w:ind w:left="342"/>
              <w:rPr>
                <w:rFonts w:ascii="Arial"/>
                <w:sz w:val="16"/>
              </w:rPr>
            </w:pPr>
            <w:r>
              <w:rPr>
                <w:rFonts w:ascii="Arial"/>
                <w:w w:val="105"/>
                <w:sz w:val="16"/>
              </w:rPr>
              <w:t>4.0</w:t>
            </w:r>
          </w:p>
        </w:tc>
      </w:tr>
      <w:tr>
        <w:trPr>
          <w:trHeight w:val="387" w:hRule="atLeast"/>
        </w:trPr>
        <w:tc>
          <w:tcPr>
            <w:tcW w:w="1440" w:type="dxa"/>
            <w:tcBorders>
              <w:left w:val="single" w:sz="4" w:space="0" w:color="000000"/>
            </w:tcBorders>
          </w:tcPr>
          <w:p>
            <w:pPr>
              <w:pStyle w:val="TableParagraph"/>
              <w:rPr>
                <w:sz w:val="20"/>
              </w:rPr>
            </w:pPr>
          </w:p>
        </w:tc>
        <w:tc>
          <w:tcPr>
            <w:tcW w:w="945" w:type="dxa"/>
          </w:tcPr>
          <w:p>
            <w:pPr>
              <w:pStyle w:val="TableParagraph"/>
              <w:rPr>
                <w:sz w:val="20"/>
              </w:rPr>
            </w:pPr>
          </w:p>
        </w:tc>
        <w:tc>
          <w:tcPr>
            <w:tcW w:w="937" w:type="dxa"/>
          </w:tcPr>
          <w:p>
            <w:pPr>
              <w:pStyle w:val="TableParagraph"/>
              <w:rPr>
                <w:sz w:val="20"/>
              </w:rPr>
            </w:pPr>
          </w:p>
        </w:tc>
        <w:tc>
          <w:tcPr>
            <w:tcW w:w="3070" w:type="dxa"/>
            <w:vMerge/>
            <w:tcBorders>
              <w:top w:val="nil"/>
              <w:bottom w:val="single" w:sz="4" w:space="0" w:color="000000"/>
            </w:tcBorders>
          </w:tcPr>
          <w:p>
            <w:pPr>
              <w:rPr>
                <w:sz w:val="2"/>
                <w:szCs w:val="2"/>
              </w:rPr>
            </w:pPr>
          </w:p>
        </w:tc>
        <w:tc>
          <w:tcPr>
            <w:tcW w:w="731" w:type="dxa"/>
          </w:tcPr>
          <w:p>
            <w:pPr>
              <w:pStyle w:val="TableParagraph"/>
              <w:rPr>
                <w:sz w:val="20"/>
              </w:rPr>
            </w:pPr>
          </w:p>
        </w:tc>
        <w:tc>
          <w:tcPr>
            <w:tcW w:w="1290" w:type="dxa"/>
            <w:tcBorders>
              <w:right w:val="single" w:sz="4" w:space="0" w:color="000000"/>
            </w:tcBorders>
          </w:tcPr>
          <w:p>
            <w:pPr>
              <w:pStyle w:val="TableParagraph"/>
              <w:spacing w:before="104"/>
              <w:ind w:left="342"/>
              <w:rPr>
                <w:rFonts w:ascii="Arial"/>
                <w:sz w:val="16"/>
              </w:rPr>
            </w:pPr>
            <w:r>
              <w:rPr>
                <w:rFonts w:ascii="Arial"/>
                <w:w w:val="105"/>
                <w:sz w:val="16"/>
              </w:rPr>
              <w:t>3.0</w:t>
            </w:r>
          </w:p>
        </w:tc>
      </w:tr>
      <w:tr>
        <w:trPr>
          <w:trHeight w:val="387" w:hRule="atLeast"/>
        </w:trPr>
        <w:tc>
          <w:tcPr>
            <w:tcW w:w="1440" w:type="dxa"/>
            <w:tcBorders>
              <w:left w:val="single" w:sz="4" w:space="0" w:color="000000"/>
            </w:tcBorders>
          </w:tcPr>
          <w:p>
            <w:pPr>
              <w:pStyle w:val="TableParagraph"/>
              <w:rPr>
                <w:sz w:val="20"/>
              </w:rPr>
            </w:pPr>
          </w:p>
        </w:tc>
        <w:tc>
          <w:tcPr>
            <w:tcW w:w="945" w:type="dxa"/>
          </w:tcPr>
          <w:p>
            <w:pPr>
              <w:pStyle w:val="TableParagraph"/>
              <w:rPr>
                <w:sz w:val="20"/>
              </w:rPr>
            </w:pPr>
          </w:p>
        </w:tc>
        <w:tc>
          <w:tcPr>
            <w:tcW w:w="937" w:type="dxa"/>
          </w:tcPr>
          <w:p>
            <w:pPr>
              <w:pStyle w:val="TableParagraph"/>
              <w:rPr>
                <w:sz w:val="20"/>
              </w:rPr>
            </w:pPr>
          </w:p>
        </w:tc>
        <w:tc>
          <w:tcPr>
            <w:tcW w:w="3070" w:type="dxa"/>
            <w:vMerge/>
            <w:tcBorders>
              <w:top w:val="nil"/>
              <w:bottom w:val="single" w:sz="4" w:space="0" w:color="000000"/>
            </w:tcBorders>
          </w:tcPr>
          <w:p>
            <w:pPr>
              <w:rPr>
                <w:sz w:val="2"/>
                <w:szCs w:val="2"/>
              </w:rPr>
            </w:pPr>
          </w:p>
        </w:tc>
        <w:tc>
          <w:tcPr>
            <w:tcW w:w="731" w:type="dxa"/>
          </w:tcPr>
          <w:p>
            <w:pPr>
              <w:pStyle w:val="TableParagraph"/>
              <w:rPr>
                <w:sz w:val="20"/>
              </w:rPr>
            </w:pPr>
          </w:p>
        </w:tc>
        <w:tc>
          <w:tcPr>
            <w:tcW w:w="1290" w:type="dxa"/>
            <w:tcBorders>
              <w:right w:val="single" w:sz="4" w:space="0" w:color="000000"/>
            </w:tcBorders>
          </w:tcPr>
          <w:p>
            <w:pPr>
              <w:pStyle w:val="TableParagraph"/>
              <w:spacing w:before="97"/>
              <w:ind w:left="342"/>
              <w:rPr>
                <w:rFonts w:ascii="Arial"/>
                <w:sz w:val="16"/>
              </w:rPr>
            </w:pPr>
            <w:r>
              <w:rPr>
                <w:rFonts w:ascii="Arial"/>
                <w:w w:val="105"/>
                <w:sz w:val="16"/>
              </w:rPr>
              <w:t>2.0</w:t>
            </w:r>
          </w:p>
        </w:tc>
      </w:tr>
      <w:tr>
        <w:trPr>
          <w:trHeight w:val="387" w:hRule="atLeast"/>
        </w:trPr>
        <w:tc>
          <w:tcPr>
            <w:tcW w:w="1440" w:type="dxa"/>
            <w:tcBorders>
              <w:left w:val="single" w:sz="4" w:space="0" w:color="000000"/>
            </w:tcBorders>
          </w:tcPr>
          <w:p>
            <w:pPr>
              <w:pStyle w:val="TableParagraph"/>
              <w:rPr>
                <w:sz w:val="20"/>
              </w:rPr>
            </w:pPr>
          </w:p>
        </w:tc>
        <w:tc>
          <w:tcPr>
            <w:tcW w:w="945" w:type="dxa"/>
          </w:tcPr>
          <w:p>
            <w:pPr>
              <w:pStyle w:val="TableParagraph"/>
              <w:rPr>
                <w:sz w:val="20"/>
              </w:rPr>
            </w:pPr>
          </w:p>
        </w:tc>
        <w:tc>
          <w:tcPr>
            <w:tcW w:w="937" w:type="dxa"/>
          </w:tcPr>
          <w:p>
            <w:pPr>
              <w:pStyle w:val="TableParagraph"/>
              <w:rPr>
                <w:sz w:val="20"/>
              </w:rPr>
            </w:pPr>
          </w:p>
        </w:tc>
        <w:tc>
          <w:tcPr>
            <w:tcW w:w="3070" w:type="dxa"/>
            <w:vMerge/>
            <w:tcBorders>
              <w:top w:val="nil"/>
              <w:bottom w:val="single" w:sz="4" w:space="0" w:color="000000"/>
            </w:tcBorders>
          </w:tcPr>
          <w:p>
            <w:pPr>
              <w:rPr>
                <w:sz w:val="2"/>
                <w:szCs w:val="2"/>
              </w:rPr>
            </w:pPr>
          </w:p>
        </w:tc>
        <w:tc>
          <w:tcPr>
            <w:tcW w:w="731" w:type="dxa"/>
          </w:tcPr>
          <w:p>
            <w:pPr>
              <w:pStyle w:val="TableParagraph"/>
              <w:rPr>
                <w:sz w:val="20"/>
              </w:rPr>
            </w:pPr>
          </w:p>
        </w:tc>
        <w:tc>
          <w:tcPr>
            <w:tcW w:w="1290" w:type="dxa"/>
            <w:tcBorders>
              <w:right w:val="single" w:sz="4" w:space="0" w:color="000000"/>
            </w:tcBorders>
          </w:tcPr>
          <w:p>
            <w:pPr>
              <w:pStyle w:val="TableParagraph"/>
              <w:spacing w:before="105"/>
              <w:ind w:left="342"/>
              <w:rPr>
                <w:rFonts w:ascii="Arial"/>
                <w:sz w:val="16"/>
              </w:rPr>
            </w:pPr>
            <w:r>
              <w:rPr>
                <w:rFonts w:ascii="Arial"/>
                <w:w w:val="105"/>
                <w:sz w:val="16"/>
              </w:rPr>
              <w:t>1.0</w:t>
            </w:r>
          </w:p>
        </w:tc>
      </w:tr>
      <w:tr>
        <w:trPr>
          <w:trHeight w:val="304" w:hRule="atLeast"/>
        </w:trPr>
        <w:tc>
          <w:tcPr>
            <w:tcW w:w="1440" w:type="dxa"/>
            <w:tcBorders>
              <w:left w:val="single" w:sz="4" w:space="0" w:color="000000"/>
            </w:tcBorders>
          </w:tcPr>
          <w:p>
            <w:pPr>
              <w:pStyle w:val="TableParagraph"/>
              <w:rPr>
                <w:sz w:val="20"/>
              </w:rPr>
            </w:pPr>
          </w:p>
        </w:tc>
        <w:tc>
          <w:tcPr>
            <w:tcW w:w="945" w:type="dxa"/>
          </w:tcPr>
          <w:p>
            <w:pPr>
              <w:pStyle w:val="TableParagraph"/>
              <w:rPr>
                <w:sz w:val="20"/>
              </w:rPr>
            </w:pPr>
          </w:p>
        </w:tc>
        <w:tc>
          <w:tcPr>
            <w:tcW w:w="937" w:type="dxa"/>
          </w:tcPr>
          <w:p>
            <w:pPr>
              <w:pStyle w:val="TableParagraph"/>
              <w:rPr>
                <w:sz w:val="20"/>
              </w:rPr>
            </w:pPr>
          </w:p>
        </w:tc>
        <w:tc>
          <w:tcPr>
            <w:tcW w:w="3070" w:type="dxa"/>
            <w:vMerge/>
            <w:tcBorders>
              <w:top w:val="nil"/>
              <w:bottom w:val="single" w:sz="4" w:space="0" w:color="000000"/>
            </w:tcBorders>
          </w:tcPr>
          <w:p>
            <w:pPr>
              <w:rPr>
                <w:sz w:val="2"/>
                <w:szCs w:val="2"/>
              </w:rPr>
            </w:pPr>
          </w:p>
        </w:tc>
        <w:tc>
          <w:tcPr>
            <w:tcW w:w="731" w:type="dxa"/>
          </w:tcPr>
          <w:p>
            <w:pPr>
              <w:pStyle w:val="TableParagraph"/>
              <w:rPr>
                <w:sz w:val="20"/>
              </w:rPr>
            </w:pPr>
          </w:p>
        </w:tc>
        <w:tc>
          <w:tcPr>
            <w:tcW w:w="1290" w:type="dxa"/>
            <w:tcBorders>
              <w:right w:val="single" w:sz="4" w:space="0" w:color="000000"/>
            </w:tcBorders>
          </w:tcPr>
          <w:p>
            <w:pPr>
              <w:pStyle w:val="TableParagraph"/>
              <w:spacing w:before="97"/>
              <w:ind w:left="342"/>
              <w:rPr>
                <w:rFonts w:ascii="Arial"/>
                <w:sz w:val="16"/>
              </w:rPr>
            </w:pPr>
            <w:r>
              <w:rPr>
                <w:rFonts w:ascii="Arial"/>
                <w:w w:val="105"/>
                <w:sz w:val="16"/>
              </w:rPr>
              <w:t>0.0</w:t>
            </w:r>
          </w:p>
        </w:tc>
      </w:tr>
      <w:tr>
        <w:trPr>
          <w:trHeight w:val="370" w:hRule="atLeast"/>
        </w:trPr>
        <w:tc>
          <w:tcPr>
            <w:tcW w:w="1440" w:type="dxa"/>
            <w:tcBorders>
              <w:left w:val="single" w:sz="4" w:space="0" w:color="000000"/>
              <w:bottom w:val="single" w:sz="4" w:space="0" w:color="000000"/>
            </w:tcBorders>
          </w:tcPr>
          <w:p>
            <w:pPr>
              <w:pStyle w:val="TableParagraph"/>
              <w:spacing w:before="21"/>
              <w:ind w:left="786"/>
              <w:rPr>
                <w:rFonts w:ascii="Arial"/>
                <w:sz w:val="16"/>
              </w:rPr>
            </w:pPr>
            <w:r>
              <w:rPr>
                <w:rFonts w:ascii="Arial"/>
                <w:w w:val="105"/>
                <w:sz w:val="16"/>
              </w:rPr>
              <w:t>1960</w:t>
            </w:r>
          </w:p>
        </w:tc>
        <w:tc>
          <w:tcPr>
            <w:tcW w:w="945" w:type="dxa"/>
            <w:tcBorders>
              <w:bottom w:val="single" w:sz="4" w:space="0" w:color="000000"/>
            </w:tcBorders>
          </w:tcPr>
          <w:p>
            <w:pPr>
              <w:pStyle w:val="TableParagraph"/>
              <w:spacing w:before="21"/>
              <w:ind w:left="296"/>
              <w:rPr>
                <w:rFonts w:ascii="Arial"/>
                <w:sz w:val="16"/>
              </w:rPr>
            </w:pPr>
            <w:r>
              <w:rPr>
                <w:rFonts w:ascii="Arial"/>
                <w:w w:val="105"/>
                <w:sz w:val="16"/>
              </w:rPr>
              <w:t>1967</w:t>
            </w:r>
          </w:p>
        </w:tc>
        <w:tc>
          <w:tcPr>
            <w:tcW w:w="937" w:type="dxa"/>
            <w:tcBorders>
              <w:bottom w:val="single" w:sz="4" w:space="0" w:color="000000"/>
            </w:tcBorders>
          </w:tcPr>
          <w:p>
            <w:pPr>
              <w:pStyle w:val="TableParagraph"/>
              <w:spacing w:before="21"/>
              <w:ind w:left="295"/>
              <w:rPr>
                <w:rFonts w:ascii="Arial"/>
                <w:sz w:val="16"/>
              </w:rPr>
            </w:pPr>
            <w:r>
              <w:rPr>
                <w:rFonts w:ascii="Arial"/>
                <w:w w:val="105"/>
                <w:sz w:val="16"/>
              </w:rPr>
              <w:t>1974</w:t>
            </w:r>
          </w:p>
        </w:tc>
        <w:tc>
          <w:tcPr>
            <w:tcW w:w="3070" w:type="dxa"/>
            <w:vMerge/>
            <w:tcBorders>
              <w:top w:val="nil"/>
              <w:bottom w:val="single" w:sz="4" w:space="0" w:color="000000"/>
            </w:tcBorders>
          </w:tcPr>
          <w:p>
            <w:pPr>
              <w:rPr>
                <w:sz w:val="2"/>
                <w:szCs w:val="2"/>
              </w:rPr>
            </w:pPr>
          </w:p>
        </w:tc>
        <w:tc>
          <w:tcPr>
            <w:tcW w:w="731" w:type="dxa"/>
            <w:tcBorders>
              <w:bottom w:val="single" w:sz="4" w:space="0" w:color="000000"/>
            </w:tcBorders>
          </w:tcPr>
          <w:p>
            <w:pPr>
              <w:pStyle w:val="TableParagraph"/>
              <w:spacing w:before="21"/>
              <w:ind w:left="38"/>
              <w:rPr>
                <w:rFonts w:ascii="Arial"/>
                <w:sz w:val="16"/>
              </w:rPr>
            </w:pPr>
            <w:r>
              <w:rPr>
                <w:rFonts w:ascii="Arial"/>
                <w:w w:val="105"/>
                <w:sz w:val="16"/>
              </w:rPr>
              <w:t>2002</w:t>
            </w:r>
          </w:p>
        </w:tc>
        <w:tc>
          <w:tcPr>
            <w:tcW w:w="1290" w:type="dxa"/>
            <w:tcBorders>
              <w:bottom w:val="single" w:sz="4" w:space="0" w:color="000000"/>
              <w:right w:val="single" w:sz="4" w:space="0" w:color="000000"/>
            </w:tcBorders>
          </w:tcPr>
          <w:p>
            <w:pPr>
              <w:pStyle w:val="TableParagraph"/>
              <w:rPr>
                <w:sz w:val="20"/>
              </w:rPr>
            </w:pPr>
          </w:p>
        </w:tc>
      </w:tr>
      <w:tr>
        <w:trPr>
          <w:trHeight w:val="930" w:hRule="atLeast"/>
        </w:trPr>
        <w:tc>
          <w:tcPr>
            <w:tcW w:w="8413" w:type="dxa"/>
            <w:gridSpan w:val="6"/>
            <w:tcBorders>
              <w:top w:val="single" w:sz="4" w:space="0" w:color="000000"/>
              <w:left w:val="single" w:sz="4" w:space="0" w:color="000000"/>
              <w:bottom w:val="single" w:sz="4" w:space="0" w:color="000000"/>
              <w:right w:val="single" w:sz="4" w:space="0" w:color="000000"/>
            </w:tcBorders>
          </w:tcPr>
          <w:p>
            <w:pPr>
              <w:pStyle w:val="TableParagraph"/>
              <w:ind w:left="107" w:right="184"/>
              <w:rPr>
                <w:sz w:val="20"/>
              </w:rPr>
            </w:pPr>
            <w:r>
              <w:rPr>
                <w:i/>
                <w:sz w:val="20"/>
              </w:rPr>
              <w:t>Note: </w:t>
            </w:r>
            <w:r>
              <w:rPr>
                <w:sz w:val="20"/>
              </w:rPr>
              <w:t>GDP growth valued at market exchange rates is a spliced series of World Bank data from 1960 to 1979 and IMF data from 1980 to 2007</w:t>
            </w:r>
          </w:p>
          <w:p>
            <w:pPr>
              <w:pStyle w:val="TableParagraph"/>
              <w:spacing w:before="116"/>
              <w:ind w:left="107"/>
              <w:rPr>
                <w:sz w:val="20"/>
              </w:rPr>
            </w:pPr>
            <w:r>
              <w:rPr>
                <w:i/>
                <w:sz w:val="20"/>
              </w:rPr>
              <w:t>Source: </w:t>
            </w:r>
            <w:r>
              <w:rPr>
                <w:sz w:val="20"/>
              </w:rPr>
              <w:t>IMF and World Bank</w:t>
            </w:r>
          </w:p>
        </w:tc>
      </w:tr>
    </w:tbl>
    <w:p>
      <w:pPr>
        <w:pStyle w:val="BodyText"/>
        <w:spacing w:before="10"/>
        <w:rPr>
          <w:sz w:val="27"/>
        </w:rPr>
      </w:pPr>
    </w:p>
    <w:p>
      <w:pPr>
        <w:pStyle w:val="BodyText"/>
        <w:spacing w:line="360" w:lineRule="auto" w:before="90" w:after="3"/>
        <w:ind w:left="1019" w:right="536"/>
        <w:jc w:val="both"/>
      </w:pPr>
      <w:r>
        <w:rPr/>
        <w:pict>
          <v:group style="position:absolute;margin-left:135.270004pt;margin-top:-246.646591pt;width:324pt;height:159.1pt;mso-position-horizontal-relative:page;mso-position-vertical-relative:paragraph;z-index:-254989312" coordorigin="2705,-4933" coordsize="6480,3182">
            <v:shape style="position:absolute;left:2706;top:-4933;width:6479;height:3180" coordorigin="2706,-4932" coordsize="6479,3180" path="m9140,-4932l9140,-1752m9140,-1752l9185,-1752m9140,-2142l9185,-2142m9140,-2548l9185,-2548m9140,-2938l9185,-2938m9140,-3342l9185,-3342m9140,-3732l9185,-3732m9140,-4137l9185,-4137m9140,-4527l9185,-4527m9140,-4932l9185,-4932m2706,-1752l9140,-1752m2706,-1752l2706,-1798m3650,-1752l3650,-1798m4580,-1752l4580,-1798m5526,-1752l5526,-1798m6455,-1752l6455,-1798m7400,-1752l7400,-1798m8330,-1752l8330,-1798e" filled="false" stroked="true" strokeweight=".06pt" strokecolor="#000000">
              <v:path arrowok="t"/>
              <v:stroke dashstyle="solid"/>
            </v:shape>
            <v:shape style="position:absolute;left:5450;top:-3583;width:1605;height:1470" coordorigin="5450,-3582" coordsize="1605,1470" path="m5450,-2548l5586,-2622m5586,-2622l5720,-2112m5720,-2112l5856,-2878m5856,-2878l5990,-3582m5990,-3582l6125,-3208m6125,-3208l6260,-3148m6260,-3148l6395,-3222m6395,-3222l6530,-3537m6530,-3537l6665,-3238m6665,-3238l6800,-2922m6800,-2922l6935,-2338m6935,-2338l7055,-2562e" filled="false" stroked="true" strokeweight="1.499pt" strokecolor="#33339a">
              <v:path arrowok="t"/>
              <v:stroke dashstyle="solid"/>
            </v:shape>
            <v:line style="position:absolute" from="7040,-2555" to="7205,-2555" stroked="true" strokeweight="2.219pt" strokecolor="#33339a">
              <v:stroke dashstyle="solid"/>
            </v:line>
            <v:shape style="position:absolute;left:7190;top:-3777;width:1890;height:1229" coordorigin="7190,-3777" coordsize="1890,1229" path="m7190,-2548l7325,-3102m7325,-3102l7460,-3058m7460,-3058l7595,-3238m7595,-3238l7730,-3358m7730,-3358l7865,-2758m7865,-2758l8000,-3162m8000,-3162l8135,-3627m8135,-3627l8270,-2638m8270,-2638l8405,-2878m8405,-2878l8540,-3192m8540,-3192l8675,-3717m8675,-3717l8810,-3522m8810,-3522l8945,-3777m8945,-3777l9080,-3732e" filled="false" stroked="true" strokeweight="1.499pt" strokecolor="#33339a">
              <v:path arrowok="t"/>
              <v:stroke dashstyle="solid"/>
            </v:shape>
            <v:shape style="position:absolute;left:2900;top:-4407;width:4155;height:2385" coordorigin="2900,-4407" coordsize="4155,2385" path="m2900,-3537l3036,-3837m3036,-3837l3170,-3732m3170,-3732l3306,-4407m3306,-4407l3440,-3777m3440,-3777l3576,-4047m3576,-4047l3710,-3537m3710,-3537l3846,-4152m3846,-4152l3980,-4062m3980,-4062l4116,-3492m4116,-3492l4250,-3402m4250,-3402l4386,-4032m4386,-4032l4520,-4332m4520,-4332l4656,-2352m4656,-2352l4790,-2128m4790,-2128l4910,-3717m4910,-3717l5046,-3372m5046,-3372l5180,-3492m5180,-3492l5316,-3418m5316,-3418l5450,-2442m5450,-2442l5586,-2592m5586,-2592l5720,-2022m5720,-2022l5856,-2862m5856,-2862l5990,-3597m5990,-3597l6125,-3178m6125,-3178l6260,-3072m6260,-3072l6395,-3132m6395,-3132l6530,-3552m6530,-3552l6665,-3238m6665,-3238l6800,-2878m6800,-2878l6935,-2158m6935,-2158l7055,-2232e" filled="false" stroked="true" strokeweight="1.499pt" strokecolor="#9a3300">
              <v:path arrowok="t"/>
              <v:stroke dashstyle="solid"/>
            </v:shape>
            <v:line style="position:absolute" from="7040,-2225" to="7205,-2225" stroked="true" strokeweight="2.219pt" strokecolor="#9a3300">
              <v:stroke dashstyle="solid"/>
            </v:line>
            <v:shape style="position:absolute;left:7190;top:-3403;width:1890;height:1185" coordorigin="7190,-3402" coordsize="1890,1185" path="m7190,-2218l7325,-2952m7325,-2952l7460,-2878m7460,-2878l7595,-3028m7595,-3028l7730,-3148m7730,-3148l7865,-2578m7865,-2578l8000,-2998m8000,-2998l8135,-3402m8135,-3402l8270,-2352m8270,-2352l8405,-2502m8405,-2502l8540,-2818m8540,-2818l8675,-3328m8675,-3328l8810,-3088m8810,-3088l8945,-3312m8945,-3312l9080,-3238e" filled="false" stroked="true" strokeweight="1.499pt" strokecolor="#9a3300">
              <v:path arrowok="t"/>
              <v:stroke dashstyle="solid"/>
            </v:shape>
            <v:line style="position:absolute" from="5240,-4722" to="5600,-4722" stroked="true" strokeweight="1.499pt" strokecolor="#33339a">
              <v:stroke dashstyle="solid"/>
            </v:line>
            <v:line style="position:absolute" from="5240,-4347" to="5600,-4347" stroked="true" strokeweight="1.499pt" strokecolor="#9a3300">
              <v:stroke dashstyle="solid"/>
            </v:line>
            <w10:wrap type="none"/>
          </v:group>
        </w:pict>
      </w:r>
      <w:r>
        <w:rPr/>
        <w:pict>
          <v:group style="position:absolute;margin-left:123.629997pt;margin-top:175.813416pt;width:343.5pt;height:163.5pt;mso-position-horizontal-relative:page;mso-position-vertical-relative:paragraph;z-index:-254988288" coordorigin="2473,3516" coordsize="6870,3270">
            <v:rect style="position:absolute;left:2757;top:4716;width:376;height:2069" filled="true" fillcolor="#33339a" stroked="false">
              <v:fill type="solid"/>
            </v:rect>
            <v:rect style="position:absolute;left:3133;top:5046;width:390;height:1739" filled="true" fillcolor="#9a3300" stroked="false">
              <v:fill type="solid"/>
            </v:rect>
            <v:rect style="position:absolute;left:3523;top:4086;width:375;height:2699" filled="true" fillcolor="#9acc00" stroked="false">
              <v:fill type="solid"/>
            </v:rect>
            <v:rect style="position:absolute;left:4467;top:5316;width:375;height:1469" filled="true" fillcolor="#33339a" stroked="false">
              <v:fill type="solid"/>
            </v:rect>
            <v:rect style="position:absolute;left:4842;top:5406;width:390;height:1379" filled="true" fillcolor="#9a3300" stroked="false">
              <v:fill type="solid"/>
            </v:rect>
            <v:rect style="position:absolute;left:5232;top:5166;width:376;height:1619" filled="true" fillcolor="#9acc00" stroked="false">
              <v:fill type="solid"/>
            </v:rect>
            <v:rect style="position:absolute;left:6177;top:5436;width:375;height:1349" filled="true" fillcolor="#33339a" stroked="false">
              <v:fill type="solid"/>
            </v:rect>
            <v:rect style="position:absolute;left:6552;top:5526;width:376;height:1259" filled="true" fillcolor="#9a3300" stroked="false">
              <v:fill type="solid"/>
            </v:rect>
            <v:rect style="position:absolute;left:6927;top:5271;width:375;height:1515" filled="true" fillcolor="#9acc00" stroked="false">
              <v:fill type="solid"/>
            </v:rect>
            <v:rect style="position:absolute;left:7872;top:4986;width:375;height:1799" filled="true" fillcolor="#33339a" stroked="false">
              <v:fill type="solid"/>
            </v:rect>
            <v:rect style="position:absolute;left:8246;top:5796;width:390;height:989" filled="true" fillcolor="#9a3300" stroked="false">
              <v:fill type="solid"/>
            </v:rect>
            <v:rect style="position:absolute;left:8636;top:3862;width:376;height:2924" filled="true" fillcolor="#9acc00" stroked="false">
              <v:fill type="solid"/>
            </v:rect>
            <v:shape style="position:absolute;left:2473;top:3516;width:6869;height:3269" coordorigin="2473,3517" coordsize="6869,3269" path="m9296,3517l9296,6786m9296,6786l9342,6786m9296,6321l9342,6321m9296,5857l9342,5857m9296,5391l9342,5391m9296,4912l9342,4912m9296,4447l9342,4447m9296,3982l9342,3982m9296,3517l9342,3517m2473,6786l9296,6786m2473,6786l2473,6741m4183,6786l4183,6741m5892,6786l5892,6741m7586,6786l7586,6741m9296,6786l9296,6741e" filled="false" stroked="true" strokeweight=".06pt" strokecolor="#000000">
              <v:path arrowok="t"/>
              <v:stroke dashstyle="solid"/>
            </v:shape>
            <v:rect style="position:absolute;left:5382;top:3832;width:106;height:105" filled="true" fillcolor="#33339a" stroked="false">
              <v:fill type="solid"/>
            </v:rect>
            <v:rect style="position:absolute;left:5382;top:4072;width:106;height:105" filled="true" fillcolor="#9a3300" stroked="false">
              <v:fill type="solid"/>
            </v:rect>
            <v:rect style="position:absolute;left:5382;top:4326;width:106;height:106" filled="true" fillcolor="#9acc00" stroked="false">
              <v:fill type="solid"/>
            </v:rect>
            <w10:wrap type="none"/>
          </v:group>
        </w:pict>
      </w:r>
      <w:r>
        <w:rPr/>
        <w:t>First, as Chart 4 shows, the last five years have seen a very strong period of world economic growth, contributing significantly to the upward pressure on global energy and commodity prices, as we also saw in the periods leading up to the recessions of the 1970s and 1980s. The upward pressure on energy and commodity prices reflects the fact that this growth has been particularly strong in resource-hungry emerging market</w:t>
      </w:r>
      <w:r>
        <w:rPr>
          <w:spacing w:val="-1"/>
        </w:rPr>
        <w:t> </w:t>
      </w:r>
      <w:r>
        <w:rPr/>
        <w:t>economies.</w:t>
      </w: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1252"/>
        <w:gridCol w:w="2302"/>
        <w:gridCol w:w="1343"/>
        <w:gridCol w:w="1135"/>
      </w:tblGrid>
      <w:tr>
        <w:trPr>
          <w:trHeight w:val="276" w:hRule="atLeast"/>
        </w:trPr>
        <w:tc>
          <w:tcPr>
            <w:tcW w:w="84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7"/>
              <w:rPr>
                <w:b/>
                <w:sz w:val="24"/>
              </w:rPr>
            </w:pPr>
            <w:r>
              <w:rPr>
                <w:b/>
                <w:sz w:val="24"/>
              </w:rPr>
              <w:t>Chart 5: GDP growth since the 1970s</w:t>
            </w:r>
          </w:p>
        </w:tc>
      </w:tr>
      <w:tr>
        <w:trPr>
          <w:trHeight w:val="275" w:hRule="atLeast"/>
        </w:trPr>
        <w:tc>
          <w:tcPr>
            <w:tcW w:w="84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Average annual percentage changes</w:t>
            </w:r>
          </w:p>
        </w:tc>
      </w:tr>
      <w:tr>
        <w:trPr>
          <w:trHeight w:val="572" w:hRule="atLeast"/>
        </w:trPr>
        <w:tc>
          <w:tcPr>
            <w:tcW w:w="2385" w:type="dxa"/>
            <w:tcBorders>
              <w:top w:val="single" w:sz="4" w:space="0" w:color="000000"/>
              <w:left w:val="single" w:sz="4" w:space="0" w:color="000000"/>
            </w:tcBorders>
          </w:tcPr>
          <w:p>
            <w:pPr>
              <w:pStyle w:val="TableParagraph"/>
              <w:rPr>
                <w:sz w:val="20"/>
              </w:rPr>
            </w:pPr>
          </w:p>
        </w:tc>
        <w:tc>
          <w:tcPr>
            <w:tcW w:w="1252" w:type="dxa"/>
            <w:tcBorders>
              <w:top w:val="single" w:sz="4" w:space="0" w:color="000000"/>
            </w:tcBorders>
          </w:tcPr>
          <w:p>
            <w:pPr>
              <w:pStyle w:val="TableParagraph"/>
              <w:rPr>
                <w:sz w:val="20"/>
              </w:rPr>
            </w:pPr>
          </w:p>
        </w:tc>
        <w:tc>
          <w:tcPr>
            <w:tcW w:w="2302" w:type="dxa"/>
            <w:vMerge w:val="restart"/>
            <w:tcBorders>
              <w:top w:val="single" w:sz="4" w:space="0" w:color="000000"/>
              <w:bottom w:val="single" w:sz="4" w:space="0" w:color="000000"/>
            </w:tcBorders>
          </w:tcPr>
          <w:p>
            <w:pPr>
              <w:pStyle w:val="TableParagraph"/>
              <w:rPr>
                <w:sz w:val="18"/>
              </w:rPr>
            </w:pPr>
          </w:p>
          <w:p>
            <w:pPr>
              <w:pStyle w:val="TableParagraph"/>
              <w:rPr>
                <w:sz w:val="18"/>
              </w:rPr>
            </w:pPr>
          </w:p>
          <w:p>
            <w:pPr>
              <w:pStyle w:val="TableParagraph"/>
              <w:spacing w:before="2"/>
              <w:rPr>
                <w:sz w:val="17"/>
              </w:rPr>
            </w:pPr>
          </w:p>
          <w:p>
            <w:pPr>
              <w:pStyle w:val="TableParagraph"/>
              <w:spacing w:line="312" w:lineRule="auto"/>
              <w:ind w:left="101" w:right="1433"/>
              <w:rPr>
                <w:rFonts w:ascii="Arial"/>
                <w:sz w:val="16"/>
              </w:rPr>
            </w:pPr>
            <w:r>
              <w:rPr>
                <w:rFonts w:ascii="Arial"/>
                <w:w w:val="105"/>
                <w:sz w:val="16"/>
              </w:rPr>
              <w:t>World Advanced</w:t>
            </w:r>
          </w:p>
          <w:p>
            <w:pPr>
              <w:pStyle w:val="TableParagraph"/>
              <w:spacing w:before="17"/>
              <w:ind w:left="101"/>
              <w:rPr>
                <w:rFonts w:ascii="Arial"/>
                <w:sz w:val="16"/>
              </w:rPr>
            </w:pPr>
            <w:r>
              <w:rPr>
                <w:rFonts w:ascii="Arial"/>
                <w:w w:val="105"/>
                <w:sz w:val="16"/>
              </w:rPr>
              <w:t>Emerging and developing</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6"/>
              </w:rPr>
            </w:pPr>
          </w:p>
          <w:p>
            <w:pPr>
              <w:pStyle w:val="TableParagraph"/>
              <w:spacing w:before="1"/>
              <w:ind w:left="1000"/>
              <w:rPr>
                <w:rFonts w:ascii="Arial"/>
                <w:sz w:val="16"/>
              </w:rPr>
            </w:pPr>
            <w:r>
              <w:rPr>
                <w:rFonts w:ascii="Arial"/>
                <w:w w:val="105"/>
                <w:sz w:val="16"/>
              </w:rPr>
              <w:t>1990-99</w:t>
            </w:r>
          </w:p>
        </w:tc>
        <w:tc>
          <w:tcPr>
            <w:tcW w:w="1343" w:type="dxa"/>
            <w:tcBorders>
              <w:top w:val="single" w:sz="4" w:space="0" w:color="000000"/>
            </w:tcBorders>
          </w:tcPr>
          <w:p>
            <w:pPr>
              <w:pStyle w:val="TableParagraph"/>
              <w:rPr>
                <w:sz w:val="20"/>
              </w:rPr>
            </w:pPr>
          </w:p>
        </w:tc>
        <w:tc>
          <w:tcPr>
            <w:tcW w:w="1135" w:type="dxa"/>
            <w:tcBorders>
              <w:top w:val="single" w:sz="4" w:space="0" w:color="000000"/>
              <w:right w:val="single" w:sz="4" w:space="0" w:color="000000"/>
            </w:tcBorders>
          </w:tcPr>
          <w:p>
            <w:pPr>
              <w:pStyle w:val="TableParagraph"/>
              <w:spacing w:before="10"/>
              <w:rPr>
                <w:sz w:val="21"/>
              </w:rPr>
            </w:pPr>
          </w:p>
          <w:p>
            <w:pPr>
              <w:pStyle w:val="TableParagraph"/>
              <w:ind w:left="339"/>
              <w:rPr>
                <w:rFonts w:ascii="Arial"/>
                <w:sz w:val="16"/>
              </w:rPr>
            </w:pPr>
            <w:r>
              <w:rPr>
                <w:rFonts w:ascii="Arial"/>
                <w:w w:val="103"/>
                <w:sz w:val="16"/>
              </w:rPr>
              <w:t>7</w:t>
            </w:r>
          </w:p>
        </w:tc>
      </w:tr>
      <w:tr>
        <w:trPr>
          <w:trHeight w:val="455" w:hRule="atLeast"/>
        </w:trPr>
        <w:tc>
          <w:tcPr>
            <w:tcW w:w="2385" w:type="dxa"/>
            <w:tcBorders>
              <w:left w:val="single" w:sz="4" w:space="0" w:color="000000"/>
            </w:tcBorders>
          </w:tcPr>
          <w:p>
            <w:pPr>
              <w:pStyle w:val="TableParagraph"/>
              <w:rPr>
                <w:sz w:val="20"/>
              </w:rPr>
            </w:pPr>
          </w:p>
        </w:tc>
        <w:tc>
          <w:tcPr>
            <w:tcW w:w="1252" w:type="dxa"/>
          </w:tcPr>
          <w:p>
            <w:pPr>
              <w:pStyle w:val="TableParagraph"/>
              <w:rPr>
                <w:sz w:val="20"/>
              </w:rPr>
            </w:pPr>
          </w:p>
        </w:tc>
        <w:tc>
          <w:tcPr>
            <w:tcW w:w="2302" w:type="dxa"/>
            <w:vMerge/>
            <w:tcBorders>
              <w:top w:val="nil"/>
              <w:bottom w:val="single" w:sz="4" w:space="0" w:color="000000"/>
            </w:tcBorders>
          </w:tcPr>
          <w:p>
            <w:pPr>
              <w:rPr>
                <w:sz w:val="2"/>
                <w:szCs w:val="2"/>
              </w:rPr>
            </w:pPr>
          </w:p>
        </w:tc>
        <w:tc>
          <w:tcPr>
            <w:tcW w:w="1343" w:type="dxa"/>
          </w:tcPr>
          <w:p>
            <w:pPr>
              <w:pStyle w:val="TableParagraph"/>
              <w:rPr>
                <w:sz w:val="20"/>
              </w:rPr>
            </w:pPr>
          </w:p>
        </w:tc>
        <w:tc>
          <w:tcPr>
            <w:tcW w:w="1135" w:type="dxa"/>
            <w:tcBorders>
              <w:right w:val="single" w:sz="4" w:space="0" w:color="000000"/>
            </w:tcBorders>
          </w:tcPr>
          <w:p>
            <w:pPr>
              <w:pStyle w:val="TableParagraph"/>
              <w:spacing w:before="135"/>
              <w:ind w:left="339"/>
              <w:rPr>
                <w:rFonts w:ascii="Arial"/>
                <w:sz w:val="16"/>
              </w:rPr>
            </w:pPr>
            <w:r>
              <w:rPr>
                <w:rFonts w:ascii="Arial"/>
                <w:w w:val="103"/>
                <w:sz w:val="16"/>
              </w:rPr>
              <w:t>6</w:t>
            </w:r>
          </w:p>
        </w:tc>
      </w:tr>
      <w:tr>
        <w:trPr>
          <w:trHeight w:val="455" w:hRule="atLeast"/>
        </w:trPr>
        <w:tc>
          <w:tcPr>
            <w:tcW w:w="2385" w:type="dxa"/>
            <w:tcBorders>
              <w:left w:val="single" w:sz="4" w:space="0" w:color="000000"/>
            </w:tcBorders>
          </w:tcPr>
          <w:p>
            <w:pPr>
              <w:pStyle w:val="TableParagraph"/>
              <w:rPr>
                <w:sz w:val="20"/>
              </w:rPr>
            </w:pPr>
          </w:p>
        </w:tc>
        <w:tc>
          <w:tcPr>
            <w:tcW w:w="1252" w:type="dxa"/>
          </w:tcPr>
          <w:p>
            <w:pPr>
              <w:pStyle w:val="TableParagraph"/>
              <w:rPr>
                <w:sz w:val="20"/>
              </w:rPr>
            </w:pPr>
          </w:p>
        </w:tc>
        <w:tc>
          <w:tcPr>
            <w:tcW w:w="2302" w:type="dxa"/>
            <w:vMerge/>
            <w:tcBorders>
              <w:top w:val="nil"/>
              <w:bottom w:val="single" w:sz="4" w:space="0" w:color="000000"/>
            </w:tcBorders>
          </w:tcPr>
          <w:p>
            <w:pPr>
              <w:rPr>
                <w:sz w:val="2"/>
                <w:szCs w:val="2"/>
              </w:rPr>
            </w:pPr>
          </w:p>
        </w:tc>
        <w:tc>
          <w:tcPr>
            <w:tcW w:w="1343" w:type="dxa"/>
          </w:tcPr>
          <w:p>
            <w:pPr>
              <w:pStyle w:val="TableParagraph"/>
              <w:rPr>
                <w:sz w:val="20"/>
              </w:rPr>
            </w:pPr>
          </w:p>
        </w:tc>
        <w:tc>
          <w:tcPr>
            <w:tcW w:w="1135" w:type="dxa"/>
            <w:tcBorders>
              <w:right w:val="single" w:sz="4" w:space="0" w:color="000000"/>
            </w:tcBorders>
          </w:tcPr>
          <w:p>
            <w:pPr>
              <w:pStyle w:val="TableParagraph"/>
              <w:spacing w:before="134"/>
              <w:ind w:left="339"/>
              <w:rPr>
                <w:rFonts w:ascii="Arial"/>
                <w:sz w:val="16"/>
              </w:rPr>
            </w:pPr>
            <w:r>
              <w:rPr>
                <w:rFonts w:ascii="Arial"/>
                <w:w w:val="103"/>
                <w:sz w:val="16"/>
              </w:rPr>
              <w:t>5</w:t>
            </w:r>
          </w:p>
        </w:tc>
      </w:tr>
      <w:tr>
        <w:trPr>
          <w:trHeight w:val="462" w:hRule="atLeast"/>
        </w:trPr>
        <w:tc>
          <w:tcPr>
            <w:tcW w:w="2385" w:type="dxa"/>
            <w:tcBorders>
              <w:left w:val="single" w:sz="4" w:space="0" w:color="000000"/>
            </w:tcBorders>
          </w:tcPr>
          <w:p>
            <w:pPr>
              <w:pStyle w:val="TableParagraph"/>
              <w:rPr>
                <w:sz w:val="20"/>
              </w:rPr>
            </w:pPr>
          </w:p>
        </w:tc>
        <w:tc>
          <w:tcPr>
            <w:tcW w:w="1252" w:type="dxa"/>
          </w:tcPr>
          <w:p>
            <w:pPr>
              <w:pStyle w:val="TableParagraph"/>
              <w:rPr>
                <w:sz w:val="20"/>
              </w:rPr>
            </w:pPr>
          </w:p>
        </w:tc>
        <w:tc>
          <w:tcPr>
            <w:tcW w:w="2302" w:type="dxa"/>
            <w:vMerge/>
            <w:tcBorders>
              <w:top w:val="nil"/>
              <w:bottom w:val="single" w:sz="4" w:space="0" w:color="000000"/>
            </w:tcBorders>
          </w:tcPr>
          <w:p>
            <w:pPr>
              <w:rPr>
                <w:sz w:val="2"/>
                <w:szCs w:val="2"/>
              </w:rPr>
            </w:pPr>
          </w:p>
        </w:tc>
        <w:tc>
          <w:tcPr>
            <w:tcW w:w="1343" w:type="dxa"/>
          </w:tcPr>
          <w:p>
            <w:pPr>
              <w:pStyle w:val="TableParagraph"/>
              <w:rPr>
                <w:sz w:val="20"/>
              </w:rPr>
            </w:pPr>
          </w:p>
        </w:tc>
        <w:tc>
          <w:tcPr>
            <w:tcW w:w="1135" w:type="dxa"/>
            <w:tcBorders>
              <w:right w:val="single" w:sz="4" w:space="0" w:color="000000"/>
            </w:tcBorders>
          </w:tcPr>
          <w:p>
            <w:pPr>
              <w:pStyle w:val="TableParagraph"/>
              <w:spacing w:before="135"/>
              <w:ind w:left="339"/>
              <w:rPr>
                <w:rFonts w:ascii="Arial"/>
                <w:sz w:val="16"/>
              </w:rPr>
            </w:pPr>
            <w:r>
              <w:rPr>
                <w:rFonts w:ascii="Arial"/>
                <w:w w:val="103"/>
                <w:sz w:val="16"/>
              </w:rPr>
              <w:t>4</w:t>
            </w:r>
          </w:p>
        </w:tc>
      </w:tr>
      <w:tr>
        <w:trPr>
          <w:trHeight w:val="462" w:hRule="atLeast"/>
        </w:trPr>
        <w:tc>
          <w:tcPr>
            <w:tcW w:w="2385" w:type="dxa"/>
            <w:tcBorders>
              <w:left w:val="single" w:sz="4" w:space="0" w:color="000000"/>
            </w:tcBorders>
          </w:tcPr>
          <w:p>
            <w:pPr>
              <w:pStyle w:val="TableParagraph"/>
              <w:rPr>
                <w:sz w:val="20"/>
              </w:rPr>
            </w:pPr>
          </w:p>
        </w:tc>
        <w:tc>
          <w:tcPr>
            <w:tcW w:w="1252" w:type="dxa"/>
          </w:tcPr>
          <w:p>
            <w:pPr>
              <w:pStyle w:val="TableParagraph"/>
              <w:rPr>
                <w:sz w:val="20"/>
              </w:rPr>
            </w:pPr>
          </w:p>
        </w:tc>
        <w:tc>
          <w:tcPr>
            <w:tcW w:w="2302" w:type="dxa"/>
            <w:vMerge/>
            <w:tcBorders>
              <w:top w:val="nil"/>
              <w:bottom w:val="single" w:sz="4" w:space="0" w:color="000000"/>
            </w:tcBorders>
          </w:tcPr>
          <w:p>
            <w:pPr>
              <w:rPr>
                <w:sz w:val="2"/>
                <w:szCs w:val="2"/>
              </w:rPr>
            </w:pPr>
          </w:p>
        </w:tc>
        <w:tc>
          <w:tcPr>
            <w:tcW w:w="1343" w:type="dxa"/>
          </w:tcPr>
          <w:p>
            <w:pPr>
              <w:pStyle w:val="TableParagraph"/>
              <w:rPr>
                <w:sz w:val="20"/>
              </w:rPr>
            </w:pPr>
          </w:p>
        </w:tc>
        <w:tc>
          <w:tcPr>
            <w:tcW w:w="1135" w:type="dxa"/>
            <w:tcBorders>
              <w:right w:val="single" w:sz="4" w:space="0" w:color="000000"/>
            </w:tcBorders>
          </w:tcPr>
          <w:p>
            <w:pPr>
              <w:pStyle w:val="TableParagraph"/>
              <w:spacing w:before="141"/>
              <w:ind w:left="339"/>
              <w:rPr>
                <w:rFonts w:ascii="Arial"/>
                <w:sz w:val="16"/>
              </w:rPr>
            </w:pPr>
            <w:r>
              <w:rPr>
                <w:rFonts w:ascii="Arial"/>
                <w:w w:val="103"/>
                <w:sz w:val="16"/>
              </w:rPr>
              <w:t>3</w:t>
            </w:r>
          </w:p>
        </w:tc>
      </w:tr>
      <w:tr>
        <w:trPr>
          <w:trHeight w:val="455" w:hRule="atLeast"/>
        </w:trPr>
        <w:tc>
          <w:tcPr>
            <w:tcW w:w="2385" w:type="dxa"/>
            <w:tcBorders>
              <w:left w:val="single" w:sz="4" w:space="0" w:color="000000"/>
            </w:tcBorders>
          </w:tcPr>
          <w:p>
            <w:pPr>
              <w:pStyle w:val="TableParagraph"/>
              <w:rPr>
                <w:sz w:val="20"/>
              </w:rPr>
            </w:pPr>
          </w:p>
        </w:tc>
        <w:tc>
          <w:tcPr>
            <w:tcW w:w="1252" w:type="dxa"/>
          </w:tcPr>
          <w:p>
            <w:pPr>
              <w:pStyle w:val="TableParagraph"/>
              <w:rPr>
                <w:sz w:val="20"/>
              </w:rPr>
            </w:pPr>
          </w:p>
        </w:tc>
        <w:tc>
          <w:tcPr>
            <w:tcW w:w="2302" w:type="dxa"/>
            <w:vMerge/>
            <w:tcBorders>
              <w:top w:val="nil"/>
              <w:bottom w:val="single" w:sz="4" w:space="0" w:color="000000"/>
            </w:tcBorders>
          </w:tcPr>
          <w:p>
            <w:pPr>
              <w:rPr>
                <w:sz w:val="2"/>
                <w:szCs w:val="2"/>
              </w:rPr>
            </w:pPr>
          </w:p>
        </w:tc>
        <w:tc>
          <w:tcPr>
            <w:tcW w:w="1343" w:type="dxa"/>
          </w:tcPr>
          <w:p>
            <w:pPr>
              <w:pStyle w:val="TableParagraph"/>
              <w:rPr>
                <w:sz w:val="20"/>
              </w:rPr>
            </w:pPr>
          </w:p>
        </w:tc>
        <w:tc>
          <w:tcPr>
            <w:tcW w:w="1135" w:type="dxa"/>
            <w:tcBorders>
              <w:right w:val="single" w:sz="4" w:space="0" w:color="000000"/>
            </w:tcBorders>
          </w:tcPr>
          <w:p>
            <w:pPr>
              <w:pStyle w:val="TableParagraph"/>
              <w:spacing w:before="135"/>
              <w:ind w:left="339"/>
              <w:rPr>
                <w:rFonts w:ascii="Arial"/>
                <w:sz w:val="16"/>
              </w:rPr>
            </w:pPr>
            <w:r>
              <w:rPr>
                <w:rFonts w:ascii="Arial"/>
                <w:w w:val="103"/>
                <w:sz w:val="16"/>
              </w:rPr>
              <w:t>2</w:t>
            </w:r>
          </w:p>
        </w:tc>
      </w:tr>
      <w:tr>
        <w:trPr>
          <w:trHeight w:val="455" w:hRule="atLeast"/>
        </w:trPr>
        <w:tc>
          <w:tcPr>
            <w:tcW w:w="2385" w:type="dxa"/>
            <w:tcBorders>
              <w:left w:val="single" w:sz="4" w:space="0" w:color="000000"/>
            </w:tcBorders>
          </w:tcPr>
          <w:p>
            <w:pPr>
              <w:pStyle w:val="TableParagraph"/>
              <w:rPr>
                <w:sz w:val="20"/>
              </w:rPr>
            </w:pPr>
          </w:p>
        </w:tc>
        <w:tc>
          <w:tcPr>
            <w:tcW w:w="1252" w:type="dxa"/>
          </w:tcPr>
          <w:p>
            <w:pPr>
              <w:pStyle w:val="TableParagraph"/>
              <w:rPr>
                <w:sz w:val="20"/>
              </w:rPr>
            </w:pPr>
          </w:p>
        </w:tc>
        <w:tc>
          <w:tcPr>
            <w:tcW w:w="2302" w:type="dxa"/>
            <w:vMerge/>
            <w:tcBorders>
              <w:top w:val="nil"/>
              <w:bottom w:val="single" w:sz="4" w:space="0" w:color="000000"/>
            </w:tcBorders>
          </w:tcPr>
          <w:p>
            <w:pPr>
              <w:rPr>
                <w:sz w:val="2"/>
                <w:szCs w:val="2"/>
              </w:rPr>
            </w:pPr>
          </w:p>
        </w:tc>
        <w:tc>
          <w:tcPr>
            <w:tcW w:w="1343" w:type="dxa"/>
          </w:tcPr>
          <w:p>
            <w:pPr>
              <w:pStyle w:val="TableParagraph"/>
              <w:rPr>
                <w:sz w:val="20"/>
              </w:rPr>
            </w:pPr>
          </w:p>
        </w:tc>
        <w:tc>
          <w:tcPr>
            <w:tcW w:w="1135" w:type="dxa"/>
            <w:tcBorders>
              <w:right w:val="single" w:sz="4" w:space="0" w:color="000000"/>
            </w:tcBorders>
          </w:tcPr>
          <w:p>
            <w:pPr>
              <w:pStyle w:val="TableParagraph"/>
              <w:spacing w:before="134"/>
              <w:ind w:left="339"/>
              <w:rPr>
                <w:rFonts w:ascii="Arial"/>
                <w:sz w:val="16"/>
              </w:rPr>
            </w:pPr>
            <w:r>
              <w:rPr>
                <w:rFonts w:ascii="Arial"/>
                <w:w w:val="103"/>
                <w:sz w:val="16"/>
              </w:rPr>
              <w:t>1</w:t>
            </w:r>
          </w:p>
        </w:tc>
      </w:tr>
      <w:tr>
        <w:trPr>
          <w:trHeight w:val="342" w:hRule="atLeast"/>
        </w:trPr>
        <w:tc>
          <w:tcPr>
            <w:tcW w:w="2385" w:type="dxa"/>
            <w:tcBorders>
              <w:left w:val="single" w:sz="4" w:space="0" w:color="000000"/>
            </w:tcBorders>
          </w:tcPr>
          <w:p>
            <w:pPr>
              <w:pStyle w:val="TableParagraph"/>
              <w:rPr>
                <w:sz w:val="20"/>
              </w:rPr>
            </w:pPr>
          </w:p>
        </w:tc>
        <w:tc>
          <w:tcPr>
            <w:tcW w:w="1252" w:type="dxa"/>
          </w:tcPr>
          <w:p>
            <w:pPr>
              <w:pStyle w:val="TableParagraph"/>
              <w:rPr>
                <w:sz w:val="20"/>
              </w:rPr>
            </w:pPr>
          </w:p>
        </w:tc>
        <w:tc>
          <w:tcPr>
            <w:tcW w:w="2302" w:type="dxa"/>
            <w:vMerge/>
            <w:tcBorders>
              <w:top w:val="nil"/>
              <w:bottom w:val="single" w:sz="4" w:space="0" w:color="000000"/>
            </w:tcBorders>
          </w:tcPr>
          <w:p>
            <w:pPr>
              <w:rPr>
                <w:sz w:val="2"/>
                <w:szCs w:val="2"/>
              </w:rPr>
            </w:pPr>
          </w:p>
        </w:tc>
        <w:tc>
          <w:tcPr>
            <w:tcW w:w="1343" w:type="dxa"/>
          </w:tcPr>
          <w:p>
            <w:pPr>
              <w:pStyle w:val="TableParagraph"/>
              <w:rPr>
                <w:sz w:val="20"/>
              </w:rPr>
            </w:pPr>
          </w:p>
        </w:tc>
        <w:tc>
          <w:tcPr>
            <w:tcW w:w="1135" w:type="dxa"/>
            <w:tcBorders>
              <w:right w:val="single" w:sz="4" w:space="0" w:color="000000"/>
            </w:tcBorders>
          </w:tcPr>
          <w:p>
            <w:pPr>
              <w:pStyle w:val="TableParagraph"/>
              <w:spacing w:before="135"/>
              <w:ind w:left="339"/>
              <w:rPr>
                <w:rFonts w:ascii="Arial"/>
                <w:sz w:val="16"/>
              </w:rPr>
            </w:pPr>
            <w:r>
              <w:rPr>
                <w:rFonts w:ascii="Arial"/>
                <w:w w:val="103"/>
                <w:sz w:val="16"/>
              </w:rPr>
              <w:t>0</w:t>
            </w:r>
          </w:p>
        </w:tc>
      </w:tr>
      <w:tr>
        <w:trPr>
          <w:trHeight w:val="370" w:hRule="atLeast"/>
        </w:trPr>
        <w:tc>
          <w:tcPr>
            <w:tcW w:w="2385" w:type="dxa"/>
            <w:tcBorders>
              <w:left w:val="single" w:sz="4" w:space="0" w:color="000000"/>
              <w:bottom w:val="single" w:sz="4" w:space="0" w:color="000000"/>
            </w:tcBorders>
          </w:tcPr>
          <w:p>
            <w:pPr>
              <w:pStyle w:val="TableParagraph"/>
              <w:spacing w:before="21"/>
              <w:ind w:left="1228"/>
              <w:rPr>
                <w:rFonts w:ascii="Arial"/>
                <w:sz w:val="16"/>
              </w:rPr>
            </w:pPr>
            <w:r>
              <w:rPr>
                <w:rFonts w:ascii="Arial"/>
                <w:w w:val="105"/>
                <w:sz w:val="16"/>
              </w:rPr>
              <w:t>1970-79</w:t>
            </w:r>
          </w:p>
        </w:tc>
        <w:tc>
          <w:tcPr>
            <w:tcW w:w="1252" w:type="dxa"/>
            <w:tcBorders>
              <w:bottom w:val="single" w:sz="4" w:space="0" w:color="000000"/>
            </w:tcBorders>
          </w:tcPr>
          <w:p>
            <w:pPr>
              <w:pStyle w:val="TableParagraph"/>
              <w:spacing w:before="21"/>
              <w:ind w:left="558"/>
              <w:rPr>
                <w:rFonts w:ascii="Arial"/>
                <w:sz w:val="16"/>
              </w:rPr>
            </w:pPr>
            <w:r>
              <w:rPr>
                <w:rFonts w:ascii="Arial"/>
                <w:w w:val="105"/>
                <w:sz w:val="16"/>
              </w:rPr>
              <w:t>1980-89</w:t>
            </w:r>
          </w:p>
        </w:tc>
        <w:tc>
          <w:tcPr>
            <w:tcW w:w="2302" w:type="dxa"/>
            <w:vMerge/>
            <w:tcBorders>
              <w:top w:val="nil"/>
              <w:bottom w:val="single" w:sz="4" w:space="0" w:color="000000"/>
            </w:tcBorders>
          </w:tcPr>
          <w:p>
            <w:pPr>
              <w:rPr>
                <w:sz w:val="2"/>
                <w:szCs w:val="2"/>
              </w:rPr>
            </w:pPr>
          </w:p>
        </w:tc>
        <w:tc>
          <w:tcPr>
            <w:tcW w:w="1343" w:type="dxa"/>
            <w:tcBorders>
              <w:bottom w:val="single" w:sz="4" w:space="0" w:color="000000"/>
            </w:tcBorders>
          </w:tcPr>
          <w:p>
            <w:pPr>
              <w:pStyle w:val="TableParagraph"/>
              <w:spacing w:before="21"/>
              <w:ind w:left="407"/>
              <w:rPr>
                <w:rFonts w:ascii="Arial"/>
                <w:sz w:val="16"/>
              </w:rPr>
            </w:pPr>
            <w:r>
              <w:rPr>
                <w:rFonts w:ascii="Arial"/>
                <w:w w:val="105"/>
                <w:sz w:val="16"/>
              </w:rPr>
              <w:t>2000-09</w:t>
            </w:r>
          </w:p>
        </w:tc>
        <w:tc>
          <w:tcPr>
            <w:tcW w:w="1135" w:type="dxa"/>
            <w:tcBorders>
              <w:bottom w:val="single" w:sz="4" w:space="0" w:color="000000"/>
              <w:right w:val="single" w:sz="4" w:space="0" w:color="000000"/>
            </w:tcBorders>
          </w:tcPr>
          <w:p>
            <w:pPr>
              <w:pStyle w:val="TableParagraph"/>
              <w:rPr>
                <w:sz w:val="20"/>
              </w:rPr>
            </w:pPr>
          </w:p>
        </w:tc>
      </w:tr>
      <w:tr>
        <w:trPr>
          <w:trHeight w:val="700" w:hRule="atLeast"/>
        </w:trPr>
        <w:tc>
          <w:tcPr>
            <w:tcW w:w="84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Note: </w:t>
            </w:r>
            <w:r>
              <w:rPr>
                <w:sz w:val="20"/>
              </w:rPr>
              <w:t>2008 and 2009 are IMF forecasts</w:t>
            </w:r>
          </w:p>
          <w:p>
            <w:pPr>
              <w:pStyle w:val="TableParagraph"/>
              <w:spacing w:before="120"/>
              <w:ind w:left="107"/>
              <w:rPr>
                <w:sz w:val="20"/>
              </w:rPr>
            </w:pPr>
            <w:r>
              <w:rPr>
                <w:i/>
                <w:sz w:val="20"/>
              </w:rPr>
              <w:t>Source: </w:t>
            </w:r>
            <w:r>
              <w:rPr>
                <w:sz w:val="20"/>
              </w:rPr>
              <w:t>IMF </w:t>
            </w:r>
            <w:r>
              <w:rPr>
                <w:i/>
                <w:sz w:val="20"/>
              </w:rPr>
              <w:t>World Economic Outlook</w:t>
            </w:r>
            <w:r>
              <w:rPr>
                <w:sz w:val="20"/>
              </w:rPr>
              <w:t>, November 2008 Update</w:t>
            </w:r>
          </w:p>
        </w:tc>
      </w:tr>
    </w:tbl>
    <w:p>
      <w:pPr>
        <w:spacing w:after="0"/>
        <w:rPr>
          <w:sz w:val="20"/>
        </w:rPr>
        <w:sectPr>
          <w:headerReference w:type="default" r:id="rId22"/>
          <w:footerReference w:type="default" r:id="rId23"/>
          <w:pgSz w:w="11910" w:h="16840"/>
          <w:pgMar w:header="716" w:footer="777" w:top="1200" w:bottom="960" w:left="780" w:right="1258"/>
          <w:pgNumType w:start="8"/>
        </w:sectPr>
      </w:pPr>
    </w:p>
    <w:p>
      <w:pPr>
        <w:pStyle w:val="BodyText"/>
        <w:rPr>
          <w:sz w:val="20"/>
        </w:rPr>
      </w:pPr>
    </w:p>
    <w:p>
      <w:pPr>
        <w:pStyle w:val="BodyText"/>
        <w:spacing w:before="8"/>
        <w:rPr>
          <w:sz w:val="28"/>
        </w:rPr>
      </w:pPr>
    </w:p>
    <w:p>
      <w:pPr>
        <w:pStyle w:val="BodyText"/>
        <w:spacing w:line="360" w:lineRule="auto" w:before="90"/>
        <w:ind w:left="1020" w:right="535"/>
        <w:jc w:val="both"/>
      </w:pPr>
      <w:r>
        <w:rPr/>
        <w:pict>
          <v:group style="position:absolute;margin-left:131.130005pt;margin-top:210.493439pt;width:331.5pt;height:180pt;mso-position-horizontal-relative:page;mso-position-vertical-relative:paragraph;z-index:-254986240" coordorigin="2623,4210" coordsize="6630,3600">
            <v:rect style="position:absolute;left:2893;top:5664;width:390;height:2100" filled="true" fillcolor="#33339a" stroked="false">
              <v:fill type="solid"/>
            </v:rect>
            <v:rect style="position:absolute;left:3283;top:5754;width:375;height:2010" filled="true" fillcolor="#9a3300" stroked="false">
              <v:fill type="solid"/>
            </v:rect>
            <v:rect style="position:absolute;left:4213;top:6504;width:390;height:1260" filled="true" fillcolor="#33339a" stroked="false">
              <v:fill type="solid"/>
            </v:rect>
            <v:rect style="position:absolute;left:4603;top:5064;width:375;height:2700" filled="true" fillcolor="#9a3300" stroked="false">
              <v:fill type="solid"/>
            </v:rect>
            <v:rect style="position:absolute;left:5532;top:6504;width:376;height:1260" filled="true" fillcolor="#33339a" stroked="false">
              <v:fill type="solid"/>
            </v:rect>
            <v:rect style="position:absolute;left:5907;top:6070;width:375;height:1695" filled="true" fillcolor="#9a3300" stroked="false">
              <v:fill type="solid"/>
            </v:rect>
            <v:rect style="position:absolute;left:6837;top:5904;width:389;height:1860" filled="true" fillcolor="#33339a" stroked="false">
              <v:fill type="solid"/>
            </v:rect>
            <v:rect style="position:absolute;left:7226;top:4720;width:376;height:3045" filled="true" fillcolor="#9a3300" stroked="false">
              <v:fill type="solid"/>
            </v:rect>
            <v:rect style="position:absolute;left:8156;top:5364;width:390;height:2400" filled="true" fillcolor="#33339a" stroked="false">
              <v:fill type="solid"/>
            </v:rect>
            <v:rect style="position:absolute;left:8546;top:5094;width:376;height:2670" filled="true" fillcolor="#9a3300" stroked="false">
              <v:fill type="solid"/>
            </v:rect>
            <v:shape style="position:absolute;left:2623;top:4210;width:6629;height:3599" coordorigin="2623,4210" coordsize="6629,3599" path="m9206,4210l9206,7765m9206,7765l9252,7765m9206,7315l9252,7315m9206,6879l9252,6879m9206,6430l9252,6430m9206,5995l9252,5995m9206,5545l9252,5545m9206,5095l9252,5095m9206,4660l9252,4660m9206,4210l9252,4210m2623,7765l9206,7765m2623,7809l2623,7765m3943,7809l3943,7765m5262,7809l5262,7765m6568,7809l6568,7765m7886,7809l7886,7765m9206,7809l9206,7765e" filled="false" stroked="true" strokeweight=".06pt" strokecolor="#000000">
              <v:path arrowok="t"/>
              <v:stroke dashstyle="solid"/>
            </v:shape>
            <v:rect style="position:absolute;left:3237;top:4540;width:106;height:105" filled="true" fillcolor="#33339a" stroked="false">
              <v:fill type="solid"/>
            </v:rect>
            <v:rect style="position:absolute;left:3237;top:4824;width:106;height:106" filled="true" fillcolor="#9a3300" stroked="false">
              <v:fill type="solid"/>
            </v:rect>
            <w10:wrap type="none"/>
          </v:group>
        </w:pict>
      </w:r>
      <w:r>
        <w:rPr/>
        <w:t>As Chart 5 shows, trend growth in the “advanced economies” – including the US, Europe and Japan – has gradually slowed since the 1970s. But the growth performance of the emerging market and developing country economies in the last decade is the strongest we have seen in the last forty years. This is not just a “China effect”.  It reflects the fact that all the major regions of the emerging/developing  world – Asia, Africa, the Middle East, South America and the former Soviet economies – have performed strongly over the course of this</w:t>
      </w:r>
      <w:r>
        <w:rPr>
          <w:spacing w:val="-8"/>
        </w:rPr>
        <w:t> </w:t>
      </w:r>
      <w:r>
        <w:rPr/>
        <w:t>decade.</w:t>
      </w:r>
      <w:r>
        <w:rPr>
          <w:vertAlign w:val="superscript"/>
        </w:rPr>
        <w:t>5</w:t>
      </w:r>
    </w:p>
    <w:p>
      <w:pPr>
        <w:pStyle w:val="BodyText"/>
        <w:rPr>
          <w:sz w:val="20"/>
        </w:rPr>
      </w:pPr>
    </w:p>
    <w:p>
      <w:pPr>
        <w:pStyle w:val="BodyText"/>
        <w:spacing w:before="4"/>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2"/>
        <w:gridCol w:w="1095"/>
        <w:gridCol w:w="1172"/>
        <w:gridCol w:w="1427"/>
        <w:gridCol w:w="1052"/>
        <w:gridCol w:w="1217"/>
      </w:tblGrid>
      <w:tr>
        <w:trPr>
          <w:trHeight w:val="275" w:hRule="atLeast"/>
        </w:trPr>
        <w:tc>
          <w:tcPr>
            <w:tcW w:w="84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6: World house price inflation</w:t>
            </w:r>
          </w:p>
        </w:tc>
      </w:tr>
      <w:tr>
        <w:trPr>
          <w:trHeight w:val="275" w:hRule="atLeast"/>
        </w:trPr>
        <w:tc>
          <w:tcPr>
            <w:tcW w:w="84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Annual percentage change</w:t>
            </w:r>
          </w:p>
        </w:tc>
      </w:tr>
      <w:tr>
        <w:trPr>
          <w:trHeight w:val="402" w:hRule="atLeast"/>
        </w:trPr>
        <w:tc>
          <w:tcPr>
            <w:tcW w:w="2452" w:type="dxa"/>
            <w:tcBorders>
              <w:top w:val="single" w:sz="4" w:space="0" w:color="000000"/>
              <w:left w:val="single" w:sz="4" w:space="0" w:color="000000"/>
            </w:tcBorders>
          </w:tcPr>
          <w:p>
            <w:pPr>
              <w:pStyle w:val="TableParagraph"/>
              <w:rPr>
                <w:sz w:val="22"/>
              </w:rPr>
            </w:pPr>
          </w:p>
        </w:tc>
        <w:tc>
          <w:tcPr>
            <w:tcW w:w="1095" w:type="dxa"/>
            <w:tcBorders>
              <w:top w:val="single" w:sz="4" w:space="0" w:color="000000"/>
            </w:tcBorders>
          </w:tcPr>
          <w:p>
            <w:pPr>
              <w:pStyle w:val="TableParagraph"/>
              <w:rPr>
                <w:sz w:val="22"/>
              </w:rPr>
            </w:pPr>
          </w:p>
        </w:tc>
        <w:tc>
          <w:tcPr>
            <w:tcW w:w="1172" w:type="dxa"/>
            <w:tcBorders>
              <w:top w:val="single" w:sz="4" w:space="0" w:color="000000"/>
            </w:tcBorders>
          </w:tcPr>
          <w:p>
            <w:pPr>
              <w:pStyle w:val="TableParagraph"/>
              <w:rPr>
                <w:sz w:val="22"/>
              </w:rPr>
            </w:pPr>
          </w:p>
        </w:tc>
        <w:tc>
          <w:tcPr>
            <w:tcW w:w="1427" w:type="dxa"/>
            <w:tcBorders>
              <w:top w:val="single" w:sz="4" w:space="0" w:color="000000"/>
            </w:tcBorders>
          </w:tcPr>
          <w:p>
            <w:pPr>
              <w:pStyle w:val="TableParagraph"/>
              <w:rPr>
                <w:sz w:val="22"/>
              </w:rPr>
            </w:pPr>
          </w:p>
        </w:tc>
        <w:tc>
          <w:tcPr>
            <w:tcW w:w="1052" w:type="dxa"/>
            <w:tcBorders>
              <w:top w:val="single" w:sz="4" w:space="0" w:color="000000"/>
            </w:tcBorders>
          </w:tcPr>
          <w:p>
            <w:pPr>
              <w:pStyle w:val="TableParagraph"/>
              <w:rPr>
                <w:sz w:val="22"/>
              </w:rPr>
            </w:pPr>
          </w:p>
        </w:tc>
        <w:tc>
          <w:tcPr>
            <w:tcW w:w="1217" w:type="dxa"/>
            <w:tcBorders>
              <w:top w:val="single" w:sz="4" w:space="0" w:color="000000"/>
              <w:right w:val="single" w:sz="4" w:space="0" w:color="000000"/>
            </w:tcBorders>
          </w:tcPr>
          <w:p>
            <w:pPr>
              <w:pStyle w:val="TableParagraph"/>
              <w:spacing w:before="122"/>
              <w:ind w:left="334"/>
              <w:rPr>
                <w:rFonts w:ascii="Arial"/>
                <w:b/>
                <w:sz w:val="16"/>
              </w:rPr>
            </w:pPr>
            <w:r>
              <w:rPr>
                <w:rFonts w:ascii="Arial"/>
                <w:b/>
                <w:w w:val="105"/>
                <w:sz w:val="16"/>
              </w:rPr>
              <w:t>16</w:t>
            </w:r>
          </w:p>
        </w:tc>
      </w:tr>
      <w:tr>
        <w:trPr>
          <w:trHeight w:val="330" w:hRule="atLeast"/>
        </w:trPr>
        <w:tc>
          <w:tcPr>
            <w:tcW w:w="2452" w:type="dxa"/>
            <w:tcBorders>
              <w:left w:val="single" w:sz="4" w:space="0" w:color="000000"/>
            </w:tcBorders>
          </w:tcPr>
          <w:p>
            <w:pPr>
              <w:pStyle w:val="TableParagraph"/>
              <w:spacing w:before="94"/>
              <w:ind w:right="76"/>
              <w:jc w:val="right"/>
              <w:rPr>
                <w:rFonts w:ascii="Arial"/>
                <w:b/>
                <w:sz w:val="16"/>
              </w:rPr>
            </w:pPr>
            <w:r>
              <w:rPr>
                <w:rFonts w:ascii="Arial"/>
                <w:b/>
                <w:sz w:val="16"/>
              </w:rPr>
              <w:t>1997-2002</w:t>
            </w:r>
          </w:p>
        </w:tc>
        <w:tc>
          <w:tcPr>
            <w:tcW w:w="1095" w:type="dxa"/>
          </w:tcPr>
          <w:p>
            <w:pPr>
              <w:pStyle w:val="TableParagraph"/>
              <w:rPr>
                <w:sz w:val="22"/>
              </w:rPr>
            </w:pPr>
          </w:p>
        </w:tc>
        <w:tc>
          <w:tcPr>
            <w:tcW w:w="1172" w:type="dxa"/>
          </w:tcPr>
          <w:p>
            <w:pPr>
              <w:pStyle w:val="TableParagraph"/>
              <w:rPr>
                <w:sz w:val="22"/>
              </w:rPr>
            </w:pPr>
          </w:p>
        </w:tc>
        <w:tc>
          <w:tcPr>
            <w:tcW w:w="1427" w:type="dxa"/>
          </w:tcPr>
          <w:p>
            <w:pPr>
              <w:pStyle w:val="TableParagraph"/>
              <w:rPr>
                <w:sz w:val="22"/>
              </w:rPr>
            </w:pPr>
          </w:p>
        </w:tc>
        <w:tc>
          <w:tcPr>
            <w:tcW w:w="1052" w:type="dxa"/>
          </w:tcPr>
          <w:p>
            <w:pPr>
              <w:pStyle w:val="TableParagraph"/>
              <w:rPr>
                <w:sz w:val="22"/>
              </w:rPr>
            </w:pPr>
          </w:p>
        </w:tc>
        <w:tc>
          <w:tcPr>
            <w:tcW w:w="1217" w:type="dxa"/>
            <w:tcBorders>
              <w:right w:val="single" w:sz="4" w:space="0" w:color="000000"/>
            </w:tcBorders>
          </w:tcPr>
          <w:p>
            <w:pPr>
              <w:pStyle w:val="TableParagraph"/>
              <w:spacing w:before="8"/>
              <w:rPr>
                <w:sz w:val="14"/>
              </w:rPr>
            </w:pPr>
          </w:p>
          <w:p>
            <w:pPr>
              <w:pStyle w:val="TableParagraph"/>
              <w:spacing w:line="140" w:lineRule="exact" w:before="1"/>
              <w:ind w:left="334"/>
              <w:rPr>
                <w:rFonts w:ascii="Arial"/>
                <w:b/>
                <w:sz w:val="16"/>
              </w:rPr>
            </w:pPr>
            <w:r>
              <w:rPr>
                <w:rFonts w:ascii="Arial"/>
                <w:b/>
                <w:w w:val="105"/>
                <w:sz w:val="16"/>
              </w:rPr>
              <w:t>14</w:t>
            </w:r>
          </w:p>
        </w:tc>
      </w:tr>
      <w:tr>
        <w:trPr>
          <w:trHeight w:val="254" w:hRule="atLeast"/>
        </w:trPr>
        <w:tc>
          <w:tcPr>
            <w:tcW w:w="2452" w:type="dxa"/>
            <w:tcBorders>
              <w:left w:val="single" w:sz="4" w:space="0" w:color="000000"/>
            </w:tcBorders>
          </w:tcPr>
          <w:p>
            <w:pPr>
              <w:pStyle w:val="TableParagraph"/>
              <w:spacing w:before="50"/>
              <w:ind w:right="76"/>
              <w:jc w:val="right"/>
              <w:rPr>
                <w:rFonts w:ascii="Arial"/>
                <w:b/>
                <w:sz w:val="16"/>
              </w:rPr>
            </w:pPr>
            <w:r>
              <w:rPr>
                <w:rFonts w:ascii="Arial"/>
                <w:b/>
                <w:sz w:val="16"/>
              </w:rPr>
              <w:t>2003-2007</w:t>
            </w:r>
          </w:p>
        </w:tc>
        <w:tc>
          <w:tcPr>
            <w:tcW w:w="1095" w:type="dxa"/>
          </w:tcPr>
          <w:p>
            <w:pPr>
              <w:pStyle w:val="TableParagraph"/>
              <w:rPr>
                <w:sz w:val="18"/>
              </w:rPr>
            </w:pPr>
          </w:p>
        </w:tc>
        <w:tc>
          <w:tcPr>
            <w:tcW w:w="1172" w:type="dxa"/>
          </w:tcPr>
          <w:p>
            <w:pPr>
              <w:pStyle w:val="TableParagraph"/>
              <w:rPr>
                <w:sz w:val="18"/>
              </w:rPr>
            </w:pPr>
          </w:p>
        </w:tc>
        <w:tc>
          <w:tcPr>
            <w:tcW w:w="1427" w:type="dxa"/>
          </w:tcPr>
          <w:p>
            <w:pPr>
              <w:pStyle w:val="TableParagraph"/>
              <w:rPr>
                <w:sz w:val="18"/>
              </w:rPr>
            </w:pPr>
          </w:p>
        </w:tc>
        <w:tc>
          <w:tcPr>
            <w:tcW w:w="1052" w:type="dxa"/>
          </w:tcPr>
          <w:p>
            <w:pPr>
              <w:pStyle w:val="TableParagraph"/>
              <w:rPr>
                <w:sz w:val="18"/>
              </w:rPr>
            </w:pPr>
          </w:p>
        </w:tc>
        <w:tc>
          <w:tcPr>
            <w:tcW w:w="1217" w:type="dxa"/>
            <w:tcBorders>
              <w:right w:val="single" w:sz="4" w:space="0" w:color="000000"/>
            </w:tcBorders>
          </w:tcPr>
          <w:p>
            <w:pPr>
              <w:pStyle w:val="TableParagraph"/>
              <w:rPr>
                <w:sz w:val="18"/>
              </w:rPr>
            </w:pPr>
          </w:p>
        </w:tc>
      </w:tr>
      <w:tr>
        <w:trPr>
          <w:trHeight w:val="337" w:hRule="atLeast"/>
        </w:trPr>
        <w:tc>
          <w:tcPr>
            <w:tcW w:w="2452" w:type="dxa"/>
            <w:tcBorders>
              <w:left w:val="single" w:sz="4" w:space="0" w:color="000000"/>
            </w:tcBorders>
          </w:tcPr>
          <w:p>
            <w:pPr>
              <w:pStyle w:val="TableParagraph"/>
              <w:rPr>
                <w:sz w:val="22"/>
              </w:rPr>
            </w:pPr>
          </w:p>
        </w:tc>
        <w:tc>
          <w:tcPr>
            <w:tcW w:w="1095" w:type="dxa"/>
          </w:tcPr>
          <w:p>
            <w:pPr>
              <w:pStyle w:val="TableParagraph"/>
              <w:rPr>
                <w:sz w:val="22"/>
              </w:rPr>
            </w:pPr>
          </w:p>
        </w:tc>
        <w:tc>
          <w:tcPr>
            <w:tcW w:w="1172" w:type="dxa"/>
          </w:tcPr>
          <w:p>
            <w:pPr>
              <w:pStyle w:val="TableParagraph"/>
              <w:rPr>
                <w:sz w:val="22"/>
              </w:rPr>
            </w:pPr>
          </w:p>
        </w:tc>
        <w:tc>
          <w:tcPr>
            <w:tcW w:w="1427" w:type="dxa"/>
          </w:tcPr>
          <w:p>
            <w:pPr>
              <w:pStyle w:val="TableParagraph"/>
              <w:rPr>
                <w:sz w:val="22"/>
              </w:rPr>
            </w:pPr>
          </w:p>
        </w:tc>
        <w:tc>
          <w:tcPr>
            <w:tcW w:w="1052" w:type="dxa"/>
          </w:tcPr>
          <w:p>
            <w:pPr>
              <w:pStyle w:val="TableParagraph"/>
              <w:rPr>
                <w:sz w:val="22"/>
              </w:rPr>
            </w:pPr>
          </w:p>
        </w:tc>
        <w:tc>
          <w:tcPr>
            <w:tcW w:w="1217" w:type="dxa"/>
            <w:tcBorders>
              <w:right w:val="single" w:sz="4" w:space="0" w:color="000000"/>
            </w:tcBorders>
          </w:tcPr>
          <w:p>
            <w:pPr>
              <w:pStyle w:val="TableParagraph"/>
              <w:spacing w:before="19"/>
              <w:ind w:left="334"/>
              <w:rPr>
                <w:rFonts w:ascii="Arial"/>
                <w:b/>
                <w:sz w:val="16"/>
              </w:rPr>
            </w:pPr>
            <w:r>
              <w:rPr>
                <w:rFonts w:ascii="Arial"/>
                <w:b/>
                <w:w w:val="105"/>
                <w:sz w:val="16"/>
              </w:rPr>
              <w:t>12</w:t>
            </w:r>
          </w:p>
        </w:tc>
      </w:tr>
      <w:tr>
        <w:trPr>
          <w:trHeight w:val="450" w:hRule="atLeast"/>
        </w:trPr>
        <w:tc>
          <w:tcPr>
            <w:tcW w:w="2452" w:type="dxa"/>
            <w:tcBorders>
              <w:left w:val="single" w:sz="4" w:space="0" w:color="000000"/>
            </w:tcBorders>
          </w:tcPr>
          <w:p>
            <w:pPr>
              <w:pStyle w:val="TableParagraph"/>
              <w:rPr>
                <w:sz w:val="22"/>
              </w:rPr>
            </w:pPr>
          </w:p>
        </w:tc>
        <w:tc>
          <w:tcPr>
            <w:tcW w:w="1095" w:type="dxa"/>
          </w:tcPr>
          <w:p>
            <w:pPr>
              <w:pStyle w:val="TableParagraph"/>
              <w:rPr>
                <w:sz w:val="22"/>
              </w:rPr>
            </w:pPr>
          </w:p>
        </w:tc>
        <w:tc>
          <w:tcPr>
            <w:tcW w:w="1172" w:type="dxa"/>
          </w:tcPr>
          <w:p>
            <w:pPr>
              <w:pStyle w:val="TableParagraph"/>
              <w:rPr>
                <w:sz w:val="22"/>
              </w:rPr>
            </w:pPr>
          </w:p>
        </w:tc>
        <w:tc>
          <w:tcPr>
            <w:tcW w:w="1427" w:type="dxa"/>
          </w:tcPr>
          <w:p>
            <w:pPr>
              <w:pStyle w:val="TableParagraph"/>
              <w:rPr>
                <w:sz w:val="22"/>
              </w:rPr>
            </w:pPr>
          </w:p>
        </w:tc>
        <w:tc>
          <w:tcPr>
            <w:tcW w:w="1052" w:type="dxa"/>
          </w:tcPr>
          <w:p>
            <w:pPr>
              <w:pStyle w:val="TableParagraph"/>
              <w:rPr>
                <w:sz w:val="22"/>
              </w:rPr>
            </w:pPr>
          </w:p>
        </w:tc>
        <w:tc>
          <w:tcPr>
            <w:tcW w:w="1217" w:type="dxa"/>
            <w:tcBorders>
              <w:right w:val="single" w:sz="4" w:space="0" w:color="000000"/>
            </w:tcBorders>
          </w:tcPr>
          <w:p>
            <w:pPr>
              <w:pStyle w:val="TableParagraph"/>
              <w:spacing w:before="132"/>
              <w:ind w:left="334"/>
              <w:rPr>
                <w:rFonts w:ascii="Arial"/>
                <w:b/>
                <w:sz w:val="16"/>
              </w:rPr>
            </w:pPr>
            <w:r>
              <w:rPr>
                <w:rFonts w:ascii="Arial"/>
                <w:b/>
                <w:w w:val="105"/>
                <w:sz w:val="16"/>
              </w:rPr>
              <w:t>10</w:t>
            </w:r>
          </w:p>
        </w:tc>
      </w:tr>
      <w:tr>
        <w:trPr>
          <w:trHeight w:val="442" w:hRule="atLeast"/>
        </w:trPr>
        <w:tc>
          <w:tcPr>
            <w:tcW w:w="2452" w:type="dxa"/>
            <w:tcBorders>
              <w:left w:val="single" w:sz="4" w:space="0" w:color="000000"/>
            </w:tcBorders>
          </w:tcPr>
          <w:p>
            <w:pPr>
              <w:pStyle w:val="TableParagraph"/>
              <w:rPr>
                <w:sz w:val="22"/>
              </w:rPr>
            </w:pPr>
          </w:p>
        </w:tc>
        <w:tc>
          <w:tcPr>
            <w:tcW w:w="1095" w:type="dxa"/>
          </w:tcPr>
          <w:p>
            <w:pPr>
              <w:pStyle w:val="TableParagraph"/>
              <w:rPr>
                <w:sz w:val="22"/>
              </w:rPr>
            </w:pPr>
          </w:p>
        </w:tc>
        <w:tc>
          <w:tcPr>
            <w:tcW w:w="1172" w:type="dxa"/>
          </w:tcPr>
          <w:p>
            <w:pPr>
              <w:pStyle w:val="TableParagraph"/>
              <w:rPr>
                <w:sz w:val="22"/>
              </w:rPr>
            </w:pPr>
          </w:p>
        </w:tc>
        <w:tc>
          <w:tcPr>
            <w:tcW w:w="1427" w:type="dxa"/>
          </w:tcPr>
          <w:p>
            <w:pPr>
              <w:pStyle w:val="TableParagraph"/>
              <w:rPr>
                <w:sz w:val="22"/>
              </w:rPr>
            </w:pPr>
          </w:p>
        </w:tc>
        <w:tc>
          <w:tcPr>
            <w:tcW w:w="1052" w:type="dxa"/>
          </w:tcPr>
          <w:p>
            <w:pPr>
              <w:pStyle w:val="TableParagraph"/>
              <w:rPr>
                <w:sz w:val="22"/>
              </w:rPr>
            </w:pPr>
          </w:p>
        </w:tc>
        <w:tc>
          <w:tcPr>
            <w:tcW w:w="1217" w:type="dxa"/>
            <w:tcBorders>
              <w:right w:val="single" w:sz="4" w:space="0" w:color="000000"/>
            </w:tcBorders>
          </w:tcPr>
          <w:p>
            <w:pPr>
              <w:pStyle w:val="TableParagraph"/>
              <w:spacing w:before="132"/>
              <w:ind w:left="334"/>
              <w:rPr>
                <w:rFonts w:ascii="Arial"/>
                <w:b/>
                <w:sz w:val="16"/>
              </w:rPr>
            </w:pPr>
            <w:r>
              <w:rPr>
                <w:rFonts w:ascii="Arial"/>
                <w:b/>
                <w:w w:val="103"/>
                <w:sz w:val="16"/>
              </w:rPr>
              <w:t>8</w:t>
            </w:r>
          </w:p>
        </w:tc>
      </w:tr>
      <w:tr>
        <w:trPr>
          <w:trHeight w:val="442" w:hRule="atLeast"/>
        </w:trPr>
        <w:tc>
          <w:tcPr>
            <w:tcW w:w="2452" w:type="dxa"/>
            <w:tcBorders>
              <w:left w:val="single" w:sz="4" w:space="0" w:color="000000"/>
            </w:tcBorders>
          </w:tcPr>
          <w:p>
            <w:pPr>
              <w:pStyle w:val="TableParagraph"/>
              <w:rPr>
                <w:sz w:val="22"/>
              </w:rPr>
            </w:pPr>
          </w:p>
        </w:tc>
        <w:tc>
          <w:tcPr>
            <w:tcW w:w="1095" w:type="dxa"/>
          </w:tcPr>
          <w:p>
            <w:pPr>
              <w:pStyle w:val="TableParagraph"/>
              <w:rPr>
                <w:sz w:val="22"/>
              </w:rPr>
            </w:pPr>
          </w:p>
        </w:tc>
        <w:tc>
          <w:tcPr>
            <w:tcW w:w="1172" w:type="dxa"/>
          </w:tcPr>
          <w:p>
            <w:pPr>
              <w:pStyle w:val="TableParagraph"/>
              <w:rPr>
                <w:sz w:val="22"/>
              </w:rPr>
            </w:pPr>
          </w:p>
        </w:tc>
        <w:tc>
          <w:tcPr>
            <w:tcW w:w="1427" w:type="dxa"/>
          </w:tcPr>
          <w:p>
            <w:pPr>
              <w:pStyle w:val="TableParagraph"/>
              <w:rPr>
                <w:sz w:val="22"/>
              </w:rPr>
            </w:pPr>
          </w:p>
        </w:tc>
        <w:tc>
          <w:tcPr>
            <w:tcW w:w="1052" w:type="dxa"/>
          </w:tcPr>
          <w:p>
            <w:pPr>
              <w:pStyle w:val="TableParagraph"/>
              <w:rPr>
                <w:sz w:val="22"/>
              </w:rPr>
            </w:pPr>
          </w:p>
        </w:tc>
        <w:tc>
          <w:tcPr>
            <w:tcW w:w="1217" w:type="dxa"/>
            <w:tcBorders>
              <w:right w:val="single" w:sz="4" w:space="0" w:color="000000"/>
            </w:tcBorders>
          </w:tcPr>
          <w:p>
            <w:pPr>
              <w:pStyle w:val="TableParagraph"/>
              <w:spacing w:before="125"/>
              <w:ind w:left="334"/>
              <w:rPr>
                <w:rFonts w:ascii="Arial"/>
                <w:b/>
                <w:sz w:val="16"/>
              </w:rPr>
            </w:pPr>
            <w:r>
              <w:rPr>
                <w:rFonts w:ascii="Arial"/>
                <w:b/>
                <w:w w:val="103"/>
                <w:sz w:val="16"/>
              </w:rPr>
              <w:t>6</w:t>
            </w:r>
          </w:p>
        </w:tc>
      </w:tr>
      <w:tr>
        <w:trPr>
          <w:trHeight w:val="442" w:hRule="atLeast"/>
        </w:trPr>
        <w:tc>
          <w:tcPr>
            <w:tcW w:w="2452" w:type="dxa"/>
            <w:tcBorders>
              <w:left w:val="single" w:sz="4" w:space="0" w:color="000000"/>
            </w:tcBorders>
          </w:tcPr>
          <w:p>
            <w:pPr>
              <w:pStyle w:val="TableParagraph"/>
              <w:rPr>
                <w:sz w:val="22"/>
              </w:rPr>
            </w:pPr>
          </w:p>
        </w:tc>
        <w:tc>
          <w:tcPr>
            <w:tcW w:w="1095" w:type="dxa"/>
          </w:tcPr>
          <w:p>
            <w:pPr>
              <w:pStyle w:val="TableParagraph"/>
              <w:rPr>
                <w:sz w:val="22"/>
              </w:rPr>
            </w:pPr>
          </w:p>
        </w:tc>
        <w:tc>
          <w:tcPr>
            <w:tcW w:w="1172" w:type="dxa"/>
          </w:tcPr>
          <w:p>
            <w:pPr>
              <w:pStyle w:val="TableParagraph"/>
              <w:rPr>
                <w:sz w:val="22"/>
              </w:rPr>
            </w:pPr>
          </w:p>
        </w:tc>
        <w:tc>
          <w:tcPr>
            <w:tcW w:w="1427" w:type="dxa"/>
          </w:tcPr>
          <w:p>
            <w:pPr>
              <w:pStyle w:val="TableParagraph"/>
              <w:rPr>
                <w:sz w:val="22"/>
              </w:rPr>
            </w:pPr>
          </w:p>
        </w:tc>
        <w:tc>
          <w:tcPr>
            <w:tcW w:w="1052" w:type="dxa"/>
          </w:tcPr>
          <w:p>
            <w:pPr>
              <w:pStyle w:val="TableParagraph"/>
              <w:rPr>
                <w:sz w:val="22"/>
              </w:rPr>
            </w:pPr>
          </w:p>
        </w:tc>
        <w:tc>
          <w:tcPr>
            <w:tcW w:w="1217" w:type="dxa"/>
            <w:tcBorders>
              <w:right w:val="single" w:sz="4" w:space="0" w:color="000000"/>
            </w:tcBorders>
          </w:tcPr>
          <w:p>
            <w:pPr>
              <w:pStyle w:val="TableParagraph"/>
              <w:spacing w:before="131"/>
              <w:ind w:left="334"/>
              <w:rPr>
                <w:rFonts w:ascii="Arial"/>
                <w:b/>
                <w:sz w:val="16"/>
              </w:rPr>
            </w:pPr>
            <w:r>
              <w:rPr>
                <w:rFonts w:ascii="Arial"/>
                <w:b/>
                <w:w w:val="103"/>
                <w:sz w:val="16"/>
              </w:rPr>
              <w:t>4</w:t>
            </w:r>
          </w:p>
        </w:tc>
      </w:tr>
      <w:tr>
        <w:trPr>
          <w:trHeight w:val="442" w:hRule="atLeast"/>
        </w:trPr>
        <w:tc>
          <w:tcPr>
            <w:tcW w:w="2452" w:type="dxa"/>
            <w:tcBorders>
              <w:left w:val="single" w:sz="4" w:space="0" w:color="000000"/>
            </w:tcBorders>
          </w:tcPr>
          <w:p>
            <w:pPr>
              <w:pStyle w:val="TableParagraph"/>
              <w:rPr>
                <w:sz w:val="22"/>
              </w:rPr>
            </w:pPr>
          </w:p>
        </w:tc>
        <w:tc>
          <w:tcPr>
            <w:tcW w:w="1095" w:type="dxa"/>
          </w:tcPr>
          <w:p>
            <w:pPr>
              <w:pStyle w:val="TableParagraph"/>
              <w:rPr>
                <w:sz w:val="22"/>
              </w:rPr>
            </w:pPr>
          </w:p>
        </w:tc>
        <w:tc>
          <w:tcPr>
            <w:tcW w:w="1172" w:type="dxa"/>
          </w:tcPr>
          <w:p>
            <w:pPr>
              <w:pStyle w:val="TableParagraph"/>
              <w:rPr>
                <w:sz w:val="22"/>
              </w:rPr>
            </w:pPr>
          </w:p>
        </w:tc>
        <w:tc>
          <w:tcPr>
            <w:tcW w:w="1427" w:type="dxa"/>
          </w:tcPr>
          <w:p>
            <w:pPr>
              <w:pStyle w:val="TableParagraph"/>
              <w:rPr>
                <w:sz w:val="22"/>
              </w:rPr>
            </w:pPr>
          </w:p>
        </w:tc>
        <w:tc>
          <w:tcPr>
            <w:tcW w:w="1052" w:type="dxa"/>
          </w:tcPr>
          <w:p>
            <w:pPr>
              <w:pStyle w:val="TableParagraph"/>
              <w:rPr>
                <w:sz w:val="22"/>
              </w:rPr>
            </w:pPr>
          </w:p>
        </w:tc>
        <w:tc>
          <w:tcPr>
            <w:tcW w:w="1217" w:type="dxa"/>
            <w:tcBorders>
              <w:right w:val="single" w:sz="4" w:space="0" w:color="000000"/>
            </w:tcBorders>
          </w:tcPr>
          <w:p>
            <w:pPr>
              <w:pStyle w:val="TableParagraph"/>
              <w:spacing w:before="125"/>
              <w:ind w:left="334"/>
              <w:rPr>
                <w:rFonts w:ascii="Arial"/>
                <w:b/>
                <w:sz w:val="16"/>
              </w:rPr>
            </w:pPr>
            <w:r>
              <w:rPr>
                <w:rFonts w:ascii="Arial"/>
                <w:b/>
                <w:w w:val="103"/>
                <w:sz w:val="16"/>
              </w:rPr>
              <w:t>2</w:t>
            </w:r>
          </w:p>
        </w:tc>
      </w:tr>
      <w:tr>
        <w:trPr>
          <w:trHeight w:val="344" w:hRule="atLeast"/>
        </w:trPr>
        <w:tc>
          <w:tcPr>
            <w:tcW w:w="2452" w:type="dxa"/>
            <w:tcBorders>
              <w:left w:val="single" w:sz="4" w:space="0" w:color="000000"/>
            </w:tcBorders>
          </w:tcPr>
          <w:p>
            <w:pPr>
              <w:pStyle w:val="TableParagraph"/>
              <w:rPr>
                <w:sz w:val="22"/>
              </w:rPr>
            </w:pPr>
          </w:p>
        </w:tc>
        <w:tc>
          <w:tcPr>
            <w:tcW w:w="1095" w:type="dxa"/>
          </w:tcPr>
          <w:p>
            <w:pPr>
              <w:pStyle w:val="TableParagraph"/>
              <w:rPr>
                <w:sz w:val="22"/>
              </w:rPr>
            </w:pPr>
          </w:p>
        </w:tc>
        <w:tc>
          <w:tcPr>
            <w:tcW w:w="1172" w:type="dxa"/>
          </w:tcPr>
          <w:p>
            <w:pPr>
              <w:pStyle w:val="TableParagraph"/>
              <w:rPr>
                <w:sz w:val="22"/>
              </w:rPr>
            </w:pPr>
          </w:p>
        </w:tc>
        <w:tc>
          <w:tcPr>
            <w:tcW w:w="1427" w:type="dxa"/>
          </w:tcPr>
          <w:p>
            <w:pPr>
              <w:pStyle w:val="TableParagraph"/>
              <w:rPr>
                <w:sz w:val="22"/>
              </w:rPr>
            </w:pPr>
          </w:p>
        </w:tc>
        <w:tc>
          <w:tcPr>
            <w:tcW w:w="1052" w:type="dxa"/>
          </w:tcPr>
          <w:p>
            <w:pPr>
              <w:pStyle w:val="TableParagraph"/>
              <w:rPr>
                <w:sz w:val="22"/>
              </w:rPr>
            </w:pPr>
          </w:p>
        </w:tc>
        <w:tc>
          <w:tcPr>
            <w:tcW w:w="1217" w:type="dxa"/>
            <w:tcBorders>
              <w:right w:val="single" w:sz="4" w:space="0" w:color="000000"/>
            </w:tcBorders>
          </w:tcPr>
          <w:p>
            <w:pPr>
              <w:pStyle w:val="TableParagraph"/>
              <w:spacing w:before="132"/>
              <w:ind w:left="334"/>
              <w:rPr>
                <w:rFonts w:ascii="Arial"/>
                <w:b/>
                <w:sz w:val="16"/>
              </w:rPr>
            </w:pPr>
            <w:r>
              <w:rPr>
                <w:rFonts w:ascii="Arial"/>
                <w:b/>
                <w:w w:val="103"/>
                <w:sz w:val="16"/>
              </w:rPr>
              <w:t>0</w:t>
            </w:r>
          </w:p>
        </w:tc>
      </w:tr>
      <w:tr>
        <w:trPr>
          <w:trHeight w:val="371" w:hRule="atLeast"/>
        </w:trPr>
        <w:tc>
          <w:tcPr>
            <w:tcW w:w="2452" w:type="dxa"/>
            <w:tcBorders>
              <w:left w:val="single" w:sz="4" w:space="0" w:color="000000"/>
              <w:bottom w:val="single" w:sz="4" w:space="0" w:color="000000"/>
            </w:tcBorders>
          </w:tcPr>
          <w:p>
            <w:pPr>
              <w:pStyle w:val="TableParagraph"/>
              <w:spacing w:before="27"/>
              <w:ind w:left="1123"/>
              <w:rPr>
                <w:rFonts w:ascii="Arial"/>
                <w:b/>
                <w:sz w:val="16"/>
              </w:rPr>
            </w:pPr>
            <w:r>
              <w:rPr>
                <w:rFonts w:ascii="Arial"/>
                <w:b/>
                <w:w w:val="105"/>
                <w:sz w:val="16"/>
              </w:rPr>
              <w:t>Australia</w:t>
            </w:r>
          </w:p>
        </w:tc>
        <w:tc>
          <w:tcPr>
            <w:tcW w:w="1095" w:type="dxa"/>
            <w:tcBorders>
              <w:bottom w:val="single" w:sz="4" w:space="0" w:color="000000"/>
            </w:tcBorders>
          </w:tcPr>
          <w:p>
            <w:pPr>
              <w:pStyle w:val="TableParagraph"/>
              <w:spacing w:before="27"/>
              <w:ind w:left="85"/>
              <w:rPr>
                <w:rFonts w:ascii="Arial"/>
                <w:b/>
                <w:sz w:val="16"/>
              </w:rPr>
            </w:pPr>
            <w:r>
              <w:rPr>
                <w:rFonts w:ascii="Arial"/>
                <w:b/>
                <w:w w:val="105"/>
                <w:sz w:val="16"/>
              </w:rPr>
              <w:t>France</w:t>
            </w:r>
          </w:p>
        </w:tc>
        <w:tc>
          <w:tcPr>
            <w:tcW w:w="1172" w:type="dxa"/>
            <w:tcBorders>
              <w:bottom w:val="single" w:sz="4" w:space="0" w:color="000000"/>
            </w:tcBorders>
          </w:tcPr>
          <w:p>
            <w:pPr>
              <w:pStyle w:val="TableParagraph"/>
              <w:spacing w:before="27"/>
              <w:ind w:left="447" w:right="450"/>
              <w:jc w:val="center"/>
              <w:rPr>
                <w:rFonts w:ascii="Arial"/>
                <w:b/>
                <w:sz w:val="16"/>
              </w:rPr>
            </w:pPr>
            <w:r>
              <w:rPr>
                <w:rFonts w:ascii="Arial"/>
                <w:b/>
                <w:w w:val="105"/>
                <w:sz w:val="16"/>
              </w:rPr>
              <w:t>US</w:t>
            </w:r>
          </w:p>
        </w:tc>
        <w:tc>
          <w:tcPr>
            <w:tcW w:w="1427" w:type="dxa"/>
            <w:tcBorders>
              <w:bottom w:val="single" w:sz="4" w:space="0" w:color="000000"/>
            </w:tcBorders>
          </w:tcPr>
          <w:p>
            <w:pPr>
              <w:pStyle w:val="TableParagraph"/>
              <w:spacing w:before="27"/>
              <w:ind w:left="464" w:right="465"/>
              <w:jc w:val="center"/>
              <w:rPr>
                <w:rFonts w:ascii="Arial"/>
                <w:b/>
                <w:sz w:val="16"/>
              </w:rPr>
            </w:pPr>
            <w:r>
              <w:rPr>
                <w:rFonts w:ascii="Arial"/>
                <w:b/>
                <w:w w:val="105"/>
                <w:sz w:val="16"/>
              </w:rPr>
              <w:t>Spain</w:t>
            </w:r>
          </w:p>
        </w:tc>
        <w:tc>
          <w:tcPr>
            <w:tcW w:w="1052" w:type="dxa"/>
            <w:tcBorders>
              <w:bottom w:val="single" w:sz="4" w:space="0" w:color="000000"/>
            </w:tcBorders>
          </w:tcPr>
          <w:p>
            <w:pPr>
              <w:pStyle w:val="TableParagraph"/>
              <w:spacing w:before="27"/>
              <w:ind w:left="500"/>
              <w:rPr>
                <w:rFonts w:ascii="Arial"/>
                <w:b/>
                <w:sz w:val="16"/>
              </w:rPr>
            </w:pPr>
            <w:r>
              <w:rPr>
                <w:rFonts w:ascii="Arial"/>
                <w:b/>
                <w:w w:val="105"/>
                <w:sz w:val="16"/>
              </w:rPr>
              <w:t>UK</w:t>
            </w:r>
          </w:p>
        </w:tc>
        <w:tc>
          <w:tcPr>
            <w:tcW w:w="1217" w:type="dxa"/>
            <w:tcBorders>
              <w:bottom w:val="single" w:sz="4" w:space="0" w:color="000000"/>
              <w:right w:val="single" w:sz="4" w:space="0" w:color="000000"/>
            </w:tcBorders>
          </w:tcPr>
          <w:p>
            <w:pPr>
              <w:pStyle w:val="TableParagraph"/>
              <w:rPr>
                <w:sz w:val="22"/>
              </w:rPr>
            </w:pPr>
          </w:p>
        </w:tc>
      </w:tr>
      <w:tr>
        <w:trPr>
          <w:trHeight w:val="700" w:hRule="atLeast"/>
        </w:trPr>
        <w:tc>
          <w:tcPr>
            <w:tcW w:w="8415" w:type="dxa"/>
            <w:gridSpan w:val="6"/>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Note: </w:t>
            </w:r>
            <w:r>
              <w:rPr>
                <w:sz w:val="20"/>
              </w:rPr>
              <w:t>UK data are an average of the Halifax and Nationwide seasonally adjusted house price indices</w:t>
            </w:r>
          </w:p>
          <w:p>
            <w:pPr>
              <w:pStyle w:val="TableParagraph"/>
              <w:spacing w:before="119"/>
              <w:ind w:left="107"/>
              <w:rPr>
                <w:sz w:val="20"/>
              </w:rPr>
            </w:pPr>
            <w:r>
              <w:rPr>
                <w:i/>
                <w:sz w:val="20"/>
              </w:rPr>
              <w:t>Source: </w:t>
            </w:r>
            <w:r>
              <w:rPr>
                <w:sz w:val="20"/>
              </w:rPr>
              <w:t>OECD, HBOS, Nationwide and Bank calculations</w:t>
            </w:r>
          </w:p>
        </w:tc>
      </w:tr>
    </w:tbl>
    <w:p>
      <w:pPr>
        <w:pStyle w:val="BodyText"/>
        <w:spacing w:before="10"/>
        <w:rPr>
          <w:sz w:val="27"/>
        </w:rPr>
      </w:pPr>
    </w:p>
    <w:p>
      <w:pPr>
        <w:pStyle w:val="BodyText"/>
        <w:spacing w:line="360" w:lineRule="auto" w:before="90"/>
        <w:ind w:left="1020" w:right="536"/>
        <w:jc w:val="both"/>
      </w:pPr>
      <w:r>
        <w:rPr/>
        <w:t>Second, we have seen across many countries strong sustained upward pressure on housing and property prices more generally, as Chart 6 shows. The origins of this global housing and property boom are controversial. Some economists have argued that this reflects a “search for yield” in safe assets which is a bi-product of the “global savings glut” and historically low long-term real interest rates. An alternative view could be that in a world in which product, labour and capital markets are increasingly globalised, inflationary pressures are more likely to show up in the most scarce commodity of all – land and property.</w:t>
      </w:r>
    </w:p>
    <w:p>
      <w:pPr>
        <w:pStyle w:val="BodyText"/>
        <w:rPr>
          <w:sz w:val="20"/>
        </w:rPr>
      </w:pPr>
    </w:p>
    <w:p>
      <w:pPr>
        <w:pStyle w:val="BodyText"/>
        <w:spacing w:before="9"/>
        <w:rPr>
          <w:sz w:val="28"/>
        </w:rPr>
      </w:pPr>
      <w:r>
        <w:rPr/>
        <w:pict>
          <v:shape style="position:absolute;margin-left:90pt;margin-top:18.811352pt;width:144pt;height:.1pt;mso-position-horizontal-relative:page;mso-position-vertical-relative:paragraph;z-index:-251649024;mso-wrap-distance-left:0;mso-wrap-distance-right:0" coordorigin="1800,376" coordsize="2880,0" path="m1800,376l4680,376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5 </w:t>
      </w:r>
      <w:r>
        <w:rPr>
          <w:sz w:val="20"/>
        </w:rPr>
        <w:t>For further discussion, see Sentance (2008a).</w:t>
      </w:r>
    </w:p>
    <w:p>
      <w:pPr>
        <w:spacing w:after="0"/>
        <w:jc w:val="left"/>
        <w:rPr>
          <w:sz w:val="20"/>
        </w:rPr>
        <w:sectPr>
          <w:headerReference w:type="default" r:id="rId24"/>
          <w:footerReference w:type="default" r:id="rId25"/>
          <w:pgSz w:w="11910" w:h="16840"/>
          <w:pgMar w:header="716" w:footer="777" w:top="1200" w:bottom="960" w:left="780" w:right="1258"/>
          <w:pgNumType w:start="9"/>
        </w:sectPr>
      </w:pPr>
    </w:p>
    <w:p>
      <w:pPr>
        <w:pStyle w:val="BodyText"/>
        <w:spacing w:before="8"/>
        <w:rPr>
          <w:sz w:val="12"/>
        </w:rPr>
      </w:pPr>
    </w:p>
    <w:p>
      <w:pPr>
        <w:pStyle w:val="BodyText"/>
        <w:spacing w:line="360" w:lineRule="auto" w:before="90"/>
        <w:ind w:left="1019" w:right="535"/>
        <w:jc w:val="both"/>
      </w:pPr>
      <w:r>
        <w:rPr/>
        <w:t>Rapid house price growth has not been confined to the US and UK. As Chart 6  shows, the last five years have seen stronger house price inflation in Spain and France than in Anglo-Saxon economies. However, the fact that this appears to be a global phenomenon – and house price growth has picked up in the last five years in many countries – is consistent with the view that world demand has been particularly strong in the recent economic</w:t>
      </w:r>
      <w:r>
        <w:rPr>
          <w:spacing w:val="-5"/>
        </w:rPr>
        <w:t> </w:t>
      </w:r>
      <w:r>
        <w:rPr/>
        <w:t>upswing.</w:t>
      </w:r>
    </w:p>
    <w:p>
      <w:pPr>
        <w:pStyle w:val="BodyText"/>
        <w:rPr>
          <w:sz w:val="36"/>
        </w:rPr>
      </w:pPr>
    </w:p>
    <w:p>
      <w:pPr>
        <w:pStyle w:val="BodyText"/>
        <w:spacing w:line="360" w:lineRule="auto" w:before="1"/>
        <w:ind w:left="1019" w:right="537"/>
        <w:jc w:val="both"/>
      </w:pPr>
      <w:r>
        <w:rPr/>
        <w:pict>
          <v:group style="position:absolute;margin-left:134.550003pt;margin-top:164.643433pt;width:328.5pt;height:164.3pt;mso-position-horizontal-relative:page;mso-position-vertical-relative:paragraph;z-index:-254985216" coordorigin="2691,3293" coordsize="6570,3286">
            <v:shape style="position:absolute;left:2706;top:3293;width:6555;height:3285" coordorigin="2706,3293" coordsize="6555,3285" path="m9215,3293l9215,6578m9215,6578l9260,6578m9215,6172l9260,6172m9215,5752l9260,5752m9215,5348l9260,5348m9215,4943l9260,4943m9215,4523l9260,4523m9215,4118l9260,4118m9215,3698l9260,3698m9215,3293l9260,3293m2706,4523l9215,4523m2706,4568l2706,4523m3410,4568l3410,4523m4116,4568l4116,4523m4820,4568l4820,4523m5526,4568l5526,4523m6230,4568l6230,4523m6936,4568l6936,4523m7625,4568l7625,4523m8330,4568l8330,4523m9035,4568l9035,4523e" filled="false" stroked="true" strokeweight=".06pt" strokecolor="#000000">
              <v:path arrowok="t"/>
              <v:stroke dashstyle="solid"/>
            </v:shape>
            <v:shape style="position:absolute;left:2706;top:3623;width:6509;height:2625" coordorigin="2706,3623" coordsize="6509,2625" path="m2706,4523l2796,3623m2796,3623l2886,3743m2886,3743l2976,3848m2976,3848l3050,4238m3050,4238l3140,4643m3140,4643l3230,4958m3230,4958l3320,4853m3320,4853l3410,4343m3410,4343l3500,4778m3500,4778l3590,4868m3590,4868l3680,5258m3680,5258l3756,5468m3756,5468l3846,5648m3846,5648l3936,5888m3936,5888l4026,6248m4026,6248l4116,6158m4116,6158l4206,6142m4206,6142l4296,6158m4296,6158l4386,5558m4386,5558l4460,5738m4460,5738l4550,5618m4550,5618l4640,5198m4640,5198l4730,5033m4730,5033l4820,4958m4820,4958l4910,4703m4910,4703l4986,4733m4986,4733l5076,4793m5076,4793l5166,4733m5166,4733l5256,4913m5256,4913l5346,5153m5346,5153l5436,5063m5436,5063l5526,4838m5526,4838l5616,4973m5616,4973l5690,4823m5690,4823l5780,4703m5780,4703l5870,4703m5870,4703l5960,4823m5960,4823l6050,4628m6050,4628l6140,4658m6140,4658l6230,4043m6230,4043l6306,4823m6306,4823l6396,4883m6396,4883l6486,4538m6486,4538l6576,4748m6576,4748l6666,4553m6666,4553l6756,4403m6756,4403l6846,4268m6846,4268l6936,4118m6936,4118l7010,4358m7010,4358l7100,4178m7100,4178l7190,4568m7190,4568l7280,4703m7280,4703l7370,4793m7370,4793l7460,4898m7460,4898l7550,4958m7550,4958l7625,5333m7625,5333l7715,4988m7715,4988l7805,4943m7805,4943l7895,5213m7895,5213l7985,5258m7985,5258l8075,5123m8075,5123l8165,5408m8165,5408l8255,5363m8255,5363l8330,5168m8330,5168l8420,5468m8420,5468l8510,5888m8510,5888l8600,5438m8600,5438l8690,5618m8690,5618l8780,5558,8870,5498m8870,5498l8945,5708m8945,5708l9035,5273m9035,5273l9125,5348m9125,5348l9215,5498e" filled="false" stroked="true" strokeweight="1.5pt" strokecolor="#33339a">
              <v:path arrowok="t"/>
              <v:stroke dashstyle="solid"/>
            </v:shape>
            <w10:wrap type="none"/>
          </v:group>
        </w:pict>
      </w:r>
      <w:r>
        <w:rPr/>
        <w:t>The third worrying boom-bust indicator has been the external account. In past economic cycles, a deterioration in the trade balance and the current account of the balance of payments has been a signal of excess demand growth, most noticeably in the late 1980s when a rapid balance of payments deterioration was a signal of suppressed inflation which became more apparent in the early 1990s.</w:t>
      </w:r>
    </w:p>
    <w:p>
      <w:pPr>
        <w:pStyle w:val="BodyText"/>
        <w:rPr>
          <w:sz w:val="20"/>
        </w:rPr>
      </w:pPr>
    </w:p>
    <w:p>
      <w:pPr>
        <w:pStyle w:val="BodyText"/>
        <w:spacing w:before="3"/>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0"/>
        <w:gridCol w:w="704"/>
        <w:gridCol w:w="705"/>
        <w:gridCol w:w="705"/>
        <w:gridCol w:w="705"/>
        <w:gridCol w:w="705"/>
        <w:gridCol w:w="697"/>
        <w:gridCol w:w="697"/>
        <w:gridCol w:w="705"/>
        <w:gridCol w:w="593"/>
        <w:gridCol w:w="938"/>
      </w:tblGrid>
      <w:tr>
        <w:trPr>
          <w:trHeight w:val="275" w:hRule="atLeast"/>
        </w:trPr>
        <w:tc>
          <w:tcPr>
            <w:tcW w:w="841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7: Trade balance</w:t>
            </w:r>
          </w:p>
        </w:tc>
      </w:tr>
      <w:tr>
        <w:trPr>
          <w:trHeight w:val="275" w:hRule="atLeast"/>
        </w:trPr>
        <w:tc>
          <w:tcPr>
            <w:tcW w:w="841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Goods and services trade balance as a percent of GDP</w:t>
            </w:r>
          </w:p>
        </w:tc>
      </w:tr>
      <w:tr>
        <w:trPr>
          <w:trHeight w:val="412" w:hRule="atLeast"/>
        </w:trPr>
        <w:tc>
          <w:tcPr>
            <w:tcW w:w="1260" w:type="dxa"/>
            <w:tcBorders>
              <w:top w:val="single" w:sz="4" w:space="0" w:color="000000"/>
              <w:left w:val="single" w:sz="4" w:space="0" w:color="000000"/>
            </w:tcBorders>
          </w:tcPr>
          <w:p>
            <w:pPr>
              <w:pStyle w:val="TableParagraph"/>
              <w:rPr>
                <w:sz w:val="22"/>
              </w:rPr>
            </w:pPr>
          </w:p>
        </w:tc>
        <w:tc>
          <w:tcPr>
            <w:tcW w:w="704" w:type="dxa"/>
            <w:tcBorders>
              <w:top w:val="single" w:sz="4" w:space="0" w:color="000000"/>
            </w:tcBorders>
          </w:tcPr>
          <w:p>
            <w:pPr>
              <w:pStyle w:val="TableParagraph"/>
              <w:rPr>
                <w:sz w:val="22"/>
              </w:rPr>
            </w:pPr>
          </w:p>
        </w:tc>
        <w:tc>
          <w:tcPr>
            <w:tcW w:w="705" w:type="dxa"/>
            <w:tcBorders>
              <w:top w:val="single" w:sz="4" w:space="0" w:color="000000"/>
            </w:tcBorders>
          </w:tcPr>
          <w:p>
            <w:pPr>
              <w:pStyle w:val="TableParagraph"/>
              <w:rPr>
                <w:sz w:val="22"/>
              </w:rPr>
            </w:pPr>
          </w:p>
        </w:tc>
        <w:tc>
          <w:tcPr>
            <w:tcW w:w="705" w:type="dxa"/>
            <w:tcBorders>
              <w:top w:val="single" w:sz="4" w:space="0" w:color="000000"/>
            </w:tcBorders>
          </w:tcPr>
          <w:p>
            <w:pPr>
              <w:pStyle w:val="TableParagraph"/>
              <w:rPr>
                <w:sz w:val="22"/>
              </w:rPr>
            </w:pPr>
          </w:p>
        </w:tc>
        <w:tc>
          <w:tcPr>
            <w:tcW w:w="705" w:type="dxa"/>
            <w:tcBorders>
              <w:top w:val="single" w:sz="4" w:space="0" w:color="000000"/>
            </w:tcBorders>
          </w:tcPr>
          <w:p>
            <w:pPr>
              <w:pStyle w:val="TableParagraph"/>
              <w:rPr>
                <w:sz w:val="22"/>
              </w:rPr>
            </w:pPr>
          </w:p>
        </w:tc>
        <w:tc>
          <w:tcPr>
            <w:tcW w:w="705" w:type="dxa"/>
            <w:tcBorders>
              <w:top w:val="single" w:sz="4" w:space="0" w:color="000000"/>
            </w:tcBorders>
          </w:tcPr>
          <w:p>
            <w:pPr>
              <w:pStyle w:val="TableParagraph"/>
              <w:rPr>
                <w:sz w:val="22"/>
              </w:rPr>
            </w:pPr>
          </w:p>
        </w:tc>
        <w:tc>
          <w:tcPr>
            <w:tcW w:w="697" w:type="dxa"/>
            <w:tcBorders>
              <w:top w:val="single" w:sz="4" w:space="0" w:color="000000"/>
            </w:tcBorders>
          </w:tcPr>
          <w:p>
            <w:pPr>
              <w:pStyle w:val="TableParagraph"/>
              <w:rPr>
                <w:sz w:val="22"/>
              </w:rPr>
            </w:pPr>
          </w:p>
        </w:tc>
        <w:tc>
          <w:tcPr>
            <w:tcW w:w="697" w:type="dxa"/>
            <w:tcBorders>
              <w:top w:val="single" w:sz="4" w:space="0" w:color="000000"/>
            </w:tcBorders>
          </w:tcPr>
          <w:p>
            <w:pPr>
              <w:pStyle w:val="TableParagraph"/>
              <w:rPr>
                <w:sz w:val="22"/>
              </w:rPr>
            </w:pPr>
          </w:p>
        </w:tc>
        <w:tc>
          <w:tcPr>
            <w:tcW w:w="705" w:type="dxa"/>
            <w:tcBorders>
              <w:top w:val="single" w:sz="4" w:space="0" w:color="000000"/>
            </w:tcBorders>
          </w:tcPr>
          <w:p>
            <w:pPr>
              <w:pStyle w:val="TableParagraph"/>
              <w:rPr>
                <w:sz w:val="22"/>
              </w:rPr>
            </w:pPr>
          </w:p>
        </w:tc>
        <w:tc>
          <w:tcPr>
            <w:tcW w:w="593" w:type="dxa"/>
            <w:tcBorders>
              <w:top w:val="single" w:sz="4" w:space="0" w:color="000000"/>
            </w:tcBorders>
          </w:tcPr>
          <w:p>
            <w:pPr>
              <w:pStyle w:val="TableParagraph"/>
              <w:rPr>
                <w:sz w:val="22"/>
              </w:rPr>
            </w:pPr>
          </w:p>
        </w:tc>
        <w:tc>
          <w:tcPr>
            <w:tcW w:w="938" w:type="dxa"/>
            <w:tcBorders>
              <w:top w:val="single" w:sz="4" w:space="0" w:color="000000"/>
              <w:right w:val="single" w:sz="4" w:space="0" w:color="000000"/>
            </w:tcBorders>
          </w:tcPr>
          <w:p>
            <w:pPr>
              <w:pStyle w:val="TableParagraph"/>
              <w:spacing w:before="117"/>
              <w:ind w:left="64"/>
              <w:rPr>
                <w:rFonts w:ascii="Arial"/>
                <w:sz w:val="16"/>
              </w:rPr>
            </w:pPr>
            <w:r>
              <w:rPr>
                <w:rFonts w:ascii="Arial"/>
                <w:w w:val="103"/>
                <w:sz w:val="16"/>
              </w:rPr>
              <w:t>3</w:t>
            </w:r>
          </w:p>
        </w:tc>
      </w:tr>
      <w:tr>
        <w:trPr>
          <w:trHeight w:val="412" w:hRule="atLeast"/>
        </w:trPr>
        <w:tc>
          <w:tcPr>
            <w:tcW w:w="1260" w:type="dxa"/>
            <w:tcBorders>
              <w:left w:val="single" w:sz="4" w:space="0" w:color="000000"/>
            </w:tcBorders>
          </w:tcPr>
          <w:p>
            <w:pPr>
              <w:pStyle w:val="TableParagraph"/>
              <w:rPr>
                <w:sz w:val="22"/>
              </w:rPr>
            </w:pPr>
          </w:p>
        </w:tc>
        <w:tc>
          <w:tcPr>
            <w:tcW w:w="704"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697" w:type="dxa"/>
          </w:tcPr>
          <w:p>
            <w:pPr>
              <w:pStyle w:val="TableParagraph"/>
              <w:rPr>
                <w:sz w:val="22"/>
              </w:rPr>
            </w:pPr>
          </w:p>
        </w:tc>
        <w:tc>
          <w:tcPr>
            <w:tcW w:w="697" w:type="dxa"/>
          </w:tcPr>
          <w:p>
            <w:pPr>
              <w:pStyle w:val="TableParagraph"/>
              <w:rPr>
                <w:sz w:val="22"/>
              </w:rPr>
            </w:pPr>
          </w:p>
        </w:tc>
        <w:tc>
          <w:tcPr>
            <w:tcW w:w="705" w:type="dxa"/>
          </w:tcPr>
          <w:p>
            <w:pPr>
              <w:pStyle w:val="TableParagraph"/>
              <w:rPr>
                <w:sz w:val="22"/>
              </w:rPr>
            </w:pPr>
          </w:p>
        </w:tc>
        <w:tc>
          <w:tcPr>
            <w:tcW w:w="593" w:type="dxa"/>
          </w:tcPr>
          <w:p>
            <w:pPr>
              <w:pStyle w:val="TableParagraph"/>
              <w:rPr>
                <w:sz w:val="22"/>
              </w:rPr>
            </w:pPr>
          </w:p>
        </w:tc>
        <w:tc>
          <w:tcPr>
            <w:tcW w:w="938" w:type="dxa"/>
            <w:tcBorders>
              <w:right w:val="single" w:sz="4" w:space="0" w:color="000000"/>
            </w:tcBorders>
          </w:tcPr>
          <w:p>
            <w:pPr>
              <w:pStyle w:val="TableParagraph"/>
              <w:spacing w:before="109"/>
              <w:ind w:left="64"/>
              <w:rPr>
                <w:rFonts w:ascii="Arial"/>
                <w:sz w:val="16"/>
              </w:rPr>
            </w:pPr>
            <w:r>
              <w:rPr>
                <w:rFonts w:ascii="Arial"/>
                <w:w w:val="103"/>
                <w:sz w:val="16"/>
              </w:rPr>
              <w:t>2</w:t>
            </w:r>
          </w:p>
        </w:tc>
      </w:tr>
      <w:tr>
        <w:trPr>
          <w:trHeight w:val="412" w:hRule="atLeast"/>
        </w:trPr>
        <w:tc>
          <w:tcPr>
            <w:tcW w:w="1260" w:type="dxa"/>
            <w:tcBorders>
              <w:left w:val="single" w:sz="4" w:space="0" w:color="000000"/>
            </w:tcBorders>
          </w:tcPr>
          <w:p>
            <w:pPr>
              <w:pStyle w:val="TableParagraph"/>
              <w:rPr>
                <w:sz w:val="22"/>
              </w:rPr>
            </w:pPr>
          </w:p>
        </w:tc>
        <w:tc>
          <w:tcPr>
            <w:tcW w:w="704"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697" w:type="dxa"/>
          </w:tcPr>
          <w:p>
            <w:pPr>
              <w:pStyle w:val="TableParagraph"/>
              <w:rPr>
                <w:sz w:val="22"/>
              </w:rPr>
            </w:pPr>
          </w:p>
        </w:tc>
        <w:tc>
          <w:tcPr>
            <w:tcW w:w="697" w:type="dxa"/>
          </w:tcPr>
          <w:p>
            <w:pPr>
              <w:pStyle w:val="TableParagraph"/>
              <w:rPr>
                <w:sz w:val="22"/>
              </w:rPr>
            </w:pPr>
          </w:p>
        </w:tc>
        <w:tc>
          <w:tcPr>
            <w:tcW w:w="705" w:type="dxa"/>
          </w:tcPr>
          <w:p>
            <w:pPr>
              <w:pStyle w:val="TableParagraph"/>
              <w:rPr>
                <w:sz w:val="22"/>
              </w:rPr>
            </w:pPr>
          </w:p>
        </w:tc>
        <w:tc>
          <w:tcPr>
            <w:tcW w:w="593" w:type="dxa"/>
          </w:tcPr>
          <w:p>
            <w:pPr>
              <w:pStyle w:val="TableParagraph"/>
              <w:rPr>
                <w:sz w:val="22"/>
              </w:rPr>
            </w:pPr>
          </w:p>
        </w:tc>
        <w:tc>
          <w:tcPr>
            <w:tcW w:w="938" w:type="dxa"/>
            <w:tcBorders>
              <w:right w:val="single" w:sz="4" w:space="0" w:color="000000"/>
            </w:tcBorders>
          </w:tcPr>
          <w:p>
            <w:pPr>
              <w:pStyle w:val="TableParagraph"/>
              <w:spacing w:before="117"/>
              <w:ind w:left="64"/>
              <w:rPr>
                <w:rFonts w:ascii="Arial"/>
                <w:sz w:val="16"/>
              </w:rPr>
            </w:pPr>
            <w:r>
              <w:rPr>
                <w:rFonts w:ascii="Arial"/>
                <w:w w:val="103"/>
                <w:sz w:val="16"/>
              </w:rPr>
              <w:t>1</w:t>
            </w:r>
          </w:p>
        </w:tc>
      </w:tr>
      <w:tr>
        <w:trPr>
          <w:trHeight w:val="412" w:hRule="atLeast"/>
        </w:trPr>
        <w:tc>
          <w:tcPr>
            <w:tcW w:w="1260" w:type="dxa"/>
            <w:tcBorders>
              <w:left w:val="single" w:sz="4" w:space="0" w:color="000000"/>
            </w:tcBorders>
          </w:tcPr>
          <w:p>
            <w:pPr>
              <w:pStyle w:val="TableParagraph"/>
              <w:rPr>
                <w:sz w:val="22"/>
              </w:rPr>
            </w:pPr>
          </w:p>
        </w:tc>
        <w:tc>
          <w:tcPr>
            <w:tcW w:w="704"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697" w:type="dxa"/>
          </w:tcPr>
          <w:p>
            <w:pPr>
              <w:pStyle w:val="TableParagraph"/>
              <w:rPr>
                <w:sz w:val="22"/>
              </w:rPr>
            </w:pPr>
          </w:p>
        </w:tc>
        <w:tc>
          <w:tcPr>
            <w:tcW w:w="697" w:type="dxa"/>
          </w:tcPr>
          <w:p>
            <w:pPr>
              <w:pStyle w:val="TableParagraph"/>
              <w:rPr>
                <w:sz w:val="22"/>
              </w:rPr>
            </w:pPr>
          </w:p>
        </w:tc>
        <w:tc>
          <w:tcPr>
            <w:tcW w:w="705" w:type="dxa"/>
          </w:tcPr>
          <w:p>
            <w:pPr>
              <w:pStyle w:val="TableParagraph"/>
              <w:rPr>
                <w:sz w:val="22"/>
              </w:rPr>
            </w:pPr>
          </w:p>
        </w:tc>
        <w:tc>
          <w:tcPr>
            <w:tcW w:w="593" w:type="dxa"/>
          </w:tcPr>
          <w:p>
            <w:pPr>
              <w:pStyle w:val="TableParagraph"/>
              <w:rPr>
                <w:sz w:val="22"/>
              </w:rPr>
            </w:pPr>
          </w:p>
        </w:tc>
        <w:tc>
          <w:tcPr>
            <w:tcW w:w="938" w:type="dxa"/>
            <w:tcBorders>
              <w:right w:val="single" w:sz="4" w:space="0" w:color="000000"/>
            </w:tcBorders>
          </w:tcPr>
          <w:p>
            <w:pPr>
              <w:pStyle w:val="TableParagraph"/>
              <w:spacing w:before="110"/>
              <w:ind w:left="64"/>
              <w:rPr>
                <w:rFonts w:ascii="Arial"/>
                <w:sz w:val="16"/>
              </w:rPr>
            </w:pPr>
            <w:r>
              <w:rPr>
                <w:rFonts w:ascii="Arial"/>
                <w:w w:val="103"/>
                <w:sz w:val="16"/>
              </w:rPr>
              <w:t>0</w:t>
            </w:r>
          </w:p>
        </w:tc>
      </w:tr>
      <w:tr>
        <w:trPr>
          <w:trHeight w:val="412" w:hRule="atLeast"/>
        </w:trPr>
        <w:tc>
          <w:tcPr>
            <w:tcW w:w="1260" w:type="dxa"/>
            <w:tcBorders>
              <w:left w:val="single" w:sz="4" w:space="0" w:color="000000"/>
            </w:tcBorders>
          </w:tcPr>
          <w:p>
            <w:pPr>
              <w:pStyle w:val="TableParagraph"/>
              <w:rPr>
                <w:sz w:val="22"/>
              </w:rPr>
            </w:pPr>
          </w:p>
        </w:tc>
        <w:tc>
          <w:tcPr>
            <w:tcW w:w="704"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697" w:type="dxa"/>
          </w:tcPr>
          <w:p>
            <w:pPr>
              <w:pStyle w:val="TableParagraph"/>
              <w:rPr>
                <w:sz w:val="22"/>
              </w:rPr>
            </w:pPr>
          </w:p>
        </w:tc>
        <w:tc>
          <w:tcPr>
            <w:tcW w:w="697" w:type="dxa"/>
          </w:tcPr>
          <w:p>
            <w:pPr>
              <w:pStyle w:val="TableParagraph"/>
              <w:rPr>
                <w:sz w:val="22"/>
              </w:rPr>
            </w:pPr>
          </w:p>
        </w:tc>
        <w:tc>
          <w:tcPr>
            <w:tcW w:w="705" w:type="dxa"/>
          </w:tcPr>
          <w:p>
            <w:pPr>
              <w:pStyle w:val="TableParagraph"/>
              <w:rPr>
                <w:sz w:val="22"/>
              </w:rPr>
            </w:pPr>
          </w:p>
        </w:tc>
        <w:tc>
          <w:tcPr>
            <w:tcW w:w="593" w:type="dxa"/>
          </w:tcPr>
          <w:p>
            <w:pPr>
              <w:pStyle w:val="TableParagraph"/>
              <w:rPr>
                <w:sz w:val="22"/>
              </w:rPr>
            </w:pPr>
          </w:p>
        </w:tc>
        <w:tc>
          <w:tcPr>
            <w:tcW w:w="938" w:type="dxa"/>
            <w:tcBorders>
              <w:right w:val="single" w:sz="4" w:space="0" w:color="000000"/>
            </w:tcBorders>
          </w:tcPr>
          <w:p>
            <w:pPr>
              <w:pStyle w:val="TableParagraph"/>
              <w:spacing w:before="117"/>
              <w:ind w:left="64"/>
              <w:rPr>
                <w:rFonts w:ascii="Arial"/>
                <w:sz w:val="16"/>
              </w:rPr>
            </w:pPr>
            <w:r>
              <w:rPr>
                <w:rFonts w:ascii="Arial"/>
                <w:w w:val="105"/>
                <w:sz w:val="16"/>
              </w:rPr>
              <w:t>-1</w:t>
            </w:r>
          </w:p>
        </w:tc>
      </w:tr>
      <w:tr>
        <w:trPr>
          <w:trHeight w:val="404" w:hRule="atLeast"/>
        </w:trPr>
        <w:tc>
          <w:tcPr>
            <w:tcW w:w="1260" w:type="dxa"/>
            <w:tcBorders>
              <w:left w:val="single" w:sz="4" w:space="0" w:color="000000"/>
            </w:tcBorders>
          </w:tcPr>
          <w:p>
            <w:pPr>
              <w:pStyle w:val="TableParagraph"/>
              <w:rPr>
                <w:sz w:val="22"/>
              </w:rPr>
            </w:pPr>
          </w:p>
        </w:tc>
        <w:tc>
          <w:tcPr>
            <w:tcW w:w="704"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697" w:type="dxa"/>
          </w:tcPr>
          <w:p>
            <w:pPr>
              <w:pStyle w:val="TableParagraph"/>
              <w:rPr>
                <w:sz w:val="22"/>
              </w:rPr>
            </w:pPr>
          </w:p>
        </w:tc>
        <w:tc>
          <w:tcPr>
            <w:tcW w:w="697" w:type="dxa"/>
          </w:tcPr>
          <w:p>
            <w:pPr>
              <w:pStyle w:val="TableParagraph"/>
              <w:rPr>
                <w:sz w:val="22"/>
              </w:rPr>
            </w:pPr>
          </w:p>
        </w:tc>
        <w:tc>
          <w:tcPr>
            <w:tcW w:w="705" w:type="dxa"/>
          </w:tcPr>
          <w:p>
            <w:pPr>
              <w:pStyle w:val="TableParagraph"/>
              <w:rPr>
                <w:sz w:val="22"/>
              </w:rPr>
            </w:pPr>
          </w:p>
        </w:tc>
        <w:tc>
          <w:tcPr>
            <w:tcW w:w="593" w:type="dxa"/>
          </w:tcPr>
          <w:p>
            <w:pPr>
              <w:pStyle w:val="TableParagraph"/>
              <w:rPr>
                <w:sz w:val="22"/>
              </w:rPr>
            </w:pPr>
          </w:p>
        </w:tc>
        <w:tc>
          <w:tcPr>
            <w:tcW w:w="938" w:type="dxa"/>
            <w:tcBorders>
              <w:right w:val="single" w:sz="4" w:space="0" w:color="000000"/>
            </w:tcBorders>
          </w:tcPr>
          <w:p>
            <w:pPr>
              <w:pStyle w:val="TableParagraph"/>
              <w:spacing w:before="109"/>
              <w:ind w:left="64"/>
              <w:rPr>
                <w:rFonts w:ascii="Arial"/>
                <w:sz w:val="16"/>
              </w:rPr>
            </w:pPr>
            <w:r>
              <w:rPr>
                <w:rFonts w:ascii="Arial"/>
                <w:w w:val="105"/>
                <w:sz w:val="16"/>
              </w:rPr>
              <w:t>-2</w:t>
            </w:r>
          </w:p>
        </w:tc>
      </w:tr>
      <w:tr>
        <w:trPr>
          <w:trHeight w:val="412" w:hRule="atLeast"/>
        </w:trPr>
        <w:tc>
          <w:tcPr>
            <w:tcW w:w="1260" w:type="dxa"/>
            <w:tcBorders>
              <w:left w:val="single" w:sz="4" w:space="0" w:color="000000"/>
            </w:tcBorders>
          </w:tcPr>
          <w:p>
            <w:pPr>
              <w:pStyle w:val="TableParagraph"/>
              <w:rPr>
                <w:sz w:val="22"/>
              </w:rPr>
            </w:pPr>
          </w:p>
        </w:tc>
        <w:tc>
          <w:tcPr>
            <w:tcW w:w="704"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697" w:type="dxa"/>
          </w:tcPr>
          <w:p>
            <w:pPr>
              <w:pStyle w:val="TableParagraph"/>
              <w:rPr>
                <w:sz w:val="22"/>
              </w:rPr>
            </w:pPr>
          </w:p>
        </w:tc>
        <w:tc>
          <w:tcPr>
            <w:tcW w:w="697" w:type="dxa"/>
          </w:tcPr>
          <w:p>
            <w:pPr>
              <w:pStyle w:val="TableParagraph"/>
              <w:rPr>
                <w:sz w:val="22"/>
              </w:rPr>
            </w:pPr>
          </w:p>
        </w:tc>
        <w:tc>
          <w:tcPr>
            <w:tcW w:w="705" w:type="dxa"/>
          </w:tcPr>
          <w:p>
            <w:pPr>
              <w:pStyle w:val="TableParagraph"/>
              <w:rPr>
                <w:sz w:val="22"/>
              </w:rPr>
            </w:pPr>
          </w:p>
        </w:tc>
        <w:tc>
          <w:tcPr>
            <w:tcW w:w="593" w:type="dxa"/>
          </w:tcPr>
          <w:p>
            <w:pPr>
              <w:pStyle w:val="TableParagraph"/>
              <w:rPr>
                <w:sz w:val="22"/>
              </w:rPr>
            </w:pPr>
          </w:p>
        </w:tc>
        <w:tc>
          <w:tcPr>
            <w:tcW w:w="938" w:type="dxa"/>
            <w:tcBorders>
              <w:right w:val="single" w:sz="4" w:space="0" w:color="000000"/>
            </w:tcBorders>
          </w:tcPr>
          <w:p>
            <w:pPr>
              <w:pStyle w:val="TableParagraph"/>
              <w:spacing w:before="109"/>
              <w:ind w:left="64"/>
              <w:rPr>
                <w:rFonts w:ascii="Arial"/>
                <w:sz w:val="16"/>
              </w:rPr>
            </w:pPr>
            <w:r>
              <w:rPr>
                <w:rFonts w:ascii="Arial"/>
                <w:w w:val="105"/>
                <w:sz w:val="16"/>
              </w:rPr>
              <w:t>-3</w:t>
            </w:r>
          </w:p>
        </w:tc>
      </w:tr>
      <w:tr>
        <w:trPr>
          <w:trHeight w:val="412" w:hRule="atLeast"/>
        </w:trPr>
        <w:tc>
          <w:tcPr>
            <w:tcW w:w="1260" w:type="dxa"/>
            <w:tcBorders>
              <w:left w:val="single" w:sz="4" w:space="0" w:color="000000"/>
            </w:tcBorders>
          </w:tcPr>
          <w:p>
            <w:pPr>
              <w:pStyle w:val="TableParagraph"/>
              <w:rPr>
                <w:sz w:val="22"/>
              </w:rPr>
            </w:pPr>
          </w:p>
        </w:tc>
        <w:tc>
          <w:tcPr>
            <w:tcW w:w="704"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697" w:type="dxa"/>
          </w:tcPr>
          <w:p>
            <w:pPr>
              <w:pStyle w:val="TableParagraph"/>
              <w:rPr>
                <w:sz w:val="22"/>
              </w:rPr>
            </w:pPr>
          </w:p>
        </w:tc>
        <w:tc>
          <w:tcPr>
            <w:tcW w:w="697" w:type="dxa"/>
          </w:tcPr>
          <w:p>
            <w:pPr>
              <w:pStyle w:val="TableParagraph"/>
              <w:rPr>
                <w:sz w:val="22"/>
              </w:rPr>
            </w:pPr>
          </w:p>
        </w:tc>
        <w:tc>
          <w:tcPr>
            <w:tcW w:w="705" w:type="dxa"/>
          </w:tcPr>
          <w:p>
            <w:pPr>
              <w:pStyle w:val="TableParagraph"/>
              <w:rPr>
                <w:sz w:val="22"/>
              </w:rPr>
            </w:pPr>
          </w:p>
        </w:tc>
        <w:tc>
          <w:tcPr>
            <w:tcW w:w="593" w:type="dxa"/>
          </w:tcPr>
          <w:p>
            <w:pPr>
              <w:pStyle w:val="TableParagraph"/>
              <w:rPr>
                <w:sz w:val="22"/>
              </w:rPr>
            </w:pPr>
          </w:p>
        </w:tc>
        <w:tc>
          <w:tcPr>
            <w:tcW w:w="938" w:type="dxa"/>
            <w:tcBorders>
              <w:right w:val="single" w:sz="4" w:space="0" w:color="000000"/>
            </w:tcBorders>
          </w:tcPr>
          <w:p>
            <w:pPr>
              <w:pStyle w:val="TableParagraph"/>
              <w:spacing w:before="117"/>
              <w:ind w:left="64"/>
              <w:rPr>
                <w:rFonts w:ascii="Arial"/>
                <w:sz w:val="16"/>
              </w:rPr>
            </w:pPr>
            <w:r>
              <w:rPr>
                <w:rFonts w:ascii="Arial"/>
                <w:w w:val="105"/>
                <w:sz w:val="16"/>
              </w:rPr>
              <w:t>-4</w:t>
            </w:r>
          </w:p>
        </w:tc>
      </w:tr>
      <w:tr>
        <w:trPr>
          <w:trHeight w:val="322" w:hRule="atLeast"/>
        </w:trPr>
        <w:tc>
          <w:tcPr>
            <w:tcW w:w="1260" w:type="dxa"/>
            <w:tcBorders>
              <w:left w:val="single" w:sz="4" w:space="0" w:color="000000"/>
            </w:tcBorders>
          </w:tcPr>
          <w:p>
            <w:pPr>
              <w:pStyle w:val="TableParagraph"/>
              <w:rPr>
                <w:sz w:val="22"/>
              </w:rPr>
            </w:pPr>
          </w:p>
        </w:tc>
        <w:tc>
          <w:tcPr>
            <w:tcW w:w="704"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705" w:type="dxa"/>
          </w:tcPr>
          <w:p>
            <w:pPr>
              <w:pStyle w:val="TableParagraph"/>
              <w:rPr>
                <w:sz w:val="22"/>
              </w:rPr>
            </w:pPr>
          </w:p>
        </w:tc>
        <w:tc>
          <w:tcPr>
            <w:tcW w:w="697" w:type="dxa"/>
          </w:tcPr>
          <w:p>
            <w:pPr>
              <w:pStyle w:val="TableParagraph"/>
              <w:rPr>
                <w:sz w:val="22"/>
              </w:rPr>
            </w:pPr>
          </w:p>
        </w:tc>
        <w:tc>
          <w:tcPr>
            <w:tcW w:w="697" w:type="dxa"/>
          </w:tcPr>
          <w:p>
            <w:pPr>
              <w:pStyle w:val="TableParagraph"/>
              <w:rPr>
                <w:sz w:val="22"/>
              </w:rPr>
            </w:pPr>
          </w:p>
        </w:tc>
        <w:tc>
          <w:tcPr>
            <w:tcW w:w="705" w:type="dxa"/>
          </w:tcPr>
          <w:p>
            <w:pPr>
              <w:pStyle w:val="TableParagraph"/>
              <w:rPr>
                <w:sz w:val="22"/>
              </w:rPr>
            </w:pPr>
          </w:p>
        </w:tc>
        <w:tc>
          <w:tcPr>
            <w:tcW w:w="593" w:type="dxa"/>
          </w:tcPr>
          <w:p>
            <w:pPr>
              <w:pStyle w:val="TableParagraph"/>
              <w:rPr>
                <w:sz w:val="22"/>
              </w:rPr>
            </w:pPr>
          </w:p>
        </w:tc>
        <w:tc>
          <w:tcPr>
            <w:tcW w:w="938" w:type="dxa"/>
            <w:tcBorders>
              <w:right w:val="single" w:sz="4" w:space="0" w:color="000000"/>
            </w:tcBorders>
          </w:tcPr>
          <w:p>
            <w:pPr>
              <w:pStyle w:val="TableParagraph"/>
              <w:spacing w:before="110"/>
              <w:ind w:left="64"/>
              <w:rPr>
                <w:rFonts w:ascii="Arial"/>
                <w:sz w:val="16"/>
              </w:rPr>
            </w:pPr>
            <w:r>
              <w:rPr>
                <w:rFonts w:ascii="Arial"/>
                <w:w w:val="105"/>
                <w:sz w:val="16"/>
              </w:rPr>
              <w:t>-5</w:t>
            </w:r>
          </w:p>
        </w:tc>
      </w:tr>
      <w:tr>
        <w:trPr>
          <w:trHeight w:val="376" w:hRule="atLeast"/>
        </w:trPr>
        <w:tc>
          <w:tcPr>
            <w:tcW w:w="1260" w:type="dxa"/>
            <w:tcBorders>
              <w:left w:val="single" w:sz="4" w:space="0" w:color="000000"/>
              <w:bottom w:val="single" w:sz="4" w:space="0" w:color="000000"/>
            </w:tcBorders>
          </w:tcPr>
          <w:p>
            <w:pPr>
              <w:pStyle w:val="TableParagraph"/>
              <w:spacing w:before="27"/>
              <w:ind w:left="726"/>
              <w:rPr>
                <w:rFonts w:ascii="Arial"/>
                <w:sz w:val="16"/>
              </w:rPr>
            </w:pPr>
            <w:r>
              <w:rPr>
                <w:rFonts w:ascii="Arial"/>
                <w:w w:val="105"/>
                <w:sz w:val="16"/>
              </w:rPr>
              <w:t>1985</w:t>
            </w:r>
          </w:p>
        </w:tc>
        <w:tc>
          <w:tcPr>
            <w:tcW w:w="704" w:type="dxa"/>
            <w:tcBorders>
              <w:bottom w:val="single" w:sz="4" w:space="0" w:color="000000"/>
            </w:tcBorders>
          </w:tcPr>
          <w:p>
            <w:pPr>
              <w:pStyle w:val="TableParagraph"/>
              <w:spacing w:before="27"/>
              <w:ind w:left="176"/>
              <w:rPr>
                <w:rFonts w:ascii="Arial"/>
                <w:sz w:val="16"/>
              </w:rPr>
            </w:pPr>
            <w:r>
              <w:rPr>
                <w:rFonts w:ascii="Arial"/>
                <w:w w:val="105"/>
                <w:sz w:val="16"/>
              </w:rPr>
              <w:t>1987</w:t>
            </w:r>
          </w:p>
        </w:tc>
        <w:tc>
          <w:tcPr>
            <w:tcW w:w="705" w:type="dxa"/>
            <w:tcBorders>
              <w:bottom w:val="single" w:sz="4" w:space="0" w:color="000000"/>
            </w:tcBorders>
          </w:tcPr>
          <w:p>
            <w:pPr>
              <w:pStyle w:val="TableParagraph"/>
              <w:spacing w:before="27"/>
              <w:ind w:left="176"/>
              <w:rPr>
                <w:rFonts w:ascii="Arial"/>
                <w:sz w:val="16"/>
              </w:rPr>
            </w:pPr>
            <w:r>
              <w:rPr>
                <w:rFonts w:ascii="Arial"/>
                <w:w w:val="105"/>
                <w:sz w:val="16"/>
              </w:rPr>
              <w:t>1989</w:t>
            </w:r>
          </w:p>
        </w:tc>
        <w:tc>
          <w:tcPr>
            <w:tcW w:w="705" w:type="dxa"/>
            <w:tcBorders>
              <w:bottom w:val="single" w:sz="4" w:space="0" w:color="000000"/>
            </w:tcBorders>
          </w:tcPr>
          <w:p>
            <w:pPr>
              <w:pStyle w:val="TableParagraph"/>
              <w:spacing w:before="27"/>
              <w:ind w:left="177"/>
              <w:rPr>
                <w:rFonts w:ascii="Arial"/>
                <w:sz w:val="16"/>
              </w:rPr>
            </w:pPr>
            <w:r>
              <w:rPr>
                <w:rFonts w:ascii="Arial"/>
                <w:w w:val="105"/>
                <w:sz w:val="16"/>
              </w:rPr>
              <w:t>1991</w:t>
            </w:r>
          </w:p>
        </w:tc>
        <w:tc>
          <w:tcPr>
            <w:tcW w:w="705" w:type="dxa"/>
            <w:tcBorders>
              <w:bottom w:val="single" w:sz="4" w:space="0" w:color="000000"/>
            </w:tcBorders>
          </w:tcPr>
          <w:p>
            <w:pPr>
              <w:pStyle w:val="TableParagraph"/>
              <w:spacing w:before="27"/>
              <w:ind w:left="176"/>
              <w:rPr>
                <w:rFonts w:ascii="Arial"/>
                <w:sz w:val="16"/>
              </w:rPr>
            </w:pPr>
            <w:r>
              <w:rPr>
                <w:rFonts w:ascii="Arial"/>
                <w:w w:val="105"/>
                <w:sz w:val="16"/>
              </w:rPr>
              <w:t>1993</w:t>
            </w:r>
          </w:p>
        </w:tc>
        <w:tc>
          <w:tcPr>
            <w:tcW w:w="705" w:type="dxa"/>
            <w:tcBorders>
              <w:bottom w:val="single" w:sz="4" w:space="0" w:color="000000"/>
            </w:tcBorders>
          </w:tcPr>
          <w:p>
            <w:pPr>
              <w:pStyle w:val="TableParagraph"/>
              <w:spacing w:before="27"/>
              <w:ind w:left="176"/>
              <w:rPr>
                <w:rFonts w:ascii="Arial"/>
                <w:sz w:val="16"/>
              </w:rPr>
            </w:pPr>
            <w:r>
              <w:rPr>
                <w:rFonts w:ascii="Arial"/>
                <w:w w:val="105"/>
                <w:sz w:val="16"/>
              </w:rPr>
              <w:t>1995</w:t>
            </w:r>
          </w:p>
        </w:tc>
        <w:tc>
          <w:tcPr>
            <w:tcW w:w="697" w:type="dxa"/>
            <w:tcBorders>
              <w:bottom w:val="single" w:sz="4" w:space="0" w:color="000000"/>
            </w:tcBorders>
          </w:tcPr>
          <w:p>
            <w:pPr>
              <w:pStyle w:val="TableParagraph"/>
              <w:spacing w:before="27"/>
              <w:ind w:left="176"/>
              <w:rPr>
                <w:rFonts w:ascii="Arial"/>
                <w:sz w:val="16"/>
              </w:rPr>
            </w:pPr>
            <w:r>
              <w:rPr>
                <w:rFonts w:ascii="Arial"/>
                <w:w w:val="105"/>
                <w:sz w:val="16"/>
              </w:rPr>
              <w:t>1997</w:t>
            </w:r>
          </w:p>
        </w:tc>
        <w:tc>
          <w:tcPr>
            <w:tcW w:w="697" w:type="dxa"/>
            <w:tcBorders>
              <w:bottom w:val="single" w:sz="4" w:space="0" w:color="000000"/>
            </w:tcBorders>
          </w:tcPr>
          <w:p>
            <w:pPr>
              <w:pStyle w:val="TableParagraph"/>
              <w:spacing w:before="27"/>
              <w:ind w:left="168"/>
              <w:rPr>
                <w:rFonts w:ascii="Arial"/>
                <w:sz w:val="16"/>
              </w:rPr>
            </w:pPr>
            <w:r>
              <w:rPr>
                <w:rFonts w:ascii="Arial"/>
                <w:w w:val="105"/>
                <w:sz w:val="16"/>
              </w:rPr>
              <w:t>1999</w:t>
            </w:r>
          </w:p>
        </w:tc>
        <w:tc>
          <w:tcPr>
            <w:tcW w:w="705" w:type="dxa"/>
            <w:tcBorders>
              <w:bottom w:val="single" w:sz="4" w:space="0" w:color="000000"/>
            </w:tcBorders>
          </w:tcPr>
          <w:p>
            <w:pPr>
              <w:pStyle w:val="TableParagraph"/>
              <w:spacing w:before="27"/>
              <w:ind w:left="176"/>
              <w:rPr>
                <w:rFonts w:ascii="Arial"/>
                <w:sz w:val="16"/>
              </w:rPr>
            </w:pPr>
            <w:r>
              <w:rPr>
                <w:rFonts w:ascii="Arial"/>
                <w:w w:val="105"/>
                <w:sz w:val="16"/>
              </w:rPr>
              <w:t>2001</w:t>
            </w:r>
          </w:p>
        </w:tc>
        <w:tc>
          <w:tcPr>
            <w:tcW w:w="593" w:type="dxa"/>
            <w:tcBorders>
              <w:bottom w:val="single" w:sz="4" w:space="0" w:color="000000"/>
            </w:tcBorders>
          </w:tcPr>
          <w:p>
            <w:pPr>
              <w:pStyle w:val="TableParagraph"/>
              <w:spacing w:before="27"/>
              <w:ind w:left="176"/>
              <w:rPr>
                <w:rFonts w:ascii="Arial"/>
                <w:sz w:val="16"/>
              </w:rPr>
            </w:pPr>
            <w:r>
              <w:rPr>
                <w:rFonts w:ascii="Arial"/>
                <w:w w:val="105"/>
                <w:sz w:val="16"/>
              </w:rPr>
              <w:t>2003</w:t>
            </w:r>
          </w:p>
        </w:tc>
        <w:tc>
          <w:tcPr>
            <w:tcW w:w="938" w:type="dxa"/>
            <w:tcBorders>
              <w:bottom w:val="single" w:sz="4" w:space="0" w:color="000000"/>
              <w:right w:val="single" w:sz="4" w:space="0" w:color="000000"/>
            </w:tcBorders>
          </w:tcPr>
          <w:p>
            <w:pPr>
              <w:pStyle w:val="TableParagraph"/>
              <w:rPr>
                <w:sz w:val="22"/>
              </w:rPr>
            </w:pPr>
          </w:p>
        </w:tc>
      </w:tr>
      <w:tr>
        <w:trPr>
          <w:trHeight w:val="350" w:hRule="atLeast"/>
        </w:trPr>
        <w:tc>
          <w:tcPr>
            <w:tcW w:w="841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Source: </w:t>
            </w:r>
            <w:r>
              <w:rPr>
                <w:sz w:val="20"/>
              </w:rPr>
              <w:t>ONS</w:t>
            </w:r>
          </w:p>
        </w:tc>
      </w:tr>
    </w:tbl>
    <w:p>
      <w:pPr>
        <w:pStyle w:val="BodyText"/>
        <w:spacing w:before="10"/>
        <w:rPr>
          <w:sz w:val="27"/>
        </w:rPr>
      </w:pPr>
    </w:p>
    <w:p>
      <w:pPr>
        <w:pStyle w:val="BodyText"/>
        <w:spacing w:line="360" w:lineRule="auto" w:before="90"/>
        <w:ind w:left="1019" w:right="536"/>
        <w:jc w:val="both"/>
      </w:pPr>
      <w:r>
        <w:rPr/>
        <w:t>Could something similar have been happening in the 2000s? In the expansion of the UK economy in this decade, we have seen deterioration in the trade balance – as  Chart 7 shows. Although not as dramatic as we saw in the late 1980s, this could still indicate that, at the prevailing strong exchange rate, the inflationary consequences of strong demand growth were damped down because the real incomes of wage-earners were boosted by low import prices resulting from the combination of the “China effect” and a strong pound. This effect could be reversed at a lower exchange rate or in the wake of recent cost shocks, though at the expense of higher</w:t>
      </w:r>
      <w:r>
        <w:rPr>
          <w:spacing w:val="-12"/>
        </w:rPr>
        <w:t> </w:t>
      </w:r>
      <w:r>
        <w:rPr/>
        <w:t>inflation.</w:t>
      </w:r>
    </w:p>
    <w:p>
      <w:pPr>
        <w:spacing w:after="0" w:line="360" w:lineRule="auto"/>
        <w:jc w:val="both"/>
        <w:sectPr>
          <w:headerReference w:type="default" r:id="rId26"/>
          <w:footerReference w:type="default" r:id="rId27"/>
          <w:pgSz w:w="11910" w:h="16840"/>
          <w:pgMar w:header="716" w:footer="777" w:top="1200" w:bottom="960" w:left="780" w:right="1258"/>
          <w:pgNumType w:start="10"/>
        </w:sectPr>
      </w:pPr>
    </w:p>
    <w:p>
      <w:pPr>
        <w:pStyle w:val="BodyText"/>
        <w:rPr>
          <w:sz w:val="20"/>
        </w:rPr>
      </w:pPr>
    </w:p>
    <w:p>
      <w:pPr>
        <w:pStyle w:val="BodyText"/>
        <w:spacing w:before="8"/>
        <w:rPr>
          <w:sz w:val="28"/>
        </w:rPr>
      </w:pPr>
    </w:p>
    <w:p>
      <w:pPr>
        <w:pStyle w:val="BodyText"/>
        <w:spacing w:line="360" w:lineRule="auto" w:before="90"/>
        <w:ind w:left="1019" w:right="536"/>
        <w:jc w:val="both"/>
      </w:pPr>
      <w:r>
        <w:rPr/>
        <w:t>In the 1990s, Steve Nickell estimated that each 1% of GDP deterioration in the goods and services trade balance represents one percentage point of suppressed inflation.</w:t>
      </w:r>
      <w:r>
        <w:rPr>
          <w:vertAlign w:val="superscript"/>
        </w:rPr>
        <w:t>6</w:t>
      </w:r>
      <w:r>
        <w:rPr>
          <w:vertAlign w:val="baseline"/>
        </w:rPr>
        <w:t> According to Nickell’s model, a high real exchange rate would also be reflected in a better inflation/unemployment trade-off in the short-term. So it would reduce the equilibrium unemployment rate for a while, but then unemployment would need to be higher when the exchange rate depreciates and workers feel a squeeze on their real wages.</w:t>
      </w:r>
    </w:p>
    <w:p>
      <w:pPr>
        <w:pStyle w:val="BodyText"/>
        <w:spacing w:before="1"/>
        <w:rPr>
          <w:sz w:val="36"/>
        </w:rPr>
      </w:pPr>
    </w:p>
    <w:p>
      <w:pPr>
        <w:pStyle w:val="BodyText"/>
        <w:spacing w:line="360" w:lineRule="auto"/>
        <w:ind w:left="1019" w:right="534"/>
        <w:jc w:val="both"/>
      </w:pPr>
      <w:r>
        <w:rPr/>
        <w:t>It is not clear how significant this effect might have been in the early 2000s.  However, this interpretation of recent unemployment experience would suggest caution about some of the supply-side optimism we have seen in recent years. To the extent that the reduction in unemployment reflected suppressed inflation and a high exchange rate, this may not be sustained into the future. The conclusion that would flow from this is that some part of the reduction in unemployment we have identified as structural may not be sustainable at a lower exchange rate, and that we have over- estimated the underlying supply potential of the economy as a</w:t>
      </w:r>
      <w:r>
        <w:rPr>
          <w:spacing w:val="-1"/>
        </w:rPr>
        <w:t> </w:t>
      </w:r>
      <w:r>
        <w:rPr/>
        <w:t>result.</w:t>
      </w:r>
    </w:p>
    <w:p>
      <w:pPr>
        <w:pStyle w:val="BodyText"/>
        <w:spacing w:before="1"/>
        <w:rPr>
          <w:sz w:val="36"/>
        </w:rPr>
      </w:pPr>
    </w:p>
    <w:p>
      <w:pPr>
        <w:pStyle w:val="Heading1"/>
        <w:ind w:left="1019"/>
      </w:pPr>
      <w:r>
        <w:rPr/>
        <w:t>Financial liberalisation, globalisation and price stability</w:t>
      </w:r>
    </w:p>
    <w:p>
      <w:pPr>
        <w:pStyle w:val="BodyText"/>
        <w:rPr>
          <w:b/>
          <w:sz w:val="26"/>
        </w:rPr>
      </w:pPr>
    </w:p>
    <w:p>
      <w:pPr>
        <w:pStyle w:val="BodyText"/>
        <w:spacing w:before="9"/>
        <w:rPr>
          <w:b/>
          <w:sz w:val="21"/>
        </w:rPr>
      </w:pPr>
    </w:p>
    <w:p>
      <w:pPr>
        <w:pStyle w:val="BodyText"/>
        <w:spacing w:line="360" w:lineRule="auto"/>
        <w:ind w:left="1019" w:right="535"/>
        <w:jc w:val="both"/>
      </w:pPr>
      <w:r>
        <w:rPr/>
        <w:t>So, while we may not have seen a classic inflationary boom-bust cycle on the 1970s- 1990s model, it would equally be wrong to deny that the current bust was preceded by a boom of some sort. We have indeed had a long expansion of economic activity in the UK – indeed, as Chart 8 shows – it is the second longest uninterrupted expansion since the mid-19</w:t>
      </w:r>
      <w:r>
        <w:rPr>
          <w:vertAlign w:val="superscript"/>
        </w:rPr>
        <w:t>th</w:t>
      </w:r>
      <w:r>
        <w:rPr>
          <w:spacing w:val="-3"/>
          <w:vertAlign w:val="baseline"/>
        </w:rPr>
        <w:t> </w:t>
      </w:r>
      <w:r>
        <w:rPr>
          <w:vertAlign w:val="baseline"/>
        </w:rPr>
        <w:t>century!</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pict>
          <v:shape style="position:absolute;margin-left:90pt;margin-top:14.102173pt;width:144pt;height:.1pt;mso-position-horizontal-relative:page;mso-position-vertical-relative:paragraph;z-index:-251645952;mso-wrap-distance-left:0;mso-wrap-distance-right:0" coordorigin="1800,282" coordsize="2880,0" path="m1800,282l4680,282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6 </w:t>
      </w:r>
      <w:r>
        <w:rPr>
          <w:sz w:val="20"/>
        </w:rPr>
        <w:t>See Nickell (1990).</w:t>
      </w:r>
    </w:p>
    <w:p>
      <w:pPr>
        <w:spacing w:after="0"/>
        <w:jc w:val="left"/>
        <w:rPr>
          <w:sz w:val="20"/>
        </w:rPr>
        <w:sectPr>
          <w:headerReference w:type="default" r:id="rId28"/>
          <w:footerReference w:type="default" r:id="rId29"/>
          <w:pgSz w:w="11910" w:h="16840"/>
          <w:pgMar w:header="716" w:footer="777" w:top="1200" w:bottom="960" w:left="780" w:right="1258"/>
          <w:pgNumType w:start="11"/>
        </w:sectPr>
      </w:pPr>
    </w:p>
    <w:p>
      <w:pPr>
        <w:pStyle w:val="BodyText"/>
        <w:spacing w:before="10"/>
        <w:rPr>
          <w:sz w:val="20"/>
        </w:rPr>
      </w:pPr>
    </w:p>
    <w:tbl>
      <w:tblPr>
        <w:tblW w:w="0" w:type="auto"/>
        <w:jc w:val="left"/>
        <w:tblInd w:w="1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0"/>
        <w:gridCol w:w="1932"/>
        <w:gridCol w:w="1934"/>
        <w:gridCol w:w="1934"/>
        <w:gridCol w:w="1933"/>
        <w:gridCol w:w="341"/>
      </w:tblGrid>
      <w:tr>
        <w:trPr>
          <w:trHeight w:val="275" w:hRule="atLeast"/>
        </w:trPr>
        <w:tc>
          <w:tcPr>
            <w:tcW w:w="8414" w:type="dxa"/>
            <w:gridSpan w:val="6"/>
          </w:tcPr>
          <w:p>
            <w:pPr>
              <w:pStyle w:val="TableParagraph"/>
              <w:spacing w:line="256" w:lineRule="exact"/>
              <w:ind w:left="107"/>
              <w:rPr>
                <w:b/>
                <w:sz w:val="24"/>
              </w:rPr>
            </w:pPr>
            <w:r>
              <w:rPr>
                <w:b/>
                <w:sz w:val="24"/>
              </w:rPr>
              <w:t>Chart 8: Longest business cycle expansions</w:t>
            </w:r>
          </w:p>
        </w:tc>
      </w:tr>
      <w:tr>
        <w:trPr>
          <w:trHeight w:val="276" w:hRule="atLeast"/>
        </w:trPr>
        <w:tc>
          <w:tcPr>
            <w:tcW w:w="8414" w:type="dxa"/>
            <w:gridSpan w:val="6"/>
          </w:tcPr>
          <w:p>
            <w:pPr>
              <w:pStyle w:val="TableParagraph"/>
              <w:spacing w:line="257" w:lineRule="exact"/>
              <w:ind w:left="107"/>
              <w:rPr>
                <w:sz w:val="24"/>
              </w:rPr>
            </w:pPr>
            <w:r>
              <w:rPr>
                <w:sz w:val="24"/>
              </w:rPr>
              <w:t>The five longest business cycle expansions since the mid-19th century</w:t>
            </w:r>
          </w:p>
        </w:tc>
      </w:tr>
      <w:tr>
        <w:trPr>
          <w:trHeight w:val="275" w:hRule="atLeast"/>
        </w:trPr>
        <w:tc>
          <w:tcPr>
            <w:tcW w:w="8414" w:type="dxa"/>
            <w:gridSpan w:val="6"/>
            <w:tcBorders>
              <w:bottom w:val="nil"/>
            </w:tcBorders>
          </w:tcPr>
          <w:p>
            <w:pPr>
              <w:pStyle w:val="TableParagraph"/>
              <w:rPr>
                <w:sz w:val="20"/>
              </w:rPr>
            </w:pPr>
          </w:p>
        </w:tc>
      </w:tr>
      <w:tr>
        <w:trPr>
          <w:trHeight w:val="1241" w:hRule="atLeast"/>
        </w:trPr>
        <w:tc>
          <w:tcPr>
            <w:tcW w:w="340" w:type="dxa"/>
            <w:vMerge w:val="restart"/>
            <w:tcBorders>
              <w:top w:val="nil"/>
            </w:tcBorders>
          </w:tcPr>
          <w:p>
            <w:pPr>
              <w:pStyle w:val="TableParagraph"/>
              <w:rPr>
                <w:sz w:val="22"/>
              </w:rPr>
            </w:pPr>
          </w:p>
        </w:tc>
        <w:tc>
          <w:tcPr>
            <w:tcW w:w="1932" w:type="dxa"/>
          </w:tcPr>
          <w:p>
            <w:pPr>
              <w:pStyle w:val="TableParagraph"/>
              <w:spacing w:before="8"/>
              <w:rPr>
                <w:sz w:val="35"/>
              </w:rPr>
            </w:pPr>
          </w:p>
          <w:p>
            <w:pPr>
              <w:pStyle w:val="TableParagraph"/>
              <w:ind w:left="425" w:right="416"/>
              <w:jc w:val="center"/>
              <w:rPr>
                <w:sz w:val="24"/>
              </w:rPr>
            </w:pPr>
            <w:r>
              <w:rPr>
                <w:sz w:val="24"/>
              </w:rPr>
              <w:t>Period</w:t>
            </w:r>
          </w:p>
        </w:tc>
        <w:tc>
          <w:tcPr>
            <w:tcW w:w="1934" w:type="dxa"/>
          </w:tcPr>
          <w:p>
            <w:pPr>
              <w:pStyle w:val="TableParagraph"/>
              <w:spacing w:before="8"/>
              <w:rPr>
                <w:sz w:val="35"/>
              </w:rPr>
            </w:pPr>
          </w:p>
          <w:p>
            <w:pPr>
              <w:pStyle w:val="TableParagraph"/>
              <w:ind w:left="519" w:right="511"/>
              <w:jc w:val="center"/>
              <w:rPr>
                <w:sz w:val="24"/>
              </w:rPr>
            </w:pPr>
            <w:r>
              <w:rPr>
                <w:sz w:val="24"/>
              </w:rPr>
              <w:t>Duration</w:t>
            </w:r>
          </w:p>
        </w:tc>
        <w:tc>
          <w:tcPr>
            <w:tcW w:w="1934" w:type="dxa"/>
          </w:tcPr>
          <w:p>
            <w:pPr>
              <w:pStyle w:val="TableParagraph"/>
              <w:spacing w:line="360" w:lineRule="auto" w:before="203"/>
              <w:ind w:left="416" w:right="161" w:hanging="226"/>
              <w:rPr>
                <w:sz w:val="24"/>
              </w:rPr>
            </w:pPr>
            <w:r>
              <w:rPr>
                <w:sz w:val="24"/>
              </w:rPr>
              <w:t>Average growth over period</w:t>
            </w:r>
          </w:p>
        </w:tc>
        <w:tc>
          <w:tcPr>
            <w:tcW w:w="1933" w:type="dxa"/>
          </w:tcPr>
          <w:p>
            <w:pPr>
              <w:pStyle w:val="TableParagraph"/>
              <w:spacing w:line="360" w:lineRule="auto"/>
              <w:ind w:left="181" w:right="149" w:firstLine="225"/>
              <w:rPr>
                <w:sz w:val="24"/>
              </w:rPr>
            </w:pPr>
            <w:r>
              <w:rPr>
                <w:sz w:val="24"/>
              </w:rPr>
              <w:t>Cumulative increase in GDP</w:t>
            </w:r>
          </w:p>
          <w:p>
            <w:pPr>
              <w:pStyle w:val="TableParagraph"/>
              <w:ind w:left="416"/>
              <w:rPr>
                <w:sz w:val="24"/>
              </w:rPr>
            </w:pPr>
            <w:r>
              <w:rPr>
                <w:sz w:val="24"/>
              </w:rPr>
              <w:t>over period</w:t>
            </w:r>
          </w:p>
        </w:tc>
        <w:tc>
          <w:tcPr>
            <w:tcW w:w="341" w:type="dxa"/>
            <w:vMerge w:val="restart"/>
            <w:tcBorders>
              <w:top w:val="nil"/>
            </w:tcBorders>
          </w:tcPr>
          <w:p>
            <w:pPr>
              <w:pStyle w:val="TableParagraph"/>
              <w:rPr>
                <w:sz w:val="22"/>
              </w:rPr>
            </w:pPr>
          </w:p>
        </w:tc>
      </w:tr>
      <w:tr>
        <w:trPr>
          <w:trHeight w:val="413" w:hRule="atLeast"/>
        </w:trPr>
        <w:tc>
          <w:tcPr>
            <w:tcW w:w="340" w:type="dxa"/>
            <w:vMerge/>
            <w:tcBorders>
              <w:top w:val="nil"/>
            </w:tcBorders>
          </w:tcPr>
          <w:p>
            <w:pPr>
              <w:rPr>
                <w:sz w:val="2"/>
                <w:szCs w:val="2"/>
              </w:rPr>
            </w:pPr>
          </w:p>
        </w:tc>
        <w:tc>
          <w:tcPr>
            <w:tcW w:w="1932" w:type="dxa"/>
          </w:tcPr>
          <w:p>
            <w:pPr>
              <w:pStyle w:val="TableParagraph"/>
              <w:spacing w:line="273" w:lineRule="exact"/>
              <w:ind w:left="426" w:right="416"/>
              <w:jc w:val="center"/>
              <w:rPr>
                <w:sz w:val="24"/>
              </w:rPr>
            </w:pPr>
            <w:r>
              <w:rPr>
                <w:sz w:val="24"/>
              </w:rPr>
              <w:t>1948-1973</w:t>
            </w:r>
          </w:p>
        </w:tc>
        <w:tc>
          <w:tcPr>
            <w:tcW w:w="1934" w:type="dxa"/>
          </w:tcPr>
          <w:p>
            <w:pPr>
              <w:pStyle w:val="TableParagraph"/>
              <w:spacing w:line="273" w:lineRule="exact"/>
              <w:ind w:left="519" w:right="511"/>
              <w:jc w:val="center"/>
              <w:rPr>
                <w:sz w:val="24"/>
              </w:rPr>
            </w:pPr>
            <w:r>
              <w:rPr>
                <w:sz w:val="24"/>
              </w:rPr>
              <w:t>26 years</w:t>
            </w:r>
          </w:p>
        </w:tc>
        <w:tc>
          <w:tcPr>
            <w:tcW w:w="1934" w:type="dxa"/>
          </w:tcPr>
          <w:p>
            <w:pPr>
              <w:pStyle w:val="TableParagraph"/>
              <w:spacing w:line="273" w:lineRule="exact"/>
              <w:ind w:left="519" w:right="511"/>
              <w:jc w:val="center"/>
              <w:rPr>
                <w:sz w:val="24"/>
              </w:rPr>
            </w:pPr>
            <w:r>
              <w:rPr>
                <w:sz w:val="24"/>
              </w:rPr>
              <w:t>3.0%</w:t>
            </w:r>
          </w:p>
        </w:tc>
        <w:tc>
          <w:tcPr>
            <w:tcW w:w="1933" w:type="dxa"/>
          </w:tcPr>
          <w:p>
            <w:pPr>
              <w:pStyle w:val="TableParagraph"/>
              <w:spacing w:line="273" w:lineRule="exact"/>
              <w:ind w:left="576" w:right="566"/>
              <w:jc w:val="center"/>
              <w:rPr>
                <w:sz w:val="24"/>
              </w:rPr>
            </w:pPr>
            <w:r>
              <w:rPr>
                <w:sz w:val="24"/>
              </w:rPr>
              <w:t>107.6%</w:t>
            </w:r>
          </w:p>
        </w:tc>
        <w:tc>
          <w:tcPr>
            <w:tcW w:w="341" w:type="dxa"/>
            <w:vMerge/>
            <w:tcBorders>
              <w:top w:val="nil"/>
            </w:tcBorders>
          </w:tcPr>
          <w:p>
            <w:pPr>
              <w:rPr>
                <w:sz w:val="2"/>
                <w:szCs w:val="2"/>
              </w:rPr>
            </w:pPr>
          </w:p>
        </w:tc>
      </w:tr>
      <w:tr>
        <w:trPr>
          <w:trHeight w:val="413" w:hRule="atLeast"/>
        </w:trPr>
        <w:tc>
          <w:tcPr>
            <w:tcW w:w="340" w:type="dxa"/>
            <w:vMerge/>
            <w:tcBorders>
              <w:top w:val="nil"/>
            </w:tcBorders>
          </w:tcPr>
          <w:p>
            <w:pPr>
              <w:rPr>
                <w:sz w:val="2"/>
                <w:szCs w:val="2"/>
              </w:rPr>
            </w:pPr>
          </w:p>
        </w:tc>
        <w:tc>
          <w:tcPr>
            <w:tcW w:w="1932" w:type="dxa"/>
          </w:tcPr>
          <w:p>
            <w:pPr>
              <w:pStyle w:val="TableParagraph"/>
              <w:spacing w:line="273" w:lineRule="exact"/>
              <w:ind w:left="426" w:right="416"/>
              <w:jc w:val="center"/>
              <w:rPr>
                <w:sz w:val="24"/>
              </w:rPr>
            </w:pPr>
            <w:r>
              <w:rPr>
                <w:sz w:val="24"/>
              </w:rPr>
              <w:t>1992-2007</w:t>
            </w:r>
          </w:p>
        </w:tc>
        <w:tc>
          <w:tcPr>
            <w:tcW w:w="1934" w:type="dxa"/>
          </w:tcPr>
          <w:p>
            <w:pPr>
              <w:pStyle w:val="TableParagraph"/>
              <w:spacing w:line="273" w:lineRule="exact"/>
              <w:ind w:left="519" w:right="511"/>
              <w:jc w:val="center"/>
              <w:rPr>
                <w:sz w:val="24"/>
              </w:rPr>
            </w:pPr>
            <w:r>
              <w:rPr>
                <w:sz w:val="24"/>
              </w:rPr>
              <w:t>16 years</w:t>
            </w:r>
          </w:p>
        </w:tc>
        <w:tc>
          <w:tcPr>
            <w:tcW w:w="1934" w:type="dxa"/>
          </w:tcPr>
          <w:p>
            <w:pPr>
              <w:pStyle w:val="TableParagraph"/>
              <w:spacing w:line="273" w:lineRule="exact"/>
              <w:ind w:left="519" w:right="511"/>
              <w:jc w:val="center"/>
              <w:rPr>
                <w:sz w:val="24"/>
              </w:rPr>
            </w:pPr>
            <w:r>
              <w:rPr>
                <w:sz w:val="24"/>
              </w:rPr>
              <w:t>2.8%</w:t>
            </w:r>
          </w:p>
        </w:tc>
        <w:tc>
          <w:tcPr>
            <w:tcW w:w="1933" w:type="dxa"/>
          </w:tcPr>
          <w:p>
            <w:pPr>
              <w:pStyle w:val="TableParagraph"/>
              <w:spacing w:line="273" w:lineRule="exact"/>
              <w:ind w:left="575" w:right="566"/>
              <w:jc w:val="center"/>
              <w:rPr>
                <w:sz w:val="24"/>
              </w:rPr>
            </w:pPr>
            <w:r>
              <w:rPr>
                <w:sz w:val="24"/>
              </w:rPr>
              <w:t>55.4%</w:t>
            </w:r>
          </w:p>
        </w:tc>
        <w:tc>
          <w:tcPr>
            <w:tcW w:w="341" w:type="dxa"/>
            <w:vMerge/>
            <w:tcBorders>
              <w:top w:val="nil"/>
            </w:tcBorders>
          </w:tcPr>
          <w:p>
            <w:pPr>
              <w:rPr>
                <w:sz w:val="2"/>
                <w:szCs w:val="2"/>
              </w:rPr>
            </w:pPr>
          </w:p>
        </w:tc>
      </w:tr>
      <w:tr>
        <w:trPr>
          <w:trHeight w:val="414" w:hRule="atLeast"/>
        </w:trPr>
        <w:tc>
          <w:tcPr>
            <w:tcW w:w="340" w:type="dxa"/>
            <w:vMerge/>
            <w:tcBorders>
              <w:top w:val="nil"/>
            </w:tcBorders>
          </w:tcPr>
          <w:p>
            <w:pPr>
              <w:rPr>
                <w:sz w:val="2"/>
                <w:szCs w:val="2"/>
              </w:rPr>
            </w:pPr>
          </w:p>
        </w:tc>
        <w:tc>
          <w:tcPr>
            <w:tcW w:w="1932" w:type="dxa"/>
          </w:tcPr>
          <w:p>
            <w:pPr>
              <w:pStyle w:val="TableParagraph"/>
              <w:spacing w:line="273" w:lineRule="exact"/>
              <w:ind w:left="426" w:right="416"/>
              <w:jc w:val="center"/>
              <w:rPr>
                <w:sz w:val="24"/>
              </w:rPr>
            </w:pPr>
            <w:r>
              <w:rPr>
                <w:sz w:val="24"/>
              </w:rPr>
              <w:t>1932-1943</w:t>
            </w:r>
          </w:p>
        </w:tc>
        <w:tc>
          <w:tcPr>
            <w:tcW w:w="1934" w:type="dxa"/>
          </w:tcPr>
          <w:p>
            <w:pPr>
              <w:pStyle w:val="TableParagraph"/>
              <w:spacing w:line="273" w:lineRule="exact"/>
              <w:ind w:left="519" w:right="511"/>
              <w:jc w:val="center"/>
              <w:rPr>
                <w:sz w:val="24"/>
              </w:rPr>
            </w:pPr>
            <w:r>
              <w:rPr>
                <w:sz w:val="24"/>
              </w:rPr>
              <w:t>12 years</w:t>
            </w:r>
          </w:p>
        </w:tc>
        <w:tc>
          <w:tcPr>
            <w:tcW w:w="1934" w:type="dxa"/>
          </w:tcPr>
          <w:p>
            <w:pPr>
              <w:pStyle w:val="TableParagraph"/>
              <w:spacing w:line="273" w:lineRule="exact"/>
              <w:ind w:left="519" w:right="511"/>
              <w:jc w:val="center"/>
              <w:rPr>
                <w:sz w:val="24"/>
              </w:rPr>
            </w:pPr>
            <w:r>
              <w:rPr>
                <w:sz w:val="24"/>
              </w:rPr>
              <w:t>3.8%</w:t>
            </w:r>
          </w:p>
        </w:tc>
        <w:tc>
          <w:tcPr>
            <w:tcW w:w="1933" w:type="dxa"/>
          </w:tcPr>
          <w:p>
            <w:pPr>
              <w:pStyle w:val="TableParagraph"/>
              <w:spacing w:line="273" w:lineRule="exact"/>
              <w:ind w:left="575" w:right="566"/>
              <w:jc w:val="center"/>
              <w:rPr>
                <w:sz w:val="24"/>
              </w:rPr>
            </w:pPr>
            <w:r>
              <w:rPr>
                <w:sz w:val="24"/>
              </w:rPr>
              <w:t>54.4%</w:t>
            </w:r>
          </w:p>
        </w:tc>
        <w:tc>
          <w:tcPr>
            <w:tcW w:w="341" w:type="dxa"/>
            <w:vMerge/>
            <w:tcBorders>
              <w:top w:val="nil"/>
            </w:tcBorders>
          </w:tcPr>
          <w:p>
            <w:pPr>
              <w:rPr>
                <w:sz w:val="2"/>
                <w:szCs w:val="2"/>
              </w:rPr>
            </w:pPr>
          </w:p>
        </w:tc>
      </w:tr>
      <w:tr>
        <w:trPr>
          <w:trHeight w:val="413" w:hRule="atLeast"/>
        </w:trPr>
        <w:tc>
          <w:tcPr>
            <w:tcW w:w="340" w:type="dxa"/>
            <w:vMerge/>
            <w:tcBorders>
              <w:top w:val="nil"/>
            </w:tcBorders>
          </w:tcPr>
          <w:p>
            <w:pPr>
              <w:rPr>
                <w:sz w:val="2"/>
                <w:szCs w:val="2"/>
              </w:rPr>
            </w:pPr>
          </w:p>
        </w:tc>
        <w:tc>
          <w:tcPr>
            <w:tcW w:w="1932" w:type="dxa"/>
          </w:tcPr>
          <w:p>
            <w:pPr>
              <w:pStyle w:val="TableParagraph"/>
              <w:spacing w:line="273" w:lineRule="exact"/>
              <w:ind w:left="426" w:right="416"/>
              <w:jc w:val="center"/>
              <w:rPr>
                <w:sz w:val="24"/>
              </w:rPr>
            </w:pPr>
            <w:r>
              <w:rPr>
                <w:sz w:val="24"/>
              </w:rPr>
              <w:t>1868-1877</w:t>
            </w:r>
          </w:p>
        </w:tc>
        <w:tc>
          <w:tcPr>
            <w:tcW w:w="1934" w:type="dxa"/>
          </w:tcPr>
          <w:p>
            <w:pPr>
              <w:pStyle w:val="TableParagraph"/>
              <w:spacing w:line="273" w:lineRule="exact"/>
              <w:ind w:left="519" w:right="511"/>
              <w:jc w:val="center"/>
              <w:rPr>
                <w:sz w:val="24"/>
              </w:rPr>
            </w:pPr>
            <w:r>
              <w:rPr>
                <w:sz w:val="24"/>
              </w:rPr>
              <w:t>10 years</w:t>
            </w:r>
          </w:p>
        </w:tc>
        <w:tc>
          <w:tcPr>
            <w:tcW w:w="1934" w:type="dxa"/>
          </w:tcPr>
          <w:p>
            <w:pPr>
              <w:pStyle w:val="TableParagraph"/>
              <w:spacing w:line="273" w:lineRule="exact"/>
              <w:ind w:left="519" w:right="511"/>
              <w:jc w:val="center"/>
              <w:rPr>
                <w:sz w:val="24"/>
              </w:rPr>
            </w:pPr>
            <w:r>
              <w:rPr>
                <w:sz w:val="24"/>
              </w:rPr>
              <w:t>2.6%</w:t>
            </w:r>
          </w:p>
        </w:tc>
        <w:tc>
          <w:tcPr>
            <w:tcW w:w="1933" w:type="dxa"/>
          </w:tcPr>
          <w:p>
            <w:pPr>
              <w:pStyle w:val="TableParagraph"/>
              <w:spacing w:line="273" w:lineRule="exact"/>
              <w:ind w:left="575" w:right="566"/>
              <w:jc w:val="center"/>
              <w:rPr>
                <w:sz w:val="24"/>
              </w:rPr>
            </w:pPr>
            <w:r>
              <w:rPr>
                <w:sz w:val="24"/>
              </w:rPr>
              <w:t>25.5%</w:t>
            </w:r>
          </w:p>
        </w:tc>
        <w:tc>
          <w:tcPr>
            <w:tcW w:w="341" w:type="dxa"/>
            <w:vMerge/>
            <w:tcBorders>
              <w:top w:val="nil"/>
            </w:tcBorders>
          </w:tcPr>
          <w:p>
            <w:pPr>
              <w:rPr>
                <w:sz w:val="2"/>
                <w:szCs w:val="2"/>
              </w:rPr>
            </w:pPr>
          </w:p>
        </w:tc>
      </w:tr>
      <w:tr>
        <w:trPr>
          <w:trHeight w:val="414" w:hRule="atLeast"/>
        </w:trPr>
        <w:tc>
          <w:tcPr>
            <w:tcW w:w="340" w:type="dxa"/>
            <w:vMerge/>
            <w:tcBorders>
              <w:top w:val="nil"/>
            </w:tcBorders>
          </w:tcPr>
          <w:p>
            <w:pPr>
              <w:rPr>
                <w:sz w:val="2"/>
                <w:szCs w:val="2"/>
              </w:rPr>
            </w:pPr>
          </w:p>
        </w:tc>
        <w:tc>
          <w:tcPr>
            <w:tcW w:w="1932" w:type="dxa"/>
            <w:tcBorders>
              <w:bottom w:val="single" w:sz="8" w:space="0" w:color="000000"/>
            </w:tcBorders>
          </w:tcPr>
          <w:p>
            <w:pPr>
              <w:pStyle w:val="TableParagraph"/>
              <w:spacing w:line="273" w:lineRule="exact"/>
              <w:ind w:left="426" w:right="416"/>
              <w:jc w:val="center"/>
              <w:rPr>
                <w:sz w:val="24"/>
              </w:rPr>
            </w:pPr>
            <w:r>
              <w:rPr>
                <w:sz w:val="24"/>
              </w:rPr>
              <w:t>1982-1990</w:t>
            </w:r>
          </w:p>
        </w:tc>
        <w:tc>
          <w:tcPr>
            <w:tcW w:w="1934" w:type="dxa"/>
            <w:tcBorders>
              <w:bottom w:val="single" w:sz="8" w:space="0" w:color="000000"/>
            </w:tcBorders>
          </w:tcPr>
          <w:p>
            <w:pPr>
              <w:pStyle w:val="TableParagraph"/>
              <w:spacing w:line="273" w:lineRule="exact"/>
              <w:ind w:left="519" w:right="511"/>
              <w:jc w:val="center"/>
              <w:rPr>
                <w:sz w:val="24"/>
              </w:rPr>
            </w:pPr>
            <w:r>
              <w:rPr>
                <w:sz w:val="24"/>
              </w:rPr>
              <w:t>9 years</w:t>
            </w:r>
          </w:p>
        </w:tc>
        <w:tc>
          <w:tcPr>
            <w:tcW w:w="1934" w:type="dxa"/>
            <w:tcBorders>
              <w:bottom w:val="single" w:sz="8" w:space="0" w:color="000000"/>
            </w:tcBorders>
          </w:tcPr>
          <w:p>
            <w:pPr>
              <w:pStyle w:val="TableParagraph"/>
              <w:spacing w:line="273" w:lineRule="exact"/>
              <w:ind w:left="519" w:right="511"/>
              <w:jc w:val="center"/>
              <w:rPr>
                <w:sz w:val="24"/>
              </w:rPr>
            </w:pPr>
            <w:r>
              <w:rPr>
                <w:sz w:val="24"/>
              </w:rPr>
              <w:t>3.2%</w:t>
            </w:r>
          </w:p>
        </w:tc>
        <w:tc>
          <w:tcPr>
            <w:tcW w:w="1933" w:type="dxa"/>
            <w:tcBorders>
              <w:bottom w:val="single" w:sz="8" w:space="0" w:color="000000"/>
            </w:tcBorders>
          </w:tcPr>
          <w:p>
            <w:pPr>
              <w:pStyle w:val="TableParagraph"/>
              <w:spacing w:line="273" w:lineRule="exact"/>
              <w:ind w:left="575" w:right="566"/>
              <w:jc w:val="center"/>
              <w:rPr>
                <w:sz w:val="24"/>
              </w:rPr>
            </w:pPr>
            <w:r>
              <w:rPr>
                <w:sz w:val="24"/>
              </w:rPr>
              <w:t>29.8%</w:t>
            </w:r>
          </w:p>
        </w:tc>
        <w:tc>
          <w:tcPr>
            <w:tcW w:w="341" w:type="dxa"/>
            <w:vMerge/>
            <w:tcBorders>
              <w:top w:val="nil"/>
            </w:tcBorders>
          </w:tcPr>
          <w:p>
            <w:pPr>
              <w:rPr>
                <w:sz w:val="2"/>
                <w:szCs w:val="2"/>
              </w:rPr>
            </w:pPr>
          </w:p>
        </w:tc>
      </w:tr>
      <w:tr>
        <w:trPr>
          <w:trHeight w:val="1279" w:hRule="atLeast"/>
        </w:trPr>
        <w:tc>
          <w:tcPr>
            <w:tcW w:w="8414" w:type="dxa"/>
            <w:gridSpan w:val="6"/>
          </w:tcPr>
          <w:p>
            <w:pPr>
              <w:pStyle w:val="TableParagraph"/>
              <w:spacing w:before="1"/>
              <w:rPr>
                <w:sz w:val="30"/>
              </w:rPr>
            </w:pPr>
          </w:p>
          <w:p>
            <w:pPr>
              <w:pStyle w:val="TableParagraph"/>
              <w:spacing w:before="1"/>
              <w:ind w:left="107" w:right="750"/>
              <w:rPr>
                <w:sz w:val="20"/>
              </w:rPr>
            </w:pPr>
            <w:r>
              <w:rPr>
                <w:i/>
                <w:sz w:val="20"/>
              </w:rPr>
              <w:t>Note: </w:t>
            </w:r>
            <w:r>
              <w:rPr>
                <w:sz w:val="20"/>
              </w:rPr>
              <w:t>Periods of continuous growth measured on an annual basis from the first year of growth following one recession to the last period of growth prior to the next recession</w:t>
            </w:r>
          </w:p>
          <w:p>
            <w:pPr>
              <w:pStyle w:val="TableParagraph"/>
              <w:spacing w:before="119"/>
              <w:ind w:left="107"/>
              <w:rPr>
                <w:sz w:val="20"/>
              </w:rPr>
            </w:pPr>
            <w:r>
              <w:rPr>
                <w:i/>
                <w:sz w:val="20"/>
              </w:rPr>
              <w:t>Source: </w:t>
            </w:r>
            <w:r>
              <w:rPr>
                <w:sz w:val="20"/>
              </w:rPr>
              <w:t>Bank of England Historical Database and External MPC Unit calculations</w:t>
            </w:r>
          </w:p>
        </w:tc>
      </w:tr>
    </w:tbl>
    <w:p>
      <w:pPr>
        <w:pStyle w:val="BodyText"/>
        <w:spacing w:before="10"/>
        <w:rPr>
          <w:sz w:val="27"/>
        </w:rPr>
      </w:pPr>
    </w:p>
    <w:p>
      <w:pPr>
        <w:pStyle w:val="BodyText"/>
        <w:spacing w:line="360" w:lineRule="auto" w:before="90"/>
        <w:ind w:left="1019" w:right="537"/>
        <w:jc w:val="both"/>
      </w:pPr>
      <w:r>
        <w:rPr/>
        <w:t>This has been against the background of strong global growth of demand, particularly in recent years, and has also been associated with strong inflationary pressures in energy and commodity markets, as well as a sharp escalation of property prices.</w:t>
      </w:r>
    </w:p>
    <w:p>
      <w:pPr>
        <w:pStyle w:val="BodyText"/>
        <w:rPr>
          <w:sz w:val="36"/>
        </w:rPr>
      </w:pPr>
    </w:p>
    <w:p>
      <w:pPr>
        <w:pStyle w:val="BodyText"/>
        <w:spacing w:line="360" w:lineRule="auto"/>
        <w:ind w:left="1019" w:right="536"/>
        <w:jc w:val="both"/>
      </w:pPr>
      <w:r>
        <w:rPr/>
        <w:t>The final point I would make is that if we take a longer view of economic history, stretching back to the Industrial Revolution, financial and commodity booms and busts were the predominant drivers of economic cycles. The characteristics of the current cycle have much more in common with cycles experienced before the First World War and even pre-industrial economic history than they do with post-war inflationary</w:t>
      </w:r>
      <w:r>
        <w:rPr>
          <w:spacing w:val="-2"/>
        </w:rPr>
        <w:t> </w:t>
      </w:r>
      <w:r>
        <w:rPr/>
        <w:t>cycles.</w:t>
      </w:r>
    </w:p>
    <w:p>
      <w:pPr>
        <w:pStyle w:val="BodyText"/>
        <w:rPr>
          <w:sz w:val="36"/>
        </w:rPr>
      </w:pPr>
    </w:p>
    <w:p>
      <w:pPr>
        <w:pStyle w:val="BodyText"/>
        <w:spacing w:line="360" w:lineRule="auto"/>
        <w:ind w:left="1019" w:right="535"/>
        <w:jc w:val="both"/>
      </w:pPr>
      <w:r>
        <w:rPr/>
        <w:t>We are now appreciating that the earlier years of this decade saw an expansion of various forms of financial market activity which have subsequently proved unsustainable. The rapid correction we are now seeing is spilling over into the real economy – creating recessionary forces. This is not the unwinding of a classic inflationary boom-bust cycle that we have seen before in postwar Britain. But it is nevertheless creating equally severe consequences as it unwinds.</w:t>
      </w:r>
    </w:p>
    <w:p>
      <w:pPr>
        <w:spacing w:after="0" w:line="360" w:lineRule="auto"/>
        <w:jc w:val="both"/>
        <w:sectPr>
          <w:headerReference w:type="default" r:id="rId30"/>
          <w:footerReference w:type="default" r:id="rId31"/>
          <w:pgSz w:w="11910" w:h="16840"/>
          <w:pgMar w:header="716" w:footer="777" w:top="1200" w:bottom="960" w:left="780" w:right="1258"/>
          <w:pgNumType w:start="12"/>
        </w:sectPr>
      </w:pPr>
    </w:p>
    <w:p>
      <w:pPr>
        <w:pStyle w:val="BodyText"/>
        <w:spacing w:before="8"/>
        <w:rPr>
          <w:sz w:val="12"/>
        </w:rPr>
      </w:pPr>
    </w:p>
    <w:p>
      <w:pPr>
        <w:pStyle w:val="BodyText"/>
        <w:spacing w:line="360" w:lineRule="auto" w:before="90"/>
        <w:ind w:left="1019" w:right="536"/>
        <w:jc w:val="both"/>
      </w:pPr>
      <w:r>
        <w:rPr/>
        <w:pict>
          <v:group style="position:absolute;margin-left:134.550003pt;margin-top:313.993439pt;width:325.5pt;height:165.8pt;mso-position-horizontal-relative:page;mso-position-vertical-relative:paragraph;z-index:-254982144" coordorigin="2691,6280" coordsize="6510,3316">
            <v:shape style="position:absolute;left:2691;top:6280;width:6509;height:3315" coordorigin="2692,6280" coordsize="6509,3315" path="m9155,6280l9155,9595m9155,9595l9200,9595m9155,9115l9200,9115m9155,8650l9200,8650m9155,8170l9200,8170m9155,7705l9200,7705m9155,7225l9200,7225m9155,6760l9200,6760m9155,6280l9200,6280m2692,9595l9155,9595m2692,9595l2692,9549m3352,9595l3352,9549m4026,9595l4026,9549m4686,9595l4686,9549m5362,9595l5362,9549m6020,9595l6020,9549m6696,9595l6696,9549m7356,9595l7356,9549m8016,9595l8016,9549m8690,9595l8690,9549e" filled="false" stroked="true" strokeweight=".06pt" strokecolor="#000000">
              <v:path arrowok="t"/>
              <v:stroke dashstyle="solid"/>
            </v:shape>
            <v:shape style="position:absolute;left:2796;top:6610;width:6329;height:2565" coordorigin="2796,6610" coordsize="6329,2565" path="m2796,7345l2826,7345m2826,7345l2856,7405m2856,7405l2886,7375m2886,7375l2932,7330m2932,7330l2962,7375m2962,7375l2992,7405m2992,7405l3022,7465m3022,7465l3052,7510m3052,7510l3096,7555m3096,7555l3126,7510m3126,7510l3156,7510m3156,7510l3186,7540m3186,7540l3232,7555m3232,7555l3262,7570m3262,7570l3292,7570m3292,7570l3322,7555m3322,7555l3352,7495m3352,7495l3396,7585m3396,7585l3426,7645m3426,7645l3456,7720m3456,7720l3486,7810m3486,7810l3532,7840m3532,7840l3562,7900m3562,7900l3592,7945m3592,7945l3622,7930m3622,7930l3652,7915m3652,7915l3696,7870m3696,7870l3726,7870m3726,7870l3756,7795m3756,7795l3786,7825,3832,7870m3832,7870l3862,7885m3862,7885l3892,7945m3892,7945l3922,7945m3922,7945l3952,8005m3952,8005l3996,8035m3996,8035l4026,8050m4026,8050l4056,8020m4056,8020l4086,7975m4086,7975l4132,7915m4132,7915l4162,7810m4162,7810l4192,7750m4192,7750l4222,7660m4222,7660l4252,7585m4252,7585l4296,7585m4296,7585l4326,7540m4326,7540l4356,7510m4356,7510l4386,7465m4386,7465l4432,7390m4432,7390l4462,7330m4462,7330l4492,7240m4492,7240l4522,7135m4522,7135l4552,7135m4552,7135l4596,7045m4596,7045l4626,6895,4656,6745m4656,6745l4686,6685m4686,6685l4716,6685m4716,6685l4762,6700m4762,6700l4792,6700m4792,6700l4822,6685m4822,6685l4852,6655m4852,6655l4896,6655m4896,6655l4926,6640m4926,6640l4956,6610m4956,6610l4986,6610m4986,6610l5032,6625m5032,6625l5062,6670m5062,6670l5092,6790m5092,6790l5122,6985m5122,6985l5152,7195m5152,7195l5196,7450m5196,7450l5226,7480m5226,7480l5256,7435m5256,7435l5286,7345m5286,7345l5332,7255m5332,7255l5362,7120m5362,7120l5392,7090m5392,7090l5422,7075m5422,7075l5452,7135m5452,7135l5496,7210m5496,7210l5526,7285m5526,7285l5556,7300m5556,7300l5586,7345m5586,7345l5616,7405m5616,7405l5660,7450m5660,7450l5690,7495m5690,7495l5720,7510m5720,7510l5750,7525m5750,7525l5796,7495m5796,7495l5826,7480m5826,7480l5856,7480m5856,7480l5886,7540m5886,7540l5916,7660m5916,7660l5960,7840m5960,7840l5990,8020m5990,8020l6020,8215m6020,8215l6050,8305m6050,8305l6096,8350m6096,8350l6126,8350,6156,8350m6156,8350l6186,8335m6186,8335l6216,8395m6216,8395l6260,8425m6260,8425l6290,8425m6290,8425l6320,8440m6320,8440l6350,8425m6350,8425l6396,8410m6396,8410l6426,8410,6456,8410m6456,8410l6486,8395m6486,8395l6530,8365m6530,8365l6560,8350m6560,8350l6590,8395m6590,8395l6620,8440m6620,8440l6650,8515m6650,8515l6696,8560m6696,8560l6726,8575m6726,8575l6756,8560m6756,8560l6786,8530m6786,8530l6816,8530m6816,8530l6860,8545m6860,8545l6890,8575,6920,8605m6920,8605l6950,8620m6950,8620l6996,8650m6996,8650l7026,8695m7026,8695l7056,8725m7056,8725l7086,8739m7086,8739l7116,8799m7116,8799l7160,8845m7160,8845l7190,8875m7190,8875l7220,8889m7220,8889l7250,8905m7250,8905l7296,8905,7326,8905m7326,8905l7356,8889m7356,8889l7386,8875m7386,8875l7416,8935m7416,8935l7460,8979m7460,8979l7490,9025m7490,9025l7520,9039m7520,9039l7550,9025m7550,9025l7596,9039m7596,9039l7626,9039m7626,9039l7656,9069m7656,9069l7686,9085m7686,9085l7716,9099m7716,9099l7760,9115m7760,9115l7790,9099m7790,9099l7820,9099,7850,9099,7896,9099m7896,9099l7926,9115m7926,9115l7956,9099m7956,9099l7986,9099m7986,9099l8016,9145m8016,9145l8060,9175m8196,9175l8226,9159m8226,9159l8256,9145m8256,9145l8286,9145m8286,9145l8316,9129m8316,9129l8360,9129,8390,9129,8420,9129m8420,9129l8450,9145m8435,9145l8600,9145m8585,9145l8615,9129m8615,9129l8660,9129,8690,9129m8690,9129l8720,9115m8720,9115l8750,9129m8750,9129l8795,9145m8795,9145l8825,9145m8825,9145l8855,9159m8855,9159l8885,9159m8885,9159l8915,9175m8915,9175l8960,9175m8960,9175l8990,9159m8990,9159l9020,9175m9020,9175l9050,9175m9050,9175l9095,9159m9095,9159l9125,9145e" filled="false" stroked="true" strokeweight="1.5pt" strokecolor="#33339a">
              <v:path arrowok="t"/>
              <v:stroke dashstyle="solid"/>
            </v:shape>
            <v:line style="position:absolute" from="9125,9145" to="9155,9129" stroked="true" strokeweight="1.5pt" strokecolor="#33339a">
              <v:stroke dashstyle="solid"/>
            </v:line>
            <v:shape style="position:absolute;left:2796;top:7284;width:6329;height:1680" coordorigin="2796,7285" coordsize="6329,1680" path="m2796,7405l2826,7420m2826,7420l2856,7360m2856,7360l2886,7285m2886,7285l2932,7315m2932,7315l2962,7360m2962,7360l2992,7405m2992,7405l3022,7435m3022,7435l3052,7450m3052,7450l3096,7555m3096,7555l3126,7675m3126,7675l3156,7810m3156,7810l3186,7990m3186,7990l3232,8005m3232,8005l3262,7975m3262,7975l3292,8035m3292,8035l3322,8080m3322,8080l3352,8125m3352,8125l3396,8155m3396,8155l3426,8170m3426,8170l3456,8260m3456,8260l3486,8290m3486,8290l3532,8320m3532,8320l3562,8350m3562,8350l3592,8320m3592,8320l3622,8320,3652,8320m3652,8320l3696,8335m3696,8335l3726,8350m3726,8350l3756,8320m3756,8320l3786,8305m3786,8305l3832,8305m3832,8305l3862,8275m3847,8275l4011,8275m3996,8275l4026,8320m4026,8320l4056,8350m4056,8350l4086,8395m4086,8395l4132,8365m4132,8365l4162,8260m4162,8260l4192,8200m4192,8200l4222,8155m4222,8155l4252,8140m4252,8140l4296,8110m4296,8110l4326,8050m4326,8050l4356,8005m4356,8005l4386,7990m4386,7990l4432,8005m4432,8005l4462,7990m4462,7990l4492,7945m4492,7945l4522,7900m4522,7900l4552,7855m4552,7855l4596,7840m4596,7840l4626,7795m4626,7795l4656,7825m4656,7825l4686,7810m4686,7810l4716,7780m4716,7780l4762,7705m4762,7705l4792,7660m4792,7660l4822,7750,4852,7840m4852,7840l4896,7915m4896,7915l4926,7945m4926,7945l4956,7990m4956,7990l4986,8005m4986,8005l5032,8050m5032,8050l5062,8020,5092,7990m5092,7990l5122,7885m5122,7885l5152,7840m5152,7840l5196,7810m5196,7810l5226,7750m5226,7750l5256,7765m5256,7765l5286,7810m5286,7810l5332,7825m5332,7825l5362,7870m5362,7870l5392,7840m5392,7840l5422,7855m5422,7855l5452,7825m5452,7825l5496,7705m5496,7705l5526,7630m5526,7630l5556,7570,5586,7510m5586,7510l5616,7420m5616,7420l5660,7345m5660,7345l5690,7315m5690,7315l5720,7300m5720,7300l5750,7330m5750,7330l5796,7390m5796,7390l5826,7465m5826,7465l5856,7585m5856,7585l5886,7720m5886,7720l5916,7765m5916,7765l5960,7765m5960,7765l5990,7750m5990,7750l6020,7735m6020,7735l6050,7840m6050,7840l6096,7915m6096,7915l6126,8035m6126,8035l6156,8170m6156,8170l6186,8260m6186,8260l6216,8365m6216,8365l6260,8485m6260,8485l6290,8575m6290,8575l6320,8680m6320,8680l6350,8755m6350,8755l6396,8799m6396,8799l6426,8815m6426,8815l6456,8875m6456,8875l6486,8905m6486,8905l6530,8905m6530,8905l6560,8889m6560,8889l6590,8859m6590,8859l6620,8875m6620,8875l6650,8905m6650,8905l6696,8905m6696,8905l6726,8875m6726,8875l6756,8859m6756,8859l6786,8815m6786,8815l6816,8815m6816,8815l6860,8799m6860,8799l6890,8755m6890,8755l6920,8725m6920,8725l6950,8725,6996,8725,7026,8725m7026,8725l7056,8769m7056,8769l7086,8769m7086,8769l7116,8785m7116,8785l7160,8799m7190,8799l7220,8785m7326,8785l7356,8769m7356,8769l7386,8769,7416,8769m7416,8769l7460,8815m7460,8815l7490,8829m7490,8829l7520,8845m7520,8845l7550,8875m7550,8875l7596,8889m7596,8889l7626,8875m7626,8875l7656,8859m7656,8859l7686,8859m7686,8859l7716,8829m7716,8829l7760,8845m7760,8845l7790,8859m7790,8859l7820,8875m7820,8875l7850,8889m7850,8889l7896,8889m7896,8889l7926,8905m7926,8905l7956,8905m7956,8905l7986,8889m7986,8889l8016,8875m8016,8875l8060,8859m8060,8859l8090,8815m8090,8815l8120,8769m8120,8769l8150,8725m8150,8725l8196,8739m8316,8739l8360,8755m8390,8755l8420,8769m8420,8769l8450,8755m8450,8755l8495,8709m8495,8709l8525,8680m8525,8680l8555,8665m8555,8665l8585,8650m8585,8650l8615,8665m8615,8665l8660,8695m8660,8695l8690,8739m8690,8739l8720,8799m8720,8799l8750,8875m8750,8875l8795,8919m8795,8919l8825,8965m8825,8965l8855,8949m8855,8949l8885,8949m8885,8949l8915,8935m8915,8935l8960,8949m8960,8949l8990,8949m8990,8949l9020,8905m9020,8905l9050,8875m9050,8875l9095,8829m9095,8829l9125,8815e" filled="false" stroked="true" strokeweight="1.5pt" strokecolor="#9a3300">
              <v:path arrowok="t"/>
              <v:stroke dashstyle="solid"/>
            </v:shape>
            <v:line style="position:absolute" from="6696,6715" to="7056,6715" stroked="true" strokeweight="1.5pt" strokecolor="#33339a">
              <v:stroke dashstyle="solid"/>
            </v:line>
            <v:line style="position:absolute" from="6696,7105" to="7056,7105" stroked="true" strokeweight="1.5pt" strokecolor="#9a3300">
              <v:stroke dashstyle="solid"/>
            </v:line>
            <w10:wrap type="none"/>
          </v:group>
        </w:pict>
      </w:r>
      <w:r>
        <w:rPr/>
        <w:t>So why did this financial boom or bubble emerge? Various explanations have been given by economic commentators and indeed by other MPC members.</w:t>
      </w:r>
      <w:r>
        <w:rPr>
          <w:vertAlign w:val="superscript"/>
        </w:rPr>
        <w:t>7</w:t>
      </w:r>
      <w:r>
        <w:rPr>
          <w:vertAlign w:val="baseline"/>
        </w:rPr>
        <w:t> To me, this latest boom-bust cycle seems to me to be the product of three structural trends which have come together to produce an unintended consequence – global financial and economic instability. It is a product of three developments which are totally rational  in their own right – financial liberalisation; globalisation; and price stability. Each brings great benefits. Financial liberalisation brings access to new innovative  financial products, and a lessening of the dead hand of regulation. Globalisation  opens up access to new markets and products across the globe. And price stability has appeared to offer a reduction in macroeconomic risks, as it has been associated –  since the early 1990s – with much less volatility in the real economy, as Chart 9 shows.</w:t>
      </w:r>
    </w:p>
    <w:p>
      <w:pPr>
        <w:pStyle w:val="BodyText"/>
        <w:rPr>
          <w:sz w:val="20"/>
        </w:rPr>
      </w:pPr>
    </w:p>
    <w:p>
      <w:pPr>
        <w:pStyle w:val="BodyText"/>
        <w:spacing w:before="4"/>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2"/>
        <w:gridCol w:w="667"/>
        <w:gridCol w:w="667"/>
        <w:gridCol w:w="666"/>
        <w:gridCol w:w="666"/>
        <w:gridCol w:w="666"/>
        <w:gridCol w:w="629"/>
        <w:gridCol w:w="1459"/>
        <w:gridCol w:w="622"/>
        <w:gridCol w:w="1139"/>
      </w:tblGrid>
      <w:tr>
        <w:trPr>
          <w:trHeight w:val="275" w:hRule="atLeast"/>
        </w:trPr>
        <w:tc>
          <w:tcPr>
            <w:tcW w:w="8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9: Volatility of real GDP growth</w:t>
            </w:r>
          </w:p>
        </w:tc>
      </w:tr>
      <w:tr>
        <w:trPr>
          <w:trHeight w:val="275" w:hRule="atLeast"/>
        </w:trPr>
        <w:tc>
          <w:tcPr>
            <w:tcW w:w="8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Annualised volatility of quarterly growth in percentage points</w:t>
            </w:r>
          </w:p>
        </w:tc>
      </w:tr>
      <w:tr>
        <w:trPr>
          <w:trHeight w:val="427" w:hRule="atLeast"/>
        </w:trPr>
        <w:tc>
          <w:tcPr>
            <w:tcW w:w="1222" w:type="dxa"/>
            <w:tcBorders>
              <w:top w:val="single" w:sz="4" w:space="0" w:color="000000"/>
              <w:left w:val="single" w:sz="4" w:space="0" w:color="000000"/>
            </w:tcBorders>
          </w:tcPr>
          <w:p>
            <w:pPr>
              <w:pStyle w:val="TableParagraph"/>
              <w:rPr>
                <w:sz w:val="22"/>
              </w:rPr>
            </w:pPr>
          </w:p>
        </w:tc>
        <w:tc>
          <w:tcPr>
            <w:tcW w:w="667" w:type="dxa"/>
            <w:tcBorders>
              <w:top w:val="single" w:sz="4" w:space="0" w:color="000000"/>
            </w:tcBorders>
          </w:tcPr>
          <w:p>
            <w:pPr>
              <w:pStyle w:val="TableParagraph"/>
              <w:rPr>
                <w:sz w:val="22"/>
              </w:rPr>
            </w:pPr>
          </w:p>
        </w:tc>
        <w:tc>
          <w:tcPr>
            <w:tcW w:w="667" w:type="dxa"/>
            <w:tcBorders>
              <w:top w:val="single" w:sz="4" w:space="0" w:color="000000"/>
            </w:tcBorders>
          </w:tcPr>
          <w:p>
            <w:pPr>
              <w:pStyle w:val="TableParagraph"/>
              <w:rPr>
                <w:sz w:val="22"/>
              </w:rPr>
            </w:pPr>
          </w:p>
        </w:tc>
        <w:tc>
          <w:tcPr>
            <w:tcW w:w="666" w:type="dxa"/>
            <w:tcBorders>
              <w:top w:val="single" w:sz="4" w:space="0" w:color="000000"/>
            </w:tcBorders>
          </w:tcPr>
          <w:p>
            <w:pPr>
              <w:pStyle w:val="TableParagraph"/>
              <w:rPr>
                <w:sz w:val="22"/>
              </w:rPr>
            </w:pPr>
          </w:p>
        </w:tc>
        <w:tc>
          <w:tcPr>
            <w:tcW w:w="666" w:type="dxa"/>
            <w:tcBorders>
              <w:top w:val="single" w:sz="4" w:space="0" w:color="000000"/>
            </w:tcBorders>
          </w:tcPr>
          <w:p>
            <w:pPr>
              <w:pStyle w:val="TableParagraph"/>
              <w:rPr>
                <w:sz w:val="22"/>
              </w:rPr>
            </w:pPr>
          </w:p>
        </w:tc>
        <w:tc>
          <w:tcPr>
            <w:tcW w:w="666" w:type="dxa"/>
            <w:tcBorders>
              <w:top w:val="single" w:sz="4" w:space="0" w:color="000000"/>
            </w:tcBorders>
          </w:tcPr>
          <w:p>
            <w:pPr>
              <w:pStyle w:val="TableParagraph"/>
              <w:rPr>
                <w:sz w:val="22"/>
              </w:rPr>
            </w:pPr>
          </w:p>
        </w:tc>
        <w:tc>
          <w:tcPr>
            <w:tcW w:w="629" w:type="dxa"/>
            <w:tcBorders>
              <w:top w:val="single" w:sz="4" w:space="0" w:color="000000"/>
            </w:tcBorders>
          </w:tcPr>
          <w:p>
            <w:pPr>
              <w:pStyle w:val="TableParagraph"/>
              <w:rPr>
                <w:sz w:val="22"/>
              </w:rPr>
            </w:pPr>
          </w:p>
        </w:tc>
        <w:tc>
          <w:tcPr>
            <w:tcW w:w="1459" w:type="dxa"/>
            <w:tcBorders>
              <w:top w:val="single" w:sz="4" w:space="0" w:color="000000"/>
            </w:tcBorders>
          </w:tcPr>
          <w:p>
            <w:pPr>
              <w:pStyle w:val="TableParagraph"/>
              <w:rPr>
                <w:sz w:val="22"/>
              </w:rPr>
            </w:pPr>
          </w:p>
        </w:tc>
        <w:tc>
          <w:tcPr>
            <w:tcW w:w="622" w:type="dxa"/>
            <w:tcBorders>
              <w:top w:val="single" w:sz="4" w:space="0" w:color="000000"/>
            </w:tcBorders>
          </w:tcPr>
          <w:p>
            <w:pPr>
              <w:pStyle w:val="TableParagraph"/>
              <w:rPr>
                <w:sz w:val="22"/>
              </w:rPr>
            </w:pPr>
          </w:p>
        </w:tc>
        <w:tc>
          <w:tcPr>
            <w:tcW w:w="1139" w:type="dxa"/>
            <w:tcBorders>
              <w:top w:val="single" w:sz="4" w:space="0" w:color="000000"/>
              <w:right w:val="single" w:sz="4" w:space="0" w:color="000000"/>
            </w:tcBorders>
          </w:tcPr>
          <w:p>
            <w:pPr>
              <w:pStyle w:val="TableParagraph"/>
              <w:spacing w:before="117"/>
              <w:ind w:left="216"/>
              <w:rPr>
                <w:rFonts w:ascii="Arial"/>
                <w:sz w:val="16"/>
              </w:rPr>
            </w:pPr>
            <w:r>
              <w:rPr>
                <w:rFonts w:ascii="Arial"/>
                <w:w w:val="105"/>
                <w:sz w:val="16"/>
              </w:rPr>
              <w:t>3.5</w:t>
            </w:r>
          </w:p>
        </w:tc>
      </w:tr>
      <w:tr>
        <w:trPr>
          <w:trHeight w:val="434" w:hRule="atLeast"/>
        </w:trPr>
        <w:tc>
          <w:tcPr>
            <w:tcW w:w="1222" w:type="dxa"/>
            <w:tcBorders>
              <w:left w:val="single" w:sz="4" w:space="0" w:color="000000"/>
            </w:tcBorders>
          </w:tcPr>
          <w:p>
            <w:pPr>
              <w:pStyle w:val="TableParagraph"/>
              <w:rPr>
                <w:sz w:val="22"/>
              </w:rPr>
            </w:pPr>
          </w:p>
        </w:tc>
        <w:tc>
          <w:tcPr>
            <w:tcW w:w="667" w:type="dxa"/>
          </w:tcPr>
          <w:p>
            <w:pPr>
              <w:pStyle w:val="TableParagraph"/>
              <w:rPr>
                <w:sz w:val="22"/>
              </w:rPr>
            </w:pPr>
          </w:p>
        </w:tc>
        <w:tc>
          <w:tcPr>
            <w:tcW w:w="667"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29" w:type="dxa"/>
          </w:tcPr>
          <w:p>
            <w:pPr>
              <w:pStyle w:val="TableParagraph"/>
              <w:rPr>
                <w:sz w:val="22"/>
              </w:rPr>
            </w:pPr>
          </w:p>
        </w:tc>
        <w:tc>
          <w:tcPr>
            <w:tcW w:w="1459" w:type="dxa"/>
          </w:tcPr>
          <w:p>
            <w:pPr>
              <w:pStyle w:val="TableParagraph"/>
              <w:spacing w:before="124"/>
              <w:ind w:left="123"/>
              <w:rPr>
                <w:rFonts w:ascii="Arial"/>
                <w:sz w:val="16"/>
              </w:rPr>
            </w:pPr>
            <w:r>
              <w:rPr>
                <w:rFonts w:ascii="Arial"/>
                <w:w w:val="105"/>
                <w:sz w:val="16"/>
              </w:rPr>
              <w:t>United Kingdom</w:t>
            </w:r>
          </w:p>
        </w:tc>
        <w:tc>
          <w:tcPr>
            <w:tcW w:w="622" w:type="dxa"/>
          </w:tcPr>
          <w:p>
            <w:pPr>
              <w:pStyle w:val="TableParagraph"/>
              <w:rPr>
                <w:sz w:val="22"/>
              </w:rPr>
            </w:pPr>
          </w:p>
        </w:tc>
        <w:tc>
          <w:tcPr>
            <w:tcW w:w="1139" w:type="dxa"/>
            <w:tcBorders>
              <w:right w:val="single" w:sz="4" w:space="0" w:color="000000"/>
            </w:tcBorders>
          </w:tcPr>
          <w:p>
            <w:pPr>
              <w:pStyle w:val="TableParagraph"/>
              <w:spacing w:before="8"/>
              <w:rPr>
                <w:sz w:val="14"/>
              </w:rPr>
            </w:pPr>
          </w:p>
          <w:p>
            <w:pPr>
              <w:pStyle w:val="TableParagraph"/>
              <w:spacing w:before="1"/>
              <w:ind w:left="216"/>
              <w:rPr>
                <w:rFonts w:ascii="Arial"/>
                <w:sz w:val="16"/>
              </w:rPr>
            </w:pPr>
            <w:r>
              <w:rPr>
                <w:rFonts w:ascii="Arial"/>
                <w:w w:val="105"/>
                <w:sz w:val="16"/>
              </w:rPr>
              <w:t>3.0</w:t>
            </w:r>
          </w:p>
        </w:tc>
      </w:tr>
      <w:tr>
        <w:trPr>
          <w:trHeight w:val="472" w:hRule="atLeast"/>
        </w:trPr>
        <w:tc>
          <w:tcPr>
            <w:tcW w:w="1222" w:type="dxa"/>
            <w:tcBorders>
              <w:left w:val="single" w:sz="4" w:space="0" w:color="000000"/>
            </w:tcBorders>
          </w:tcPr>
          <w:p>
            <w:pPr>
              <w:pStyle w:val="TableParagraph"/>
              <w:rPr>
                <w:sz w:val="22"/>
              </w:rPr>
            </w:pPr>
          </w:p>
        </w:tc>
        <w:tc>
          <w:tcPr>
            <w:tcW w:w="667" w:type="dxa"/>
          </w:tcPr>
          <w:p>
            <w:pPr>
              <w:pStyle w:val="TableParagraph"/>
              <w:rPr>
                <w:sz w:val="22"/>
              </w:rPr>
            </w:pPr>
          </w:p>
        </w:tc>
        <w:tc>
          <w:tcPr>
            <w:tcW w:w="667"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29" w:type="dxa"/>
          </w:tcPr>
          <w:p>
            <w:pPr>
              <w:pStyle w:val="TableParagraph"/>
              <w:rPr>
                <w:sz w:val="22"/>
              </w:rPr>
            </w:pPr>
          </w:p>
        </w:tc>
        <w:tc>
          <w:tcPr>
            <w:tcW w:w="1459" w:type="dxa"/>
          </w:tcPr>
          <w:p>
            <w:pPr>
              <w:pStyle w:val="TableParagraph"/>
              <w:spacing w:before="79"/>
              <w:ind w:left="123"/>
              <w:rPr>
                <w:rFonts w:ascii="Arial"/>
                <w:sz w:val="16"/>
              </w:rPr>
            </w:pPr>
            <w:r>
              <w:rPr>
                <w:rFonts w:ascii="Arial"/>
                <w:w w:val="105"/>
                <w:sz w:val="16"/>
              </w:rPr>
              <w:t>United States</w:t>
            </w:r>
          </w:p>
        </w:tc>
        <w:tc>
          <w:tcPr>
            <w:tcW w:w="622" w:type="dxa"/>
          </w:tcPr>
          <w:p>
            <w:pPr>
              <w:pStyle w:val="TableParagraph"/>
              <w:rPr>
                <w:sz w:val="22"/>
              </w:rPr>
            </w:pPr>
          </w:p>
        </w:tc>
        <w:tc>
          <w:tcPr>
            <w:tcW w:w="1139" w:type="dxa"/>
            <w:tcBorders>
              <w:right w:val="single" w:sz="4" w:space="0" w:color="000000"/>
            </w:tcBorders>
          </w:tcPr>
          <w:p>
            <w:pPr>
              <w:pStyle w:val="TableParagraph"/>
              <w:spacing w:before="3"/>
              <w:rPr>
                <w:sz w:val="17"/>
              </w:rPr>
            </w:pPr>
          </w:p>
          <w:p>
            <w:pPr>
              <w:pStyle w:val="TableParagraph"/>
              <w:spacing w:before="1"/>
              <w:ind w:left="216"/>
              <w:rPr>
                <w:rFonts w:ascii="Arial"/>
                <w:sz w:val="16"/>
              </w:rPr>
            </w:pPr>
            <w:r>
              <w:rPr>
                <w:rFonts w:ascii="Arial"/>
                <w:w w:val="105"/>
                <w:sz w:val="16"/>
              </w:rPr>
              <w:t>2.5</w:t>
            </w:r>
          </w:p>
        </w:tc>
      </w:tr>
      <w:tr>
        <w:trPr>
          <w:trHeight w:val="532" w:hRule="atLeast"/>
        </w:trPr>
        <w:tc>
          <w:tcPr>
            <w:tcW w:w="1222" w:type="dxa"/>
            <w:tcBorders>
              <w:left w:val="single" w:sz="4" w:space="0" w:color="000000"/>
            </w:tcBorders>
          </w:tcPr>
          <w:p>
            <w:pPr>
              <w:pStyle w:val="TableParagraph"/>
              <w:rPr>
                <w:sz w:val="22"/>
              </w:rPr>
            </w:pPr>
          </w:p>
        </w:tc>
        <w:tc>
          <w:tcPr>
            <w:tcW w:w="667" w:type="dxa"/>
          </w:tcPr>
          <w:p>
            <w:pPr>
              <w:pStyle w:val="TableParagraph"/>
              <w:rPr>
                <w:sz w:val="22"/>
              </w:rPr>
            </w:pPr>
          </w:p>
        </w:tc>
        <w:tc>
          <w:tcPr>
            <w:tcW w:w="667"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29" w:type="dxa"/>
          </w:tcPr>
          <w:p>
            <w:pPr>
              <w:pStyle w:val="TableParagraph"/>
              <w:rPr>
                <w:sz w:val="22"/>
              </w:rPr>
            </w:pPr>
          </w:p>
        </w:tc>
        <w:tc>
          <w:tcPr>
            <w:tcW w:w="1459" w:type="dxa"/>
          </w:tcPr>
          <w:p>
            <w:pPr>
              <w:pStyle w:val="TableParagraph"/>
              <w:rPr>
                <w:sz w:val="22"/>
              </w:rPr>
            </w:pPr>
          </w:p>
        </w:tc>
        <w:tc>
          <w:tcPr>
            <w:tcW w:w="622" w:type="dxa"/>
          </w:tcPr>
          <w:p>
            <w:pPr>
              <w:pStyle w:val="TableParagraph"/>
              <w:rPr>
                <w:sz w:val="22"/>
              </w:rPr>
            </w:pPr>
          </w:p>
        </w:tc>
        <w:tc>
          <w:tcPr>
            <w:tcW w:w="1139" w:type="dxa"/>
            <w:tcBorders>
              <w:right w:val="single" w:sz="4" w:space="0" w:color="000000"/>
            </w:tcBorders>
          </w:tcPr>
          <w:p>
            <w:pPr>
              <w:pStyle w:val="TableParagraph"/>
              <w:rPr>
                <w:sz w:val="18"/>
              </w:rPr>
            </w:pPr>
          </w:p>
          <w:p>
            <w:pPr>
              <w:pStyle w:val="TableParagraph"/>
              <w:ind w:left="216"/>
              <w:rPr>
                <w:rFonts w:ascii="Arial"/>
                <w:sz w:val="16"/>
              </w:rPr>
            </w:pPr>
            <w:r>
              <w:rPr>
                <w:rFonts w:ascii="Arial"/>
                <w:w w:val="105"/>
                <w:sz w:val="16"/>
              </w:rPr>
              <w:t>2.0</w:t>
            </w:r>
          </w:p>
        </w:tc>
      </w:tr>
      <w:tr>
        <w:trPr>
          <w:trHeight w:val="472" w:hRule="atLeast"/>
        </w:trPr>
        <w:tc>
          <w:tcPr>
            <w:tcW w:w="1222" w:type="dxa"/>
            <w:tcBorders>
              <w:left w:val="single" w:sz="4" w:space="0" w:color="000000"/>
            </w:tcBorders>
          </w:tcPr>
          <w:p>
            <w:pPr>
              <w:pStyle w:val="TableParagraph"/>
              <w:rPr>
                <w:sz w:val="22"/>
              </w:rPr>
            </w:pPr>
          </w:p>
        </w:tc>
        <w:tc>
          <w:tcPr>
            <w:tcW w:w="667" w:type="dxa"/>
          </w:tcPr>
          <w:p>
            <w:pPr>
              <w:pStyle w:val="TableParagraph"/>
              <w:rPr>
                <w:sz w:val="22"/>
              </w:rPr>
            </w:pPr>
          </w:p>
        </w:tc>
        <w:tc>
          <w:tcPr>
            <w:tcW w:w="667"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29" w:type="dxa"/>
          </w:tcPr>
          <w:p>
            <w:pPr>
              <w:pStyle w:val="TableParagraph"/>
              <w:rPr>
                <w:sz w:val="22"/>
              </w:rPr>
            </w:pPr>
          </w:p>
        </w:tc>
        <w:tc>
          <w:tcPr>
            <w:tcW w:w="1459" w:type="dxa"/>
          </w:tcPr>
          <w:p>
            <w:pPr>
              <w:pStyle w:val="TableParagraph"/>
              <w:rPr>
                <w:sz w:val="22"/>
              </w:rPr>
            </w:pPr>
          </w:p>
        </w:tc>
        <w:tc>
          <w:tcPr>
            <w:tcW w:w="622" w:type="dxa"/>
          </w:tcPr>
          <w:p>
            <w:pPr>
              <w:pStyle w:val="TableParagraph"/>
              <w:rPr>
                <w:sz w:val="22"/>
              </w:rPr>
            </w:pPr>
          </w:p>
        </w:tc>
        <w:tc>
          <w:tcPr>
            <w:tcW w:w="1139" w:type="dxa"/>
            <w:tcBorders>
              <w:right w:val="single" w:sz="4" w:space="0" w:color="000000"/>
            </w:tcBorders>
          </w:tcPr>
          <w:p>
            <w:pPr>
              <w:pStyle w:val="TableParagraph"/>
              <w:spacing w:before="140"/>
              <w:ind w:left="216"/>
              <w:rPr>
                <w:rFonts w:ascii="Arial"/>
                <w:sz w:val="16"/>
              </w:rPr>
            </w:pPr>
            <w:r>
              <w:rPr>
                <w:rFonts w:ascii="Arial"/>
                <w:w w:val="105"/>
                <w:sz w:val="16"/>
              </w:rPr>
              <w:t>1.5</w:t>
            </w:r>
          </w:p>
        </w:tc>
      </w:tr>
      <w:tr>
        <w:trPr>
          <w:trHeight w:val="472" w:hRule="atLeast"/>
        </w:trPr>
        <w:tc>
          <w:tcPr>
            <w:tcW w:w="1222" w:type="dxa"/>
            <w:tcBorders>
              <w:left w:val="single" w:sz="4" w:space="0" w:color="000000"/>
            </w:tcBorders>
          </w:tcPr>
          <w:p>
            <w:pPr>
              <w:pStyle w:val="TableParagraph"/>
              <w:rPr>
                <w:sz w:val="22"/>
              </w:rPr>
            </w:pPr>
          </w:p>
        </w:tc>
        <w:tc>
          <w:tcPr>
            <w:tcW w:w="667" w:type="dxa"/>
          </w:tcPr>
          <w:p>
            <w:pPr>
              <w:pStyle w:val="TableParagraph"/>
              <w:rPr>
                <w:sz w:val="22"/>
              </w:rPr>
            </w:pPr>
          </w:p>
        </w:tc>
        <w:tc>
          <w:tcPr>
            <w:tcW w:w="667"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29" w:type="dxa"/>
          </w:tcPr>
          <w:p>
            <w:pPr>
              <w:pStyle w:val="TableParagraph"/>
              <w:rPr>
                <w:sz w:val="22"/>
              </w:rPr>
            </w:pPr>
          </w:p>
        </w:tc>
        <w:tc>
          <w:tcPr>
            <w:tcW w:w="1459" w:type="dxa"/>
          </w:tcPr>
          <w:p>
            <w:pPr>
              <w:pStyle w:val="TableParagraph"/>
              <w:tabs>
                <w:tab w:pos="1217" w:val="left" w:leader="none"/>
              </w:tabs>
              <w:spacing w:before="147"/>
              <w:ind w:left="182"/>
              <w:rPr>
                <w:rFonts w:ascii="Arial"/>
                <w:sz w:val="16"/>
              </w:rPr>
            </w:pPr>
            <w:r>
              <w:rPr>
                <w:rFonts w:ascii="Arial"/>
                <w:w w:val="103"/>
                <w:sz w:val="16"/>
                <w:u w:val="thick" w:color="9A3300"/>
              </w:rPr>
              <w:t> </w:t>
            </w:r>
            <w:r>
              <w:rPr>
                <w:rFonts w:ascii="Arial"/>
                <w:sz w:val="16"/>
                <w:u w:val="thick" w:color="9A3300"/>
              </w:rPr>
              <w:t>  </w:t>
            </w:r>
            <w:r>
              <w:rPr>
                <w:rFonts w:ascii="Arial"/>
                <w:spacing w:val="-14"/>
                <w:sz w:val="16"/>
                <w:u w:val="thick" w:color="9A3300"/>
              </w:rPr>
              <w:t> </w:t>
            </w:r>
            <w:r>
              <w:rPr>
                <w:rFonts w:ascii="Arial"/>
                <w:sz w:val="16"/>
              </w:rPr>
              <w:tab/>
            </w:r>
            <w:r>
              <w:rPr>
                <w:rFonts w:ascii="Arial"/>
                <w:w w:val="103"/>
                <w:sz w:val="16"/>
                <w:u w:val="thick" w:color="9A3300"/>
              </w:rPr>
              <w:t> </w:t>
            </w:r>
            <w:r>
              <w:rPr>
                <w:rFonts w:ascii="Arial"/>
                <w:spacing w:val="15"/>
                <w:sz w:val="16"/>
                <w:u w:val="thick" w:color="9A3300"/>
              </w:rPr>
              <w:t> </w:t>
            </w:r>
          </w:p>
        </w:tc>
        <w:tc>
          <w:tcPr>
            <w:tcW w:w="622" w:type="dxa"/>
          </w:tcPr>
          <w:p>
            <w:pPr>
              <w:pStyle w:val="TableParagraph"/>
              <w:rPr>
                <w:sz w:val="22"/>
              </w:rPr>
            </w:pPr>
          </w:p>
        </w:tc>
        <w:tc>
          <w:tcPr>
            <w:tcW w:w="1139" w:type="dxa"/>
            <w:tcBorders>
              <w:right w:val="single" w:sz="4" w:space="0" w:color="000000"/>
            </w:tcBorders>
          </w:tcPr>
          <w:p>
            <w:pPr>
              <w:pStyle w:val="TableParagraph"/>
              <w:spacing w:before="147"/>
              <w:ind w:left="216"/>
              <w:rPr>
                <w:rFonts w:ascii="Arial"/>
                <w:sz w:val="16"/>
              </w:rPr>
            </w:pPr>
            <w:r>
              <w:rPr>
                <w:rFonts w:ascii="Arial"/>
                <w:w w:val="105"/>
                <w:sz w:val="16"/>
              </w:rPr>
              <w:t>1.0</w:t>
            </w:r>
          </w:p>
        </w:tc>
      </w:tr>
      <w:tr>
        <w:trPr>
          <w:trHeight w:val="472" w:hRule="atLeast"/>
        </w:trPr>
        <w:tc>
          <w:tcPr>
            <w:tcW w:w="1222" w:type="dxa"/>
            <w:tcBorders>
              <w:left w:val="single" w:sz="4" w:space="0" w:color="000000"/>
            </w:tcBorders>
          </w:tcPr>
          <w:p>
            <w:pPr>
              <w:pStyle w:val="TableParagraph"/>
              <w:rPr>
                <w:sz w:val="22"/>
              </w:rPr>
            </w:pPr>
          </w:p>
        </w:tc>
        <w:tc>
          <w:tcPr>
            <w:tcW w:w="667" w:type="dxa"/>
          </w:tcPr>
          <w:p>
            <w:pPr>
              <w:pStyle w:val="TableParagraph"/>
              <w:rPr>
                <w:sz w:val="22"/>
              </w:rPr>
            </w:pPr>
          </w:p>
        </w:tc>
        <w:tc>
          <w:tcPr>
            <w:tcW w:w="667"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29" w:type="dxa"/>
          </w:tcPr>
          <w:p>
            <w:pPr>
              <w:pStyle w:val="TableParagraph"/>
              <w:rPr>
                <w:sz w:val="22"/>
              </w:rPr>
            </w:pPr>
          </w:p>
        </w:tc>
        <w:tc>
          <w:tcPr>
            <w:tcW w:w="1459" w:type="dxa"/>
          </w:tcPr>
          <w:p>
            <w:pPr>
              <w:pStyle w:val="TableParagraph"/>
              <w:spacing w:before="139"/>
              <w:ind w:right="239"/>
              <w:jc w:val="right"/>
              <w:rPr>
                <w:rFonts w:ascii="Arial"/>
                <w:sz w:val="16"/>
              </w:rPr>
            </w:pPr>
            <w:r>
              <w:rPr>
                <w:rFonts w:ascii="Arial"/>
                <w:w w:val="103"/>
                <w:sz w:val="16"/>
                <w:u w:val="thick" w:color="33339A"/>
              </w:rPr>
              <w:t> </w:t>
            </w:r>
            <w:r>
              <w:rPr>
                <w:rFonts w:ascii="Arial"/>
                <w:sz w:val="16"/>
                <w:u w:val="thick" w:color="33339A"/>
              </w:rPr>
              <w:t> </w:t>
            </w:r>
          </w:p>
        </w:tc>
        <w:tc>
          <w:tcPr>
            <w:tcW w:w="622" w:type="dxa"/>
          </w:tcPr>
          <w:p>
            <w:pPr>
              <w:pStyle w:val="TableParagraph"/>
              <w:rPr>
                <w:sz w:val="22"/>
              </w:rPr>
            </w:pPr>
          </w:p>
        </w:tc>
        <w:tc>
          <w:tcPr>
            <w:tcW w:w="1139" w:type="dxa"/>
            <w:tcBorders>
              <w:right w:val="single" w:sz="4" w:space="0" w:color="000000"/>
            </w:tcBorders>
          </w:tcPr>
          <w:p>
            <w:pPr>
              <w:pStyle w:val="TableParagraph"/>
              <w:spacing w:before="139"/>
              <w:ind w:left="216"/>
              <w:rPr>
                <w:rFonts w:ascii="Arial"/>
                <w:sz w:val="16"/>
              </w:rPr>
            </w:pPr>
            <w:r>
              <w:rPr>
                <w:rFonts w:ascii="Arial"/>
                <w:w w:val="105"/>
                <w:sz w:val="16"/>
              </w:rPr>
              <w:t>0.5</w:t>
            </w:r>
          </w:p>
        </w:tc>
      </w:tr>
      <w:tr>
        <w:trPr>
          <w:trHeight w:val="360" w:hRule="atLeast"/>
        </w:trPr>
        <w:tc>
          <w:tcPr>
            <w:tcW w:w="1222" w:type="dxa"/>
            <w:tcBorders>
              <w:left w:val="single" w:sz="4" w:space="0" w:color="000000"/>
            </w:tcBorders>
          </w:tcPr>
          <w:p>
            <w:pPr>
              <w:pStyle w:val="TableParagraph"/>
              <w:rPr>
                <w:sz w:val="22"/>
              </w:rPr>
            </w:pPr>
          </w:p>
        </w:tc>
        <w:tc>
          <w:tcPr>
            <w:tcW w:w="667" w:type="dxa"/>
          </w:tcPr>
          <w:p>
            <w:pPr>
              <w:pStyle w:val="TableParagraph"/>
              <w:rPr>
                <w:sz w:val="22"/>
              </w:rPr>
            </w:pPr>
          </w:p>
        </w:tc>
        <w:tc>
          <w:tcPr>
            <w:tcW w:w="667"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66" w:type="dxa"/>
          </w:tcPr>
          <w:p>
            <w:pPr>
              <w:pStyle w:val="TableParagraph"/>
              <w:rPr>
                <w:sz w:val="22"/>
              </w:rPr>
            </w:pPr>
          </w:p>
        </w:tc>
        <w:tc>
          <w:tcPr>
            <w:tcW w:w="629" w:type="dxa"/>
          </w:tcPr>
          <w:p>
            <w:pPr>
              <w:pStyle w:val="TableParagraph"/>
              <w:rPr>
                <w:sz w:val="22"/>
              </w:rPr>
            </w:pPr>
          </w:p>
        </w:tc>
        <w:tc>
          <w:tcPr>
            <w:tcW w:w="1459" w:type="dxa"/>
          </w:tcPr>
          <w:p>
            <w:pPr>
              <w:pStyle w:val="TableParagraph"/>
              <w:rPr>
                <w:sz w:val="22"/>
              </w:rPr>
            </w:pPr>
          </w:p>
        </w:tc>
        <w:tc>
          <w:tcPr>
            <w:tcW w:w="622" w:type="dxa"/>
          </w:tcPr>
          <w:p>
            <w:pPr>
              <w:pStyle w:val="TableParagraph"/>
              <w:rPr>
                <w:sz w:val="22"/>
              </w:rPr>
            </w:pPr>
          </w:p>
        </w:tc>
        <w:tc>
          <w:tcPr>
            <w:tcW w:w="1139" w:type="dxa"/>
            <w:tcBorders>
              <w:right w:val="single" w:sz="4" w:space="0" w:color="000000"/>
            </w:tcBorders>
          </w:tcPr>
          <w:p>
            <w:pPr>
              <w:pStyle w:val="TableParagraph"/>
              <w:spacing w:before="147"/>
              <w:ind w:left="216"/>
              <w:rPr>
                <w:rFonts w:ascii="Arial"/>
                <w:sz w:val="16"/>
              </w:rPr>
            </w:pPr>
            <w:r>
              <w:rPr>
                <w:rFonts w:ascii="Arial"/>
                <w:w w:val="105"/>
                <w:sz w:val="16"/>
              </w:rPr>
              <w:t>0.0</w:t>
            </w:r>
          </w:p>
        </w:tc>
      </w:tr>
      <w:tr>
        <w:trPr>
          <w:trHeight w:val="376" w:hRule="atLeast"/>
        </w:trPr>
        <w:tc>
          <w:tcPr>
            <w:tcW w:w="1222" w:type="dxa"/>
            <w:tcBorders>
              <w:left w:val="single" w:sz="4" w:space="0" w:color="000000"/>
              <w:bottom w:val="single" w:sz="4" w:space="0" w:color="000000"/>
            </w:tcBorders>
          </w:tcPr>
          <w:p>
            <w:pPr>
              <w:pStyle w:val="TableParagraph"/>
              <w:spacing w:before="27"/>
              <w:ind w:left="712"/>
              <w:rPr>
                <w:rFonts w:ascii="Arial"/>
                <w:sz w:val="16"/>
              </w:rPr>
            </w:pPr>
            <w:r>
              <w:rPr>
                <w:rFonts w:ascii="Arial"/>
                <w:w w:val="105"/>
                <w:sz w:val="16"/>
              </w:rPr>
              <w:t>1960</w:t>
            </w:r>
          </w:p>
        </w:tc>
        <w:tc>
          <w:tcPr>
            <w:tcW w:w="667" w:type="dxa"/>
            <w:tcBorders>
              <w:bottom w:val="single" w:sz="4" w:space="0" w:color="000000"/>
            </w:tcBorders>
          </w:tcPr>
          <w:p>
            <w:pPr>
              <w:pStyle w:val="TableParagraph"/>
              <w:spacing w:before="27"/>
              <w:ind w:left="154"/>
              <w:rPr>
                <w:rFonts w:ascii="Arial"/>
                <w:sz w:val="16"/>
              </w:rPr>
            </w:pPr>
            <w:r>
              <w:rPr>
                <w:rFonts w:ascii="Arial"/>
                <w:w w:val="105"/>
                <w:sz w:val="16"/>
              </w:rPr>
              <w:t>1965</w:t>
            </w:r>
          </w:p>
        </w:tc>
        <w:tc>
          <w:tcPr>
            <w:tcW w:w="667" w:type="dxa"/>
            <w:tcBorders>
              <w:bottom w:val="single" w:sz="4" w:space="0" w:color="000000"/>
            </w:tcBorders>
          </w:tcPr>
          <w:p>
            <w:pPr>
              <w:pStyle w:val="TableParagraph"/>
              <w:spacing w:before="27"/>
              <w:ind w:left="162"/>
              <w:rPr>
                <w:rFonts w:ascii="Arial"/>
                <w:sz w:val="16"/>
              </w:rPr>
            </w:pPr>
            <w:r>
              <w:rPr>
                <w:rFonts w:ascii="Arial"/>
                <w:w w:val="105"/>
                <w:sz w:val="16"/>
              </w:rPr>
              <w:t>1970</w:t>
            </w:r>
          </w:p>
        </w:tc>
        <w:tc>
          <w:tcPr>
            <w:tcW w:w="666" w:type="dxa"/>
            <w:tcBorders>
              <w:bottom w:val="single" w:sz="4" w:space="0" w:color="000000"/>
            </w:tcBorders>
          </w:tcPr>
          <w:p>
            <w:pPr>
              <w:pStyle w:val="TableParagraph"/>
              <w:spacing w:before="27"/>
              <w:ind w:left="155"/>
              <w:rPr>
                <w:rFonts w:ascii="Arial"/>
                <w:sz w:val="16"/>
              </w:rPr>
            </w:pPr>
            <w:r>
              <w:rPr>
                <w:rFonts w:ascii="Arial"/>
                <w:w w:val="105"/>
                <w:sz w:val="16"/>
              </w:rPr>
              <w:t>1975</w:t>
            </w:r>
          </w:p>
        </w:tc>
        <w:tc>
          <w:tcPr>
            <w:tcW w:w="666" w:type="dxa"/>
            <w:tcBorders>
              <w:bottom w:val="single" w:sz="4" w:space="0" w:color="000000"/>
            </w:tcBorders>
          </w:tcPr>
          <w:p>
            <w:pPr>
              <w:pStyle w:val="TableParagraph"/>
              <w:spacing w:before="27"/>
              <w:ind w:left="163"/>
              <w:rPr>
                <w:rFonts w:ascii="Arial"/>
                <w:sz w:val="16"/>
              </w:rPr>
            </w:pPr>
            <w:r>
              <w:rPr>
                <w:rFonts w:ascii="Arial"/>
                <w:w w:val="105"/>
                <w:sz w:val="16"/>
              </w:rPr>
              <w:t>1980</w:t>
            </w:r>
          </w:p>
        </w:tc>
        <w:tc>
          <w:tcPr>
            <w:tcW w:w="666" w:type="dxa"/>
            <w:tcBorders>
              <w:bottom w:val="single" w:sz="4" w:space="0" w:color="000000"/>
            </w:tcBorders>
          </w:tcPr>
          <w:p>
            <w:pPr>
              <w:pStyle w:val="TableParagraph"/>
              <w:spacing w:before="27"/>
              <w:ind w:left="157"/>
              <w:rPr>
                <w:rFonts w:ascii="Arial"/>
                <w:sz w:val="16"/>
              </w:rPr>
            </w:pPr>
            <w:r>
              <w:rPr>
                <w:rFonts w:ascii="Arial"/>
                <w:w w:val="105"/>
                <w:sz w:val="16"/>
              </w:rPr>
              <w:t>1985</w:t>
            </w:r>
          </w:p>
        </w:tc>
        <w:tc>
          <w:tcPr>
            <w:tcW w:w="629" w:type="dxa"/>
            <w:tcBorders>
              <w:bottom w:val="single" w:sz="4" w:space="0" w:color="000000"/>
            </w:tcBorders>
          </w:tcPr>
          <w:p>
            <w:pPr>
              <w:pStyle w:val="TableParagraph"/>
              <w:spacing w:before="27"/>
              <w:ind w:left="166"/>
              <w:rPr>
                <w:rFonts w:ascii="Arial"/>
                <w:sz w:val="16"/>
              </w:rPr>
            </w:pPr>
            <w:r>
              <w:rPr>
                <w:rFonts w:ascii="Arial"/>
                <w:w w:val="105"/>
                <w:sz w:val="16"/>
              </w:rPr>
              <w:t>1990</w:t>
            </w:r>
          </w:p>
        </w:tc>
        <w:tc>
          <w:tcPr>
            <w:tcW w:w="1459" w:type="dxa"/>
            <w:tcBorders>
              <w:bottom w:val="single" w:sz="4" w:space="0" w:color="000000"/>
            </w:tcBorders>
          </w:tcPr>
          <w:p>
            <w:pPr>
              <w:pStyle w:val="TableParagraph"/>
              <w:tabs>
                <w:tab w:pos="856" w:val="left" w:leader="none"/>
              </w:tabs>
              <w:spacing w:before="27"/>
              <w:ind w:left="197"/>
              <w:rPr>
                <w:rFonts w:ascii="Arial"/>
                <w:sz w:val="16"/>
              </w:rPr>
            </w:pPr>
            <w:r>
              <w:rPr>
                <w:rFonts w:ascii="Arial"/>
                <w:w w:val="105"/>
                <w:sz w:val="16"/>
              </w:rPr>
              <w:t>1995</w:t>
              <w:tab/>
              <w:t>2000</w:t>
            </w:r>
          </w:p>
        </w:tc>
        <w:tc>
          <w:tcPr>
            <w:tcW w:w="622" w:type="dxa"/>
            <w:tcBorders>
              <w:bottom w:val="single" w:sz="4" w:space="0" w:color="000000"/>
            </w:tcBorders>
          </w:tcPr>
          <w:p>
            <w:pPr>
              <w:pStyle w:val="TableParagraph"/>
              <w:spacing w:before="27"/>
              <w:ind w:left="72"/>
              <w:rPr>
                <w:rFonts w:ascii="Arial"/>
                <w:sz w:val="16"/>
              </w:rPr>
            </w:pPr>
            <w:r>
              <w:rPr>
                <w:rFonts w:ascii="Arial"/>
                <w:w w:val="105"/>
                <w:sz w:val="16"/>
              </w:rPr>
              <w:t>2005</w:t>
            </w:r>
          </w:p>
        </w:tc>
        <w:tc>
          <w:tcPr>
            <w:tcW w:w="1139" w:type="dxa"/>
            <w:tcBorders>
              <w:bottom w:val="single" w:sz="4" w:space="0" w:color="000000"/>
              <w:right w:val="single" w:sz="4" w:space="0" w:color="000000"/>
            </w:tcBorders>
          </w:tcPr>
          <w:p>
            <w:pPr>
              <w:pStyle w:val="TableParagraph"/>
              <w:rPr>
                <w:sz w:val="22"/>
              </w:rPr>
            </w:pPr>
          </w:p>
        </w:tc>
      </w:tr>
      <w:tr>
        <w:trPr>
          <w:trHeight w:val="700" w:hRule="atLeast"/>
        </w:trPr>
        <w:tc>
          <w:tcPr>
            <w:tcW w:w="8403"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Note: </w:t>
            </w:r>
            <w:r>
              <w:rPr>
                <w:sz w:val="20"/>
              </w:rPr>
              <w:t>Five-year rolling averages</w:t>
            </w:r>
          </w:p>
          <w:p>
            <w:pPr>
              <w:pStyle w:val="TableParagraph"/>
              <w:spacing w:before="119"/>
              <w:ind w:left="107"/>
              <w:rPr>
                <w:sz w:val="20"/>
              </w:rPr>
            </w:pPr>
            <w:r>
              <w:rPr>
                <w:i/>
                <w:sz w:val="20"/>
              </w:rPr>
              <w:t>Source: </w:t>
            </w:r>
            <w:r>
              <w:rPr>
                <w:sz w:val="20"/>
              </w:rPr>
              <w:t>ONS, Thompson Datastream and Bank calculations</w:t>
            </w:r>
          </w:p>
        </w:tc>
      </w:tr>
    </w:tbl>
    <w:p>
      <w:pPr>
        <w:pStyle w:val="BodyText"/>
        <w:rPr>
          <w:sz w:val="20"/>
        </w:rPr>
      </w:pPr>
    </w:p>
    <w:p>
      <w:pPr>
        <w:pStyle w:val="BodyText"/>
        <w:spacing w:before="5"/>
        <w:rPr>
          <w:sz w:val="28"/>
        </w:rPr>
      </w:pPr>
    </w:p>
    <w:p>
      <w:pPr>
        <w:pStyle w:val="BodyText"/>
        <w:spacing w:line="360" w:lineRule="auto" w:before="128"/>
        <w:ind w:left="1019" w:right="537"/>
        <w:jc w:val="both"/>
      </w:pPr>
      <w:r>
        <w:rPr/>
        <w:t>It was in the 19</w:t>
      </w:r>
      <w:r>
        <w:rPr>
          <w:vertAlign w:val="superscript"/>
        </w:rPr>
        <w:t>th</w:t>
      </w:r>
      <w:r>
        <w:rPr>
          <w:vertAlign w:val="baseline"/>
        </w:rPr>
        <w:t> and very early 20</w:t>
      </w:r>
      <w:r>
        <w:rPr>
          <w:vertAlign w:val="superscript"/>
        </w:rPr>
        <w:t>th</w:t>
      </w:r>
      <w:r>
        <w:rPr>
          <w:vertAlign w:val="baseline"/>
        </w:rPr>
        <w:t> century when we last saw this combination of open financial markets, free trade and an underpinning of price stability provided by the gold standard. In these earlier times, financial and commodity markets were the key drivers of economic cycles. As we move into a world with a greater underpinning of price stability, accompanied by more open trade and financial flows, we need to</w:t>
      </w:r>
    </w:p>
    <w:p>
      <w:pPr>
        <w:pStyle w:val="BodyText"/>
        <w:spacing w:before="9"/>
        <w:rPr>
          <w:sz w:val="9"/>
        </w:rPr>
      </w:pPr>
      <w:r>
        <w:rPr/>
        <w:pict>
          <v:shape style="position:absolute;margin-left:90pt;margin-top:7.881128pt;width:144pt;height:.1pt;mso-position-horizontal-relative:page;mso-position-vertical-relative:paragraph;z-index:-251644928;mso-wrap-distance-left:0;mso-wrap-distance-right:0" coordorigin="1800,158" coordsize="2880,0" path="m1800,158l4680,158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7 </w:t>
      </w:r>
      <w:r>
        <w:rPr>
          <w:sz w:val="20"/>
        </w:rPr>
        <w:t>See, for example, Bean (2008) and Gieve (2008).</w:t>
      </w:r>
    </w:p>
    <w:p>
      <w:pPr>
        <w:spacing w:after="0"/>
        <w:jc w:val="left"/>
        <w:rPr>
          <w:sz w:val="20"/>
        </w:rPr>
        <w:sectPr>
          <w:headerReference w:type="default" r:id="rId32"/>
          <w:footerReference w:type="default" r:id="rId33"/>
          <w:pgSz w:w="11910" w:h="16840"/>
          <w:pgMar w:header="716" w:footer="777" w:top="1200" w:bottom="960" w:left="780" w:right="1258"/>
          <w:pgNumType w:start="13"/>
        </w:sectPr>
      </w:pPr>
    </w:p>
    <w:p>
      <w:pPr>
        <w:pStyle w:val="BodyText"/>
        <w:spacing w:before="4"/>
        <w:rPr>
          <w:sz w:val="9"/>
        </w:rPr>
      </w:pPr>
    </w:p>
    <w:p>
      <w:pPr>
        <w:pStyle w:val="BodyText"/>
        <w:spacing w:line="360" w:lineRule="auto" w:before="129"/>
        <w:ind w:left="1020" w:right="537"/>
        <w:jc w:val="both"/>
      </w:pPr>
      <w:r>
        <w:rPr/>
        <w:t>recognise the dangers of a return to the boom-bust cycle of the 19</w:t>
      </w:r>
      <w:r>
        <w:rPr>
          <w:vertAlign w:val="superscript"/>
        </w:rPr>
        <w:t>th</w:t>
      </w:r>
      <w:r>
        <w:rPr>
          <w:vertAlign w:val="baseline"/>
        </w:rPr>
        <w:t> century, replacing the boom-bust inflationary cycles of the late 20</w:t>
      </w:r>
      <w:r>
        <w:rPr>
          <w:vertAlign w:val="superscript"/>
        </w:rPr>
        <w:t>th</w:t>
      </w:r>
      <w:r>
        <w:rPr>
          <w:vertAlign w:val="baseline"/>
        </w:rPr>
        <w:t> century.</w:t>
      </w:r>
    </w:p>
    <w:p>
      <w:pPr>
        <w:pStyle w:val="BodyText"/>
        <w:spacing w:before="2"/>
        <w:rPr>
          <w:sz w:val="36"/>
        </w:rPr>
      </w:pPr>
    </w:p>
    <w:p>
      <w:pPr>
        <w:pStyle w:val="Heading1"/>
      </w:pPr>
      <w:r>
        <w:rPr/>
        <w:t>Policy conclusions</w:t>
      </w:r>
    </w:p>
    <w:p>
      <w:pPr>
        <w:pStyle w:val="BodyText"/>
        <w:rPr>
          <w:b/>
          <w:sz w:val="26"/>
        </w:rPr>
      </w:pPr>
    </w:p>
    <w:p>
      <w:pPr>
        <w:pStyle w:val="BodyText"/>
        <w:spacing w:before="9"/>
        <w:rPr>
          <w:b/>
          <w:sz w:val="21"/>
        </w:rPr>
      </w:pPr>
    </w:p>
    <w:p>
      <w:pPr>
        <w:pStyle w:val="BodyText"/>
        <w:spacing w:line="360" w:lineRule="auto" w:before="1"/>
        <w:ind w:left="1020" w:right="536"/>
        <w:jc w:val="both"/>
      </w:pPr>
      <w:r>
        <w:rPr/>
        <w:pict>
          <v:group style="position:absolute;margin-left:133.050003pt;margin-top:224.59845pt;width:331.5pt;height:185.15pt;mso-position-horizontal-relative:page;mso-position-vertical-relative:paragraph;z-index:-254981120" coordorigin="2661,4492" coordsize="6630,3703">
            <v:shape style="position:absolute;left:6486;top:5419;width:2759;height:2355" coordorigin="6486,5420" coordsize="2759,2355" path="m6486,5420l6695,5945,6920,6125,7130,6590,7340,7250,7550,7294,7760,7520,7970,7654,8180,7760,8390,7774,8615,7760,9035,7670,9245,7640,9245,7594,8180,7594,7970,7504,7760,7370,7550,7160,7340,7114,7130,6470,6920,6020,6695,5885,6486,5420xm9245,7474l8825,7534,8615,7580,8390,7594,9245,7594,9245,7474xe" filled="true" fillcolor="#fdd7d7" stroked="false">
              <v:path arrowok="t"/>
              <v:fill type="solid"/>
            </v:shape>
            <v:shape style="position:absolute;left:6486;top:5419;width:2759;height:2175" coordorigin="6486,5420" coordsize="2759,2175" path="m6486,5420l6695,5885,6920,6020,7130,6470,7340,7114,7550,7160,7760,7370,7970,7504,8180,7594,8390,7594,8615,7580,8825,7534,9136,7490,8390,7490,8180,7474,7970,7400,7760,7280,7550,7054,7340,7024,7130,6394,6920,5960,6695,5840,6486,5420xm9245,7354l8825,7414,8615,7460,8390,7490,9136,7490,9245,7474,9245,7354xe" filled="true" fillcolor="#ffc5c8" stroked="false">
              <v:path arrowok="t"/>
              <v:fill type="solid"/>
            </v:shape>
            <v:shape style="position:absolute;left:6486;top:5419;width:2759;height:2070" coordorigin="6486,5420" coordsize="2759,2070" path="m6486,5420l6695,5840,6920,5960,7130,6394,7340,7024,7550,7054,7760,7280,7970,7400,8180,7474,8390,7490,8615,7460,8825,7414,9035,7384,8180,7384,7970,7310,7760,7190,7550,6980,7340,6964,7130,6335,6920,5915,6695,5810,6486,5420xm9245,7250l9035,7280,8615,7370,8390,7384,9035,7384,9245,7354,9245,7250xe" filled="true" fillcolor="#fcaaaa" stroked="false">
              <v:path arrowok="t"/>
              <v:fill type="solid"/>
            </v:shape>
            <v:shape style="position:absolute;left:6486;top:5419;width:2759;height:1965" coordorigin="6486,5420" coordsize="2759,1965" path="m6486,5420l6695,5810,6920,5915,7130,6335,7340,6964,7550,6980,7760,7190,7970,7310,8180,7384,8390,7384,8615,7370,8893,7310,8180,7310,7970,7234,7760,7130,7550,6920,7340,6904,7130,6290,6920,5870,6695,5780,6486,5420xm9245,7174l9035,7204,8615,7294,8390,7310,8893,7310,9035,7280,9245,7250,9245,7174xe" filled="true" fillcolor="#fc9c9c" stroked="false">
              <v:path arrowok="t"/>
              <v:fill type="solid"/>
            </v:shape>
            <v:shape style="position:absolute;left:6486;top:5419;width:2759;height:1890" coordorigin="6486,5420" coordsize="2759,1890" path="m6486,5420l6695,5780,6920,5870,7130,6290,7340,6904,7550,6920,7760,7130,7970,7234,8180,7310,8390,7310,8615,7294,8825,7250,8180,7250,7970,7174,7760,7070,7550,6860,7340,6844,7130,6230,6920,5840,6695,5750,6486,5420xm9245,7100l9035,7130,8615,7220,8390,7234,8180,7250,8825,7250,9035,7204,9245,7174,9245,7100xe" filled="true" fillcolor="#fc8888" stroked="false">
              <v:path arrowok="t"/>
              <v:fill type="solid"/>
            </v:shape>
            <v:shape style="position:absolute;left:6486;top:5419;width:2759;height:1830" coordorigin="6486,5420" coordsize="2759,1830" path="m6486,5420l6695,5750,6920,5840,7130,6230,7340,6844,7550,6860,7760,7070,7970,7174,8180,7250,8390,7234,8615,7220,8825,7174,8180,7174,7970,7114,7760,7010,7550,6814,7340,6800,7130,6185,6920,5795,6695,5720,6486,5420xm9245,7024l9035,7054,8825,7114,8390,7174,8825,7174,9035,7130,9245,7100,9245,7024xe" filled="true" fillcolor="#f97a7a" stroked="false">
              <v:path arrowok="t"/>
              <v:fill type="solid"/>
            </v:shape>
            <v:shape style="position:absolute;left:6486;top:5419;width:2759;height:1755" coordorigin="6486,5420" coordsize="2759,1755" path="m6486,5420l6695,5720,6920,5795,7130,6185,7340,6800,7550,6814,7760,7010,7970,7114,8180,7174,8390,7174,8825,7114,8180,7114,7970,7054,7760,6950,7550,6754,7340,6740,7130,6155,6920,5765,6695,5705,6486,5420xm9245,6964l9035,6994,8615,7084,8390,7114,8825,7114,9035,7054,9245,7024,9245,6964xe" filled="true" fillcolor="#f76f6f" stroked="false">
              <v:path arrowok="t"/>
              <v:fill type="solid"/>
            </v:shape>
            <v:shape style="position:absolute;left:6486;top:5419;width:2759;height:1695" coordorigin="6486,5420" coordsize="2759,1695" path="m6486,5420l6695,5705,6920,5765,7130,6155,7340,6740,7550,6754,7760,6950,7970,7054,8180,7114,8390,7114,8615,7084,8757,7054,8180,7054,7970,6994,7760,6904,7550,6710,7340,6694,7130,6110,6920,5735,6695,5675,6486,5420xm9245,6904l9035,6934,8615,7024,8390,7054,8757,7054,9035,6994,9245,6964,9245,6904xe" filled="true" fillcolor="#f46262" stroked="false">
              <v:path arrowok="t"/>
              <v:fill type="solid"/>
            </v:shape>
            <v:shape style="position:absolute;left:6486;top:5419;width:2759;height:1635" coordorigin="6486,5420" coordsize="2759,1635" path="m6486,5420l6695,5675,6920,5735,7130,6110,7340,6694,7550,6710,7760,6904,7970,6994,8180,7054,8390,7054,8615,7024,8963,6950,8180,6950,7970,6890,7760,6800,7550,6620,7340,6604,7130,6035,6920,5675,6695,5645,6486,5420xm9245,6784l9035,6814,8615,6904,8390,6934,8180,6950,8963,6950,9035,6934,9245,6904,9245,6784xe" filled="true" fillcolor="#eb4949" stroked="false">
              <v:path arrowok="t"/>
              <v:fill type="solid"/>
            </v:shape>
            <v:shape style="position:absolute;left:6486;top:5419;width:2759;height:1530" coordorigin="6486,5420" coordsize="2759,1530" path="m6486,5420l6695,5645,6920,5675,7130,6035,7340,6604,7550,6620,7760,6800,7970,6890,8180,6950,8390,6934,8615,6904,8683,6890,8180,6890,7970,6830,7760,6754,7550,6560,7340,6560,7130,5990,6920,5645,6695,5615,6486,5420xm9245,6724l9035,6754,8615,6844,8390,6874,8180,6890,8683,6890,9035,6814,9245,6784,9245,6724xe" filled="true" fillcolor="#f46262" stroked="false">
              <v:path arrowok="t"/>
              <v:fill type="solid"/>
            </v:shape>
            <v:shape style="position:absolute;left:6486;top:5419;width:2759;height:1470" coordorigin="6486,5420" coordsize="2759,1470" path="m6486,5420l6695,5615,6920,5645,7130,5990,7340,6560,7550,6560,7760,6754,7970,6830,8180,6890,8390,6874,8615,6844,8683,6830,8180,6830,7970,6784,7760,6694,7550,6514,7340,6514,7130,5945,6920,5600,6695,5600,6486,5420xm9245,6650l9035,6680,8825,6740,8615,6784,8390,6814,8180,6830,8683,6830,9035,6754,9245,6724,9245,6650xe" filled="true" fillcolor="#f76f6f" stroked="false">
              <v:path arrowok="t"/>
              <v:fill type="solid"/>
            </v:shape>
            <v:shape style="position:absolute;left:6486;top:5419;width:2759;height:1410" coordorigin="6486,5420" coordsize="2759,1410" path="m6486,5420l6695,5600,6920,5600,7130,5945,7340,6514,7550,6514,7760,6694,7970,6784,8180,6830,8390,6814,8615,6784,8757,6754,8180,6754,7970,6724,7760,6634,7550,6470,7340,6454,7130,5900,6920,5570,6695,5570,6486,5420xm9245,6590l9035,6620,8615,6710,8390,6740,8180,6754,8757,6754,8825,6740,9035,6680,9245,6650,9245,6590xe" filled="true" fillcolor="#f97a7a" stroked="false">
              <v:path arrowok="t"/>
              <v:fill type="solid"/>
            </v:shape>
            <v:shape style="position:absolute;left:6486;top:5419;width:2759;height:1335" coordorigin="6486,5420" coordsize="2759,1335" path="m6486,5420l6695,5570,6920,5570,7130,5900,7340,6454,7550,6470,7760,6634,7970,6724,8180,6754,8390,6740,8615,6710,8687,6694,8180,6694,7970,6650,7760,6574,7550,6410,7340,6410,7130,5855,6920,5540,6695,5540,6486,5420xm9245,6514l9035,6544,8825,6604,8615,6650,8390,6664,8180,6694,8687,6694,9035,6620,9245,6590,9245,6514xe" filled="true" fillcolor="#fc8888" stroked="false">
              <v:path arrowok="t"/>
              <v:fill type="solid"/>
            </v:shape>
            <v:shape style="position:absolute;left:6486;top:5419;width:2759;height:1275" coordorigin="6486,5420" coordsize="2759,1275" path="m6486,5420l6695,5540,6920,5540,7130,5855,7340,6410,7550,6410,7760,6574,7970,6650,8180,6694,8390,6664,8615,6650,8753,6620,8180,6620,7970,6574,7760,6514,7567,6350,7340,6350,7130,5795,6930,5510,6695,5510,6486,5420xm9245,6440l9035,6470,8615,6560,8180,6620,8753,6620,8825,6604,9035,6544,9245,6514,9245,6440xm7550,6335l7340,6350,7567,6350,7550,6335xm6920,5495l6695,5510,6930,5510,6920,5495xe" filled="true" fillcolor="#fc9c9c" stroked="false">
              <v:path arrowok="t"/>
              <v:fill type="solid"/>
            </v:shape>
            <v:shape style="position:absolute;left:6486;top:5419;width:2759;height:1200" coordorigin="6486,5420" coordsize="2759,1200" path="m7647,6335l7550,6335,7760,6514,7970,6574,8180,6620,8615,6560,8753,6530,8180,6530,7970,6500,7760,6424,7647,6335xm9245,6335l9035,6364,8825,6424,8615,6470,8180,6530,8753,6530,9035,6470,9245,6440,9245,6335xm6962,5495l6920,5495,7130,5795,7340,6350,7550,6335,7647,6335,7570,6275,7340,6275,7130,5735,6962,5495xm7550,6260l7340,6275,7570,6275,7550,6260xm6486,5420l6695,5510,6920,5495,6962,5495,6951,5480,6695,5480,6486,5420xm6920,5435l6695,5480,6951,5480,6920,5435xe" filled="true" fillcolor="#fcaaaa" stroked="false">
              <v:path arrowok="t"/>
              <v:fill type="solid"/>
            </v:shape>
            <v:shape style="position:absolute;left:6486;top:5375;width:2759;height:1155" coordorigin="6486,5375" coordsize="2759,1155" path="m7665,6260l7550,6260,7760,6424,7970,6500,8180,6530,8615,6470,8825,6424,8875,6410,8180,6410,7970,6394,7760,6335,7665,6260xm9245,6215l9035,6245,8825,6305,8615,6350,8180,6410,8875,6410,9035,6364,9245,6335,9245,6215xm6920,5375l6695,5435,6920,5435,7130,5735,7340,6275,7550,6260,7665,6260,7570,6185,7340,6185,7130,5660,6920,5375xm7550,6170l7340,6185,7570,6185,7550,6170xm6486,5420l6695,5480,6920,5435,6695,5435,6486,5420xe" filled="true" fillcolor="#ffc5c8" stroked="false">
              <v:path arrowok="t"/>
              <v:fill type="solid"/>
            </v:shape>
            <v:shape style="position:absolute;left:6486;top:5285;width:2759;height:1125" coordorigin="6486,5285" coordsize="2759,1125" path="m7739,6170l7550,6170,7760,6335,7970,6394,8180,6410,8615,6350,8825,6305,9035,6245,8180,6245,7970,6230,7760,6185,7739,6170xm9245,6050l9035,6080,8825,6125,8615,6185,8180,6245,9035,6245,9245,6215,9245,6050xm6995,5375l6920,5375,7130,5660,7340,6185,7550,6170,7739,6170,7571,6050,7340,6050,7130,5540,6995,5375xm7550,6035l7340,6050,7571,6050,7550,6035xm6920,5285l6695,5375,6486,5420,6695,5435,6920,5375,6995,5375,6920,5285xe" filled="true" fillcolor="#fdd7d7" stroked="false">
              <v:path arrowok="t"/>
              <v:fill type="solid"/>
            </v:shape>
            <v:shape style="position:absolute;left:2676;top:4535;width:6615;height:3659" coordorigin="2676,4535" coordsize="6615,3659" path="m9245,4535l9245,8150m9245,8150l9290,8150m9245,7744l9290,7744m9245,7340l9290,7340m9245,6950l9290,6950m9245,6544l9290,6544m9245,6140l9290,6140m9245,5735l9290,5735m9245,5345l9290,5345m9245,4940l9290,4940m9245,4535l9290,4535m2676,8150l9245,8150m2676,8194l2676,8150m3530,8194l3530,8150m4370,8194l4370,8150m5226,8194l5226,8150m6066,8194l6066,8150m6920,8194l6920,8150m7760,8194l7760,8150m8615,8194l8615,8150e" filled="false" stroked="true" strokeweight=".06pt" strokecolor="#000000">
              <v:path arrowok="t"/>
              <v:stroke dashstyle="solid"/>
            </v:shape>
            <v:line style="position:absolute" from="2676,6830" to="2886,6784" stroked="true" strokeweight="1.5pt" strokecolor="#eb4949">
              <v:stroke dashstyle="solid"/>
            </v:line>
            <v:shape style="position:absolute;left:2886;top:5419;width:4455;height:1425" coordorigin="2886,5420" coordsize="4455,1425" path="m2886,6784l3096,6844m3096,6844l3306,6770m3306,6770l3530,6650m3530,6650l3740,6560m3740,6560l3950,6380m3950,6380l4160,6484m4160,6484l4370,6574m4370,6574l4580,6440m4580,6440l4790,6380m4790,6380l5000,6260m5000,6260l5226,6200m5226,6200l5436,6320m5436,6320l5646,6620m5646,6620l5856,6500m5856,6500l6066,6394m6066,6394l6276,5990m6276,5990l6486,5420m6486,5420l6695,5660m6695,5660l6920,5705m6920,5705l7130,6065m7130,6065l7340,6650e" filled="false" stroked="true" strokeweight="1.5pt" strokecolor="#eb4949">
              <v:path arrowok="t"/>
              <v:stroke dashstyle="solid"/>
            </v:shape>
            <v:line style="position:absolute" from="7325,6657" to="7565,6657" stroked="true" strokeweight="2.220pt" strokecolor="#eb4949">
              <v:stroke dashstyle="solid"/>
            </v:line>
            <v:shape style="position:absolute;left:7550;top:6664;width:630;height:346" coordorigin="7550,6664" coordsize="630,346" path="m7550,6664l7760,6860m7760,6860l7970,6950m7970,6950l8180,7010e" filled="false" stroked="true" strokeweight="1.5pt" strokecolor="#eb4949">
              <v:path arrowok="t"/>
              <v:stroke dashstyle="solid"/>
            </v:shape>
            <v:line style="position:absolute" from="8165,7002" to="8405,7002" stroked="true" strokeweight="2.280pt" strokecolor="#eb4949">
              <v:stroke dashstyle="solid"/>
            </v:line>
            <v:shape style="position:absolute;left:8390;top:6874;width:645;height:120" coordorigin="8390,6874" coordsize="645,120" path="m8390,6994l8615,6964m8615,6964l8825,6920m8825,6920l9035,6874e" filled="false" stroked="true" strokeweight="1.5pt" strokecolor="#eb4949">
              <v:path arrowok="t"/>
              <v:stroke dashstyle="solid"/>
            </v:shape>
            <v:line style="position:absolute" from="9035,6874" to="9245,6844" stroked="true" strokeweight="1.5pt" strokecolor="#eb4949">
              <v:stroke dashstyle="solid"/>
            </v:line>
            <v:line style="position:absolute" from="2675,6544" to="9035,6544" stroked="true" strokeweight=".06pt" strokecolor="#000000">
              <v:stroke dashstyle="solid"/>
            </v:line>
            <v:line style="position:absolute" from="9035,6544" to="9245,6544" stroked="true" strokeweight=".06pt" strokecolor="#000000">
              <v:stroke dashstyle="solid"/>
            </v:line>
            <v:line style="position:absolute" from="8369,8143" to="8399,4499" stroked="true" strokeweight=".75pt" strokecolor="#010101">
              <v:stroke dashstyle="dash"/>
            </v:line>
            <w10:wrap type="none"/>
          </v:group>
        </w:pict>
      </w:r>
      <w:r>
        <w:rPr/>
        <w:t>So what does his imply for monetary policy? In the short-term, the monetary policy challenge is clear. To act to counter the negative impact on demand from global slowdown and banking crisis, and to head off the potential deflationary risks created by an emerging large margin of spare capacity. The fact that the monetary transmission mechanism may be affected because of the disruption to the banking system doesn’t mean that monetary policy is irrelevant as some have begun to argue; rather it gives added force to the argument for a significant relaxation of policy in the short-term, which the MPC has delivered.</w:t>
      </w:r>
    </w:p>
    <w:p>
      <w:pPr>
        <w:pStyle w:val="BodyText"/>
        <w:rPr>
          <w:sz w:val="20"/>
        </w:rPr>
      </w:pPr>
    </w:p>
    <w:p>
      <w:pPr>
        <w:pStyle w:val="BodyText"/>
        <w:spacing w:before="3"/>
        <w:rPr>
          <w:sz w:val="16"/>
        </w:rPr>
      </w:pPr>
    </w:p>
    <w:tbl>
      <w:tblPr>
        <w:tblW w:w="0" w:type="auto"/>
        <w:jc w:val="left"/>
        <w:tblInd w:w="1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5"/>
        <w:gridCol w:w="848"/>
        <w:gridCol w:w="847"/>
        <w:gridCol w:w="847"/>
        <w:gridCol w:w="847"/>
        <w:gridCol w:w="847"/>
        <w:gridCol w:w="848"/>
        <w:gridCol w:w="893"/>
        <w:gridCol w:w="1133"/>
      </w:tblGrid>
      <w:tr>
        <w:trPr>
          <w:trHeight w:val="275" w:hRule="atLeast"/>
        </w:trPr>
        <w:tc>
          <w:tcPr>
            <w:tcW w:w="8415" w:type="dxa"/>
            <w:gridSpan w:val="9"/>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b/>
                <w:sz w:val="24"/>
              </w:rPr>
            </w:pPr>
            <w:r>
              <w:rPr>
                <w:b/>
                <w:sz w:val="24"/>
              </w:rPr>
              <w:t>Chart 10: CPI inflation</w:t>
            </w:r>
          </w:p>
        </w:tc>
      </w:tr>
      <w:tr>
        <w:trPr>
          <w:trHeight w:val="275" w:hRule="atLeast"/>
        </w:trPr>
        <w:tc>
          <w:tcPr>
            <w:tcW w:w="8415" w:type="dxa"/>
            <w:gridSpan w:val="9"/>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7"/>
              <w:rPr>
                <w:sz w:val="24"/>
              </w:rPr>
            </w:pPr>
            <w:r>
              <w:rPr>
                <w:sz w:val="24"/>
              </w:rPr>
              <w:t>Annual percentage change</w:t>
            </w:r>
          </w:p>
        </w:tc>
      </w:tr>
      <w:tr>
        <w:trPr>
          <w:trHeight w:val="417" w:hRule="atLeast"/>
        </w:trPr>
        <w:tc>
          <w:tcPr>
            <w:tcW w:w="1305" w:type="dxa"/>
            <w:tcBorders>
              <w:top w:val="single" w:sz="4" w:space="0" w:color="000000"/>
              <w:left w:val="single" w:sz="4" w:space="0" w:color="000000"/>
            </w:tcBorders>
          </w:tcPr>
          <w:p>
            <w:pPr>
              <w:pStyle w:val="TableParagraph"/>
              <w:rPr>
                <w:sz w:val="22"/>
              </w:rPr>
            </w:pPr>
          </w:p>
        </w:tc>
        <w:tc>
          <w:tcPr>
            <w:tcW w:w="848" w:type="dxa"/>
            <w:tcBorders>
              <w:top w:val="single" w:sz="4" w:space="0" w:color="000000"/>
            </w:tcBorders>
          </w:tcPr>
          <w:p>
            <w:pPr>
              <w:pStyle w:val="TableParagraph"/>
              <w:rPr>
                <w:sz w:val="22"/>
              </w:rPr>
            </w:pPr>
          </w:p>
        </w:tc>
        <w:tc>
          <w:tcPr>
            <w:tcW w:w="847" w:type="dxa"/>
            <w:tcBorders>
              <w:top w:val="single" w:sz="4" w:space="0" w:color="000000"/>
            </w:tcBorders>
          </w:tcPr>
          <w:p>
            <w:pPr>
              <w:pStyle w:val="TableParagraph"/>
              <w:rPr>
                <w:sz w:val="22"/>
              </w:rPr>
            </w:pPr>
          </w:p>
        </w:tc>
        <w:tc>
          <w:tcPr>
            <w:tcW w:w="847" w:type="dxa"/>
            <w:tcBorders>
              <w:top w:val="single" w:sz="4" w:space="0" w:color="000000"/>
            </w:tcBorders>
          </w:tcPr>
          <w:p>
            <w:pPr>
              <w:pStyle w:val="TableParagraph"/>
              <w:rPr>
                <w:sz w:val="22"/>
              </w:rPr>
            </w:pPr>
          </w:p>
        </w:tc>
        <w:tc>
          <w:tcPr>
            <w:tcW w:w="847" w:type="dxa"/>
            <w:tcBorders>
              <w:top w:val="single" w:sz="4" w:space="0" w:color="000000"/>
            </w:tcBorders>
          </w:tcPr>
          <w:p>
            <w:pPr>
              <w:pStyle w:val="TableParagraph"/>
              <w:rPr>
                <w:sz w:val="22"/>
              </w:rPr>
            </w:pPr>
          </w:p>
        </w:tc>
        <w:tc>
          <w:tcPr>
            <w:tcW w:w="847" w:type="dxa"/>
            <w:tcBorders>
              <w:top w:val="single" w:sz="4" w:space="0" w:color="000000"/>
            </w:tcBorders>
          </w:tcPr>
          <w:p>
            <w:pPr>
              <w:pStyle w:val="TableParagraph"/>
              <w:rPr>
                <w:sz w:val="22"/>
              </w:rPr>
            </w:pPr>
          </w:p>
        </w:tc>
        <w:tc>
          <w:tcPr>
            <w:tcW w:w="848" w:type="dxa"/>
            <w:tcBorders>
              <w:top w:val="single" w:sz="4" w:space="0" w:color="000000"/>
            </w:tcBorders>
          </w:tcPr>
          <w:p>
            <w:pPr>
              <w:pStyle w:val="TableParagraph"/>
              <w:rPr>
                <w:sz w:val="22"/>
              </w:rPr>
            </w:pPr>
          </w:p>
        </w:tc>
        <w:tc>
          <w:tcPr>
            <w:tcW w:w="893" w:type="dxa"/>
            <w:tcBorders>
              <w:top w:val="single" w:sz="4" w:space="0" w:color="000000"/>
            </w:tcBorders>
          </w:tcPr>
          <w:p>
            <w:pPr>
              <w:pStyle w:val="TableParagraph"/>
              <w:rPr>
                <w:sz w:val="22"/>
              </w:rPr>
            </w:pPr>
          </w:p>
        </w:tc>
        <w:tc>
          <w:tcPr>
            <w:tcW w:w="1133" w:type="dxa"/>
            <w:tcBorders>
              <w:top w:val="single" w:sz="4" w:space="0" w:color="000000"/>
              <w:right w:val="single" w:sz="4" w:space="0" w:color="000000"/>
            </w:tcBorders>
          </w:tcPr>
          <w:p>
            <w:pPr>
              <w:pStyle w:val="TableParagraph"/>
              <w:spacing w:before="122"/>
              <w:ind w:left="288"/>
              <w:rPr>
                <w:rFonts w:ascii="Arial"/>
                <w:b/>
                <w:sz w:val="16"/>
              </w:rPr>
            </w:pPr>
            <w:r>
              <w:rPr>
                <w:rFonts w:ascii="Arial"/>
                <w:b/>
                <w:w w:val="103"/>
                <w:sz w:val="16"/>
              </w:rPr>
              <w:t>7</w:t>
            </w:r>
          </w:p>
        </w:tc>
      </w:tr>
      <w:tr>
        <w:trPr>
          <w:trHeight w:val="405"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09"/>
              <w:ind w:left="288"/>
              <w:rPr>
                <w:rFonts w:ascii="Arial"/>
                <w:b/>
                <w:sz w:val="16"/>
              </w:rPr>
            </w:pPr>
            <w:r>
              <w:rPr>
                <w:rFonts w:ascii="Arial"/>
                <w:b/>
                <w:w w:val="103"/>
                <w:sz w:val="16"/>
              </w:rPr>
              <w:t>6</w:t>
            </w:r>
          </w:p>
        </w:tc>
      </w:tr>
      <w:tr>
        <w:trPr>
          <w:trHeight w:val="397"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10"/>
              <w:ind w:left="288"/>
              <w:rPr>
                <w:rFonts w:ascii="Arial"/>
                <w:b/>
                <w:sz w:val="16"/>
              </w:rPr>
            </w:pPr>
            <w:r>
              <w:rPr>
                <w:rFonts w:ascii="Arial"/>
                <w:b/>
                <w:w w:val="103"/>
                <w:sz w:val="16"/>
              </w:rPr>
              <w:t>5</w:t>
            </w:r>
          </w:p>
        </w:tc>
      </w:tr>
      <w:tr>
        <w:trPr>
          <w:trHeight w:val="397"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02"/>
              <w:ind w:left="288"/>
              <w:rPr>
                <w:rFonts w:ascii="Arial"/>
                <w:b/>
                <w:sz w:val="16"/>
              </w:rPr>
            </w:pPr>
            <w:r>
              <w:rPr>
                <w:rFonts w:ascii="Arial"/>
                <w:b/>
                <w:w w:val="103"/>
                <w:sz w:val="16"/>
              </w:rPr>
              <w:t>4</w:t>
            </w:r>
          </w:p>
        </w:tc>
      </w:tr>
      <w:tr>
        <w:trPr>
          <w:trHeight w:val="404"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09"/>
              <w:ind w:left="288"/>
              <w:rPr>
                <w:rFonts w:ascii="Arial"/>
                <w:b/>
                <w:sz w:val="16"/>
              </w:rPr>
            </w:pPr>
            <w:r>
              <w:rPr>
                <w:rFonts w:ascii="Arial"/>
                <w:b/>
                <w:w w:val="103"/>
                <w:sz w:val="16"/>
              </w:rPr>
              <w:t>3</w:t>
            </w:r>
          </w:p>
        </w:tc>
      </w:tr>
      <w:tr>
        <w:trPr>
          <w:trHeight w:val="405"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09"/>
              <w:ind w:left="288"/>
              <w:rPr>
                <w:rFonts w:ascii="Arial"/>
                <w:b/>
                <w:sz w:val="16"/>
              </w:rPr>
            </w:pPr>
            <w:r>
              <w:rPr>
                <w:rFonts w:ascii="Arial"/>
                <w:b/>
                <w:w w:val="103"/>
                <w:sz w:val="16"/>
              </w:rPr>
              <w:t>2</w:t>
            </w:r>
          </w:p>
        </w:tc>
      </w:tr>
      <w:tr>
        <w:trPr>
          <w:trHeight w:val="397"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10"/>
              <w:ind w:left="288"/>
              <w:rPr>
                <w:rFonts w:ascii="Arial"/>
                <w:b/>
                <w:sz w:val="16"/>
              </w:rPr>
            </w:pPr>
            <w:r>
              <w:rPr>
                <w:rFonts w:ascii="Arial"/>
                <w:b/>
                <w:w w:val="103"/>
                <w:sz w:val="16"/>
              </w:rPr>
              <w:t>1</w:t>
            </w:r>
          </w:p>
        </w:tc>
      </w:tr>
      <w:tr>
        <w:trPr>
          <w:trHeight w:val="397"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02"/>
              <w:ind w:left="288"/>
              <w:rPr>
                <w:rFonts w:ascii="Arial"/>
                <w:b/>
                <w:sz w:val="16"/>
              </w:rPr>
            </w:pPr>
            <w:r>
              <w:rPr>
                <w:rFonts w:ascii="Arial"/>
                <w:b/>
                <w:w w:val="103"/>
                <w:sz w:val="16"/>
              </w:rPr>
              <w:t>0</w:t>
            </w:r>
          </w:p>
        </w:tc>
      </w:tr>
      <w:tr>
        <w:trPr>
          <w:trHeight w:val="405"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09"/>
              <w:ind w:left="288"/>
              <w:rPr>
                <w:rFonts w:ascii="Arial"/>
                <w:b/>
                <w:sz w:val="16"/>
              </w:rPr>
            </w:pPr>
            <w:r>
              <w:rPr>
                <w:rFonts w:ascii="Arial"/>
                <w:b/>
                <w:w w:val="105"/>
                <w:sz w:val="16"/>
              </w:rPr>
              <w:t>-1</w:t>
            </w:r>
          </w:p>
        </w:tc>
      </w:tr>
      <w:tr>
        <w:trPr>
          <w:trHeight w:val="322" w:hRule="atLeast"/>
        </w:trPr>
        <w:tc>
          <w:tcPr>
            <w:tcW w:w="1305" w:type="dxa"/>
            <w:tcBorders>
              <w:left w:val="single" w:sz="4" w:space="0" w:color="000000"/>
            </w:tcBorders>
          </w:tcPr>
          <w:p>
            <w:pPr>
              <w:pStyle w:val="TableParagraph"/>
              <w:rPr>
                <w:sz w:val="22"/>
              </w:rPr>
            </w:pPr>
          </w:p>
        </w:tc>
        <w:tc>
          <w:tcPr>
            <w:tcW w:w="848"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7" w:type="dxa"/>
          </w:tcPr>
          <w:p>
            <w:pPr>
              <w:pStyle w:val="TableParagraph"/>
              <w:rPr>
                <w:sz w:val="22"/>
              </w:rPr>
            </w:pPr>
          </w:p>
        </w:tc>
        <w:tc>
          <w:tcPr>
            <w:tcW w:w="848" w:type="dxa"/>
          </w:tcPr>
          <w:p>
            <w:pPr>
              <w:pStyle w:val="TableParagraph"/>
              <w:rPr>
                <w:sz w:val="22"/>
              </w:rPr>
            </w:pPr>
          </w:p>
        </w:tc>
        <w:tc>
          <w:tcPr>
            <w:tcW w:w="893" w:type="dxa"/>
          </w:tcPr>
          <w:p>
            <w:pPr>
              <w:pStyle w:val="TableParagraph"/>
              <w:rPr>
                <w:sz w:val="22"/>
              </w:rPr>
            </w:pPr>
          </w:p>
        </w:tc>
        <w:tc>
          <w:tcPr>
            <w:tcW w:w="1133" w:type="dxa"/>
            <w:tcBorders>
              <w:right w:val="single" w:sz="4" w:space="0" w:color="000000"/>
            </w:tcBorders>
          </w:tcPr>
          <w:p>
            <w:pPr>
              <w:pStyle w:val="TableParagraph"/>
              <w:spacing w:before="110"/>
              <w:ind w:left="288"/>
              <w:rPr>
                <w:rFonts w:ascii="Arial"/>
                <w:b/>
                <w:sz w:val="16"/>
              </w:rPr>
            </w:pPr>
            <w:r>
              <w:rPr>
                <w:rFonts w:ascii="Arial"/>
                <w:b/>
                <w:w w:val="105"/>
                <w:sz w:val="16"/>
              </w:rPr>
              <w:t>-2</w:t>
            </w:r>
          </w:p>
        </w:tc>
      </w:tr>
      <w:tr>
        <w:trPr>
          <w:trHeight w:val="371" w:hRule="atLeast"/>
        </w:trPr>
        <w:tc>
          <w:tcPr>
            <w:tcW w:w="1305" w:type="dxa"/>
            <w:tcBorders>
              <w:left w:val="single" w:sz="4" w:space="0" w:color="000000"/>
              <w:bottom w:val="single" w:sz="4" w:space="0" w:color="000000"/>
            </w:tcBorders>
          </w:tcPr>
          <w:p>
            <w:pPr>
              <w:pStyle w:val="TableParagraph"/>
              <w:spacing w:before="27"/>
              <w:ind w:left="696"/>
              <w:rPr>
                <w:rFonts w:ascii="Arial"/>
                <w:b/>
                <w:sz w:val="16"/>
              </w:rPr>
            </w:pPr>
            <w:r>
              <w:rPr>
                <w:rFonts w:ascii="Arial"/>
                <w:b/>
                <w:w w:val="105"/>
                <w:sz w:val="16"/>
              </w:rPr>
              <w:t>2004</w:t>
            </w:r>
          </w:p>
        </w:tc>
        <w:tc>
          <w:tcPr>
            <w:tcW w:w="848" w:type="dxa"/>
            <w:tcBorders>
              <w:bottom w:val="single" w:sz="4" w:space="0" w:color="000000"/>
            </w:tcBorders>
          </w:tcPr>
          <w:p>
            <w:pPr>
              <w:pStyle w:val="TableParagraph"/>
              <w:spacing w:before="27"/>
              <w:ind w:left="251"/>
              <w:rPr>
                <w:rFonts w:ascii="Arial"/>
                <w:b/>
                <w:sz w:val="16"/>
              </w:rPr>
            </w:pPr>
            <w:r>
              <w:rPr>
                <w:rFonts w:ascii="Arial"/>
                <w:b/>
                <w:w w:val="105"/>
                <w:sz w:val="16"/>
              </w:rPr>
              <w:t>2005</w:t>
            </w:r>
          </w:p>
        </w:tc>
        <w:tc>
          <w:tcPr>
            <w:tcW w:w="847" w:type="dxa"/>
            <w:tcBorders>
              <w:bottom w:val="single" w:sz="4" w:space="0" w:color="000000"/>
            </w:tcBorders>
          </w:tcPr>
          <w:p>
            <w:pPr>
              <w:pStyle w:val="TableParagraph"/>
              <w:spacing w:before="27"/>
              <w:ind w:left="243"/>
              <w:rPr>
                <w:rFonts w:ascii="Arial"/>
                <w:b/>
                <w:sz w:val="16"/>
              </w:rPr>
            </w:pPr>
            <w:r>
              <w:rPr>
                <w:rFonts w:ascii="Arial"/>
                <w:b/>
                <w:w w:val="105"/>
                <w:sz w:val="16"/>
              </w:rPr>
              <w:t>2006</w:t>
            </w:r>
          </w:p>
        </w:tc>
        <w:tc>
          <w:tcPr>
            <w:tcW w:w="847" w:type="dxa"/>
            <w:tcBorders>
              <w:bottom w:val="single" w:sz="4" w:space="0" w:color="000000"/>
            </w:tcBorders>
          </w:tcPr>
          <w:p>
            <w:pPr>
              <w:pStyle w:val="TableParagraph"/>
              <w:spacing w:before="27"/>
              <w:ind w:left="250"/>
              <w:rPr>
                <w:rFonts w:ascii="Arial"/>
                <w:b/>
                <w:sz w:val="16"/>
              </w:rPr>
            </w:pPr>
            <w:r>
              <w:rPr>
                <w:rFonts w:ascii="Arial"/>
                <w:b/>
                <w:w w:val="105"/>
                <w:sz w:val="16"/>
              </w:rPr>
              <w:t>2007</w:t>
            </w:r>
          </w:p>
        </w:tc>
        <w:tc>
          <w:tcPr>
            <w:tcW w:w="847" w:type="dxa"/>
            <w:tcBorders>
              <w:bottom w:val="single" w:sz="4" w:space="0" w:color="000000"/>
            </w:tcBorders>
          </w:tcPr>
          <w:p>
            <w:pPr>
              <w:pStyle w:val="TableParagraph"/>
              <w:spacing w:before="27"/>
              <w:ind w:left="243"/>
              <w:rPr>
                <w:rFonts w:ascii="Arial"/>
                <w:b/>
                <w:sz w:val="16"/>
              </w:rPr>
            </w:pPr>
            <w:r>
              <w:rPr>
                <w:rFonts w:ascii="Arial"/>
                <w:b/>
                <w:w w:val="105"/>
                <w:sz w:val="16"/>
              </w:rPr>
              <w:t>2008</w:t>
            </w:r>
          </w:p>
        </w:tc>
        <w:tc>
          <w:tcPr>
            <w:tcW w:w="847" w:type="dxa"/>
            <w:tcBorders>
              <w:bottom w:val="single" w:sz="4" w:space="0" w:color="000000"/>
            </w:tcBorders>
          </w:tcPr>
          <w:p>
            <w:pPr>
              <w:pStyle w:val="TableParagraph"/>
              <w:spacing w:before="27"/>
              <w:ind w:left="250"/>
              <w:rPr>
                <w:rFonts w:ascii="Arial"/>
                <w:b/>
                <w:sz w:val="16"/>
              </w:rPr>
            </w:pPr>
            <w:r>
              <w:rPr>
                <w:rFonts w:ascii="Arial"/>
                <w:b/>
                <w:w w:val="105"/>
                <w:sz w:val="16"/>
              </w:rPr>
              <w:t>2009</w:t>
            </w:r>
          </w:p>
        </w:tc>
        <w:tc>
          <w:tcPr>
            <w:tcW w:w="848" w:type="dxa"/>
            <w:tcBorders>
              <w:bottom w:val="single" w:sz="4" w:space="0" w:color="000000"/>
            </w:tcBorders>
          </w:tcPr>
          <w:p>
            <w:pPr>
              <w:pStyle w:val="TableParagraph"/>
              <w:spacing w:before="27"/>
              <w:ind w:left="243"/>
              <w:rPr>
                <w:rFonts w:ascii="Arial"/>
                <w:b/>
                <w:sz w:val="16"/>
              </w:rPr>
            </w:pPr>
            <w:r>
              <w:rPr>
                <w:rFonts w:ascii="Arial"/>
                <w:b/>
                <w:w w:val="105"/>
                <w:sz w:val="16"/>
              </w:rPr>
              <w:t>2010</w:t>
            </w:r>
          </w:p>
        </w:tc>
        <w:tc>
          <w:tcPr>
            <w:tcW w:w="893" w:type="dxa"/>
            <w:tcBorders>
              <w:bottom w:val="single" w:sz="4" w:space="0" w:color="000000"/>
            </w:tcBorders>
          </w:tcPr>
          <w:p>
            <w:pPr>
              <w:pStyle w:val="TableParagraph"/>
              <w:spacing w:before="27"/>
              <w:ind w:left="251"/>
              <w:rPr>
                <w:rFonts w:ascii="Arial"/>
                <w:b/>
                <w:sz w:val="16"/>
              </w:rPr>
            </w:pPr>
            <w:r>
              <w:rPr>
                <w:rFonts w:ascii="Arial"/>
                <w:b/>
                <w:w w:val="105"/>
                <w:sz w:val="16"/>
              </w:rPr>
              <w:t>2011</w:t>
            </w:r>
          </w:p>
        </w:tc>
        <w:tc>
          <w:tcPr>
            <w:tcW w:w="1133" w:type="dxa"/>
            <w:tcBorders>
              <w:bottom w:val="single" w:sz="4" w:space="0" w:color="000000"/>
              <w:right w:val="single" w:sz="4" w:space="0" w:color="000000"/>
            </w:tcBorders>
          </w:tcPr>
          <w:p>
            <w:pPr>
              <w:pStyle w:val="TableParagraph"/>
              <w:rPr>
                <w:sz w:val="22"/>
              </w:rPr>
            </w:pPr>
          </w:p>
        </w:tc>
      </w:tr>
      <w:tr>
        <w:trPr>
          <w:trHeight w:val="700" w:hRule="atLeast"/>
        </w:trPr>
        <w:tc>
          <w:tcPr>
            <w:tcW w:w="8415" w:type="dxa"/>
            <w:gridSpan w:val="9"/>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i/>
                <w:sz w:val="20"/>
              </w:rPr>
              <w:t>Note: </w:t>
            </w:r>
            <w:r>
              <w:rPr>
                <w:sz w:val="20"/>
              </w:rPr>
              <w:t>Based on market interest rate expectations</w:t>
            </w:r>
          </w:p>
          <w:p>
            <w:pPr>
              <w:pStyle w:val="TableParagraph"/>
              <w:spacing w:before="119"/>
              <w:ind w:left="107"/>
              <w:rPr>
                <w:sz w:val="20"/>
              </w:rPr>
            </w:pPr>
            <w:r>
              <w:rPr>
                <w:i/>
                <w:sz w:val="20"/>
              </w:rPr>
              <w:t>Source: </w:t>
            </w:r>
            <w:r>
              <w:rPr>
                <w:sz w:val="20"/>
              </w:rPr>
              <w:t>Bank of England </w:t>
            </w:r>
            <w:r>
              <w:rPr>
                <w:i/>
                <w:sz w:val="20"/>
              </w:rPr>
              <w:t>Inflation Report</w:t>
            </w:r>
            <w:r>
              <w:rPr>
                <w:sz w:val="20"/>
              </w:rPr>
              <w:t>, November 2008</w:t>
            </w:r>
          </w:p>
        </w:tc>
      </w:tr>
    </w:tbl>
    <w:p>
      <w:pPr>
        <w:pStyle w:val="BodyText"/>
        <w:rPr>
          <w:sz w:val="20"/>
        </w:rPr>
      </w:pPr>
    </w:p>
    <w:p>
      <w:pPr>
        <w:pStyle w:val="BodyText"/>
        <w:rPr>
          <w:sz w:val="20"/>
        </w:rPr>
      </w:pPr>
    </w:p>
    <w:p>
      <w:pPr>
        <w:pStyle w:val="BodyText"/>
        <w:spacing w:line="360" w:lineRule="auto" w:before="225"/>
        <w:ind w:left="1019" w:right="537"/>
        <w:jc w:val="both"/>
      </w:pPr>
      <w:r>
        <w:rPr/>
        <w:t>The current monetary policy framework is giving us a clear steer in this direction, as Chart 10 shows. The November Inflation Report showed that there was a significant risk of inflation remaining below target over the medium term. That underpinned the significant relaxation of policy in the last three months.</w:t>
      </w:r>
    </w:p>
    <w:p>
      <w:pPr>
        <w:spacing w:after="0" w:line="360" w:lineRule="auto"/>
        <w:jc w:val="both"/>
        <w:sectPr>
          <w:headerReference w:type="default" r:id="rId34"/>
          <w:footerReference w:type="default" r:id="rId35"/>
          <w:pgSz w:w="11910" w:h="16840"/>
          <w:pgMar w:header="716" w:footer="777" w:top="1200" w:bottom="960" w:left="780" w:right="1258"/>
          <w:pgNumType w:start="14"/>
        </w:sectPr>
      </w:pPr>
    </w:p>
    <w:p>
      <w:pPr>
        <w:pStyle w:val="BodyText"/>
        <w:rPr>
          <w:sz w:val="20"/>
        </w:rPr>
      </w:pPr>
    </w:p>
    <w:p>
      <w:pPr>
        <w:pStyle w:val="BodyText"/>
        <w:spacing w:before="8"/>
        <w:rPr>
          <w:sz w:val="28"/>
        </w:rPr>
      </w:pPr>
    </w:p>
    <w:p>
      <w:pPr>
        <w:pStyle w:val="BodyText"/>
        <w:spacing w:line="360" w:lineRule="auto" w:before="90"/>
        <w:ind w:left="1020" w:right="534"/>
        <w:jc w:val="both"/>
      </w:pPr>
      <w:r>
        <w:rPr/>
        <w:t>However, it is also important to draw out the longer term lessons from the recent episode. The first general point is that we need to understand better the two-way interactions between the financial system and the macroeconomy which have become clear as this crisis has unfolded. I think it is quite plausible that in a world where inflation is generally low and stable, financial cycles may once again re-emerge as the main cause of macroeconomic volatility, just as they did in the earlier period of price stability underpinned by the gold standard. In analysing and understanding these cycles, we will probably need to pay more attention to measures of money and credit and the channels through which they affect the real economy and inflation, and incorporate these effects more explicitly in our models.</w:t>
      </w:r>
    </w:p>
    <w:p>
      <w:pPr>
        <w:pStyle w:val="BodyText"/>
        <w:spacing w:before="1"/>
      </w:pPr>
    </w:p>
    <w:p>
      <w:pPr>
        <w:pStyle w:val="BodyText"/>
        <w:spacing w:line="360" w:lineRule="auto"/>
        <w:ind w:left="1020" w:right="537"/>
        <w:jc w:val="both"/>
      </w:pPr>
      <w:r>
        <w:rPr/>
        <w:t>The second point is that we need to develop better policy instruments for maintaining the stability of the financial system, and avoiding the financial booms which inevitably precede the bust. I don’t think it is reasonable to expect monetary policy to do this unaided – simply by “leaning against the wind” of an asset bubble. This  would create confusion about the objectives of monetary policy and would be very difficult to operate in practice. However, there is also a danger of unintended consequences from heavy-handed regulatory interventions in the banking sector. So we need to take time to decide what a new regime for regulating the financial sector looks like, though it is a key economic policy issue in the wake of the current crisis. Both Sir John Gieve and Charlie Bean have made useful suggestions in recent speeches on how this might be</w:t>
      </w:r>
      <w:r>
        <w:rPr>
          <w:spacing w:val="-7"/>
        </w:rPr>
        <w:t> </w:t>
      </w:r>
      <w:r>
        <w:rPr/>
        <w:t>done.</w:t>
      </w:r>
      <w:r>
        <w:rPr>
          <w:vertAlign w:val="superscript"/>
        </w:rPr>
        <w:t>8</w:t>
      </w:r>
    </w:p>
    <w:p>
      <w:pPr>
        <w:pStyle w:val="BodyText"/>
        <w:spacing w:before="10"/>
        <w:rPr>
          <w:sz w:val="35"/>
        </w:rPr>
      </w:pPr>
    </w:p>
    <w:p>
      <w:pPr>
        <w:pStyle w:val="BodyText"/>
        <w:spacing w:line="360" w:lineRule="auto" w:before="1"/>
        <w:ind w:left="1020" w:right="535"/>
        <w:jc w:val="both"/>
      </w:pPr>
      <w:r>
        <w:rPr/>
        <w:pict>
          <v:shape style="position:absolute;margin-left:90pt;margin-top:191.193512pt;width:144pt;height:.1pt;mso-position-horizontal-relative:page;mso-position-vertical-relative:paragraph;z-index:-251641856;mso-wrap-distance-left:0;mso-wrap-distance-right:0" coordorigin="1800,3824" coordsize="2880,0" path="m1800,3824l4680,3824e" filled="false" stroked="true" strokeweight=".600010pt" strokecolor="#000000">
            <v:path arrowok="t"/>
            <v:stroke dashstyle="solid"/>
            <w10:wrap type="topAndBottom"/>
          </v:shape>
        </w:pict>
      </w:r>
      <w:r>
        <w:rPr/>
        <w:t>Third, a common theme of the two explanations I have given for a “bust without a boom” is that the period we have classified as the “Great Stability”, stretching back to the early 1990s, may still have featured an element of growth in demand in excess of longer term potential – either because a financial bubble was inflating or because globalisation was masking the domestic inflationary consequences. Unlike previous booms, this was a much more slow-burning “boom” – which showed itself in property price inflation and financial imbalances rather than through more traditional measures of inflation. Together with the possibility that supply-side potential could be  adversely affected by the financial crisis itself, I do think this should make us</w:t>
      </w:r>
      <w:r>
        <w:rPr>
          <w:spacing w:val="10"/>
        </w:rPr>
        <w:t> </w:t>
      </w:r>
      <w:r>
        <w:rPr/>
        <w:t>more</w:t>
      </w:r>
    </w:p>
    <w:p>
      <w:pPr>
        <w:spacing w:before="49"/>
        <w:ind w:left="1020" w:right="0" w:firstLine="0"/>
        <w:jc w:val="left"/>
        <w:rPr>
          <w:sz w:val="20"/>
        </w:rPr>
      </w:pPr>
      <w:r>
        <w:rPr>
          <w:position w:val="9"/>
          <w:sz w:val="13"/>
        </w:rPr>
        <w:t>8 </w:t>
      </w:r>
      <w:r>
        <w:rPr>
          <w:sz w:val="20"/>
        </w:rPr>
        <w:t>See Bean (2008) and Gieve (2008).</w:t>
      </w:r>
    </w:p>
    <w:p>
      <w:pPr>
        <w:spacing w:after="0"/>
        <w:jc w:val="left"/>
        <w:rPr>
          <w:sz w:val="20"/>
        </w:rPr>
        <w:sectPr>
          <w:headerReference w:type="default" r:id="rId36"/>
          <w:footerReference w:type="default" r:id="rId37"/>
          <w:pgSz w:w="11910" w:h="16840"/>
          <w:pgMar w:header="716" w:footer="777" w:top="1200" w:bottom="960" w:left="780" w:right="1258"/>
          <w:pgNumType w:start="15"/>
        </w:sectPr>
      </w:pPr>
    </w:p>
    <w:p>
      <w:pPr>
        <w:pStyle w:val="BodyText"/>
        <w:spacing w:before="8"/>
        <w:rPr>
          <w:sz w:val="12"/>
        </w:rPr>
      </w:pPr>
    </w:p>
    <w:p>
      <w:pPr>
        <w:pStyle w:val="BodyText"/>
        <w:spacing w:line="360" w:lineRule="auto" w:before="90"/>
        <w:ind w:left="1020" w:right="536"/>
        <w:jc w:val="both"/>
      </w:pPr>
      <w:r>
        <w:rPr/>
        <w:t>cautious about the growth of supply potential going forward. I made the case for this in my first speech as a member of the MPC in January 2007</w:t>
      </w:r>
      <w:r>
        <w:rPr>
          <w:vertAlign w:val="superscript"/>
        </w:rPr>
        <w:t>9</w:t>
      </w:r>
      <w:r>
        <w:rPr>
          <w:vertAlign w:val="baseline"/>
        </w:rPr>
        <w:t>, and this is an issue that both monetary and fiscal policy-makers will need to return to in judging the appropriate settings for policy once we are through the immediate</w:t>
      </w:r>
      <w:r>
        <w:rPr>
          <w:spacing w:val="-9"/>
          <w:vertAlign w:val="baseline"/>
        </w:rPr>
        <w:t> </w:t>
      </w:r>
      <w:r>
        <w:rPr>
          <w:vertAlign w:val="baseline"/>
        </w:rPr>
        <w:t>crisis.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6"/>
        </w:rPr>
      </w:pPr>
      <w:r>
        <w:rPr/>
        <w:pict>
          <v:shape style="position:absolute;margin-left:90pt;margin-top:11.777417pt;width:144pt;height:.1pt;mso-position-horizontal-relative:page;mso-position-vertical-relative:paragraph;z-index:-251640832;mso-wrap-distance-left:0;mso-wrap-distance-right:0" coordorigin="1800,236" coordsize="2880,0" path="m1800,236l4680,236e" filled="false" stroked="true" strokeweight=".600010pt" strokecolor="#000000">
            <v:path arrowok="t"/>
            <v:stroke dashstyle="solid"/>
            <w10:wrap type="topAndBottom"/>
          </v:shape>
        </w:pict>
      </w:r>
    </w:p>
    <w:p>
      <w:pPr>
        <w:spacing w:before="49"/>
        <w:ind w:left="1020" w:right="0" w:firstLine="0"/>
        <w:jc w:val="left"/>
        <w:rPr>
          <w:sz w:val="20"/>
        </w:rPr>
      </w:pPr>
      <w:r>
        <w:rPr>
          <w:position w:val="9"/>
          <w:sz w:val="13"/>
        </w:rPr>
        <w:t>9 </w:t>
      </w:r>
      <w:r>
        <w:rPr>
          <w:sz w:val="20"/>
        </w:rPr>
        <w:t>See Sentance (2007).</w:t>
      </w:r>
    </w:p>
    <w:p>
      <w:pPr>
        <w:spacing w:after="0"/>
        <w:jc w:val="left"/>
        <w:rPr>
          <w:sz w:val="20"/>
        </w:rPr>
        <w:sectPr>
          <w:headerReference w:type="default" r:id="rId38"/>
          <w:footerReference w:type="default" r:id="rId39"/>
          <w:pgSz w:w="11910" w:h="16840"/>
          <w:pgMar w:header="716" w:footer="777" w:top="1200" w:bottom="960" w:left="780" w:right="1258"/>
          <w:pgNumType w:start="16"/>
        </w:sectPr>
      </w:pPr>
    </w:p>
    <w:p>
      <w:pPr>
        <w:pStyle w:val="BodyText"/>
        <w:spacing w:before="11"/>
        <w:rPr>
          <w:sz w:val="12"/>
        </w:rPr>
      </w:pPr>
    </w:p>
    <w:p>
      <w:pPr>
        <w:pStyle w:val="Heading1"/>
        <w:spacing w:before="90"/>
        <w:jc w:val="left"/>
      </w:pPr>
      <w:r>
        <w:rPr/>
        <w:t>References</w:t>
      </w:r>
    </w:p>
    <w:p>
      <w:pPr>
        <w:pStyle w:val="BodyText"/>
        <w:spacing w:before="9"/>
        <w:rPr>
          <w:b/>
          <w:sz w:val="23"/>
        </w:rPr>
      </w:pPr>
    </w:p>
    <w:p>
      <w:pPr>
        <w:pStyle w:val="BodyText"/>
        <w:tabs>
          <w:tab w:pos="2109" w:val="left" w:leader="none"/>
        </w:tabs>
        <w:ind w:left="1020" w:right="537"/>
      </w:pPr>
      <w:r>
        <w:rPr/>
        <w:t>Bean,</w:t>
      </w:r>
      <w:r>
        <w:rPr>
          <w:spacing w:val="42"/>
        </w:rPr>
        <w:t> </w:t>
      </w:r>
      <w:r>
        <w:rPr/>
        <w:t>C.</w:t>
        <w:tab/>
        <w:t>(2008), “Some Lessons for Monetary Policy from the Recent Financial Turmoil”, 22 November</w:t>
      </w:r>
      <w:r>
        <w:rPr>
          <w:spacing w:val="-1"/>
        </w:rPr>
        <w:t> </w:t>
      </w:r>
      <w:r>
        <w:rPr/>
        <w:t>2008.</w:t>
      </w:r>
    </w:p>
    <w:p>
      <w:pPr>
        <w:pStyle w:val="BodyText"/>
      </w:pPr>
    </w:p>
    <w:p>
      <w:pPr>
        <w:pStyle w:val="BodyText"/>
        <w:ind w:left="1020"/>
      </w:pPr>
      <w:r>
        <w:rPr/>
        <w:t>Gieve, J. (2008), “Learning from the Financial Crisis”, 19 November 2008.</w:t>
      </w:r>
    </w:p>
    <w:p>
      <w:pPr>
        <w:pStyle w:val="BodyText"/>
      </w:pPr>
    </w:p>
    <w:p>
      <w:pPr>
        <w:pStyle w:val="BodyText"/>
        <w:tabs>
          <w:tab w:pos="2366" w:val="left" w:leader="none"/>
        </w:tabs>
        <w:ind w:left="1020" w:right="537"/>
      </w:pPr>
      <w:r>
        <w:rPr/>
        <w:t>Nickell, </w:t>
      </w:r>
      <w:r>
        <w:rPr>
          <w:spacing w:val="5"/>
        </w:rPr>
        <w:t> </w:t>
      </w:r>
      <w:r>
        <w:rPr/>
        <w:t>S.</w:t>
        <w:tab/>
        <w:t>(1990), “Inflation and the UK Labour Market”, Oxford Review of Economic Policy, Vol 6, No.4,</w:t>
      </w:r>
      <w:r>
        <w:rPr>
          <w:spacing w:val="-1"/>
        </w:rPr>
        <w:t> </w:t>
      </w:r>
      <w:r>
        <w:rPr/>
        <w:t>1990.</w:t>
      </w:r>
    </w:p>
    <w:p>
      <w:pPr>
        <w:pStyle w:val="BodyText"/>
      </w:pPr>
    </w:p>
    <w:p>
      <w:pPr>
        <w:pStyle w:val="BodyText"/>
        <w:ind w:left="1020" w:right="537"/>
      </w:pPr>
      <w:r>
        <w:rPr/>
        <w:t>Sentance, A. (2007), “Inflation and the Supply Side of the Economy”, 16 January 2007.</w:t>
      </w:r>
    </w:p>
    <w:p>
      <w:pPr>
        <w:pStyle w:val="BodyText"/>
      </w:pPr>
    </w:p>
    <w:p>
      <w:pPr>
        <w:pStyle w:val="BodyText"/>
        <w:ind w:left="1020"/>
      </w:pPr>
      <w:r>
        <w:rPr/>
        <w:t>Sentance, A. (2008a), “Global Inflation: How Big a Threat”, 15 July 2008.</w:t>
      </w:r>
    </w:p>
    <w:p>
      <w:pPr>
        <w:pStyle w:val="BodyText"/>
      </w:pPr>
    </w:p>
    <w:p>
      <w:pPr>
        <w:pStyle w:val="BodyText"/>
        <w:ind w:left="1020"/>
      </w:pPr>
      <w:r>
        <w:rPr/>
        <w:t>Sentance, A. (2008b), “Prospects for the UK Economy and Challenges for Monetary Policy”, 13 October 2008.</w:t>
      </w:r>
    </w:p>
    <w:sectPr>
      <w:headerReference w:type="default" r:id="rId40"/>
      <w:footerReference w:type="default" r:id="rId41"/>
      <w:pgSz w:w="11910" w:h="16840"/>
      <w:pgMar w:header="716" w:footer="777" w:top="1200" w:bottom="960" w:left="780" w:right="1258"/>
      <w:pgNumType w:start="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26001pt;margin-top:792.126343pt;width:8pt;height:15.3pt;mso-position-horizontal-relative:page;mso-position-vertical-relative:page;z-index:-254995456" type="#_x0000_t202" filled="false" stroked="false">
          <v:textbox inset="0,0,0,0">
            <w:txbxContent>
              <w:p>
                <w:pPr>
                  <w:pStyle w:val="BodyText"/>
                  <w:spacing w:before="10"/>
                  <w:ind w:left="20"/>
                </w:pPr>
                <w:r>
                  <w:rPr/>
                  <w:t>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26001pt;margin-top:792.126343pt;width:14pt;height:15.3pt;mso-position-horizontal-relative:page;mso-position-vertical-relative:page;z-index:-254976000" type="#_x0000_t202" filled="false" stroked="false">
          <v:textbox inset="0,0,0,0">
            <w:txbxContent>
              <w:p>
                <w:pPr>
                  <w:pStyle w:val="BodyText"/>
                  <w:spacing w:before="10"/>
                  <w:ind w:left="20"/>
                </w:pPr>
                <w:r>
                  <w:rPr/>
                  <w:t>11</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26001pt;margin-top:792.126343pt;width:14pt;height:15.3pt;mso-position-horizontal-relative:page;mso-position-vertical-relative:page;z-index:-254973952" type="#_x0000_t202" filled="false" stroked="false">
          <v:textbox inset="0,0,0,0">
            <w:txbxContent>
              <w:p>
                <w:pPr>
                  <w:pStyle w:val="BodyText"/>
                  <w:spacing w:before="10"/>
                  <w:ind w:left="20"/>
                </w:pPr>
                <w:r>
                  <w:rPr/>
                  <w:t>12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26001pt;margin-top:792.126343pt;width:14pt;height:15.3pt;mso-position-horizontal-relative:page;mso-position-vertical-relative:page;z-index:-254971904" type="#_x0000_t202" filled="false" stroked="false">
          <v:textbox inset="0,0,0,0">
            <w:txbxContent>
              <w:p>
                <w:pPr>
                  <w:pStyle w:val="BodyText"/>
                  <w:spacing w:before="10"/>
                  <w:ind w:left="20"/>
                </w:pPr>
                <w:r>
                  <w:rPr/>
                  <w:t>13</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26001pt;margin-top:792.126343pt;width:14pt;height:15.3pt;mso-position-horizontal-relative:page;mso-position-vertical-relative:page;z-index:-254969856" type="#_x0000_t202" filled="false" stroked="false">
          <v:textbox inset="0,0,0,0">
            <w:txbxContent>
              <w:p>
                <w:pPr>
                  <w:pStyle w:val="BodyText"/>
                  <w:spacing w:before="10"/>
                  <w:ind w:left="20"/>
                </w:pPr>
                <w:r>
                  <w:rPr/>
                  <w:t>14</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26001pt;margin-top:792.126343pt;width:14pt;height:15.3pt;mso-position-horizontal-relative:page;mso-position-vertical-relative:page;z-index:-254967808" type="#_x0000_t202" filled="false" stroked="false">
          <v:textbox inset="0,0,0,0">
            <w:txbxContent>
              <w:p>
                <w:pPr>
                  <w:pStyle w:val="BodyText"/>
                  <w:spacing w:before="10"/>
                  <w:ind w:left="20"/>
                </w:pPr>
                <w:r>
                  <w:rPr/>
                  <w:t>15</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26001pt;margin-top:792.126343pt;width:14pt;height:15.3pt;mso-position-horizontal-relative:page;mso-position-vertical-relative:page;z-index:-254965760" type="#_x0000_t202" filled="false" stroked="false">
          <v:textbox inset="0,0,0,0">
            <w:txbxContent>
              <w:p>
                <w:pPr>
                  <w:pStyle w:val="BodyText"/>
                  <w:spacing w:before="10"/>
                  <w:ind w:left="20"/>
                </w:pPr>
                <w:r>
                  <w:rPr/>
                  <w:t>16</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26001pt;margin-top:792.126343pt;width:14pt;height:15.3pt;mso-position-horizontal-relative:page;mso-position-vertical-relative:page;z-index:-254963712" type="#_x0000_t202" filled="false" stroked="false">
          <v:textbox inset="0,0,0,0">
            <w:txbxContent>
              <w:p>
                <w:pPr>
                  <w:pStyle w:val="BodyText"/>
                  <w:spacing w:before="10"/>
                  <w:ind w:left="20"/>
                </w:pPr>
                <w:r>
                  <w:rPr/>
                  <w:t>17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26001pt;margin-top:792.126343pt;width:8pt;height:15.3pt;mso-position-horizontal-relative:page;mso-position-vertical-relative:page;z-index:-254993408" type="#_x0000_t202" filled="false" stroked="false">
          <v:textbox inset="0,0,0,0">
            <w:txbxContent>
              <w:p>
                <w:pPr>
                  <w:pStyle w:val="BodyText"/>
                  <w:spacing w:before="10"/>
                  <w:ind w:left="20"/>
                </w:pPr>
                <w:r>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991360" from="90pt,729.840027pt" to="234pt,729.840027pt" stroked="true" strokeweight=".599980pt" strokecolor="#000000">
          <v:stroke dashstyle="solid"/>
          <w10:wrap type="none"/>
        </v:line>
      </w:pict>
    </w:r>
    <w:r>
      <w:rPr/>
      <w:pict>
        <v:shape style="position:absolute;margin-left:498.26001pt;margin-top:792.126343pt;width:8pt;height:15.3pt;mso-position-horizontal-relative:page;mso-position-vertical-relative:page;z-index:-254990336" type="#_x0000_t202" filled="false" stroked="false">
          <v:textbox inset="0,0,0,0">
            <w:txbxContent>
              <w:p>
                <w:pPr>
                  <w:pStyle w:val="BodyText"/>
                  <w:spacing w:before="10"/>
                  <w:ind w:left="20"/>
                </w:pPr>
                <w:r>
                  <w:rPr/>
                  <w:t>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26001pt;margin-top:792.126343pt;width:8pt;height:15.3pt;mso-position-horizontal-relative:page;mso-position-vertical-relative:page;z-index:-254988288" type="#_x0000_t202" filled="false" stroked="false">
          <v:textbox inset="0,0,0,0">
            <w:txbxContent>
              <w:p>
                <w:pPr>
                  <w:pStyle w:val="BodyText"/>
                  <w:spacing w:before="10"/>
                  <w:ind w:left="20"/>
                </w:pPr>
                <w:r>
                  <w:rPr/>
                  <w:t>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26001pt;margin-top:792.126343pt;width:8pt;height:15.3pt;mso-position-horizontal-relative:page;mso-position-vertical-relative:page;z-index:-254986240" type="#_x0000_t202" filled="false" stroked="false">
          <v:textbox inset="0,0,0,0">
            <w:txbxContent>
              <w:p>
                <w:pPr>
                  <w:pStyle w:val="BodyText"/>
                  <w:spacing w:before="10"/>
                  <w:ind w:left="20"/>
                </w:pPr>
                <w:r>
                  <w:rPr/>
                  <w:t>6</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26001pt;margin-top:792.126343pt;width:8pt;height:15.3pt;mso-position-horizontal-relative:page;mso-position-vertical-relative:page;z-index:-254984192" type="#_x0000_t202" filled="false" stroked="false">
          <v:textbox inset="0,0,0,0">
            <w:txbxContent>
              <w:p>
                <w:pPr>
                  <w:pStyle w:val="BodyText"/>
                  <w:spacing w:before="10"/>
                  <w:ind w:left="20"/>
                </w:pPr>
                <w:r>
                  <w:rPr/>
                  <w:t>7</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26001pt;margin-top:792.126343pt;width:8pt;height:15.3pt;mso-position-horizontal-relative:page;mso-position-vertical-relative:page;z-index:-254982144" type="#_x0000_t202" filled="false" stroked="false">
          <v:textbox inset="0,0,0,0">
            <w:txbxContent>
              <w:p>
                <w:pPr>
                  <w:pStyle w:val="BodyText"/>
                  <w:spacing w:before="10"/>
                  <w:ind w:left="20"/>
                </w:pPr>
                <w:r>
                  <w:rPr/>
                  <w:t>8</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26001pt;margin-top:792.126343pt;width:8pt;height:15.3pt;mso-position-horizontal-relative:page;mso-position-vertical-relative:page;z-index:-254980096" type="#_x0000_t202" filled="false" stroked="false">
          <v:textbox inset="0,0,0,0">
            <w:txbxContent>
              <w:p>
                <w:pPr>
                  <w:pStyle w:val="BodyText"/>
                  <w:spacing w:before="10"/>
                  <w:ind w:left="20"/>
                </w:pPr>
                <w:r>
                  <w:rPr/>
                  <w:t>9</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2.26001pt;margin-top:792.126343pt;width:14pt;height:15.3pt;mso-position-horizontal-relative:page;mso-position-vertical-relative:page;z-index:-254978048" type="#_x0000_t202" filled="false" stroked="false">
          <v:textbox inset="0,0,0,0">
            <w:txbxContent>
              <w:p>
                <w:pPr>
                  <w:pStyle w:val="BodyText"/>
                  <w:spacing w:before="10"/>
                  <w:ind w:left="20"/>
                </w:pPr>
                <w:r>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6001pt;margin-top:34.806339pt;width:12pt;height:15.3pt;mso-position-horizontal-relative:page;mso-position-vertical-relative:page;z-index:-2549964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4977024"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4974976" type="#_x0000_t202" filled="false" stroked="false">
          <v:textbox inset="0,0,0,0">
            <w:txbxContent>
              <w:p>
                <w:pPr>
                  <w:pStyle w:val="BodyText"/>
                  <w:spacing w:before="10"/>
                  <w:ind w:left="60"/>
                </w:pPr>
                <w:r>
                  <w:rPr/>
                  <w:fldChar w:fldCharType="begin"/>
                </w:r>
                <w:r>
                  <w:rPr/>
                  <w:instrText> PAGE </w:instrText>
                </w:r>
                <w:r>
                  <w:rPr/>
                  <w:fldChar w:fldCharType="separate"/>
                </w:r>
                <w:r>
                  <w:rPr/>
                  <w:t>12</w:t>
                </w:r>
                <w:r>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4972928" type="#_x0000_t202" filled="false" stroked="false">
          <v:textbox inset="0,0,0,0">
            <w:txbxContent>
              <w:p>
                <w:pPr>
                  <w:pStyle w:val="BodyText"/>
                  <w:spacing w:before="10"/>
                  <w:ind w:left="60"/>
                </w:pPr>
                <w:r>
                  <w:rPr/>
                  <w:fldChar w:fldCharType="begin"/>
                </w:r>
                <w:r>
                  <w:rPr/>
                  <w:instrText> PAGE </w:instrText>
                </w:r>
                <w:r>
                  <w:rPr/>
                  <w:fldChar w:fldCharType="separate"/>
                </w:r>
                <w:r>
                  <w:rPr/>
                  <w:t>13</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4970880" type="#_x0000_t202" filled="false" stroked="false">
          <v:textbox inset="0,0,0,0">
            <w:txbxContent>
              <w:p>
                <w:pPr>
                  <w:pStyle w:val="BodyText"/>
                  <w:spacing w:before="10"/>
                  <w:ind w:left="60"/>
                </w:pPr>
                <w:r>
                  <w:rPr/>
                  <w:fldChar w:fldCharType="begin"/>
                </w:r>
                <w:r>
                  <w:rPr/>
                  <w:instrText> PAGE </w:instrText>
                </w:r>
                <w:r>
                  <w:rPr/>
                  <w:fldChar w:fldCharType="separate"/>
                </w:r>
                <w:r>
                  <w:rPr/>
                  <w:t>14</w:t>
                </w:r>
                <w:r>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4968832" type="#_x0000_t202" filled="false" stroked="false">
          <v:textbox inset="0,0,0,0">
            <w:txbxContent>
              <w:p>
                <w:pPr>
                  <w:pStyle w:val="BodyText"/>
                  <w:spacing w:before="10"/>
                  <w:ind w:left="60"/>
                </w:pPr>
                <w:r>
                  <w:rPr/>
                  <w:fldChar w:fldCharType="begin"/>
                </w:r>
                <w:r>
                  <w:rPr/>
                  <w:instrText> PAGE </w:instrText>
                </w:r>
                <w:r>
                  <w:rPr/>
                  <w:fldChar w:fldCharType="separate"/>
                </w:r>
                <w:r>
                  <w:rPr/>
                  <w:t>15</w:t>
                </w:r>
                <w:r>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4966784" type="#_x0000_t202" filled="false" stroked="false">
          <v:textbox inset="0,0,0,0">
            <w:txbxContent>
              <w:p>
                <w:pPr>
                  <w:pStyle w:val="BodyText"/>
                  <w:spacing w:before="10"/>
                  <w:ind w:left="60"/>
                </w:pPr>
                <w:r>
                  <w:rPr/>
                  <w:fldChar w:fldCharType="begin"/>
                </w:r>
                <w:r>
                  <w:rPr/>
                  <w:instrText> PAGE </w:instrText>
                </w:r>
                <w:r>
                  <w:rPr/>
                  <w:fldChar w:fldCharType="separate"/>
                </w:r>
                <w:r>
                  <w:rPr/>
                  <w:t>16</w:t>
                </w:r>
                <w:r>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4964736" type="#_x0000_t202" filled="false" stroked="false">
          <v:textbox inset="0,0,0,0">
            <w:txbxContent>
              <w:p>
                <w:pPr>
                  <w:pStyle w:val="BodyText"/>
                  <w:spacing w:before="10"/>
                  <w:ind w:left="60"/>
                </w:pPr>
                <w:r>
                  <w:rPr/>
                  <w:fldChar w:fldCharType="begin"/>
                </w:r>
                <w:r>
                  <w:rPr/>
                  <w:instrText> PAGE </w:instrText>
                </w:r>
                <w:r>
                  <w:rPr/>
                  <w:fldChar w:fldCharType="separate"/>
                </w:r>
                <w:r>
                  <w:rPr/>
                  <w:t>17</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26001pt;margin-top:34.806339pt;width:12pt;height:15.3pt;mso-position-horizontal-relative:page;mso-position-vertical-relative:page;z-index:-254994432" type="#_x0000_t202" filled="false" stroked="false">
          <v:textbox inset="0,0,0,0">
            <w:txbxContent>
              <w:p>
                <w:pPr>
                  <w:pStyle w:val="BodyText"/>
                  <w:spacing w:before="10"/>
                  <w:ind w:left="60"/>
                </w:pPr>
                <w:r>
                  <w:rPr/>
                  <w:fldChar w:fldCharType="begin"/>
                </w:r>
                <w:r>
                  <w:rPr/>
                  <w:instrText> PAGE </w:instrText>
                </w:r>
                <w:r>
                  <w:rPr/>
                  <w:fldChar w:fldCharType="separate"/>
                </w:r>
                <w:r>
                  <w:rPr/>
                  <w:t>3</w:t>
                </w:r>
                <w:r>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26001pt;margin-top:34.806339pt;width:12pt;height:15.3pt;mso-position-horizontal-relative:page;mso-position-vertical-relative:page;z-index:-254992384" type="#_x0000_t202" filled="false" stroked="false">
          <v:textbox inset="0,0,0,0">
            <w:txbxContent>
              <w:p>
                <w:pPr>
                  <w:pStyle w:val="BodyText"/>
                  <w:spacing w:before="10"/>
                  <w:ind w:left="60"/>
                </w:pPr>
                <w:r>
                  <w:rPr/>
                  <w:fldChar w:fldCharType="begin"/>
                </w:r>
                <w:r>
                  <w:rPr/>
                  <w:instrText> PAGE </w:instrText>
                </w:r>
                <w:r>
                  <w:rPr/>
                  <w:fldChar w:fldCharType="separate"/>
                </w:r>
                <w:r>
                  <w:rPr/>
                  <w:t>4</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26001pt;margin-top:34.806339pt;width:12pt;height:15.3pt;mso-position-horizontal-relative:page;mso-position-vertical-relative:page;z-index:-254989312" type="#_x0000_t202" filled="false" stroked="false">
          <v:textbox inset="0,0,0,0">
            <w:txbxContent>
              <w:p>
                <w:pPr>
                  <w:pStyle w:val="BodyText"/>
                  <w:spacing w:before="10"/>
                  <w:ind w:left="60"/>
                </w:pPr>
                <w:r>
                  <w:rPr/>
                  <w:fldChar w:fldCharType="begin"/>
                </w:r>
                <w:r>
                  <w:rPr/>
                  <w:instrText> PAGE </w:instrText>
                </w:r>
                <w:r>
                  <w:rPr/>
                  <w:fldChar w:fldCharType="separate"/>
                </w:r>
                <w:r>
                  <w:rPr/>
                  <w:t>5</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26001pt;margin-top:34.806339pt;width:12pt;height:15.3pt;mso-position-horizontal-relative:page;mso-position-vertical-relative:page;z-index:-254987264" type="#_x0000_t202" filled="false" stroked="false">
          <v:textbox inset="0,0,0,0">
            <w:txbxContent>
              <w:p>
                <w:pPr>
                  <w:pStyle w:val="BodyText"/>
                  <w:spacing w:before="10"/>
                  <w:ind w:left="60"/>
                </w:pPr>
                <w:r>
                  <w:rPr/>
                  <w:fldChar w:fldCharType="begin"/>
                </w:r>
                <w:r>
                  <w:rPr/>
                  <w:instrText> PAGE </w:instrText>
                </w:r>
                <w:r>
                  <w:rPr/>
                  <w:fldChar w:fldCharType="separate"/>
                </w:r>
                <w:r>
                  <w:rPr/>
                  <w:t>6</w:t>
                </w:r>
                <w:r>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26001pt;margin-top:34.806339pt;width:12pt;height:15.3pt;mso-position-horizontal-relative:page;mso-position-vertical-relative:page;z-index:-254985216" type="#_x0000_t202" filled="false" stroked="false">
          <v:textbox inset="0,0,0,0">
            <w:txbxContent>
              <w:p>
                <w:pPr>
                  <w:pStyle w:val="BodyText"/>
                  <w:spacing w:before="10"/>
                  <w:ind w:left="60"/>
                </w:pPr>
                <w:r>
                  <w:rPr/>
                  <w:fldChar w:fldCharType="begin"/>
                </w:r>
                <w:r>
                  <w:rPr/>
                  <w:instrText> PAGE </w:instrText>
                </w:r>
                <w:r>
                  <w:rPr/>
                  <w:fldChar w:fldCharType="separate"/>
                </w:r>
                <w:r>
                  <w:rPr/>
                  <w:t>7</w:t>
                </w:r>
                <w:r>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26001pt;margin-top:34.806339pt;width:12pt;height:15.3pt;mso-position-horizontal-relative:page;mso-position-vertical-relative:page;z-index:-254983168" type="#_x0000_t202" filled="false" stroked="false">
          <v:textbox inset="0,0,0,0">
            <w:txbxContent>
              <w:p>
                <w:pPr>
                  <w:pStyle w:val="BodyText"/>
                  <w:spacing w:before="10"/>
                  <w:ind w:left="60"/>
                </w:pPr>
                <w:r>
                  <w:rPr/>
                  <w:fldChar w:fldCharType="begin"/>
                </w:r>
                <w:r>
                  <w:rPr/>
                  <w:instrText> PAGE </w:instrText>
                </w:r>
                <w:r>
                  <w:rPr/>
                  <w:fldChar w:fldCharType="separate"/>
                </w:r>
                <w:r>
                  <w:rPr/>
                  <w:t>8</w:t>
                </w:r>
                <w:r>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6.26001pt;margin-top:34.806339pt;width:12pt;height:15.3pt;mso-position-horizontal-relative:page;mso-position-vertical-relative:page;z-index:-254981120" type="#_x0000_t202" filled="false" stroked="false">
          <v:textbox inset="0,0,0,0">
            <w:txbxContent>
              <w:p>
                <w:pPr>
                  <w:pStyle w:val="BodyText"/>
                  <w:spacing w:before="10"/>
                  <w:ind w:left="60"/>
                </w:pPr>
                <w:r>
                  <w:rPr/>
                  <w:fldChar w:fldCharType="begin"/>
                </w:r>
                <w:r>
                  <w:rPr/>
                  <w:instrText> PAGE </w:instrText>
                </w:r>
                <w:r>
                  <w:rPr/>
                  <w:fldChar w:fldCharType="separate"/>
                </w:r>
                <w:r>
                  <w:rPr/>
                  <w:t>9</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0.26001pt;margin-top:34.806339pt;width:18pt;height:15.3pt;mso-position-horizontal-relative:page;mso-position-vertical-relative:page;z-index:-25497907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20"/>
      <w:jc w:val="both"/>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2.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image" Target="media/image3.png"/><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4.png"/><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Sentance at the MPR Monetary Policy and Markets Conference</dc:creator>
  <dc:subject>Monetary Policy</dc:subject>
  <dc:title>The current downturn - a bust without a boom</dc:title>
  <dcterms:created xsi:type="dcterms:W3CDTF">2020-06-02T18:36:13Z</dcterms:created>
  <dcterms:modified xsi:type="dcterms:W3CDTF">2020-06-02T18:36:13Z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2008-12-09T00:00:00Z</vt:filetime>
  </property>
  <property fmtid="{D5CDD505-2E9C-101B-9397-08002B2CF9AE}" pid="3" name="Creator">
    <vt:lpwstr>PScript5.dll Version 5.2</vt:lpwstr>
  </property>
  <property fmtid="{D5CDD505-2E9C-101B-9397-08002B2CF9AE}" pid="4" name="LastSaved">
    <vt:filetime>2020-06-02T00:00:00Z</vt:filetime>
  </property>
</Properties>
</file>