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Exchange Rate and the MPC: What can we do?</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Dr Sushil Wadhwani,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960"/>
        <w:rPr>
          <w:rFonts w:ascii="Arial"/>
        </w:rPr>
      </w:pPr>
      <w:r>
        <w:rPr>
          <w:rFonts w:ascii="Arial"/>
        </w:rPr>
        <w:t>To the Senior Business Forum at the Centre for Economic Performance, London 31 May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8"/>
      </w:pPr>
      <w:r>
        <w:rPr/>
        <w:t>1 INTRODUCTION</w:t>
      </w:r>
    </w:p>
    <w:p>
      <w:pPr>
        <w:pStyle w:val="BodyText"/>
        <w:spacing w:before="8"/>
        <w:rPr>
          <w:b/>
          <w:sz w:val="35"/>
        </w:rPr>
      </w:pPr>
    </w:p>
    <w:p>
      <w:pPr>
        <w:pStyle w:val="BodyText"/>
        <w:spacing w:line="360" w:lineRule="auto"/>
        <w:ind w:left="102" w:right="373"/>
      </w:pPr>
      <w:r>
        <w:rPr/>
        <w:t>Even after its recent fall, the current level of sterling (versus the euro) is</w:t>
      </w:r>
      <w:r>
        <w:rPr>
          <w:vertAlign w:val="superscript"/>
        </w:rPr>
        <w:t>1</w:t>
      </w:r>
      <w:r>
        <w:rPr>
          <w:vertAlign w:val="baseline"/>
        </w:rPr>
        <w:t> clearly an issue of great concern to many businessmen. This is reflected in the considerable media attention that, in recent weeks, has been devoted to the pain caused by the overvalued level of sterling. Indeed, in recent meetings with people from businesses around the country, there is little else that they want to talk about.</w:t>
      </w:r>
    </w:p>
    <w:p>
      <w:pPr>
        <w:pStyle w:val="BodyText"/>
        <w:spacing w:before="9"/>
        <w:rPr>
          <w:sz w:val="35"/>
        </w:rPr>
      </w:pPr>
    </w:p>
    <w:p>
      <w:pPr>
        <w:pStyle w:val="BodyText"/>
        <w:spacing w:line="362" w:lineRule="auto"/>
        <w:ind w:left="102" w:right="373"/>
      </w:pPr>
      <w:r>
        <w:rPr/>
        <w:t>My talk today can, therefore, be thought of as some answers to the most frequently- asked questions. The issues that I hope to deal with are:</w:t>
      </w:r>
    </w:p>
    <w:p>
      <w:pPr>
        <w:pStyle w:val="BodyText"/>
        <w:spacing w:before="7"/>
        <w:rPr>
          <w:sz w:val="35"/>
        </w:rPr>
      </w:pPr>
    </w:p>
    <w:p>
      <w:pPr>
        <w:pStyle w:val="ListParagraph"/>
        <w:numPr>
          <w:ilvl w:val="0"/>
          <w:numId w:val="1"/>
        </w:numPr>
        <w:tabs>
          <w:tab w:pos="462" w:val="left" w:leader="none"/>
          <w:tab w:pos="463" w:val="left" w:leader="none"/>
        </w:tabs>
        <w:spacing w:line="240" w:lineRule="auto" w:before="1" w:after="0"/>
        <w:ind w:left="462" w:right="0" w:hanging="361"/>
        <w:jc w:val="left"/>
        <w:rPr>
          <w:sz w:val="24"/>
        </w:rPr>
      </w:pPr>
      <w:r>
        <w:rPr>
          <w:sz w:val="24"/>
        </w:rPr>
        <w:t>Why has the pound risen considerably against the DM </w:t>
      </w:r>
      <w:r>
        <w:rPr>
          <w:spacing w:val="4"/>
          <w:sz w:val="24"/>
        </w:rPr>
        <w:t>over </w:t>
      </w:r>
      <w:r>
        <w:rPr>
          <w:sz w:val="24"/>
        </w:rPr>
        <w:t>the last few</w:t>
      </w:r>
      <w:r>
        <w:rPr>
          <w:spacing w:val="2"/>
          <w:sz w:val="24"/>
        </w:rPr>
        <w:t> </w:t>
      </w:r>
      <w:r>
        <w:rPr>
          <w:sz w:val="24"/>
        </w:rPr>
        <w:t>years?</w:t>
      </w:r>
    </w:p>
    <w:p>
      <w:pPr>
        <w:pStyle w:val="BodyText"/>
        <w:rPr>
          <w:sz w:val="26"/>
        </w:rPr>
      </w:pPr>
    </w:p>
    <w:p>
      <w:pPr>
        <w:pStyle w:val="BodyText"/>
        <w:spacing w:before="2"/>
        <w:rPr>
          <w:sz w:val="22"/>
        </w:rPr>
      </w:pPr>
    </w:p>
    <w:p>
      <w:pPr>
        <w:pStyle w:val="ListParagraph"/>
        <w:numPr>
          <w:ilvl w:val="0"/>
          <w:numId w:val="1"/>
        </w:numPr>
        <w:tabs>
          <w:tab w:pos="462" w:val="left" w:leader="none"/>
          <w:tab w:pos="463" w:val="left" w:leader="none"/>
        </w:tabs>
        <w:spacing w:line="240" w:lineRule="auto" w:before="0" w:after="0"/>
        <w:ind w:left="462" w:right="0" w:hanging="361"/>
        <w:jc w:val="left"/>
        <w:rPr>
          <w:sz w:val="24"/>
        </w:rPr>
      </w:pPr>
      <w:r>
        <w:rPr>
          <w:sz w:val="24"/>
        </w:rPr>
        <w:t>What is</w:t>
      </w:r>
      <w:r>
        <w:rPr>
          <w:spacing w:val="-5"/>
          <w:sz w:val="24"/>
        </w:rPr>
        <w:t> </w:t>
      </w:r>
      <w:r>
        <w:rPr>
          <w:sz w:val="24"/>
        </w:rPr>
        <w:t>likely</w:t>
      </w:r>
      <w:r>
        <w:rPr>
          <w:spacing w:val="-5"/>
          <w:sz w:val="24"/>
        </w:rPr>
        <w:t> </w:t>
      </w:r>
      <w:r>
        <w:rPr>
          <w:spacing w:val="3"/>
          <w:sz w:val="24"/>
        </w:rPr>
        <w:t>to</w:t>
      </w:r>
      <w:r>
        <w:rPr>
          <w:sz w:val="24"/>
        </w:rPr>
        <w:t> happen</w:t>
      </w:r>
      <w:r>
        <w:rPr>
          <w:spacing w:val="-4"/>
          <w:sz w:val="24"/>
        </w:rPr>
        <w:t> </w:t>
      </w:r>
      <w:r>
        <w:rPr>
          <w:spacing w:val="3"/>
          <w:sz w:val="24"/>
        </w:rPr>
        <w:t>to</w:t>
      </w:r>
      <w:r>
        <w:rPr>
          <w:sz w:val="24"/>
        </w:rPr>
        <w:t> the</w:t>
      </w:r>
      <w:r>
        <w:rPr>
          <w:spacing w:val="-5"/>
          <w:sz w:val="24"/>
        </w:rPr>
        <w:t> </w:t>
      </w:r>
      <w:r>
        <w:rPr>
          <w:sz w:val="24"/>
        </w:rPr>
        <w:t>sterling-DM</w:t>
      </w:r>
      <w:r>
        <w:rPr>
          <w:spacing w:val="-5"/>
          <w:sz w:val="24"/>
        </w:rPr>
        <w:t> </w:t>
      </w:r>
      <w:r>
        <w:rPr>
          <w:sz w:val="24"/>
        </w:rPr>
        <w:t>exchange</w:t>
      </w:r>
      <w:r>
        <w:rPr>
          <w:spacing w:val="-5"/>
          <w:sz w:val="24"/>
        </w:rPr>
        <w:t> </w:t>
      </w:r>
      <w:r>
        <w:rPr>
          <w:sz w:val="24"/>
        </w:rPr>
        <w:t>rate</w:t>
      </w:r>
      <w:r>
        <w:rPr>
          <w:spacing w:val="-3"/>
          <w:sz w:val="24"/>
        </w:rPr>
        <w:t> </w:t>
      </w:r>
      <w:r>
        <w:rPr>
          <w:spacing w:val="3"/>
          <w:sz w:val="24"/>
        </w:rPr>
        <w:t>over</w:t>
      </w:r>
      <w:r>
        <w:rPr>
          <w:sz w:val="24"/>
        </w:rPr>
        <w:t> the</w:t>
      </w:r>
      <w:r>
        <w:rPr>
          <w:spacing w:val="-5"/>
          <w:sz w:val="24"/>
        </w:rPr>
        <w:t> </w:t>
      </w:r>
      <w:r>
        <w:rPr>
          <w:sz w:val="24"/>
        </w:rPr>
        <w:t>next few</w:t>
      </w:r>
      <w:r>
        <w:rPr>
          <w:spacing w:val="-5"/>
          <w:sz w:val="24"/>
        </w:rPr>
        <w:t> </w:t>
      </w:r>
      <w:r>
        <w:rPr>
          <w:sz w:val="24"/>
        </w:rPr>
        <w:t>years?</w:t>
      </w:r>
    </w:p>
    <w:p>
      <w:pPr>
        <w:pStyle w:val="BodyText"/>
        <w:rPr>
          <w:sz w:val="26"/>
        </w:rPr>
      </w:pPr>
    </w:p>
    <w:p>
      <w:pPr>
        <w:pStyle w:val="BodyText"/>
        <w:spacing w:before="9"/>
        <w:rPr>
          <w:sz w:val="21"/>
        </w:rPr>
      </w:pPr>
    </w:p>
    <w:p>
      <w:pPr>
        <w:pStyle w:val="ListParagraph"/>
        <w:numPr>
          <w:ilvl w:val="0"/>
          <w:numId w:val="1"/>
        </w:numPr>
        <w:tabs>
          <w:tab w:pos="411" w:val="left" w:leader="none"/>
        </w:tabs>
        <w:spacing w:line="360" w:lineRule="auto" w:before="0" w:after="0"/>
        <w:ind w:left="102" w:right="166" w:firstLine="0"/>
        <w:jc w:val="left"/>
        <w:rPr>
          <w:sz w:val="24"/>
        </w:rPr>
      </w:pPr>
      <w:r>
        <w:rPr>
          <w:sz w:val="24"/>
        </w:rPr>
        <w:t>What, if anything, can the MPC do about it ? In particular, can we do anything in terms of how we incorporate asset price </w:t>
      </w:r>
      <w:r>
        <w:rPr>
          <w:spacing w:val="2"/>
          <w:sz w:val="24"/>
        </w:rPr>
        <w:t>misalignments into </w:t>
      </w:r>
      <w:r>
        <w:rPr>
          <w:spacing w:val="4"/>
          <w:sz w:val="24"/>
        </w:rPr>
        <w:t>our </w:t>
      </w:r>
      <w:r>
        <w:rPr>
          <w:sz w:val="24"/>
        </w:rPr>
        <w:t>decision-making process and/or use foreign exchange intervention </w:t>
      </w:r>
      <w:r>
        <w:rPr>
          <w:spacing w:val="2"/>
          <w:sz w:val="24"/>
        </w:rPr>
        <w:t>to </w:t>
      </w:r>
      <w:r>
        <w:rPr>
          <w:sz w:val="24"/>
        </w:rPr>
        <w:t>help? Should we look again at </w:t>
      </w:r>
      <w:r>
        <w:rPr>
          <w:spacing w:val="3"/>
          <w:sz w:val="24"/>
        </w:rPr>
        <w:t>our </w:t>
      </w:r>
      <w:r>
        <w:rPr>
          <w:sz w:val="24"/>
        </w:rPr>
        <w:t>forecasting convention for the exchange rate? Or, given </w:t>
      </w:r>
      <w:r>
        <w:rPr>
          <w:spacing w:val="3"/>
          <w:sz w:val="24"/>
        </w:rPr>
        <w:t>our </w:t>
      </w:r>
      <w:r>
        <w:rPr>
          <w:sz w:val="24"/>
        </w:rPr>
        <w:t>remit, is there nothing that we can do?  I shall conclude that, although there is no </w:t>
      </w:r>
      <w:r>
        <w:rPr>
          <w:spacing w:val="-5"/>
          <w:sz w:val="24"/>
        </w:rPr>
        <w:t>‘quick fix’, </w:t>
      </w:r>
      <w:r>
        <w:rPr>
          <w:sz w:val="24"/>
        </w:rPr>
        <w:t>there are  things which are entirely consistent with its remit that the MPC can do which </w:t>
      </w:r>
      <w:r>
        <w:rPr>
          <w:spacing w:val="2"/>
          <w:sz w:val="24"/>
          <w:u w:val="single"/>
        </w:rPr>
        <w:t>might</w:t>
      </w:r>
      <w:r>
        <w:rPr>
          <w:spacing w:val="2"/>
          <w:sz w:val="24"/>
        </w:rPr>
        <w:t> </w:t>
      </w:r>
      <w:r>
        <w:rPr>
          <w:sz w:val="24"/>
        </w:rPr>
        <w:t>reduce</w:t>
      </w:r>
      <w:r>
        <w:rPr>
          <w:spacing w:val="-37"/>
          <w:sz w:val="24"/>
        </w:rPr>
        <w:t> </w:t>
      </w:r>
      <w:r>
        <w:rPr>
          <w:sz w:val="24"/>
        </w:rPr>
        <w:t>the degree </w:t>
      </w:r>
      <w:r>
        <w:rPr>
          <w:spacing w:val="2"/>
          <w:sz w:val="24"/>
        </w:rPr>
        <w:t>of </w:t>
      </w:r>
      <w:r>
        <w:rPr>
          <w:spacing w:val="4"/>
          <w:sz w:val="24"/>
        </w:rPr>
        <w:t>over-valuation </w:t>
      </w:r>
      <w:r>
        <w:rPr>
          <w:spacing w:val="2"/>
          <w:sz w:val="24"/>
        </w:rPr>
        <w:t>of</w:t>
      </w:r>
      <w:r>
        <w:rPr>
          <w:spacing w:val="17"/>
          <w:sz w:val="24"/>
        </w:rPr>
        <w:t> </w:t>
      </w:r>
      <w:r>
        <w:rPr>
          <w:sz w:val="24"/>
        </w:rPr>
        <w:t>sterling.</w:t>
      </w:r>
    </w:p>
    <w:p>
      <w:pPr>
        <w:pStyle w:val="BodyText"/>
        <w:spacing w:before="5"/>
        <w:rPr>
          <w:sz w:val="36"/>
        </w:rPr>
      </w:pPr>
    </w:p>
    <w:p>
      <w:pPr>
        <w:pStyle w:val="Heading1"/>
      </w:pPr>
      <w:r>
        <w:rPr/>
        <w:t>2 CAN WE UNDERSTAND THE POST–1995 RISE OF THE POUND?</w:t>
      </w:r>
    </w:p>
    <w:p>
      <w:pPr>
        <w:pStyle w:val="BodyText"/>
        <w:rPr>
          <w:b/>
          <w:sz w:val="26"/>
        </w:rPr>
      </w:pPr>
    </w:p>
    <w:p>
      <w:pPr>
        <w:pStyle w:val="BodyText"/>
        <w:spacing w:before="9"/>
        <w:rPr>
          <w:b/>
          <w:sz w:val="21"/>
        </w:rPr>
      </w:pPr>
    </w:p>
    <w:p>
      <w:pPr>
        <w:pStyle w:val="BodyText"/>
        <w:spacing w:line="360" w:lineRule="auto"/>
        <w:ind w:left="102" w:right="373"/>
      </w:pPr>
      <w:r>
        <w:rPr/>
        <w:t>The pound has risen from around DM2.20 in mid-1995 to around DM3.17 now, an increase of over 40%</w:t>
      </w:r>
      <w:r>
        <w:rPr>
          <w:vertAlign w:val="superscript"/>
        </w:rPr>
        <w:t>2</w:t>
      </w:r>
      <w:r>
        <w:rPr>
          <w:vertAlign w:val="baseline"/>
        </w:rPr>
        <w:t> (see Figure 1). In terms of possible factors that might explain the rise, one could point to: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r>
        <w:rPr/>
        <w:pict>
          <v:shape style="position:absolute;margin-left:81.120003pt;margin-top:16.953272pt;width:144pt;height:.1pt;mso-position-horizontal-relative:page;mso-position-vertical-relative:paragraph;z-index:-251656192;mso-wrap-distance-left:0;mso-wrap-distance-right:0" coordorigin="1622,339" coordsize="2880,0" path="m1622,339l4502,339e" filled="false" stroked="true" strokeweight=".48pt" strokecolor="#000000">
            <v:path arrowok="t"/>
            <v:stroke dashstyle="solid"/>
            <w10:wrap type="topAndBottom"/>
          </v:shape>
        </w:pict>
      </w:r>
    </w:p>
    <w:p>
      <w:pPr>
        <w:spacing w:line="243" w:lineRule="exact" w:before="33"/>
        <w:ind w:left="102" w:right="0" w:firstLine="0"/>
        <w:jc w:val="left"/>
        <w:rPr>
          <w:sz w:val="20"/>
        </w:rPr>
      </w:pPr>
      <w:r>
        <w:rPr>
          <w:position w:val="9"/>
          <w:sz w:val="13"/>
        </w:rPr>
        <w:t>1 </w:t>
      </w:r>
      <w:r>
        <w:rPr>
          <w:sz w:val="20"/>
        </w:rPr>
        <w:t>It has fallen from DM3.44 in early May to around DM3.17 at close of business, 24 May.</w:t>
      </w:r>
    </w:p>
    <w:p>
      <w:pPr>
        <w:spacing w:line="230" w:lineRule="exact" w:before="15"/>
        <w:ind w:left="102" w:right="0" w:firstLine="0"/>
        <w:jc w:val="left"/>
        <w:rPr>
          <w:sz w:val="20"/>
        </w:rPr>
      </w:pPr>
      <w:r>
        <w:rPr>
          <w:position w:val="9"/>
          <w:sz w:val="13"/>
        </w:rPr>
        <w:t>2 </w:t>
      </w:r>
      <w:r>
        <w:rPr>
          <w:sz w:val="20"/>
        </w:rPr>
        <w:t>Of course, as already mentioned, in the interim, we have been even higher with the £-DM rate reaching DM3.44 – on 3 May).</w:t>
      </w:r>
    </w:p>
    <w:p>
      <w:pPr>
        <w:spacing w:after="0" w:line="230" w:lineRule="exact"/>
        <w:jc w:val="left"/>
        <w:rPr>
          <w:sz w:val="20"/>
        </w:rPr>
        <w:sectPr>
          <w:footerReference w:type="default" r:id="rId7"/>
          <w:pgSz w:w="11900" w:h="16840"/>
          <w:pgMar w:footer="743" w:header="0" w:top="1360" w:bottom="940" w:left="1520" w:right="1660"/>
          <w:pgNumType w:start="2"/>
        </w:sectPr>
      </w:pPr>
    </w:p>
    <w:p>
      <w:pPr>
        <w:pStyle w:val="BodyText"/>
        <w:spacing w:before="7"/>
        <w:rPr>
          <w:sz w:val="13"/>
        </w:rPr>
      </w:pPr>
    </w:p>
    <w:p>
      <w:pPr>
        <w:pStyle w:val="BodyText"/>
        <w:spacing w:before="90"/>
        <w:ind w:left="102"/>
      </w:pPr>
      <w:r>
        <w:rPr/>
        <w:t>Figure 1</w:t>
      </w:r>
    </w:p>
    <w:p>
      <w:pPr>
        <w:pStyle w:val="BodyText"/>
        <w:spacing w:before="3"/>
        <w:rPr>
          <w:sz w:val="28"/>
        </w:rPr>
      </w:pPr>
    </w:p>
    <w:p>
      <w:pPr>
        <w:spacing w:before="94"/>
        <w:ind w:left="400" w:right="0" w:firstLine="0"/>
        <w:jc w:val="left"/>
        <w:rPr>
          <w:b/>
          <w:sz w:val="23"/>
        </w:rPr>
      </w:pPr>
      <w:r>
        <w:rPr>
          <w:b/>
          <w:sz w:val="23"/>
        </w:rPr>
        <w:t>£/DM exchange rate</w:t>
      </w:r>
    </w:p>
    <w:p>
      <w:pPr>
        <w:pStyle w:val="BodyText"/>
        <w:spacing w:before="11"/>
        <w:rPr>
          <w:b/>
          <w:sz w:val="19"/>
        </w:rPr>
      </w:pPr>
    </w:p>
    <w:p>
      <w:pPr>
        <w:spacing w:before="99"/>
        <w:ind w:left="4322" w:right="4103" w:firstLine="0"/>
        <w:jc w:val="center"/>
        <w:rPr>
          <w:sz w:val="15"/>
        </w:rPr>
      </w:pPr>
      <w:r>
        <w:rPr/>
        <w:pict>
          <v:group style="position:absolute;margin-left:104.639999pt;margin-top:9.671944pt;width:186.4pt;height:149.9pt;mso-position-horizontal-relative:page;mso-position-vertical-relative:paragraph;z-index:251662336" coordorigin="2093,193" coordsize="3728,2998">
            <v:shape style="position:absolute;left:2112;top:195;width:3706;height:2996" coordorigin="2112,196" coordsize="3706,2996" path="m5770,196l5770,3138,5818,3138m5770,2404l5818,2404m5770,1669l5818,1669m5770,930l5818,930m5770,196l5818,196m2112,3138l5770,3138m2112,3191l2112,3138m2798,3191l2798,3138m3485,3191l3485,3138m4166,3191l4166,3138m4858,3191l4858,3138m5544,3191l5544,3138e" filled="false" stroked="true" strokeweight=".24pt" strokecolor="#000000">
              <v:path arrowok="t"/>
              <v:stroke dashstyle="solid"/>
            </v:shape>
            <v:line style="position:absolute" from="2112,1780" to="2170,1804" stroked="true" strokeweight="1.92pt" strokecolor="#000080">
              <v:stroke dashstyle="solid"/>
            </v:line>
            <v:line style="position:absolute" from="2170,1804" to="2227,1938" stroked="true" strokeweight="1.92pt" strokecolor="#000080">
              <v:stroke dashstyle="solid"/>
            </v:line>
            <v:line style="position:absolute" from="2227,1938" to="2285,2082" stroked="true" strokeweight="1.92pt" strokecolor="#000080">
              <v:stroke dashstyle="solid"/>
            </v:line>
            <v:line style="position:absolute" from="2285,2082" to="2338,2039" stroked="true" strokeweight="1.92pt" strokecolor="#000080">
              <v:stroke dashstyle="solid"/>
            </v:line>
            <v:line style="position:absolute" from="2338,2039" to="2395,2015" stroked="true" strokeweight="1.92pt" strokecolor="#000080">
              <v:stroke dashstyle="solid"/>
            </v:line>
            <v:line style="position:absolute" from="2395,2015" to="2453,2101" stroked="true" strokeweight="1.92pt" strokecolor="#000080">
              <v:stroke dashstyle="solid"/>
            </v:line>
            <v:line style="position:absolute" from="2434,2099" to="2530,2099" stroked="true" strokeweight="2.16pt" strokecolor="#000080">
              <v:stroke dashstyle="solid"/>
            </v:line>
            <v:line style="position:absolute" from="2510,2097" to="2568,2001" stroked="true" strokeweight="1.92pt" strokecolor="#000080">
              <v:stroke dashstyle="solid"/>
            </v:line>
            <v:line style="position:absolute" from="2549,2003" to="2645,2003" stroked="true" strokeweight="2.16pt" strokecolor="#000080">
              <v:stroke dashstyle="solid"/>
            </v:line>
            <v:shape style="position:absolute;left:2625;top:2005;width:231;height:87" coordorigin="2626,2005" coordsize="231,87" path="m2626,2005l2683,2058m2683,2058l2741,2092m2741,2092l2798,2077m2798,2077l2856,2020e" filled="false" stroked="true" strokeweight="1.92pt" strokecolor="#000080">
              <v:path arrowok="t"/>
              <v:stroke dashstyle="solid"/>
            </v:shape>
            <v:line style="position:absolute" from="2837,2022" to="2928,2022" stroked="true" strokeweight="2.16pt" strokecolor="#000080">
              <v:stroke dashstyle="solid"/>
            </v:line>
            <v:line style="position:absolute" from="2890,2020" to="2990,2020" stroked="true" strokeweight="2.4pt" strokecolor="#000080">
              <v:stroke dashstyle="solid"/>
            </v:line>
            <v:shape style="position:absolute;left:2971;top:786;width:2170;height:1229" coordorigin="2971,786" coordsize="2170,1229" path="m2971,2015l3029,1972m3029,1972l3082,1866m3082,1866l3139,1857m3139,1857l3197,1972m3197,1972l3254,1933m3254,1933l3312,1833m3312,1833l3370,1693m3370,1693l3427,1525m3427,1525l3485,1463m3485,1463l3542,1449m3542,1449l3595,1309m3595,1309l3653,1300m3653,1300l3715,1237m3715,1237l3768,1199m3768,1199l3826,1098m3826,1098l3883,873m3883,873l3941,1045m3941,1045l3998,1132m3998,1132l4056,1060m4056,1060l4114,940m4114,940l4166,993m4166,993l4229,959m4229,959l4286,949m4286,949l4339,786m4339,786l4397,983m4397,983l4454,1060m4454,1060l4512,906m4512,906l4570,1079m4570,1079l4627,1026m4627,1026l4685,1213m4685,1213l4742,1295m4742,1295l4800,1266m4800,1266l4858,1266m4858,1266l4915,1170m4915,1170l4973,1113m4973,1113l5026,1074m5026,1074l5083,959m5083,959l5141,921e" filled="false" stroked="true" strokeweight="1.92pt" strokecolor="#000080">
              <v:path arrowok="t"/>
              <v:stroke dashstyle="solid"/>
            </v:shape>
            <v:line style="position:absolute" from="5122,918" to="5218,918" stroked="true" strokeweight="2.16pt" strokecolor="#000080">
              <v:stroke dashstyle="solid"/>
            </v:line>
            <v:shape style="position:absolute;left:5198;top:891;width:173;height:96" coordorigin="5198,892" coordsize="173,96" path="m5198,916l5256,988m5256,988l5314,988m5314,988l5371,892e" filled="false" stroked="true" strokeweight="1.92pt" strokecolor="#000080">
              <v:path arrowok="t"/>
              <v:stroke dashstyle="solid"/>
            </v:shape>
            <v:line style="position:absolute" from="5371,892" to="5429,839" stroked="true" strokeweight="1.92pt" strokecolor="#000080">
              <v:stroke dashstyle="solid"/>
            </v:line>
            <v:line style="position:absolute" from="5429,839" to="5486,786" stroked="true" strokeweight="1.92pt" strokecolor="#000080">
              <v:stroke dashstyle="solid"/>
            </v:line>
            <v:line style="position:absolute" from="5486,786" to="5544,743" stroked="true" strokeweight="1.92pt" strokecolor="#000080">
              <v:stroke dashstyle="solid"/>
            </v:line>
            <v:line style="position:absolute" from="5544,743" to="5597,565" stroked="true" strokeweight="1.92pt" strokecolor="#000080">
              <v:stroke dashstyle="solid"/>
            </v:line>
            <v:line style="position:absolute" from="5597,565" to="5659,633" stroked="true" strokeweight="1.92pt" strokecolor="#000080">
              <v:stroke dashstyle="solid"/>
            </v:line>
            <v:line style="position:absolute" from="5659,633" to="5712,541" stroked="true" strokeweight="1.92pt" strokecolor="#000080">
              <v:stroke dashstyle="solid"/>
            </v:line>
            <v:line style="position:absolute" from="5712,541" to="5770,681" stroked="true" strokeweight="1.92pt" strokecolor="#000080">
              <v:stroke dashstyle="solid"/>
            </v:line>
            <w10:wrap type="none"/>
          </v:group>
        </w:pict>
      </w:r>
      <w:r>
        <w:rPr>
          <w:w w:val="105"/>
          <w:sz w:val="15"/>
        </w:rPr>
        <w:t>3.5</w:t>
      </w:r>
    </w:p>
    <w:p>
      <w:pPr>
        <w:pStyle w:val="BodyText"/>
        <w:rPr>
          <w:sz w:val="20"/>
        </w:rPr>
      </w:pPr>
    </w:p>
    <w:p>
      <w:pPr>
        <w:pStyle w:val="BodyText"/>
        <w:spacing w:before="7"/>
        <w:rPr>
          <w:sz w:val="20"/>
        </w:rPr>
      </w:pPr>
    </w:p>
    <w:p>
      <w:pPr>
        <w:spacing w:before="100"/>
        <w:ind w:left="4322" w:right="4103" w:firstLine="0"/>
        <w:jc w:val="center"/>
        <w:rPr>
          <w:sz w:val="15"/>
        </w:rPr>
      </w:pPr>
      <w:r>
        <w:rPr>
          <w:w w:val="105"/>
          <w:sz w:val="15"/>
        </w:rPr>
        <w:t>3.0</w:t>
      </w:r>
    </w:p>
    <w:p>
      <w:pPr>
        <w:pStyle w:val="BodyText"/>
        <w:rPr>
          <w:sz w:val="20"/>
        </w:rPr>
      </w:pPr>
    </w:p>
    <w:p>
      <w:pPr>
        <w:pStyle w:val="BodyText"/>
        <w:spacing w:before="2"/>
        <w:rPr>
          <w:sz w:val="20"/>
        </w:rPr>
      </w:pPr>
    </w:p>
    <w:p>
      <w:pPr>
        <w:spacing w:before="100"/>
        <w:ind w:left="4322" w:right="4103" w:firstLine="0"/>
        <w:jc w:val="center"/>
        <w:rPr>
          <w:sz w:val="15"/>
        </w:rPr>
      </w:pPr>
      <w:r>
        <w:rPr>
          <w:w w:val="105"/>
          <w:sz w:val="15"/>
        </w:rPr>
        <w:t>2.5</w:t>
      </w:r>
    </w:p>
    <w:p>
      <w:pPr>
        <w:pStyle w:val="BodyText"/>
        <w:rPr>
          <w:sz w:val="20"/>
        </w:rPr>
      </w:pPr>
    </w:p>
    <w:p>
      <w:pPr>
        <w:pStyle w:val="BodyText"/>
        <w:spacing w:before="2"/>
        <w:rPr>
          <w:sz w:val="20"/>
        </w:rPr>
      </w:pPr>
    </w:p>
    <w:p>
      <w:pPr>
        <w:spacing w:before="100"/>
        <w:ind w:left="4322" w:right="4103" w:firstLine="0"/>
        <w:jc w:val="center"/>
        <w:rPr>
          <w:sz w:val="15"/>
        </w:rPr>
      </w:pPr>
      <w:r>
        <w:rPr>
          <w:w w:val="105"/>
          <w:sz w:val="15"/>
        </w:rPr>
        <w:t>2.0</w:t>
      </w:r>
    </w:p>
    <w:p>
      <w:pPr>
        <w:pStyle w:val="BodyText"/>
        <w:rPr>
          <w:sz w:val="20"/>
        </w:rPr>
      </w:pPr>
    </w:p>
    <w:p>
      <w:pPr>
        <w:pStyle w:val="BodyText"/>
        <w:spacing w:before="7"/>
        <w:rPr>
          <w:sz w:val="20"/>
        </w:rPr>
      </w:pPr>
    </w:p>
    <w:p>
      <w:pPr>
        <w:spacing w:before="100"/>
        <w:ind w:left="4322" w:right="4103" w:firstLine="0"/>
        <w:jc w:val="center"/>
        <w:rPr>
          <w:sz w:val="15"/>
        </w:rPr>
      </w:pPr>
      <w:r>
        <w:rPr>
          <w:w w:val="105"/>
          <w:sz w:val="15"/>
        </w:rPr>
        <w:t>1.5</w:t>
      </w:r>
    </w:p>
    <w:p>
      <w:pPr>
        <w:tabs>
          <w:tab w:pos="686" w:val="left" w:leader="none"/>
          <w:tab w:pos="1372" w:val="left" w:leader="none"/>
          <w:tab w:pos="2059" w:val="left" w:leader="none"/>
          <w:tab w:pos="2745" w:val="left" w:leader="none"/>
          <w:tab w:pos="3431" w:val="left" w:leader="none"/>
        </w:tabs>
        <w:spacing w:before="63"/>
        <w:ind w:left="0" w:right="4103" w:firstLine="0"/>
        <w:jc w:val="center"/>
        <w:rPr>
          <w:sz w:val="15"/>
        </w:rPr>
      </w:pPr>
      <w:r>
        <w:rPr>
          <w:w w:val="105"/>
          <w:sz w:val="15"/>
        </w:rPr>
        <w:t>Jan-95</w:t>
        <w:tab/>
        <w:t>Jan-96</w:t>
        <w:tab/>
        <w:t>Jan-97</w:t>
        <w:tab/>
        <w:t>Jan-98</w:t>
        <w:tab/>
        <w:t>Jan-99</w:t>
        <w:tab/>
        <w:t>Jan-00</w:t>
      </w:r>
    </w:p>
    <w:p>
      <w:pPr>
        <w:pStyle w:val="BodyText"/>
        <w:rPr>
          <w:sz w:val="20"/>
        </w:rPr>
      </w:pPr>
    </w:p>
    <w:p>
      <w:pPr>
        <w:pStyle w:val="BodyText"/>
        <w:rPr>
          <w:sz w:val="20"/>
        </w:rPr>
      </w:pPr>
    </w:p>
    <w:p>
      <w:pPr>
        <w:pStyle w:val="BodyText"/>
        <w:spacing w:before="2"/>
      </w:pPr>
    </w:p>
    <w:p>
      <w:pPr>
        <w:pStyle w:val="ListParagraph"/>
        <w:numPr>
          <w:ilvl w:val="0"/>
          <w:numId w:val="2"/>
        </w:numPr>
        <w:tabs>
          <w:tab w:pos="822" w:val="left" w:leader="none"/>
          <w:tab w:pos="823" w:val="left" w:leader="none"/>
        </w:tabs>
        <w:spacing w:line="240" w:lineRule="auto" w:before="90" w:after="0"/>
        <w:ind w:left="822" w:right="0" w:hanging="721"/>
        <w:jc w:val="left"/>
        <w:rPr>
          <w:sz w:val="24"/>
        </w:rPr>
      </w:pPr>
      <w:r>
        <w:rPr>
          <w:sz w:val="24"/>
          <w:u w:val="single"/>
        </w:rPr>
        <w:t>Purchasing Power Parity (PPP)</w:t>
      </w:r>
      <w:r>
        <w:rPr>
          <w:spacing w:val="9"/>
          <w:sz w:val="24"/>
          <w:u w:val="single"/>
        </w:rPr>
        <w:t> </w:t>
      </w:r>
      <w:r>
        <w:rPr>
          <w:sz w:val="24"/>
          <w:u w:val="single"/>
        </w:rPr>
        <w:t>considerations</w:t>
      </w:r>
    </w:p>
    <w:p>
      <w:pPr>
        <w:pStyle w:val="BodyText"/>
        <w:rPr>
          <w:sz w:val="20"/>
        </w:rPr>
      </w:pPr>
    </w:p>
    <w:p>
      <w:pPr>
        <w:pStyle w:val="BodyText"/>
        <w:spacing w:before="4"/>
        <w:rPr>
          <w:sz w:val="20"/>
        </w:rPr>
      </w:pPr>
    </w:p>
    <w:p>
      <w:pPr>
        <w:pStyle w:val="BodyText"/>
        <w:spacing w:line="360" w:lineRule="auto" w:before="90"/>
        <w:ind w:left="102"/>
      </w:pPr>
      <w:r>
        <w:rPr/>
        <w:t>Most measures of the PPP exchange rate are around DM2.60, so when sterling was at DM2.20 in 1995-96, it was undervalued on this measure.</w:t>
      </w:r>
    </w:p>
    <w:p>
      <w:pPr>
        <w:pStyle w:val="BodyText"/>
        <w:spacing w:before="8"/>
        <w:rPr>
          <w:sz w:val="35"/>
        </w:rPr>
      </w:pPr>
    </w:p>
    <w:p>
      <w:pPr>
        <w:pStyle w:val="ListParagraph"/>
        <w:numPr>
          <w:ilvl w:val="0"/>
          <w:numId w:val="2"/>
        </w:numPr>
        <w:tabs>
          <w:tab w:pos="822" w:val="left" w:leader="none"/>
          <w:tab w:pos="823" w:val="left" w:leader="none"/>
        </w:tabs>
        <w:spacing w:line="240" w:lineRule="auto" w:before="0" w:after="0"/>
        <w:ind w:left="822" w:right="0" w:hanging="721"/>
        <w:jc w:val="left"/>
        <w:rPr>
          <w:sz w:val="24"/>
        </w:rPr>
      </w:pPr>
      <w:r>
        <w:rPr>
          <w:sz w:val="24"/>
          <w:u w:val="single"/>
        </w:rPr>
        <w:t>A change in the macroeconomic</w:t>
      </w:r>
      <w:r>
        <w:rPr>
          <w:spacing w:val="24"/>
          <w:sz w:val="24"/>
          <w:u w:val="single"/>
        </w:rPr>
        <w:t> </w:t>
      </w:r>
      <w:r>
        <w:rPr>
          <w:sz w:val="24"/>
          <w:u w:val="single"/>
        </w:rPr>
        <w:t>framework</w:t>
      </w:r>
    </w:p>
    <w:p>
      <w:pPr>
        <w:pStyle w:val="BodyText"/>
        <w:rPr>
          <w:sz w:val="20"/>
        </w:rPr>
      </w:pPr>
    </w:p>
    <w:p>
      <w:pPr>
        <w:pStyle w:val="BodyText"/>
        <w:spacing w:before="5"/>
        <w:rPr>
          <w:sz w:val="20"/>
        </w:rPr>
      </w:pPr>
    </w:p>
    <w:p>
      <w:pPr>
        <w:pStyle w:val="BodyText"/>
        <w:spacing w:line="360" w:lineRule="auto" w:before="90"/>
        <w:ind w:left="102" w:right="201"/>
      </w:pPr>
      <w:r>
        <w:rPr/>
        <w:t>Historically, Labour governments in the UK have been associated with sterling crises (eg 1967, 1976). Having the ‘party of the Left’ commit to low inflation by granting the Bank of England independence while simultaneously committing to rules vis-à-vis fiscal policy was always likely to boost sterling by reducing the risk premium associated with holding UK assets.</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r>
        <w:rPr/>
        <w:pict>
          <v:shape style="position:absolute;margin-left:81.120003pt;margin-top:12.528633pt;width:144pt;height:.1pt;mso-position-horizontal-relative:page;mso-position-vertical-relative:paragraph;z-index:-251655168;mso-wrap-distance-left:0;mso-wrap-distance-right:0" coordorigin="1622,251" coordsize="2880,0" path="m1622,251l4502,251e" filled="false" stroked="true" strokeweight=".48pt" strokecolor="#000000">
            <v:path arrowok="t"/>
            <v:stroke dashstyle="solid"/>
            <w10:wrap type="topAndBottom"/>
          </v:shape>
        </w:pict>
      </w:r>
    </w:p>
    <w:p>
      <w:pPr>
        <w:spacing w:before="33"/>
        <w:ind w:left="102" w:right="150" w:firstLine="0"/>
        <w:jc w:val="left"/>
        <w:rPr>
          <w:sz w:val="20"/>
        </w:rPr>
      </w:pPr>
      <w:r>
        <w:rPr>
          <w:position w:val="9"/>
          <w:sz w:val="13"/>
        </w:rPr>
        <w:t>3 </w:t>
      </w:r>
      <w:r>
        <w:rPr>
          <w:sz w:val="20"/>
        </w:rPr>
        <w:t>I should say that I do not mention these two factors as an ex post rationalisation for the strength of sterling. Writing in 1996, I argued then (see Wadhwani (1996)) that PPP considerations and the macroeconomic probity implied by either joining EMU (or, failing that, Bank of England independence), were likely to lead to a stronger pound.</w:t>
      </w:r>
    </w:p>
    <w:p>
      <w:pPr>
        <w:spacing w:after="0"/>
        <w:jc w:val="left"/>
        <w:rPr>
          <w:sz w:val="20"/>
        </w:rPr>
        <w:sectPr>
          <w:pgSz w:w="11900" w:h="16840"/>
          <w:pgMar w:header="0" w:footer="743" w:top="1600" w:bottom="940" w:left="1520" w:right="1660"/>
        </w:sectPr>
      </w:pPr>
    </w:p>
    <w:p>
      <w:pPr>
        <w:pStyle w:val="BodyText"/>
        <w:spacing w:before="7"/>
        <w:rPr>
          <w:sz w:val="13"/>
        </w:rPr>
      </w:pPr>
    </w:p>
    <w:p>
      <w:pPr>
        <w:pStyle w:val="ListParagraph"/>
        <w:numPr>
          <w:ilvl w:val="0"/>
          <w:numId w:val="2"/>
        </w:numPr>
        <w:tabs>
          <w:tab w:pos="822" w:val="left" w:leader="none"/>
          <w:tab w:pos="823" w:val="left" w:leader="none"/>
        </w:tabs>
        <w:spacing w:line="240" w:lineRule="auto" w:before="90" w:after="0"/>
        <w:ind w:left="822" w:right="0" w:hanging="721"/>
        <w:jc w:val="left"/>
        <w:rPr>
          <w:sz w:val="24"/>
        </w:rPr>
      </w:pPr>
      <w:r>
        <w:rPr>
          <w:sz w:val="24"/>
          <w:u w:val="single"/>
        </w:rPr>
        <w:t>Supply-side</w:t>
      </w:r>
      <w:r>
        <w:rPr>
          <w:spacing w:val="4"/>
          <w:sz w:val="24"/>
          <w:u w:val="single"/>
        </w:rPr>
        <w:t> </w:t>
      </w:r>
      <w:r>
        <w:rPr>
          <w:spacing w:val="2"/>
          <w:sz w:val="24"/>
          <w:u w:val="single"/>
        </w:rPr>
        <w:t>reform</w:t>
      </w:r>
    </w:p>
    <w:p>
      <w:pPr>
        <w:pStyle w:val="BodyText"/>
        <w:rPr>
          <w:sz w:val="20"/>
        </w:rPr>
      </w:pPr>
    </w:p>
    <w:p>
      <w:pPr>
        <w:pStyle w:val="BodyText"/>
        <w:spacing w:before="4"/>
        <w:rPr>
          <w:sz w:val="20"/>
        </w:rPr>
      </w:pPr>
    </w:p>
    <w:p>
      <w:pPr>
        <w:pStyle w:val="BodyText"/>
        <w:spacing w:line="360" w:lineRule="auto" w:before="90"/>
        <w:ind w:left="102"/>
      </w:pPr>
      <w:r>
        <w:rPr/>
        <w:t>Many market participants argue that sterling deserved to be re-rated relative to the DM because the UK undertook much more far-reaching supply-side reforms in the last</w:t>
      </w:r>
    </w:p>
    <w:p>
      <w:pPr>
        <w:pStyle w:val="BodyText"/>
        <w:spacing w:line="274" w:lineRule="exact"/>
        <w:ind w:left="102"/>
      </w:pPr>
      <w:r>
        <w:rPr/>
        <w:t>15 years as compared to Germany.</w:t>
      </w:r>
    </w:p>
    <w:p>
      <w:pPr>
        <w:pStyle w:val="BodyText"/>
        <w:rPr>
          <w:sz w:val="26"/>
        </w:rPr>
      </w:pPr>
    </w:p>
    <w:p>
      <w:pPr>
        <w:pStyle w:val="BodyText"/>
        <w:spacing w:before="2"/>
        <w:rPr>
          <w:sz w:val="22"/>
        </w:rPr>
      </w:pPr>
    </w:p>
    <w:p>
      <w:pPr>
        <w:pStyle w:val="BodyText"/>
        <w:ind w:left="102"/>
      </w:pPr>
      <w:r>
        <w:rPr/>
        <w:t>Indeed, Mr Jim Leng, the Chief Executive of Laporte, was recently quoted in</w:t>
      </w:r>
    </w:p>
    <w:p>
      <w:pPr>
        <w:pStyle w:val="BodyText"/>
        <w:spacing w:line="360" w:lineRule="auto" w:before="137"/>
        <w:ind w:left="102"/>
      </w:pPr>
      <w:r>
        <w:rPr>
          <w:u w:val="single"/>
        </w:rPr>
        <w:t>The Financial Times</w:t>
      </w:r>
      <w:r>
        <w:rPr/>
        <w:t> (9 May 2000) as saying that the employment law changes of the 1980s had given UK companies a competitiveness boost equivalent to a sterling depreciation of DM0.75.</w:t>
      </w:r>
    </w:p>
    <w:p>
      <w:pPr>
        <w:pStyle w:val="BodyText"/>
        <w:rPr>
          <w:sz w:val="36"/>
        </w:rPr>
      </w:pPr>
    </w:p>
    <w:p>
      <w:pPr>
        <w:pStyle w:val="BodyText"/>
        <w:spacing w:line="360" w:lineRule="auto"/>
        <w:ind w:left="102" w:right="633"/>
      </w:pPr>
      <w:r>
        <w:rPr/>
        <w:t>One might attempt to proxy for the superior supply-side performance of the UK by looking at the performance of unemployment in the two countries (Figure 2).</w:t>
      </w:r>
    </w:p>
    <w:p>
      <w:pPr>
        <w:pStyle w:val="BodyText"/>
        <w:spacing w:before="2"/>
        <w:rPr>
          <w:sz w:val="36"/>
        </w:rPr>
      </w:pPr>
    </w:p>
    <w:p>
      <w:pPr>
        <w:pStyle w:val="BodyText"/>
        <w:ind w:left="102"/>
      </w:pPr>
      <w:r>
        <w:rPr/>
        <w:t>Figure 2</w:t>
      </w:r>
    </w:p>
    <w:p>
      <w:pPr>
        <w:pStyle w:val="BodyText"/>
        <w:spacing w:before="6"/>
        <w:rPr>
          <w:sz w:val="28"/>
        </w:rPr>
      </w:pPr>
    </w:p>
    <w:p>
      <w:pPr>
        <w:spacing w:before="91"/>
        <w:ind w:left="212" w:right="0" w:firstLine="0"/>
        <w:jc w:val="left"/>
        <w:rPr>
          <w:b/>
          <w:sz w:val="22"/>
        </w:rPr>
      </w:pPr>
      <w:r>
        <w:rPr>
          <w:b/>
          <w:sz w:val="22"/>
        </w:rPr>
        <w:t>UK and German unemployment rates</w:t>
      </w:r>
    </w:p>
    <w:p>
      <w:pPr>
        <w:pStyle w:val="BodyText"/>
        <w:spacing w:before="11"/>
        <w:rPr>
          <w:b/>
          <w:sz w:val="13"/>
        </w:rPr>
      </w:pPr>
    </w:p>
    <w:p>
      <w:pPr>
        <w:tabs>
          <w:tab w:pos="779" w:val="left" w:leader="none"/>
          <w:tab w:pos="3913" w:val="left" w:leader="none"/>
          <w:tab w:pos="4934" w:val="right" w:leader="none"/>
        </w:tabs>
        <w:spacing w:before="94"/>
        <w:ind w:left="361" w:right="0" w:firstLine="0"/>
        <w:jc w:val="left"/>
        <w:rPr>
          <w:sz w:val="16"/>
        </w:rPr>
      </w:pPr>
      <w:r>
        <w:rPr/>
        <w:pict>
          <v:group style="position:absolute;margin-left:106.32pt;margin-top:11.568753pt;width:208.6pt;height:155.2pt;mso-position-horizontal-relative:page;mso-position-vertical-relative:paragraph;z-index:-252559360" coordorigin="2126,231" coordsize="4172,3104">
            <v:shape style="position:absolute;left:2126;top:233;width:4124;height:3101" coordorigin="2126,234" coordsize="4124,3101" path="m2179,234l2179,3287m2126,3287l2179,3287m2126,2850l2179,2850m2126,2413l2179,2413m2126,1976l2179,1976m2126,1539l2179,1539m2126,1103l2179,1103m2126,671l2179,671m2126,234l2179,234m2179,3287l6250,3287m2179,3335l2179,3287m2674,3335l2674,3287m3168,3335l3168,3287m3658,3335l3658,3287m4152,3335l4152,3287m4646,3335l4646,3287m5136,3335l5136,3287m5630,3335l5630,3287m6125,3335l6125,3287e" filled="false" stroked="true" strokeweight=".24pt" strokecolor="#000000">
              <v:path arrowok="t"/>
              <v:stroke dashstyle="solid"/>
            </v:shape>
            <v:line style="position:absolute" from="2198,2048" to="2242,2015" stroked="true" strokeweight="1.92pt" strokecolor="#ff00ff">
              <v:stroke dashstyle="solid"/>
            </v:line>
            <v:line style="position:absolute" from="2242,2015" to="2280,1962" stroked="true" strokeweight="1.92pt" strokecolor="#ff00ff">
              <v:stroke dashstyle="solid"/>
            </v:line>
            <v:line style="position:absolute" from="2280,1962" to="2323,1904" stroked="true" strokeweight="1.92pt" strokecolor="#ff00ff">
              <v:stroke dashstyle="solid"/>
            </v:line>
            <v:line style="position:absolute" from="2323,1904" to="2366,1856" stroked="true" strokeweight="1.92pt" strokecolor="#ff00ff">
              <v:stroke dashstyle="solid"/>
            </v:line>
            <v:line style="position:absolute" from="2366,1856" to="2405,1813" stroked="true" strokeweight="1.92pt" strokecolor="#ff00ff">
              <v:stroke dashstyle="solid"/>
            </v:line>
            <v:line style="position:absolute" from="2405,1813" to="2448,1770" stroked="true" strokeweight="1.92pt" strokecolor="#ff00ff">
              <v:stroke dashstyle="solid"/>
            </v:line>
            <v:line style="position:absolute" from="2448,1770" to="2491,1717" stroked="true" strokeweight="1.92pt" strokecolor="#ff00ff">
              <v:stroke dashstyle="solid"/>
            </v:line>
            <v:line style="position:absolute" from="2491,1717" to="2530,1679" stroked="true" strokeweight="1.92pt" strokecolor="#ff00ff">
              <v:stroke dashstyle="solid"/>
            </v:line>
            <v:line style="position:absolute" from="2530,1679" to="2573,1621" stroked="true" strokeweight="1.92pt" strokecolor="#ff00ff">
              <v:stroke dashstyle="solid"/>
            </v:line>
            <v:shape style="position:absolute;left:2572;top:713;width:3284;height:908" coordorigin="2573,714" coordsize="3284,908" path="m2573,1621l2611,1568m2611,1568l2654,1520m2654,1520l2693,1496m2693,1496l2736,1477m2736,1477l2774,1434m2774,1434l2818,1434m2818,1434l2856,1391m2856,1391l2899,1367m2899,1367l2938,1323m2938,1323l2981,1280m2981,1280l3019,1256m3019,1256l3062,1194m3062,1194l3106,1194m3106,1194l3144,1194m3144,1194l3187,1170m3187,1170l3230,1170m3230,1170l3269,1151m3269,1151l3312,1151m3312,1151l3350,1151m3350,1151l3394,1170m3394,1170l3432,1194m3432,1194l3475,1194m3475,1194l3514,1213m3514,1213l3557,1237m3557,1237l3595,1256m3595,1256l3638,1256m3638,1256l3677,1280m3677,1280l3720,1280m3720,1280l3763,1280m3763,1280l3802,1256m3802,1256l3845,1256m3845,1256l3883,1237m3883,1237l3926,1237m3926,1237l3970,1213m3970,1213l4008,1194m4008,1194l4051,1170m4051,1170l4090,1151m4090,1151l4133,1127m4133,1127l4171,1103m4171,1103l4214,1059m4214,1059l4258,1040m4258,1040l4296,1059m4296,1059l4339,1040m4339,1040l4378,1040m4378,1040l4421,1016m4421,1016l4459,1016m4459,1016l4502,997m4502,997l4541,954m4541,954l4584,930m4584,930l4622,930m4622,930l4666,843m4666,843l4709,843m4709,843l4747,863m4747,863l4790,843m4790,843l4834,800m4834,800l4872,776m4872,776l4915,757m4915,757l4954,733m4954,733l4997,714m5078,714l5117,733m5117,733l5160,757m5160,757l5198,776m5198,776l5242,776m5242,776l5280,819m5280,819l5323,843m5323,843l5362,887m5362,887l5405,911m5405,911l5448,911m5448,911l5486,930m5486,930l5530,954m5530,954l5573,954m5573,954l5611,954m5611,954l5654,973m5654,973l5693,973m5693,973l5736,973m5736,973l5774,973m5774,973l5818,997m5818,997l5856,997e" filled="false" stroked="true" strokeweight="1.92pt" strokecolor="#ff00ff">
              <v:path arrowok="t"/>
              <v:stroke dashstyle="solid"/>
            </v:shape>
            <v:line style="position:absolute" from="5856,997" to="5899,997" stroked="true" strokeweight="1.92pt" strokecolor="#ff00ff">
              <v:stroke dashstyle="solid"/>
            </v:line>
            <v:line style="position:absolute" from="5899,997" to="5938,997" stroked="true" strokeweight="1.92pt" strokecolor="#ff00ff">
              <v:stroke dashstyle="solid"/>
            </v:line>
            <v:line style="position:absolute" from="5938,997" to="5981,997" stroked="true" strokeweight="1.92pt" strokecolor="#ff00ff">
              <v:stroke dashstyle="solid"/>
            </v:line>
            <v:line style="position:absolute" from="5981,997" to="6019,997" stroked="true" strokeweight="1.92pt" strokecolor="#ff00ff">
              <v:stroke dashstyle="solid"/>
            </v:line>
            <v:line style="position:absolute" from="6019,997" to="6062,1016" stroked="true" strokeweight="1.92pt" strokecolor="#ff00ff">
              <v:stroke dashstyle="solid"/>
            </v:line>
            <v:line style="position:absolute" from="6062,1016" to="6106,1059" stroked="true" strokeweight="1.92pt" strokecolor="#ff00ff">
              <v:stroke dashstyle="solid"/>
            </v:line>
            <v:line style="position:absolute" from="6106,1059" to="6144,1083" stroked="true" strokeweight="1.92pt" strokecolor="#ff00ff">
              <v:stroke dashstyle="solid"/>
            </v:line>
            <v:line style="position:absolute" from="6144,1083" to="6187,1103" stroked="true" strokeweight="1.92pt" strokecolor="#ff00ff">
              <v:stroke dashstyle="solid"/>
            </v:line>
            <v:line style="position:absolute" from="6187,1103" to="6226,1083" stroked="true" strokeweight="1.92pt" strokecolor="#ff00ff">
              <v:stroke dashstyle="solid"/>
            </v:line>
            <v:line style="position:absolute" from="2198,1299" to="2242,1256" stroked="true" strokeweight="1.92pt" strokecolor="#993300">
              <v:stroke dashstyle="solid"/>
            </v:line>
            <v:line style="position:absolute" from="2242,1256" to="2280,1256" stroked="true" strokeweight="1.92pt" strokecolor="#993300">
              <v:stroke dashstyle="solid"/>
            </v:line>
            <v:line style="position:absolute" from="2280,1256" to="2323,1213" stroked="true" strokeweight="1.92pt" strokecolor="#993300">
              <v:stroke dashstyle="solid"/>
            </v:line>
            <v:line style="position:absolute" from="2323,1213" to="2366,1194" stroked="true" strokeweight="1.92pt" strokecolor="#993300">
              <v:stroke dashstyle="solid"/>
            </v:line>
            <v:line style="position:absolute" from="2366,1194" to="2405,1194" stroked="true" strokeweight="1.92pt" strokecolor="#993300">
              <v:stroke dashstyle="solid"/>
            </v:line>
            <v:line style="position:absolute" from="2405,1194" to="2448,1170" stroked="true" strokeweight="1.92pt" strokecolor="#993300">
              <v:stroke dashstyle="solid"/>
            </v:line>
            <v:line style="position:absolute" from="2448,1170" to="2491,1151" stroked="true" strokeweight="1.92pt" strokecolor="#993300">
              <v:stroke dashstyle="solid"/>
            </v:line>
            <v:line style="position:absolute" from="2491,1151" to="2530,1127" stroked="true" strokeweight="1.92pt" strokecolor="#993300">
              <v:stroke dashstyle="solid"/>
            </v:line>
            <v:line style="position:absolute" from="2530,1127" to="2573,1083" stroked="true" strokeweight="1.92pt" strokecolor="#993300">
              <v:stroke dashstyle="solid"/>
            </v:line>
            <v:shape style="position:absolute;left:2572;top:996;width:1148;height:500" coordorigin="2573,997" coordsize="1148,500" path="m2573,1083l2611,1059m2611,1059l2654,997m2654,997l2693,997m2693,997l2736,997m2736,997l2774,1016m2774,1016l2818,1016m2818,1016l2856,1016m2856,1016l2899,1040m2899,1040l2938,1040m2938,1040l2981,1040m2981,1040l3019,1059m3019,1059l3062,1083m3062,1083l3106,1103m3106,1103l3144,1151m3144,1151l3187,1127m3187,1127l3230,1151m3230,1151l3269,1170m3269,1170l3312,1194m3312,1194l3350,1213m3350,1213l3394,1237m3394,1237l3432,1256m3432,1256l3475,1280m3475,1280l3514,1299m3514,1299l3557,1343m3557,1343l3595,1367m3595,1367l3638,1410m3638,1410l3677,1453m3677,1453l3720,1496e" filled="false" stroked="true" strokeweight="1.92pt" strokecolor="#993300">
              <v:path arrowok="t"/>
              <v:stroke dashstyle="solid"/>
            </v:shape>
            <v:rect style="position:absolute;left:3720;top:1476;width:44;height:39" filled="true" fillcolor="#993300" stroked="false">
              <v:fill type="solid"/>
            </v:rect>
            <v:line style="position:absolute" from="3763,1496" to="3802,1520" stroked="true" strokeweight="1.92pt" strokecolor="#993300">
              <v:stroke dashstyle="solid"/>
            </v:line>
            <v:rect style="position:absolute;left:3801;top:1500;width:44;height:39" filled="true" fillcolor="#993300" stroked="false">
              <v:fill type="solid"/>
            </v:rect>
            <v:shape style="position:absolute;left:3844;top:1520;width:2012;height:807" coordorigin="3845,1520" coordsize="2012,807" path="m3845,1520l3883,1539m3883,1539l3926,1539m3926,1539l3970,1563m3970,1563l4008,1563m4008,1563l4051,1583m4051,1583l4090,1583m4090,1583l4133,1583m4133,1583l4171,1607m4171,1607l4214,1607m4214,1607l4258,1626m4258,1626l4296,1626m4296,1626l4339,1650m4339,1650l4378,1650m4378,1650l4421,1674m4421,1674l4459,1693m4459,1693l4502,1717m4502,1717l4541,1760m4541,1760l4584,1823m4584,1823l4622,1866m4622,1866l4666,1890m4666,1890l4709,1957m4709,1957l4747,1976m4747,1976l4790,2019m4790,2019l4834,2043m4834,2043l4872,2063m4872,2063l4915,2106m4915,2106l4954,2130m4954,2130l4997,2154m4997,2154l5035,2173m5035,2173l5078,2197m5078,2197l5117,2216m5117,2216l5160,2216m5160,2216l5198,2240m5198,2240l5242,2240m5242,2240l5280,2240m5280,2240l5323,2240m5323,2240l5362,2240m5362,2240l5405,2259m5405,2259l5448,2283m5573,2283l5611,2303m5611,2303l5654,2303m5654,2303l5693,2283m5693,2283l5736,2303m5818,2303l5856,2327e" filled="false" stroked="true" strokeweight="1.92pt" strokecolor="#993300">
              <v:path arrowok="t"/>
              <v:stroke dashstyle="solid"/>
            </v:shape>
            <v:line style="position:absolute" from="5856,2327" to="5899,2346" stroked="true" strokeweight="1.92pt" strokecolor="#993300">
              <v:stroke dashstyle="solid"/>
            </v:line>
            <v:line style="position:absolute" from="5899,2346" to="5938,2370" stroked="true" strokeweight="1.92pt" strokecolor="#993300">
              <v:stroke dashstyle="solid"/>
            </v:line>
            <v:line style="position:absolute" from="5938,2370" to="5981,2370" stroked="true" strokeweight="1.92pt" strokecolor="#993300">
              <v:stroke dashstyle="solid"/>
            </v:line>
            <v:line style="position:absolute" from="5981,2370" to="6019,2370" stroked="true" strokeweight="1.92pt" strokecolor="#993300">
              <v:stroke dashstyle="solid"/>
            </v:line>
            <v:line style="position:absolute" from="6019,2370" to="6062,2389" stroked="true" strokeweight="1.92pt" strokecolor="#993300">
              <v:stroke dashstyle="solid"/>
            </v:line>
            <v:line style="position:absolute" from="6062,2389" to="6106,2389" stroked="true" strokeweight="1.92pt" strokecolor="#993300">
              <v:stroke dashstyle="solid"/>
            </v:line>
            <v:line style="position:absolute" from="6106,2389" to="6144,2413" stroked="true" strokeweight="1.92pt" strokecolor="#993300">
              <v:stroke dashstyle="solid"/>
            </v:line>
            <v:line style="position:absolute" from="6144,2413" to="6187,2413" stroked="true" strokeweight="1.92pt" strokecolor="#993300">
              <v:stroke dashstyle="solid"/>
            </v:line>
            <v:line style="position:absolute" from="6187,2413" to="6226,2413" stroked="true" strokeweight="1.92pt" strokecolor="#993300">
              <v:stroke dashstyle="solid"/>
            </v:line>
            <v:shape style="position:absolute;left:6249;top:233;width:48;height:3053" coordorigin="6250,234" coordsize="48,3053" path="m6250,234l6250,3287m6250,3287l6298,3287m6250,2778l6298,2778m6250,2269l6298,2269m6250,1760l6298,1760m6250,1251l6298,1251m6250,743l6298,743m6250,234l6298,234e" filled="false" stroked="true" strokeweight=".24pt" strokecolor="#000000">
              <v:path arrowok="t"/>
              <v:stroke dashstyle="solid"/>
            </v:shape>
            <v:line style="position:absolute" from="2198,378" to="2242,368" stroked="true" strokeweight="1.92pt" strokecolor="#000080">
              <v:stroke dashstyle="solid"/>
            </v:line>
            <v:line style="position:absolute" from="2242,368" to="2280,431" stroked="true" strokeweight="1.92pt" strokecolor="#000080">
              <v:stroke dashstyle="solid"/>
            </v:line>
            <v:line style="position:absolute" from="2280,431" to="2323,445" stroked="true" strokeweight="1.92pt" strokecolor="#000080">
              <v:stroke dashstyle="solid"/>
            </v:line>
            <v:line style="position:absolute" from="2323,445" to="2366,474" stroked="true" strokeweight="1.92pt" strokecolor="#000080">
              <v:stroke dashstyle="solid"/>
            </v:line>
            <v:line style="position:absolute" from="2366,474" to="2405,527" stroked="true" strokeweight="1.92pt" strokecolor="#000080">
              <v:stroke dashstyle="solid"/>
            </v:line>
            <v:line style="position:absolute" from="2405,527" to="2448,551" stroked="true" strokeweight="1.92pt" strokecolor="#000080">
              <v:stroke dashstyle="solid"/>
            </v:line>
            <v:line style="position:absolute" from="2448,551" to="2491,589" stroked="true" strokeweight="1.92pt" strokecolor="#000080">
              <v:stroke dashstyle="solid"/>
            </v:line>
            <v:line style="position:absolute" from="2491,589" to="2530,608" stroked="true" strokeweight="1.92pt" strokecolor="#000080">
              <v:stroke dashstyle="solid"/>
            </v:line>
            <v:line style="position:absolute" from="2530,608" to="2573,623" stroked="true" strokeweight="1.92pt" strokecolor="#000080">
              <v:stroke dashstyle="solid"/>
            </v:line>
            <v:shape style="position:absolute;left:2572;top:622;width:1148;height:884" coordorigin="2573,623" coordsize="1148,884" path="m2573,623l2611,656m2611,656l2654,642m2654,642l2693,666m2693,666l2736,690m2736,690l2774,767m2774,767l2818,767m2818,767l2856,819m2856,819l2899,867m2899,867l2938,920m2938,920l2981,968m2981,968l3019,1021m3019,1021l3062,1122m3062,1122l3106,1151m3106,1151l3144,1199m3144,1199l3187,1199m3187,1199l3230,1223m3230,1223l3269,1275m3269,1275l3312,1299m3312,1299l3350,1328m3350,1328l3394,1328m3394,1328l3432,1328m3432,1328l3475,1352m3475,1352l3514,1352m3514,1352l3557,1376m3557,1376l3595,1376m3595,1376l3638,1429m3638,1429l3677,1453m3677,1453l3720,1506e" filled="false" stroked="true" strokeweight="1.92pt" strokecolor="#000080">
              <v:path arrowok="t"/>
              <v:stroke dashstyle="solid"/>
            </v:shape>
            <v:rect style="position:absolute;left:3720;top:1486;width:44;height:39" filled="true" fillcolor="#000080" stroked="false">
              <v:fill type="solid"/>
            </v:rect>
            <v:line style="position:absolute" from="3763,1506" to="3802,1554" stroked="true" strokeweight="1.92pt" strokecolor="#000080">
              <v:stroke dashstyle="solid"/>
            </v:line>
            <v:rect style="position:absolute;left:3801;top:1534;width:44;height:39" filled="true" fillcolor="#000080" stroked="false">
              <v:fill type="solid"/>
            </v:rect>
            <v:shape style="position:absolute;left:3844;top:1553;width:1109;height:1325" coordorigin="3845,1554" coordsize="1109,1325" path="m3845,1554l3883,1607m3883,1607l3926,1607m3926,1607l3970,1659m3970,1659l4008,1683m4008,1683l4051,1731m4051,1731l4090,1760m4090,1760l4133,1784m4133,1784l4171,1837m4171,1837l4214,1885m4214,1885l4258,1938m4258,1938l4296,1914m4296,1914l4339,1962m4339,1962l4378,1962m4378,1962l4421,2015m4421,2015l4459,2039m4459,2039l4502,2091m4502,2091l4541,2192m4541,2192l4584,2293m4584,2293l4622,2346m4622,2346l4666,2471m4666,2471l4709,2547m4709,2547l4747,2547m4747,2547l4790,2624m4790,2624l4834,2701m4834,2701l4872,2749m4872,2749l4915,2826m4915,2826l4954,2879e" filled="false" stroked="true" strokeweight="1.92pt" strokecolor="#000080">
              <v:path arrowok="t"/>
              <v:stroke dashstyle="solid"/>
            </v:shape>
            <v:line style="position:absolute" from="4954,2879" to="4997,2931" stroked="true" strokeweight="1.92pt" strokecolor="#000080">
              <v:stroke dashstyle="solid"/>
            </v:line>
            <v:line style="position:absolute" from="4997,2931" to="5035,2955" stroked="true" strokeweight="1.92pt" strokecolor="#000080">
              <v:stroke dashstyle="solid"/>
            </v:line>
            <v:line style="position:absolute" from="5035,2955" to="5078,2979" stroked="true" strokeweight="1.92pt" strokecolor="#000080">
              <v:stroke dashstyle="solid"/>
            </v:line>
            <v:line style="position:absolute" from="5078,2979" to="5117,2979" stroked="true" strokeweight="1.92pt" strokecolor="#000080">
              <v:stroke dashstyle="solid"/>
            </v:line>
            <v:line style="position:absolute" from="5117,2979" to="5160,2955" stroked="true" strokeweight="1.92pt" strokecolor="#000080">
              <v:stroke dashstyle="solid"/>
            </v:line>
            <v:line style="position:absolute" from="5160,2955" to="5198,2955" stroked="true" strokeweight="1.92pt" strokecolor="#000080">
              <v:stroke dashstyle="solid"/>
            </v:line>
            <v:line style="position:absolute" from="5198,2955" to="5242,2955" stroked="true" strokeweight="1.92pt" strokecolor="#000080">
              <v:stroke dashstyle="solid"/>
            </v:line>
            <v:line style="position:absolute" from="5242,2955" to="5280,2903" stroked="true" strokeweight="1.92pt" strokecolor="#000080">
              <v:stroke dashstyle="solid"/>
            </v:line>
            <v:shape style="position:absolute;left:5280;top:2777;width:576;height:125" coordorigin="5280,2778" coordsize="576,125" path="m5280,2903l5323,2879m5323,2879l5362,2826m5362,2826l5405,2826m5405,2826l5448,2855m5448,2855l5486,2826m5486,2826l5530,2802m5530,2802l5573,2802m5573,2802l5611,2826m5611,2826l5654,2802m5654,2802l5693,2778m5693,2778l5736,2802m5736,2802l5774,2802m5774,2802l5818,2778m5818,2778l5856,2802e" filled="false" stroked="true" strokeweight="1.92pt" strokecolor="#000080">
              <v:path arrowok="t"/>
              <v:stroke dashstyle="solid"/>
            </v:shape>
            <v:line style="position:absolute" from="5856,2802" to="5899,2826" stroked="true" strokeweight="1.92pt" strokecolor="#000080">
              <v:stroke dashstyle="solid"/>
            </v:line>
            <v:line style="position:absolute" from="5899,2826" to="5938,2855" stroked="true" strokeweight="1.92pt" strokecolor="#000080">
              <v:stroke dashstyle="solid"/>
            </v:line>
            <v:line style="position:absolute" from="5938,2855" to="5981,2855" stroked="true" strokeweight="1.92pt" strokecolor="#000080">
              <v:stroke dashstyle="solid"/>
            </v:line>
            <v:line style="position:absolute" from="5981,2855" to="6019,2855" stroked="true" strokeweight="1.92pt" strokecolor="#000080">
              <v:stroke dashstyle="solid"/>
            </v:line>
            <v:line style="position:absolute" from="6019,2855" to="6062,2855" stroked="true" strokeweight="1.92pt" strokecolor="#000080">
              <v:stroke dashstyle="solid"/>
            </v:line>
            <v:line style="position:absolute" from="6062,2855" to="6106,2802" stroked="true" strokeweight="1.92pt" strokecolor="#000080">
              <v:stroke dashstyle="solid"/>
            </v:line>
            <v:line style="position:absolute" from="6106,2802" to="6144,2802" stroked="true" strokeweight="1.92pt" strokecolor="#000080">
              <v:stroke dashstyle="solid"/>
            </v:line>
            <v:line style="position:absolute" from="6144,2802" to="6187,2778" stroked="true" strokeweight="1.92pt" strokecolor="#000080">
              <v:stroke dashstyle="solid"/>
            </v:line>
            <v:line style="position:absolute" from="6187,2778" to="6226,2802" stroked="true" strokeweight="1.92pt" strokecolor="#000080">
              <v:stroke dashstyle="solid"/>
            </v:line>
            <v:shape style="position:absolute;left:3460;top:556;width:1090;height:179" type="#_x0000_t202" filled="false" stroked="false">
              <v:textbox inset="0,0,0,0">
                <w:txbxContent>
                  <w:p>
                    <w:pPr>
                      <w:spacing w:line="178" w:lineRule="exact" w:before="0"/>
                      <w:ind w:left="0" w:right="0" w:firstLine="0"/>
                      <w:jc w:val="left"/>
                      <w:rPr>
                        <w:sz w:val="16"/>
                      </w:rPr>
                    </w:pPr>
                    <w:r>
                      <w:rPr>
                        <w:sz w:val="16"/>
                      </w:rPr>
                      <w:t>Germany (LHS)</w:t>
                    </w:r>
                  </w:p>
                </w:txbxContent>
              </v:textbox>
              <w10:wrap type="none"/>
            </v:shape>
            <v:shape style="position:absolute;left:4996;top:556;width:137;height:179" type="#_x0000_t202" filled="false" stroked="false">
              <v:textbox inset="0,0,0,0">
                <w:txbxContent>
                  <w:p>
                    <w:pPr>
                      <w:spacing w:line="178" w:lineRule="exact" w:before="0"/>
                      <w:ind w:left="0" w:right="0" w:firstLine="0"/>
                      <w:jc w:val="left"/>
                      <w:rPr>
                        <w:sz w:val="16"/>
                      </w:rPr>
                    </w:pPr>
                    <w:r>
                      <w:rPr>
                        <w:w w:val="100"/>
                        <w:sz w:val="16"/>
                        <w:u w:val="thick" w:color="FF00FF"/>
                      </w:rPr>
                      <w:t> </w:t>
                    </w:r>
                    <w:r>
                      <w:rPr>
                        <w:spacing w:val="-4"/>
                        <w:sz w:val="16"/>
                        <w:u w:val="thick" w:color="FF00FF"/>
                      </w:rPr>
                      <w:t> </w:t>
                    </w:r>
                  </w:p>
                </w:txbxContent>
              </v:textbox>
              <w10:wrap type="none"/>
            </v:shape>
            <v:shape style="position:absolute;left:5136;top:1871;width:737;height:476" type="#_x0000_t202" filled="false" stroked="false">
              <v:textbox inset="0,0,0,0">
                <w:txbxContent>
                  <w:p>
                    <w:pPr>
                      <w:spacing w:line="178" w:lineRule="exact" w:before="0"/>
                      <w:ind w:left="0" w:right="0" w:firstLine="0"/>
                      <w:jc w:val="left"/>
                      <w:rPr>
                        <w:sz w:val="16"/>
                      </w:rPr>
                    </w:pPr>
                    <w:r>
                      <w:rPr>
                        <w:sz w:val="16"/>
                      </w:rPr>
                      <w:t>UK (LHS)</w:t>
                    </w:r>
                  </w:p>
                  <w:p>
                    <w:pPr>
                      <w:spacing w:before="113"/>
                      <w:ind w:left="312" w:right="0" w:firstLine="0"/>
                      <w:jc w:val="left"/>
                      <w:rPr>
                        <w:sz w:val="16"/>
                      </w:rPr>
                    </w:pPr>
                    <w:r>
                      <w:rPr>
                        <w:w w:val="100"/>
                        <w:sz w:val="16"/>
                        <w:u w:val="thick" w:color="993300"/>
                      </w:rPr>
                      <w:t> </w:t>
                    </w:r>
                    <w:r>
                      <w:rPr>
                        <w:sz w:val="16"/>
                        <w:u w:val="thick" w:color="993300"/>
                      </w:rPr>
                      <w:t>  </w:t>
                    </w:r>
                    <w:r>
                      <w:rPr>
                        <w:spacing w:val="-1"/>
                        <w:sz w:val="16"/>
                        <w:u w:val="thick" w:color="993300"/>
                      </w:rPr>
                      <w:t> </w:t>
                    </w:r>
                    <w:r>
                      <w:rPr>
                        <w:sz w:val="16"/>
                      </w:rPr>
                      <w:t>  </w:t>
                    </w:r>
                    <w:r>
                      <w:rPr>
                        <w:spacing w:val="8"/>
                        <w:sz w:val="16"/>
                      </w:rPr>
                      <w:t> </w:t>
                    </w:r>
                    <w:r>
                      <w:rPr>
                        <w:w w:val="100"/>
                        <w:sz w:val="16"/>
                        <w:u w:val="thick" w:color="993300"/>
                      </w:rPr>
                      <w:t> </w:t>
                    </w:r>
                    <w:r>
                      <w:rPr>
                        <w:spacing w:val="-4"/>
                        <w:sz w:val="16"/>
                        <w:u w:val="thick" w:color="993300"/>
                      </w:rPr>
                      <w:t> </w:t>
                    </w:r>
                  </w:p>
                </w:txbxContent>
              </v:textbox>
              <w10:wrap type="none"/>
            </v:shape>
            <v:shape style="position:absolute;left:2433;top:2850;width:2325;height:179" type="#_x0000_t202" filled="false" stroked="false">
              <v:textbox inset="0,0,0,0">
                <w:txbxContent>
                  <w:p>
                    <w:pPr>
                      <w:spacing w:line="178" w:lineRule="exact" w:before="0"/>
                      <w:ind w:left="0" w:right="0" w:firstLine="0"/>
                      <w:jc w:val="left"/>
                      <w:rPr>
                        <w:sz w:val="16"/>
                      </w:rPr>
                    </w:pPr>
                    <w:r>
                      <w:rPr>
                        <w:sz w:val="16"/>
                      </w:rPr>
                      <w:t>UK - Germany differentials (RHS)</w:t>
                    </w:r>
                  </w:p>
                </w:txbxContent>
              </v:textbox>
              <w10:wrap type="none"/>
            </v:shape>
            <w10:wrap type="none"/>
          </v:group>
        </w:pict>
      </w:r>
      <w:r>
        <w:rPr>
          <w:position w:val="-2"/>
          <w:sz w:val="16"/>
        </w:rPr>
        <w:t>14</w:t>
        <w:tab/>
      </w:r>
      <w:r>
        <w:rPr>
          <w:sz w:val="16"/>
        </w:rPr>
        <w:t>%</w:t>
        <w:tab/>
        <w:t>%</w:t>
      </w:r>
      <w:r>
        <w:rPr>
          <w:spacing w:val="1"/>
          <w:sz w:val="16"/>
        </w:rPr>
        <w:t> </w:t>
      </w:r>
      <w:r>
        <w:rPr>
          <w:spacing w:val="2"/>
          <w:sz w:val="16"/>
        </w:rPr>
        <w:t>points</w:t>
        <w:tab/>
      </w:r>
      <w:r>
        <w:rPr>
          <w:position w:val="-2"/>
          <w:sz w:val="16"/>
        </w:rPr>
        <w:t>4</w:t>
      </w:r>
    </w:p>
    <w:p>
      <w:pPr>
        <w:tabs>
          <w:tab w:pos="4854" w:val="left" w:leader="none"/>
        </w:tabs>
        <w:spacing w:before="256"/>
        <w:ind w:left="361" w:right="0" w:firstLine="0"/>
        <w:jc w:val="left"/>
        <w:rPr>
          <w:sz w:val="16"/>
        </w:rPr>
      </w:pPr>
      <w:r>
        <w:rPr>
          <w:sz w:val="16"/>
        </w:rPr>
        <w:t>12</w:t>
        <w:tab/>
      </w:r>
      <w:r>
        <w:rPr>
          <w:position w:val="-6"/>
          <w:sz w:val="16"/>
        </w:rPr>
        <w:t>2</w:t>
      </w:r>
    </w:p>
    <w:p>
      <w:pPr>
        <w:spacing w:after="0"/>
        <w:jc w:val="left"/>
        <w:rPr>
          <w:sz w:val="16"/>
        </w:rPr>
        <w:sectPr>
          <w:pgSz w:w="11900" w:h="16840"/>
          <w:pgMar w:header="0" w:footer="743" w:top="1600" w:bottom="940" w:left="1520" w:right="1660"/>
        </w:sectPr>
      </w:pPr>
    </w:p>
    <w:p>
      <w:pPr>
        <w:pStyle w:val="BodyText"/>
        <w:spacing w:before="6"/>
        <w:rPr>
          <w:sz w:val="15"/>
        </w:rPr>
      </w:pPr>
    </w:p>
    <w:p>
      <w:pPr>
        <w:spacing w:before="0"/>
        <w:ind w:left="361" w:right="0" w:firstLine="0"/>
        <w:jc w:val="left"/>
        <w:rPr>
          <w:sz w:val="16"/>
        </w:rPr>
      </w:pPr>
      <w:r>
        <w:rPr>
          <w:sz w:val="16"/>
        </w:rPr>
        <w:t>10</w:t>
      </w:r>
    </w:p>
    <w:p>
      <w:pPr>
        <w:pStyle w:val="BodyText"/>
        <w:rPr>
          <w:sz w:val="22"/>
        </w:rPr>
      </w:pPr>
    </w:p>
    <w:p>
      <w:pPr>
        <w:spacing w:before="0"/>
        <w:ind w:left="448" w:right="0" w:firstLine="0"/>
        <w:jc w:val="left"/>
        <w:rPr>
          <w:sz w:val="16"/>
        </w:rPr>
      </w:pPr>
      <w:r>
        <w:rPr>
          <w:w w:val="100"/>
          <w:sz w:val="16"/>
        </w:rPr>
        <w:t>8</w:t>
      </w:r>
    </w:p>
    <w:p>
      <w:pPr>
        <w:pStyle w:val="BodyText"/>
        <w:spacing w:before="11"/>
        <w:rPr>
          <w:sz w:val="21"/>
        </w:rPr>
      </w:pPr>
    </w:p>
    <w:p>
      <w:pPr>
        <w:spacing w:before="0"/>
        <w:ind w:left="448" w:right="0" w:firstLine="0"/>
        <w:jc w:val="left"/>
        <w:rPr>
          <w:sz w:val="16"/>
        </w:rPr>
      </w:pPr>
      <w:r>
        <w:rPr>
          <w:w w:val="100"/>
          <w:sz w:val="16"/>
        </w:rPr>
        <w:t>6</w:t>
      </w:r>
    </w:p>
    <w:p>
      <w:pPr>
        <w:pStyle w:val="BodyText"/>
        <w:rPr>
          <w:sz w:val="22"/>
        </w:rPr>
      </w:pPr>
    </w:p>
    <w:p>
      <w:pPr>
        <w:spacing w:before="0"/>
        <w:ind w:left="448" w:right="0" w:firstLine="0"/>
        <w:jc w:val="left"/>
        <w:rPr>
          <w:sz w:val="16"/>
        </w:rPr>
      </w:pPr>
      <w:r>
        <w:rPr>
          <w:w w:val="100"/>
          <w:sz w:val="16"/>
        </w:rPr>
        <w:t>4</w:t>
      </w:r>
    </w:p>
    <w:p>
      <w:pPr>
        <w:pStyle w:val="BodyText"/>
        <w:rPr>
          <w:sz w:val="22"/>
        </w:rPr>
      </w:pPr>
    </w:p>
    <w:p>
      <w:pPr>
        <w:spacing w:before="0"/>
        <w:ind w:left="448" w:right="0" w:firstLine="0"/>
        <w:jc w:val="left"/>
        <w:rPr>
          <w:sz w:val="16"/>
        </w:rPr>
      </w:pPr>
      <w:r>
        <w:rPr>
          <w:w w:val="100"/>
          <w:sz w:val="16"/>
        </w:rPr>
        <w:t>2</w:t>
      </w:r>
    </w:p>
    <w:p>
      <w:pPr>
        <w:pStyle w:val="BodyText"/>
        <w:spacing w:before="11"/>
        <w:rPr>
          <w:sz w:val="21"/>
        </w:rPr>
      </w:pPr>
    </w:p>
    <w:p>
      <w:pPr>
        <w:spacing w:before="0"/>
        <w:ind w:left="448" w:right="0" w:firstLine="0"/>
        <w:jc w:val="left"/>
        <w:rPr>
          <w:sz w:val="16"/>
        </w:rPr>
      </w:pPr>
      <w:r>
        <w:rPr>
          <w:w w:val="100"/>
          <w:sz w:val="16"/>
        </w:rPr>
        <w:t>0</w:t>
      </w:r>
    </w:p>
    <w:p>
      <w:pPr>
        <w:spacing w:line="276" w:lineRule="auto" w:before="56"/>
        <w:ind w:left="596" w:right="-13" w:hanging="58"/>
        <w:jc w:val="left"/>
        <w:rPr>
          <w:sz w:val="16"/>
        </w:rPr>
      </w:pPr>
      <w:r>
        <w:rPr>
          <w:sz w:val="16"/>
        </w:rPr>
        <w:t>Jan- 92</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4" w:right="-13" w:hanging="53"/>
        <w:jc w:val="left"/>
        <w:rPr>
          <w:sz w:val="16"/>
        </w:rPr>
      </w:pPr>
      <w:r>
        <w:rPr>
          <w:sz w:val="16"/>
        </w:rPr>
        <w:t>Jan- 93</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4" w:right="-18" w:hanging="53"/>
        <w:jc w:val="left"/>
        <w:rPr>
          <w:sz w:val="16"/>
        </w:rPr>
      </w:pPr>
      <w:r>
        <w:rPr>
          <w:sz w:val="16"/>
        </w:rPr>
        <w:t>Jan- 94</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9" w:right="-13" w:hanging="58"/>
        <w:jc w:val="left"/>
        <w:rPr>
          <w:sz w:val="16"/>
        </w:rPr>
      </w:pPr>
      <w:r>
        <w:rPr>
          <w:sz w:val="16"/>
        </w:rPr>
        <w:t>Jan- 95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4" w:right="-13" w:hanging="53"/>
        <w:jc w:val="left"/>
        <w:rPr>
          <w:sz w:val="16"/>
        </w:rPr>
      </w:pPr>
      <w:r>
        <w:rPr>
          <w:sz w:val="16"/>
        </w:rPr>
        <w:t>Jan- 96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9" w:right="-13" w:hanging="58"/>
        <w:jc w:val="left"/>
        <w:rPr>
          <w:sz w:val="16"/>
        </w:rPr>
      </w:pPr>
      <w:r>
        <w:rPr>
          <w:sz w:val="16"/>
        </w:rPr>
        <w:t>Jan- 97</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4" w:right="-13" w:hanging="53"/>
        <w:jc w:val="left"/>
        <w:rPr>
          <w:sz w:val="16"/>
        </w:rPr>
      </w:pPr>
      <w:r>
        <w:rPr>
          <w:sz w:val="16"/>
        </w:rPr>
        <w:t>Jan- 98</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76" w:lineRule="auto" w:before="119"/>
        <w:ind w:left="234" w:right="-18" w:hanging="53"/>
        <w:jc w:val="left"/>
        <w:rPr>
          <w:sz w:val="16"/>
        </w:rPr>
      </w:pPr>
      <w:r>
        <w:rPr>
          <w:sz w:val="16"/>
        </w:rPr>
        <w:t>Jan- 99</w:t>
      </w:r>
    </w:p>
    <w:p>
      <w:pPr>
        <w:pStyle w:val="BodyText"/>
        <w:rPr>
          <w:sz w:val="18"/>
        </w:rPr>
      </w:pPr>
      <w:r>
        <w:rPr/>
        <w:br w:type="column"/>
      </w:r>
      <w:r>
        <w:rPr>
          <w:sz w:val="18"/>
        </w:rPr>
      </w:r>
    </w:p>
    <w:p>
      <w:pPr>
        <w:spacing w:before="120"/>
        <w:ind w:left="551" w:right="0" w:firstLine="0"/>
        <w:jc w:val="left"/>
        <w:rPr>
          <w:sz w:val="16"/>
        </w:rPr>
      </w:pPr>
      <w:r>
        <w:rPr>
          <w:w w:val="100"/>
          <w:sz w:val="16"/>
        </w:rPr>
        <w:t>0</w:t>
      </w:r>
    </w:p>
    <w:p>
      <w:pPr>
        <w:pStyle w:val="BodyText"/>
        <w:rPr>
          <w:sz w:val="18"/>
        </w:rPr>
      </w:pPr>
    </w:p>
    <w:p>
      <w:pPr>
        <w:spacing w:before="118"/>
        <w:ind w:left="551" w:right="0" w:firstLine="0"/>
        <w:jc w:val="left"/>
        <w:rPr>
          <w:sz w:val="16"/>
        </w:rPr>
      </w:pPr>
      <w:r>
        <w:rPr>
          <w:sz w:val="16"/>
        </w:rPr>
        <w:t>-2</w:t>
      </w:r>
    </w:p>
    <w:p>
      <w:pPr>
        <w:pStyle w:val="BodyText"/>
        <w:rPr>
          <w:sz w:val="18"/>
        </w:rPr>
      </w:pPr>
    </w:p>
    <w:p>
      <w:pPr>
        <w:spacing w:before="118"/>
        <w:ind w:left="551" w:right="0" w:firstLine="0"/>
        <w:jc w:val="left"/>
        <w:rPr>
          <w:sz w:val="16"/>
        </w:rPr>
      </w:pPr>
      <w:r>
        <w:rPr>
          <w:sz w:val="16"/>
        </w:rPr>
        <w:t>-4</w:t>
      </w:r>
    </w:p>
    <w:p>
      <w:pPr>
        <w:pStyle w:val="BodyText"/>
        <w:rPr>
          <w:sz w:val="18"/>
        </w:rPr>
      </w:pPr>
    </w:p>
    <w:p>
      <w:pPr>
        <w:spacing w:before="118"/>
        <w:ind w:left="551" w:right="0" w:firstLine="0"/>
        <w:jc w:val="left"/>
        <w:rPr>
          <w:sz w:val="16"/>
        </w:rPr>
      </w:pPr>
      <w:r>
        <w:rPr>
          <w:sz w:val="16"/>
        </w:rPr>
        <w:t>-6</w:t>
      </w:r>
    </w:p>
    <w:p>
      <w:pPr>
        <w:pStyle w:val="BodyText"/>
        <w:rPr>
          <w:sz w:val="18"/>
        </w:rPr>
      </w:pPr>
    </w:p>
    <w:p>
      <w:pPr>
        <w:spacing w:before="118"/>
        <w:ind w:left="551" w:right="0" w:firstLine="0"/>
        <w:jc w:val="left"/>
        <w:rPr>
          <w:sz w:val="16"/>
        </w:rPr>
      </w:pPr>
      <w:r>
        <w:rPr>
          <w:sz w:val="16"/>
        </w:rPr>
        <w:t>-8</w:t>
      </w:r>
    </w:p>
    <w:p>
      <w:pPr>
        <w:spacing w:line="276" w:lineRule="auto" w:before="56"/>
        <w:ind w:left="239" w:right="3949" w:hanging="58"/>
        <w:jc w:val="left"/>
        <w:rPr>
          <w:sz w:val="16"/>
        </w:rPr>
      </w:pPr>
      <w:r>
        <w:rPr>
          <w:sz w:val="16"/>
        </w:rPr>
        <w:t>Jan- 00</w:t>
      </w:r>
    </w:p>
    <w:p>
      <w:pPr>
        <w:spacing w:after="0" w:line="276" w:lineRule="auto"/>
        <w:jc w:val="left"/>
        <w:rPr>
          <w:sz w:val="16"/>
        </w:rPr>
        <w:sectPr>
          <w:type w:val="continuous"/>
          <w:pgSz w:w="11900" w:h="16840"/>
          <w:pgMar w:top="1180" w:bottom="280" w:left="1520" w:right="1660"/>
          <w:cols w:num="9" w:equalWidth="0">
            <w:col w:w="812" w:space="40"/>
            <w:col w:w="455" w:space="39"/>
            <w:col w:w="450" w:space="40"/>
            <w:col w:w="455" w:space="39"/>
            <w:col w:w="455" w:space="40"/>
            <w:col w:w="455" w:space="39"/>
            <w:col w:w="455" w:space="39"/>
            <w:col w:w="450" w:space="40"/>
            <w:col w:w="4417"/>
          </w:cols>
        </w:sectPr>
      </w:pPr>
    </w:p>
    <w:p>
      <w:pPr>
        <w:pStyle w:val="BodyText"/>
        <w:spacing w:before="10"/>
        <w:rPr>
          <w:sz w:val="26"/>
        </w:rPr>
      </w:pPr>
    </w:p>
    <w:p>
      <w:pPr>
        <w:pStyle w:val="BodyText"/>
        <w:spacing w:line="360" w:lineRule="auto" w:before="90"/>
        <w:ind w:left="102" w:right="201"/>
      </w:pPr>
      <w:r>
        <w:rPr/>
        <w:t>In Wadhwani (1999), I reported some econometric evidence supporting a link between movements in the relative unemployment differential and exchange rate movements. This relationship held across a variety of exchange rate pairs. The estimates reported then suggested that the lower level of UK unemployment relative to German unemployment could, of itself, account for a sterling appreciation of around DM0.15 during 1996-98.</w:t>
      </w:r>
    </w:p>
    <w:p>
      <w:pPr>
        <w:spacing w:after="0" w:line="360" w:lineRule="auto"/>
        <w:sectPr>
          <w:type w:val="continuous"/>
          <w:pgSz w:w="11900" w:h="16840"/>
          <w:pgMar w:top="1180" w:bottom="280" w:left="1520" w:right="1660"/>
        </w:sectPr>
      </w:pPr>
    </w:p>
    <w:p>
      <w:pPr>
        <w:pStyle w:val="BodyText"/>
        <w:spacing w:before="7"/>
        <w:rPr>
          <w:sz w:val="13"/>
        </w:rPr>
      </w:pPr>
    </w:p>
    <w:p>
      <w:pPr>
        <w:pStyle w:val="ListParagraph"/>
        <w:numPr>
          <w:ilvl w:val="0"/>
          <w:numId w:val="2"/>
        </w:numPr>
        <w:tabs>
          <w:tab w:pos="822" w:val="left" w:leader="none"/>
          <w:tab w:pos="823" w:val="left" w:leader="none"/>
        </w:tabs>
        <w:spacing w:line="240" w:lineRule="auto" w:before="90" w:after="0"/>
        <w:ind w:left="822" w:right="0" w:hanging="721"/>
        <w:jc w:val="left"/>
        <w:rPr>
          <w:sz w:val="24"/>
        </w:rPr>
      </w:pPr>
      <w:r>
        <w:rPr>
          <w:spacing w:val="2"/>
          <w:sz w:val="24"/>
          <w:u w:val="single"/>
        </w:rPr>
        <w:t>External </w:t>
      </w:r>
      <w:r>
        <w:rPr>
          <w:sz w:val="24"/>
          <w:u w:val="single"/>
        </w:rPr>
        <w:t>balance</w:t>
      </w:r>
      <w:r>
        <w:rPr>
          <w:spacing w:val="10"/>
          <w:sz w:val="24"/>
          <w:u w:val="single"/>
        </w:rPr>
        <w:t> </w:t>
      </w:r>
      <w:r>
        <w:rPr>
          <w:sz w:val="24"/>
          <w:u w:val="single"/>
        </w:rPr>
        <w:t>considerations</w:t>
      </w:r>
    </w:p>
    <w:p>
      <w:pPr>
        <w:pStyle w:val="BodyText"/>
        <w:rPr>
          <w:sz w:val="20"/>
        </w:rPr>
      </w:pPr>
    </w:p>
    <w:p>
      <w:pPr>
        <w:pStyle w:val="BodyText"/>
        <w:spacing w:before="4"/>
        <w:rPr>
          <w:sz w:val="20"/>
        </w:rPr>
      </w:pPr>
    </w:p>
    <w:p>
      <w:pPr>
        <w:pStyle w:val="BodyText"/>
        <w:spacing w:line="360" w:lineRule="auto" w:before="90"/>
        <w:ind w:left="102" w:right="201"/>
      </w:pPr>
      <w:r>
        <w:rPr/>
        <w:t>While the aforementioned factors suggest that sterling-DM should be stronger than is implied by PPP considerations, the</w:t>
      </w:r>
      <w:r>
        <w:rPr>
          <w:spacing w:val="-7"/>
        </w:rPr>
        <w:t> UK’s </w:t>
      </w:r>
      <w:r>
        <w:rPr/>
        <w:t>inferior net foreign assets position and current account deficit would suggest a weaker level for sterling-DM. </w:t>
      </w:r>
      <w:r>
        <w:rPr>
          <w:spacing w:val="2"/>
        </w:rPr>
        <w:t>This </w:t>
      </w:r>
      <w:r>
        <w:rPr/>
        <w:t>is perhaps why some estimates </w:t>
      </w:r>
      <w:r>
        <w:rPr>
          <w:spacing w:val="2"/>
        </w:rPr>
        <w:t>of </w:t>
      </w:r>
      <w:r>
        <w:rPr/>
        <w:t>the so-called “Fundamental </w:t>
      </w:r>
      <w:r>
        <w:rPr>
          <w:spacing w:val="3"/>
        </w:rPr>
        <w:t>Equilibrium Exchange </w:t>
      </w:r>
      <w:r>
        <w:rPr>
          <w:spacing w:val="2"/>
        </w:rPr>
        <w:t>Rate” </w:t>
      </w:r>
      <w:r>
        <w:rPr/>
        <w:t>(FEER, hereafter) suggest an “equilibrium” value </w:t>
      </w:r>
      <w:r>
        <w:rPr>
          <w:spacing w:val="2"/>
        </w:rPr>
        <w:t>of </w:t>
      </w:r>
      <w:r>
        <w:rPr/>
        <w:t>sterling-DM that is rather lower (eg 2.04-</w:t>
      </w:r>
    </w:p>
    <w:p>
      <w:pPr>
        <w:pStyle w:val="BodyText"/>
        <w:spacing w:line="360" w:lineRule="auto"/>
        <w:ind w:left="102"/>
      </w:pPr>
      <w:r>
        <w:rPr/>
        <w:t>2.49 in Wren Lewis and Driver (1998)). I return to an evaluation of the relative quantitative importance of this factor below.</w:t>
      </w:r>
    </w:p>
    <w:p>
      <w:pPr>
        <w:pStyle w:val="BodyText"/>
        <w:rPr>
          <w:sz w:val="36"/>
        </w:rPr>
      </w:pPr>
    </w:p>
    <w:p>
      <w:pPr>
        <w:pStyle w:val="ListParagraph"/>
        <w:numPr>
          <w:ilvl w:val="0"/>
          <w:numId w:val="2"/>
        </w:numPr>
        <w:tabs>
          <w:tab w:pos="822" w:val="left" w:leader="none"/>
          <w:tab w:pos="823" w:val="left" w:leader="none"/>
        </w:tabs>
        <w:spacing w:line="240" w:lineRule="auto" w:before="0" w:after="0"/>
        <w:ind w:left="822" w:right="0" w:hanging="721"/>
        <w:jc w:val="left"/>
        <w:rPr>
          <w:sz w:val="24"/>
        </w:rPr>
      </w:pPr>
      <w:r>
        <w:rPr>
          <w:sz w:val="24"/>
          <w:u w:val="single"/>
        </w:rPr>
        <w:t>Cyclical</w:t>
      </w:r>
      <w:r>
        <w:rPr>
          <w:spacing w:val="3"/>
          <w:sz w:val="24"/>
          <w:u w:val="single"/>
        </w:rPr>
        <w:t> </w:t>
      </w:r>
      <w:r>
        <w:rPr>
          <w:spacing w:val="2"/>
          <w:sz w:val="24"/>
          <w:u w:val="single"/>
        </w:rPr>
        <w:t>considerations</w:t>
      </w:r>
    </w:p>
    <w:p>
      <w:pPr>
        <w:pStyle w:val="BodyText"/>
        <w:rPr>
          <w:sz w:val="20"/>
        </w:rPr>
      </w:pPr>
    </w:p>
    <w:p>
      <w:pPr>
        <w:pStyle w:val="BodyText"/>
        <w:rPr>
          <w:sz w:val="20"/>
        </w:rPr>
      </w:pPr>
    </w:p>
    <w:p>
      <w:pPr>
        <w:pStyle w:val="BodyText"/>
        <w:spacing w:line="360" w:lineRule="auto" w:before="90"/>
        <w:ind w:left="102" w:right="240"/>
      </w:pPr>
      <w:r>
        <w:rPr/>
        <w:t>There are plenty of studies of exchange rate behaviour which suggest that the returns associated with holding the currency of a country with a higher-than-normal interest rate advantage over another country are positive (see eg Froot and Thaler (1990) for a survey). Currently, European real short-term interest rates are low, and this is associated with an abnormally high real short rate differential between the UK and Germany. Other things being equal, the evidence suggests that this is consistent with a somewhat higher level of sterling-mark.</w:t>
      </w:r>
    </w:p>
    <w:p>
      <w:pPr>
        <w:pStyle w:val="BodyText"/>
        <w:rPr>
          <w:sz w:val="36"/>
        </w:rPr>
      </w:pPr>
    </w:p>
    <w:p>
      <w:pPr>
        <w:pStyle w:val="BodyText"/>
        <w:spacing w:line="360" w:lineRule="auto"/>
        <w:ind w:left="102" w:right="201"/>
      </w:pPr>
      <w:r>
        <w:rPr/>
        <w:t>Last September (see Wadhwani (1999)), I estimated an econometric </w:t>
      </w:r>
      <w:r>
        <w:rPr>
          <w:spacing w:val="3"/>
        </w:rPr>
        <w:t>model</w:t>
      </w:r>
      <w:r>
        <w:rPr>
          <w:spacing w:val="3"/>
          <w:vertAlign w:val="superscript"/>
        </w:rPr>
        <w:t>4</w:t>
      </w:r>
      <w:r>
        <w:rPr>
          <w:spacing w:val="3"/>
          <w:vertAlign w:val="baseline"/>
        </w:rPr>
        <w:t> </w:t>
      </w:r>
      <w:r>
        <w:rPr>
          <w:vertAlign w:val="baseline"/>
        </w:rPr>
        <w:t>which suggested</w:t>
      </w:r>
      <w:r>
        <w:rPr>
          <w:spacing w:val="-7"/>
          <w:vertAlign w:val="baseline"/>
        </w:rPr>
        <w:t> </w:t>
      </w:r>
      <w:r>
        <w:rPr>
          <w:vertAlign w:val="baseline"/>
        </w:rPr>
        <w:t>that</w:t>
      </w:r>
      <w:r>
        <w:rPr>
          <w:spacing w:val="-2"/>
          <w:vertAlign w:val="baseline"/>
        </w:rPr>
        <w:t> </w:t>
      </w:r>
      <w:r>
        <w:rPr>
          <w:vertAlign w:val="baseline"/>
        </w:rPr>
        <w:t>the</w:t>
      </w:r>
      <w:r>
        <w:rPr>
          <w:spacing w:val="-7"/>
          <w:vertAlign w:val="baseline"/>
        </w:rPr>
        <w:t> </w:t>
      </w:r>
      <w:r>
        <w:rPr>
          <w:vertAlign w:val="baseline"/>
        </w:rPr>
        <w:t>intermediate-term</w:t>
      </w:r>
      <w:r>
        <w:rPr>
          <w:spacing w:val="-7"/>
          <w:vertAlign w:val="baseline"/>
        </w:rPr>
        <w:t> </w:t>
      </w:r>
      <w:r>
        <w:rPr>
          <w:vertAlign w:val="baseline"/>
        </w:rPr>
        <w:t>model-based</w:t>
      </w:r>
      <w:r>
        <w:rPr>
          <w:spacing w:val="-7"/>
          <w:vertAlign w:val="baseline"/>
        </w:rPr>
        <w:t> </w:t>
      </w:r>
      <w:r>
        <w:rPr>
          <w:vertAlign w:val="baseline"/>
        </w:rPr>
        <w:t>equilibrium</w:t>
      </w:r>
      <w:r>
        <w:rPr>
          <w:spacing w:val="-7"/>
          <w:vertAlign w:val="baseline"/>
        </w:rPr>
        <w:t> </w:t>
      </w:r>
      <w:r>
        <w:rPr>
          <w:vertAlign w:val="baseline"/>
        </w:rPr>
        <w:t>exchange</w:t>
      </w:r>
      <w:r>
        <w:rPr>
          <w:spacing w:val="-7"/>
          <w:vertAlign w:val="baseline"/>
        </w:rPr>
        <w:t> </w:t>
      </w:r>
      <w:r>
        <w:rPr>
          <w:vertAlign w:val="baseline"/>
        </w:rPr>
        <w:t>rate</w:t>
      </w:r>
      <w:r>
        <w:rPr>
          <w:spacing w:val="-5"/>
          <w:vertAlign w:val="baseline"/>
        </w:rPr>
        <w:t> </w:t>
      </w:r>
      <w:r>
        <w:rPr>
          <w:vertAlign w:val="baseline"/>
        </w:rPr>
        <w:t>(ITMEER, hereafter) was around DM3. </w:t>
      </w:r>
      <w:r>
        <w:rPr>
          <w:spacing w:val="2"/>
          <w:vertAlign w:val="baseline"/>
        </w:rPr>
        <w:t>Essentially, </w:t>
      </w:r>
      <w:r>
        <w:rPr>
          <w:vertAlign w:val="baseline"/>
        </w:rPr>
        <w:t>the superior unemployment performance </w:t>
      </w:r>
      <w:r>
        <w:rPr>
          <w:spacing w:val="3"/>
          <w:vertAlign w:val="baseline"/>
        </w:rPr>
        <w:t>of </w:t>
      </w:r>
      <w:r>
        <w:rPr>
          <w:vertAlign w:val="baseline"/>
        </w:rPr>
        <w:t>the UK and the high interest differential were, empirically, more important than external</w:t>
      </w:r>
      <w:r>
        <w:rPr>
          <w:spacing w:val="-5"/>
          <w:vertAlign w:val="baseline"/>
        </w:rPr>
        <w:t> </w:t>
      </w:r>
      <w:r>
        <w:rPr>
          <w:vertAlign w:val="baseline"/>
        </w:rPr>
        <w:t>balance</w:t>
      </w:r>
      <w:r>
        <w:rPr>
          <w:spacing w:val="-5"/>
          <w:vertAlign w:val="baseline"/>
        </w:rPr>
        <w:t> </w:t>
      </w:r>
      <w:r>
        <w:rPr>
          <w:vertAlign w:val="baseline"/>
        </w:rPr>
        <w:t>considerations</w:t>
      </w:r>
      <w:r>
        <w:rPr>
          <w:spacing w:val="-5"/>
          <w:vertAlign w:val="baseline"/>
        </w:rPr>
        <w:t> </w:t>
      </w:r>
      <w:r>
        <w:rPr>
          <w:vertAlign w:val="baseline"/>
        </w:rPr>
        <w:t>and,</w:t>
      </w:r>
      <w:r>
        <w:rPr>
          <w:spacing w:val="-5"/>
          <w:vertAlign w:val="baseline"/>
        </w:rPr>
        <w:t> </w:t>
      </w:r>
      <w:r>
        <w:rPr>
          <w:vertAlign w:val="baseline"/>
        </w:rPr>
        <w:t>therefore,</w:t>
      </w:r>
      <w:r>
        <w:rPr>
          <w:spacing w:val="-5"/>
          <w:vertAlign w:val="baseline"/>
        </w:rPr>
        <w:t> </w:t>
      </w:r>
      <w:r>
        <w:rPr>
          <w:vertAlign w:val="baseline"/>
        </w:rPr>
        <w:t>suggested</w:t>
      </w:r>
      <w:r>
        <w:rPr>
          <w:spacing w:val="-5"/>
          <w:vertAlign w:val="baseline"/>
        </w:rPr>
        <w:t> </w:t>
      </w:r>
      <w:r>
        <w:rPr>
          <w:vertAlign w:val="baseline"/>
        </w:rPr>
        <w:t>an</w:t>
      </w:r>
      <w:r>
        <w:rPr>
          <w:spacing w:val="-5"/>
          <w:vertAlign w:val="baseline"/>
        </w:rPr>
        <w:t> </w:t>
      </w:r>
      <w:r>
        <w:rPr>
          <w:vertAlign w:val="baseline"/>
        </w:rPr>
        <w:t>equilibrium</w:t>
      </w:r>
      <w:r>
        <w:rPr>
          <w:spacing w:val="-5"/>
          <w:vertAlign w:val="baseline"/>
        </w:rPr>
        <w:t> </w:t>
      </w:r>
      <w:r>
        <w:rPr>
          <w:vertAlign w:val="baseline"/>
        </w:rPr>
        <w:t>exchange</w:t>
      </w:r>
      <w:r>
        <w:rPr>
          <w:spacing w:val="-5"/>
          <w:vertAlign w:val="baseline"/>
        </w:rPr>
        <w:t> </w:t>
      </w:r>
      <w:r>
        <w:rPr>
          <w:vertAlign w:val="baseline"/>
        </w:rPr>
        <w:t>rate</w:t>
      </w:r>
    </w:p>
    <w:p>
      <w:pPr>
        <w:pStyle w:val="BodyText"/>
        <w:spacing w:line="360" w:lineRule="auto" w:before="4"/>
        <w:ind w:left="102" w:right="150"/>
      </w:pPr>
      <w:r>
        <w:rPr/>
        <w:t>that was higher than PPP levels. However, this estimate was likely to </w:t>
      </w:r>
      <w:r>
        <w:rPr>
          <w:u w:val="single"/>
        </w:rPr>
        <w:t>over-estimate</w:t>
      </w:r>
      <w:r>
        <w:rPr/>
        <w:t> the longer-term equilibrium level because it included the effect of temporary, cyclical considerations in terms of a higher-than-normal interest rate differential. On the other hand, the model did not include the potential effect on the exchange rate of the improved macroeconomic framework. Anyhow, that work suggested that while one could explain a sterling-DM exchange rate of around DM3 (and, perhaps, a further</w:t>
      </w:r>
    </w:p>
    <w:p>
      <w:pPr>
        <w:pStyle w:val="BodyText"/>
        <w:spacing w:before="7"/>
        <w:rPr>
          <w:sz w:val="29"/>
        </w:rPr>
      </w:pPr>
      <w:r>
        <w:rPr/>
        <w:pict>
          <v:shape style="position:absolute;margin-left:81.120003pt;margin-top:19.269346pt;width:144pt;height:.1pt;mso-position-horizontal-relative:page;mso-position-vertical-relative:paragraph;z-index:-251648000;mso-wrap-distance-left:0;mso-wrap-distance-right:0" coordorigin="1622,385" coordsize="2880,0" path="m1622,385l4502,385e" filled="false" stroked="true" strokeweight=".48pt" strokecolor="#000000">
            <v:path arrowok="t"/>
            <v:stroke dashstyle="solid"/>
            <w10:wrap type="topAndBottom"/>
          </v:shape>
        </w:pict>
      </w:r>
    </w:p>
    <w:p>
      <w:pPr>
        <w:spacing w:before="33"/>
        <w:ind w:left="102" w:right="0" w:firstLine="0"/>
        <w:jc w:val="left"/>
        <w:rPr>
          <w:sz w:val="20"/>
        </w:rPr>
      </w:pPr>
      <w:r>
        <w:rPr>
          <w:position w:val="9"/>
          <w:sz w:val="13"/>
        </w:rPr>
        <w:t>4 </w:t>
      </w:r>
      <w:r>
        <w:rPr>
          <w:sz w:val="20"/>
        </w:rPr>
        <w:t>The work then was carried out by Hasan Bakhshi of the Bank of England – to whom I am grateful.</w:t>
      </w:r>
    </w:p>
    <w:p>
      <w:pPr>
        <w:spacing w:after="0"/>
        <w:jc w:val="left"/>
        <w:rPr>
          <w:sz w:val="20"/>
        </w:rPr>
        <w:sectPr>
          <w:pgSz w:w="11900" w:h="16840"/>
          <w:pgMar w:header="0" w:footer="743" w:top="1600" w:bottom="940" w:left="1520" w:right="1660"/>
        </w:sectPr>
      </w:pPr>
    </w:p>
    <w:p>
      <w:pPr>
        <w:pStyle w:val="BodyText"/>
        <w:spacing w:line="360" w:lineRule="auto" w:before="73"/>
        <w:ind w:left="102"/>
      </w:pPr>
      <w:r>
        <w:rPr/>
        <w:t>modest cyclical overshoot) the level of DM3.43 (which was attained on 3 May) is less easy to explain.</w:t>
      </w:r>
    </w:p>
    <w:p>
      <w:pPr>
        <w:pStyle w:val="BodyText"/>
        <w:spacing w:before="1"/>
        <w:rPr>
          <w:sz w:val="36"/>
        </w:rPr>
      </w:pPr>
    </w:p>
    <w:p>
      <w:pPr>
        <w:pStyle w:val="BodyText"/>
        <w:spacing w:line="360" w:lineRule="auto" w:before="1"/>
        <w:ind w:left="102" w:right="373"/>
      </w:pPr>
      <w:r>
        <w:rPr/>
        <w:t>Indeed, the rise of sterling against the DM in recent months has been quite difficult to rationalise, especially as it appears to have been accompanied by greater relative optimism about, both, the supply-side and demand-side prospects of Euroland vs the UK. Specifically, the German stock market has significantly outperformed the UK stock market in recent months (see Figure 3),</w:t>
      </w:r>
      <w:r>
        <w:rPr>
          <w:vertAlign w:val="superscript"/>
        </w:rPr>
        <w:t>5</w:t>
      </w:r>
      <w:r>
        <w:rPr>
          <w:vertAlign w:val="baseline"/>
        </w:rPr>
        <w:t> and the normal historical correlations (reported, eg in Wadhwani (1999)) would, other things being equal, have been associated with an appreciation of the euro vs sterling. However, in recent months,</w:t>
      </w:r>
    </w:p>
    <w:p>
      <w:pPr>
        <w:pStyle w:val="BodyText"/>
        <w:rPr>
          <w:sz w:val="36"/>
        </w:rPr>
      </w:pPr>
    </w:p>
    <w:p>
      <w:pPr>
        <w:pStyle w:val="BodyText"/>
        <w:ind w:left="102"/>
      </w:pPr>
      <w:r>
        <w:rPr/>
        <w:t>Figure 3</w:t>
      </w:r>
    </w:p>
    <w:p>
      <w:pPr>
        <w:pStyle w:val="BodyText"/>
        <w:spacing w:before="4"/>
        <w:rPr>
          <w:sz w:val="20"/>
        </w:rPr>
      </w:pPr>
    </w:p>
    <w:p>
      <w:pPr>
        <w:pStyle w:val="Heading1"/>
        <w:spacing w:line="264" w:lineRule="auto" w:before="90"/>
        <w:ind w:left="328" w:right="4646"/>
      </w:pPr>
      <w:r>
        <w:rPr/>
        <w:t>Performance of the DAX against the FTSE 100</w:t>
      </w:r>
    </w:p>
    <w:p>
      <w:pPr>
        <w:spacing w:before="149"/>
        <w:ind w:left="4351" w:right="3792" w:firstLine="0"/>
        <w:jc w:val="center"/>
        <w:rPr>
          <w:sz w:val="16"/>
        </w:rPr>
      </w:pPr>
      <w:r>
        <w:rPr/>
        <w:pict>
          <v:group style="position:absolute;margin-left:104.400002pt;margin-top:8.230455pt;width:195pt;height:156.450pt;mso-position-horizontal-relative:page;mso-position-vertical-relative:paragraph;z-index:251671552" coordorigin="2088,165" coordsize="3900,3129">
            <v:shape style="position:absolute;left:2107;top:245;width:3879;height:3048" coordorigin="2107,246" coordsize="3879,3048" path="m5938,246l5938,3246,5986,3246m5938,2818l5986,2818m5938,2386l5986,2386m5938,1959l5986,1959m5938,1532l5986,1532m5938,1105l5986,1105m5938,673l5986,673m5938,246l5986,246m2107,3246l5938,3246m2107,3294l2107,3246m2928,3294l2928,3246m3749,3294l3749,3246m4570,3294l4570,3246m5390,3294l5390,3246e" filled="false" stroked="true" strokeweight=".24pt" strokecolor="#000000">
              <v:path arrowok="t"/>
              <v:stroke dashstyle="solid"/>
            </v:shape>
            <v:line style="position:absolute" from="2107,2084" to="2381,2377" stroked="true" strokeweight="1.92pt" strokecolor="#000080">
              <v:stroke dashstyle="solid"/>
            </v:line>
            <v:line style="position:absolute" from="2381,2377" to="2654,2497" stroked="true" strokeweight="1.92pt" strokecolor="#000080">
              <v:stroke dashstyle="solid"/>
            </v:line>
            <v:shape style="position:absolute;left:2654;top:2227;width:548;height:269" coordorigin="2654,2228" coordsize="548,269" path="m2654,2497l2928,2430m2928,2430l3202,2228e" filled="false" stroked="true" strokeweight="1.92pt" strokecolor="#000080">
              <v:path arrowok="t"/>
              <v:stroke dashstyle="solid"/>
            </v:shape>
            <v:line style="position:absolute" from="3182,2230" to="3494,2230" stroked="true" strokeweight="2.16pt" strokecolor="#000080">
              <v:stroke dashstyle="solid"/>
            </v:line>
            <v:shape style="position:absolute;left:3475;top:1085;width:1916;height:1167" coordorigin="3475,1086" coordsize="1916,1167" path="m3475,2233l3749,2060m3749,2060l4022,2252m4022,2252l4296,2046m4296,2046l4570,2170m4570,2170l4843,2055m4843,2055l5117,1930m5117,1930l5390,1086e" filled="false" stroked="true" strokeweight="1.92pt" strokecolor="#000080">
              <v:path arrowok="t"/>
              <v:stroke dashstyle="solid"/>
            </v:shape>
            <v:line style="position:absolute" from="5390,1086" to="5664,644" stroked="true" strokeweight="1.92pt" strokecolor="#000080">
              <v:stroke dashstyle="solid"/>
            </v:line>
            <v:line style="position:absolute" from="5664,644" to="5938,702" stroked="true" strokeweight="1.92pt" strokecolor="#000080">
              <v:stroke dashstyle="solid"/>
            </v:line>
            <v:shape style="position:absolute;left:4828;top:164;width:973;height:179" type="#_x0000_t202" filled="false" stroked="false">
              <v:textbox inset="0,0,0,0">
                <w:txbxContent>
                  <w:p>
                    <w:pPr>
                      <w:spacing w:line="178" w:lineRule="exact" w:before="0"/>
                      <w:ind w:left="0" w:right="0" w:firstLine="0"/>
                      <w:jc w:val="left"/>
                      <w:rPr>
                        <w:sz w:val="16"/>
                      </w:rPr>
                    </w:pPr>
                    <w:r>
                      <w:rPr>
                        <w:sz w:val="16"/>
                      </w:rPr>
                      <w:t>Monthly Index</w:t>
                    </w:r>
                  </w:p>
                </w:txbxContent>
              </v:textbox>
              <w10:wrap type="none"/>
            </v:shape>
            <w10:wrap type="none"/>
          </v:group>
        </w:pict>
      </w:r>
      <w:r>
        <w:rPr>
          <w:sz w:val="16"/>
        </w:rPr>
        <w:t>1.3</w:t>
      </w:r>
    </w:p>
    <w:p>
      <w:pPr>
        <w:pStyle w:val="BodyText"/>
        <w:rPr>
          <w:sz w:val="13"/>
        </w:rPr>
      </w:pPr>
    </w:p>
    <w:p>
      <w:pPr>
        <w:spacing w:before="94"/>
        <w:ind w:left="4351" w:right="3792" w:firstLine="0"/>
        <w:jc w:val="center"/>
        <w:rPr>
          <w:sz w:val="16"/>
        </w:rPr>
      </w:pPr>
      <w:r>
        <w:rPr>
          <w:sz w:val="16"/>
        </w:rPr>
        <w:t>1.2</w:t>
      </w:r>
    </w:p>
    <w:p>
      <w:pPr>
        <w:pStyle w:val="BodyText"/>
        <w:spacing w:before="4"/>
        <w:rPr>
          <w:sz w:val="13"/>
        </w:rPr>
      </w:pPr>
    </w:p>
    <w:p>
      <w:pPr>
        <w:spacing w:before="94"/>
        <w:ind w:left="4351" w:right="3792" w:firstLine="0"/>
        <w:jc w:val="center"/>
        <w:rPr>
          <w:sz w:val="16"/>
        </w:rPr>
      </w:pPr>
      <w:r>
        <w:rPr>
          <w:sz w:val="16"/>
        </w:rPr>
        <w:t>1.1</w:t>
      </w:r>
    </w:p>
    <w:p>
      <w:pPr>
        <w:pStyle w:val="BodyText"/>
        <w:rPr>
          <w:sz w:val="13"/>
        </w:rPr>
      </w:pPr>
    </w:p>
    <w:p>
      <w:pPr>
        <w:spacing w:before="94"/>
        <w:ind w:left="4351" w:right="3792" w:firstLine="0"/>
        <w:jc w:val="center"/>
        <w:rPr>
          <w:sz w:val="16"/>
        </w:rPr>
      </w:pPr>
      <w:r>
        <w:rPr>
          <w:sz w:val="16"/>
        </w:rPr>
        <w:t>1.0</w:t>
      </w:r>
    </w:p>
    <w:p>
      <w:pPr>
        <w:pStyle w:val="BodyText"/>
        <w:rPr>
          <w:sz w:val="13"/>
        </w:rPr>
      </w:pPr>
    </w:p>
    <w:p>
      <w:pPr>
        <w:spacing w:before="94"/>
        <w:ind w:left="4351" w:right="3792" w:firstLine="0"/>
        <w:jc w:val="center"/>
        <w:rPr>
          <w:sz w:val="16"/>
        </w:rPr>
      </w:pPr>
      <w:r>
        <w:rPr>
          <w:sz w:val="16"/>
        </w:rPr>
        <w:t>0.9</w:t>
      </w:r>
    </w:p>
    <w:p>
      <w:pPr>
        <w:pStyle w:val="BodyText"/>
        <w:spacing w:before="11"/>
        <w:rPr>
          <w:sz w:val="12"/>
        </w:rPr>
      </w:pPr>
    </w:p>
    <w:p>
      <w:pPr>
        <w:spacing w:before="94"/>
        <w:ind w:left="4351" w:right="3792" w:firstLine="0"/>
        <w:jc w:val="center"/>
        <w:rPr>
          <w:sz w:val="16"/>
        </w:rPr>
      </w:pPr>
      <w:r>
        <w:rPr>
          <w:sz w:val="16"/>
        </w:rPr>
        <w:t>0.8</w:t>
      </w:r>
    </w:p>
    <w:p>
      <w:pPr>
        <w:pStyle w:val="BodyText"/>
        <w:spacing w:before="4"/>
        <w:rPr>
          <w:sz w:val="13"/>
        </w:rPr>
      </w:pPr>
    </w:p>
    <w:p>
      <w:pPr>
        <w:spacing w:before="94"/>
        <w:ind w:left="4351" w:right="3792" w:firstLine="0"/>
        <w:jc w:val="center"/>
        <w:rPr>
          <w:sz w:val="16"/>
        </w:rPr>
      </w:pPr>
      <w:r>
        <w:rPr>
          <w:sz w:val="16"/>
        </w:rPr>
        <w:t>0.7</w:t>
      </w:r>
    </w:p>
    <w:p>
      <w:pPr>
        <w:pStyle w:val="BodyText"/>
        <w:rPr>
          <w:sz w:val="13"/>
        </w:rPr>
      </w:pPr>
    </w:p>
    <w:p>
      <w:pPr>
        <w:spacing w:before="94"/>
        <w:ind w:left="4351" w:right="3792" w:firstLine="0"/>
        <w:jc w:val="center"/>
        <w:rPr>
          <w:sz w:val="16"/>
        </w:rPr>
      </w:pPr>
      <w:r>
        <w:rPr>
          <w:sz w:val="16"/>
        </w:rPr>
        <w:t>0.6</w:t>
      </w:r>
    </w:p>
    <w:p>
      <w:pPr>
        <w:tabs>
          <w:tab w:pos="806" w:val="left" w:leader="none"/>
          <w:tab w:pos="1655" w:val="left" w:leader="none"/>
          <w:tab w:pos="2452" w:val="left" w:leader="none"/>
          <w:tab w:pos="3283" w:val="left" w:leader="none"/>
        </w:tabs>
        <w:spacing w:before="56"/>
        <w:ind w:left="0" w:right="4261" w:firstLine="0"/>
        <w:jc w:val="center"/>
        <w:rPr>
          <w:sz w:val="16"/>
        </w:rPr>
      </w:pPr>
      <w:r>
        <w:rPr>
          <w:sz w:val="16"/>
        </w:rPr>
        <w:t>Jan-99</w:t>
        <w:tab/>
        <w:t>Apr-99</w:t>
        <w:tab/>
        <w:t>Jul-99</w:t>
        <w:tab/>
        <w:t>Oct-99</w:t>
        <w:tab/>
        <w:t>Jan-00</w:t>
      </w:r>
    </w:p>
    <w:p>
      <w:pPr>
        <w:pStyle w:val="BodyText"/>
        <w:spacing w:before="6"/>
        <w:rPr>
          <w:sz w:val="28"/>
        </w:rPr>
      </w:pPr>
    </w:p>
    <w:p>
      <w:pPr>
        <w:pStyle w:val="BodyText"/>
        <w:spacing w:line="360" w:lineRule="auto" w:before="90"/>
        <w:ind w:left="102" w:right="150"/>
      </w:pPr>
      <w:r>
        <w:rPr/>
        <w:t>even news about structural reform in Euroland has failed to lift the currency. For example, news of a proposed reform of corporate taxation on 23 December 1999 is said to have boosted the DAX by around 4½% on the day (see, eg The Financial Times,</w:t>
      </w:r>
    </w:p>
    <w:p>
      <w:pPr>
        <w:pStyle w:val="BodyText"/>
        <w:spacing w:line="360" w:lineRule="auto" w:before="2"/>
        <w:ind w:left="102" w:right="373" w:hanging="1"/>
      </w:pPr>
      <w:r>
        <w:rPr/>
        <w:t>24 December). However, the euro-dollar exchange rate barely moved in reaction to that news.</w:t>
      </w:r>
      <w:r>
        <w:rPr>
          <w:vertAlign w:val="superscript"/>
        </w:rPr>
        <w:t>6</w:t>
      </w:r>
    </w:p>
    <w:p>
      <w:pPr>
        <w:pStyle w:val="BodyText"/>
        <w:spacing w:before="1"/>
        <w:rPr>
          <w:sz w:val="36"/>
        </w:rPr>
      </w:pPr>
    </w:p>
    <w:p>
      <w:pPr>
        <w:pStyle w:val="BodyText"/>
        <w:spacing w:line="360" w:lineRule="auto"/>
        <w:ind w:left="102" w:right="201"/>
      </w:pPr>
      <w:r>
        <w:rPr/>
        <w:t>Hence, to summarise, I think that one can “explain” a significant proportion of the rise in sterling vs the DM from its mid-1995 levels of around DM2.20. Purchasing power</w:t>
      </w:r>
    </w:p>
    <w:p>
      <w:pPr>
        <w:pStyle w:val="BodyText"/>
        <w:spacing w:before="5"/>
        <w:rPr>
          <w:sz w:val="25"/>
        </w:rPr>
      </w:pPr>
      <w:r>
        <w:rPr/>
        <w:pict>
          <v:shape style="position:absolute;margin-left:81.120003pt;margin-top:16.860918pt;width:144pt;height:.1pt;mso-position-horizontal-relative:page;mso-position-vertical-relative:paragraph;z-index:-251646976;mso-wrap-distance-left:0;mso-wrap-distance-right:0" coordorigin="1622,337" coordsize="2880,0" path="m1622,337l4502,337e" filled="false" stroked="true" strokeweight=".48pt" strokecolor="#000000">
            <v:path arrowok="t"/>
            <v:stroke dashstyle="solid"/>
            <w10:wrap type="topAndBottom"/>
          </v:shape>
        </w:pict>
      </w:r>
    </w:p>
    <w:p>
      <w:pPr>
        <w:spacing w:line="243" w:lineRule="exact" w:before="33"/>
        <w:ind w:left="102" w:right="0" w:firstLine="0"/>
        <w:jc w:val="left"/>
        <w:rPr>
          <w:sz w:val="20"/>
        </w:rPr>
      </w:pPr>
      <w:r>
        <w:rPr>
          <w:position w:val="9"/>
          <w:sz w:val="13"/>
        </w:rPr>
        <w:t>5 </w:t>
      </w:r>
      <w:r>
        <w:rPr>
          <w:sz w:val="20"/>
        </w:rPr>
        <w:t>The German market has outperformed on both, a local currency and a common currency basis.</w:t>
      </w:r>
    </w:p>
    <w:p>
      <w:pPr>
        <w:spacing w:line="243" w:lineRule="exact" w:before="0"/>
        <w:ind w:left="102" w:right="0" w:firstLine="0"/>
        <w:jc w:val="left"/>
        <w:rPr>
          <w:sz w:val="20"/>
        </w:rPr>
      </w:pPr>
      <w:r>
        <w:rPr>
          <w:position w:val="9"/>
          <w:sz w:val="13"/>
        </w:rPr>
        <w:t>6 </w:t>
      </w:r>
      <w:r>
        <w:rPr>
          <w:sz w:val="20"/>
        </w:rPr>
        <w:t>The euro was up around 0.25%, well within the average normal daily levels of volatility.</w:t>
      </w:r>
    </w:p>
    <w:p>
      <w:pPr>
        <w:spacing w:after="0" w:line="243" w:lineRule="exact"/>
        <w:jc w:val="left"/>
        <w:rPr>
          <w:sz w:val="20"/>
        </w:rPr>
        <w:sectPr>
          <w:pgSz w:w="11900" w:h="16840"/>
          <w:pgMar w:header="0" w:footer="743" w:top="1360" w:bottom="940" w:left="1520" w:right="1660"/>
        </w:sectPr>
      </w:pPr>
    </w:p>
    <w:p>
      <w:pPr>
        <w:pStyle w:val="BodyText"/>
        <w:spacing w:line="360" w:lineRule="auto" w:before="73"/>
        <w:ind w:left="102" w:right="213"/>
      </w:pPr>
      <w:r>
        <w:rPr/>
        <w:t>parity considerations, the superior supply-side performance of the UK and the reforms in the macroeconomic framework have all probably played a role. However, I have argued that the rise of sterling above DM3 is much more difficult to explain in terms of the underlying economic fundamentals. Moreover, the fact that the euro has, sometimes, failed to respond to news about structural reform in Euroland does suggest that it has, to some extent, acquired a “life of its own”.</w:t>
      </w:r>
    </w:p>
    <w:p>
      <w:pPr>
        <w:pStyle w:val="BodyText"/>
        <w:spacing w:before="6"/>
        <w:rPr>
          <w:sz w:val="36"/>
        </w:rPr>
      </w:pPr>
    </w:p>
    <w:p>
      <w:pPr>
        <w:pStyle w:val="Heading1"/>
        <w:tabs>
          <w:tab w:pos="462" w:val="left" w:leader="none"/>
        </w:tabs>
      </w:pPr>
      <w:r>
        <w:rPr/>
        <w:t>3</w:t>
        <w:tab/>
        <w:t>PROSPECTS FOR THE £-DM EXCHANGE</w:t>
      </w:r>
      <w:r>
        <w:rPr>
          <w:spacing w:val="7"/>
        </w:rPr>
        <w:t> </w:t>
      </w:r>
      <w:r>
        <w:rPr/>
        <w:t>RATE</w:t>
      </w:r>
    </w:p>
    <w:p>
      <w:pPr>
        <w:pStyle w:val="BodyText"/>
        <w:spacing w:before="6"/>
        <w:rPr>
          <w:b/>
          <w:sz w:val="31"/>
        </w:rPr>
      </w:pPr>
    </w:p>
    <w:p>
      <w:pPr>
        <w:pStyle w:val="BodyText"/>
        <w:spacing w:line="360" w:lineRule="auto"/>
        <w:ind w:left="102" w:right="154"/>
      </w:pPr>
      <w:r>
        <w:rPr/>
        <w:t>If one updates the econometric equation used in my September 1999 speech to incorporate recent developments, it suggest that, on the </w:t>
      </w:r>
      <w:r>
        <w:rPr>
          <w:u w:val="single"/>
        </w:rPr>
        <w:t>assumption of unchanged</w:t>
      </w:r>
      <w:r>
        <w:rPr/>
        <w:t> </w:t>
      </w:r>
      <w:r>
        <w:rPr>
          <w:u w:val="single"/>
        </w:rPr>
        <w:t>macroeconomic conditions</w:t>
      </w:r>
      <w:r>
        <w:rPr/>
        <w:t> (eg constant relative interest rates, equity prices, etc) the pound might depreciate to around DM2.95 in a year or so. This is because the pound is significantly overvalued against the DM on a PPP basis, and also because the German stock market has outperformed the UK stock market by a considerable amount in recent months.</w:t>
      </w:r>
    </w:p>
    <w:p>
      <w:pPr>
        <w:pStyle w:val="BodyText"/>
        <w:spacing w:before="1"/>
        <w:rPr>
          <w:sz w:val="36"/>
        </w:rPr>
      </w:pPr>
    </w:p>
    <w:p>
      <w:pPr>
        <w:pStyle w:val="BodyText"/>
        <w:tabs>
          <w:tab w:pos="6921" w:val="left" w:leader="none"/>
        </w:tabs>
        <w:spacing w:line="360" w:lineRule="auto"/>
        <w:ind w:left="102" w:right="202"/>
      </w:pPr>
      <w:r>
        <w:rPr/>
        <w:t>Of course, </w:t>
      </w:r>
      <w:r>
        <w:rPr>
          <w:spacing w:val="3"/>
        </w:rPr>
        <w:t>our </w:t>
      </w:r>
      <w:r>
        <w:rPr/>
        <w:t>model does not incorporate the possibility that the pound deserves </w:t>
      </w:r>
      <w:r>
        <w:rPr>
          <w:spacing w:val="2"/>
        </w:rPr>
        <w:t>to </w:t>
      </w:r>
      <w:r>
        <w:rPr/>
        <w:t>be re-rated because </w:t>
      </w:r>
      <w:r>
        <w:rPr>
          <w:spacing w:val="2"/>
        </w:rPr>
        <w:t>of </w:t>
      </w:r>
      <w:r>
        <w:rPr/>
        <w:t>the improvement in the macroeconomic framework in the UK. Also, the assumption </w:t>
      </w:r>
      <w:r>
        <w:rPr>
          <w:spacing w:val="2"/>
        </w:rPr>
        <w:t>of </w:t>
      </w:r>
      <w:r>
        <w:rPr/>
        <w:t>constant relative interest rates might not be valid as the pound falls. Specifically, if the pound were </w:t>
      </w:r>
      <w:r>
        <w:rPr>
          <w:spacing w:val="3"/>
        </w:rPr>
        <w:t>to </w:t>
      </w:r>
      <w:r>
        <w:rPr/>
        <w:t>fall for </w:t>
      </w:r>
      <w:r>
        <w:rPr>
          <w:spacing w:val="2"/>
        </w:rPr>
        <w:t>reasons </w:t>
      </w:r>
      <w:r>
        <w:rPr/>
        <w:t>which had no </w:t>
      </w:r>
      <w:r>
        <w:rPr>
          <w:spacing w:val="5"/>
        </w:rPr>
        <w:t>offsetting</w:t>
      </w:r>
      <w:r>
        <w:rPr>
          <w:spacing w:val="-38"/>
        </w:rPr>
        <w:t> </w:t>
      </w:r>
      <w:r>
        <w:rPr/>
        <w:t>impact </w:t>
      </w:r>
      <w:r>
        <w:rPr>
          <w:spacing w:val="3"/>
        </w:rPr>
        <w:t>on </w:t>
      </w:r>
      <w:r>
        <w:rPr/>
        <w:t>domestically generated inflationary </w:t>
      </w:r>
      <w:r>
        <w:rPr>
          <w:spacing w:val="2"/>
        </w:rPr>
        <w:t>pressures, </w:t>
      </w:r>
      <w:r>
        <w:rPr/>
        <w:t>it is then plausible that UK interest rates would have </w:t>
      </w:r>
      <w:r>
        <w:rPr>
          <w:spacing w:val="3"/>
        </w:rPr>
        <w:t>to </w:t>
      </w:r>
      <w:r>
        <w:rPr/>
        <w:t>rise. Hence, the pound might fall by less than </w:t>
      </w:r>
      <w:r>
        <w:rPr>
          <w:spacing w:val="4"/>
        </w:rPr>
        <w:t>our </w:t>
      </w:r>
      <w:r>
        <w:rPr/>
        <w:t>model implies. On</w:t>
      </w:r>
      <w:r>
        <w:rPr>
          <w:spacing w:val="-6"/>
        </w:rPr>
        <w:t> </w:t>
      </w:r>
      <w:r>
        <w:rPr/>
        <w:t>the</w:t>
      </w:r>
      <w:r>
        <w:rPr>
          <w:spacing w:val="-5"/>
        </w:rPr>
        <w:t> </w:t>
      </w:r>
      <w:r>
        <w:rPr>
          <w:spacing w:val="4"/>
        </w:rPr>
        <w:t>other</w:t>
      </w:r>
      <w:r>
        <w:rPr>
          <w:spacing w:val="-1"/>
        </w:rPr>
        <w:t> </w:t>
      </w:r>
      <w:r>
        <w:rPr/>
        <w:t>hand,</w:t>
      </w:r>
      <w:r>
        <w:rPr>
          <w:spacing w:val="-5"/>
        </w:rPr>
        <w:t> </w:t>
      </w:r>
      <w:r>
        <w:rPr>
          <w:spacing w:val="4"/>
        </w:rPr>
        <w:t>other</w:t>
      </w:r>
      <w:r>
        <w:rPr/>
        <w:t> events</w:t>
      </w:r>
      <w:r>
        <w:rPr>
          <w:spacing w:val="-6"/>
        </w:rPr>
        <w:t> </w:t>
      </w:r>
      <w:r>
        <w:rPr/>
        <w:t>(eg</w:t>
      </w:r>
      <w:r>
        <w:rPr>
          <w:spacing w:val="-3"/>
        </w:rPr>
        <w:t> </w:t>
      </w:r>
      <w:r>
        <w:rPr/>
        <w:t>a</w:t>
      </w:r>
      <w:r>
        <w:rPr>
          <w:spacing w:val="-5"/>
        </w:rPr>
        <w:t> </w:t>
      </w:r>
      <w:r>
        <w:rPr/>
        <w:t>significant fall</w:t>
      </w:r>
      <w:r>
        <w:rPr>
          <w:spacing w:val="-5"/>
        </w:rPr>
        <w:t> </w:t>
      </w:r>
      <w:r>
        <w:rPr/>
        <w:t>in</w:t>
      </w:r>
      <w:r>
        <w:rPr>
          <w:spacing w:val="-5"/>
        </w:rPr>
        <w:t> </w:t>
      </w:r>
      <w:r>
        <w:rPr/>
        <w:t>global</w:t>
      </w:r>
      <w:r>
        <w:rPr>
          <w:spacing w:val="-5"/>
        </w:rPr>
        <w:t> </w:t>
      </w:r>
      <w:r>
        <w:rPr/>
        <w:t>equity</w:t>
      </w:r>
      <w:r>
        <w:rPr>
          <w:spacing w:val="-6"/>
        </w:rPr>
        <w:t> </w:t>
      </w:r>
      <w:r>
        <w:rPr/>
        <w:t>markets)</w:t>
      </w:r>
      <w:r>
        <w:rPr>
          <w:spacing w:val="-5"/>
        </w:rPr>
        <w:t> </w:t>
      </w:r>
      <w:r>
        <w:rPr/>
        <w:t>could</w:t>
      </w:r>
      <w:r>
        <w:rPr>
          <w:spacing w:val="-5"/>
        </w:rPr>
        <w:t> </w:t>
      </w:r>
      <w:r>
        <w:rPr/>
        <w:t>(as discussed in Wadhwani </w:t>
      </w:r>
      <w:r>
        <w:rPr>
          <w:spacing w:val="2"/>
        </w:rPr>
        <w:t>(1999)), </w:t>
      </w:r>
      <w:r>
        <w:rPr/>
        <w:t>drive the pound</w:t>
      </w:r>
      <w:r>
        <w:rPr>
          <w:spacing w:val="-42"/>
        </w:rPr>
        <w:t> </w:t>
      </w:r>
      <w:r>
        <w:rPr/>
        <w:t>significantly</w:t>
      </w:r>
      <w:r>
        <w:rPr>
          <w:spacing w:val="-7"/>
        </w:rPr>
        <w:t> </w:t>
      </w:r>
      <w:r>
        <w:rPr/>
        <w:t>lower.</w:t>
        <w:tab/>
        <w:t>Although sterling</w:t>
      </w:r>
      <w:r>
        <w:rPr>
          <w:spacing w:val="-4"/>
        </w:rPr>
        <w:t> </w:t>
      </w:r>
      <w:r>
        <w:rPr/>
        <w:t>does</w:t>
      </w:r>
      <w:r>
        <w:rPr>
          <w:spacing w:val="-3"/>
        </w:rPr>
        <w:t> </w:t>
      </w:r>
      <w:r>
        <w:rPr/>
        <w:t>look</w:t>
      </w:r>
      <w:r>
        <w:rPr>
          <w:spacing w:val="-2"/>
        </w:rPr>
        <w:t> </w:t>
      </w:r>
      <w:r>
        <w:rPr/>
        <w:t>“overvalued”</w:t>
      </w:r>
      <w:r>
        <w:rPr>
          <w:spacing w:val="-17"/>
        </w:rPr>
        <w:t> </w:t>
      </w:r>
      <w:r>
        <w:rPr/>
        <w:t>against</w:t>
      </w:r>
      <w:r>
        <w:rPr>
          <w:spacing w:val="1"/>
        </w:rPr>
        <w:t> </w:t>
      </w:r>
      <w:r>
        <w:rPr/>
        <w:t>the</w:t>
      </w:r>
      <w:r>
        <w:rPr>
          <w:spacing w:val="-4"/>
        </w:rPr>
        <w:t> </w:t>
      </w:r>
      <w:r>
        <w:rPr/>
        <w:t>DM,</w:t>
      </w:r>
      <w:r>
        <w:rPr>
          <w:spacing w:val="-3"/>
        </w:rPr>
        <w:t> </w:t>
      </w:r>
      <w:r>
        <w:rPr/>
        <w:t>this</w:t>
      </w:r>
      <w:r>
        <w:rPr>
          <w:spacing w:val="-4"/>
        </w:rPr>
        <w:t> </w:t>
      </w:r>
      <w:r>
        <w:rPr/>
        <w:t>is</w:t>
      </w:r>
      <w:r>
        <w:rPr>
          <w:spacing w:val="-4"/>
        </w:rPr>
        <w:t> </w:t>
      </w:r>
      <w:r>
        <w:rPr/>
        <w:t>not</w:t>
      </w:r>
      <w:r>
        <w:rPr>
          <w:spacing w:val="1"/>
        </w:rPr>
        <w:t> </w:t>
      </w:r>
      <w:r>
        <w:rPr/>
        <w:t>true</w:t>
      </w:r>
      <w:r>
        <w:rPr>
          <w:spacing w:val="-4"/>
        </w:rPr>
        <w:t> </w:t>
      </w:r>
      <w:r>
        <w:rPr/>
        <w:t>versus</w:t>
      </w:r>
      <w:r>
        <w:rPr>
          <w:spacing w:val="-3"/>
        </w:rPr>
        <w:t> </w:t>
      </w:r>
      <w:r>
        <w:rPr/>
        <w:t>the</w:t>
      </w:r>
      <w:r>
        <w:rPr>
          <w:spacing w:val="-4"/>
        </w:rPr>
        <w:t> </w:t>
      </w:r>
      <w:r>
        <w:rPr/>
        <w:t>US</w:t>
      </w:r>
      <w:r>
        <w:rPr>
          <w:spacing w:val="-4"/>
        </w:rPr>
        <w:t> </w:t>
      </w:r>
      <w:r>
        <w:rPr/>
        <w:t>dollar</w:t>
      </w:r>
    </w:p>
    <w:p>
      <w:pPr>
        <w:pStyle w:val="BodyText"/>
        <w:spacing w:line="360" w:lineRule="auto"/>
        <w:ind w:left="102"/>
      </w:pPr>
      <w:r>
        <w:rPr/>
        <w:t>(currently, around 1.4750). Hence, it would be reasonable to expect further, significant weakness of sterling versus the euro, but not the US dollar.</w:t>
      </w:r>
    </w:p>
    <w:p>
      <w:pPr>
        <w:pStyle w:val="BodyText"/>
        <w:rPr>
          <w:sz w:val="36"/>
        </w:rPr>
      </w:pPr>
    </w:p>
    <w:p>
      <w:pPr>
        <w:pStyle w:val="BodyText"/>
        <w:spacing w:line="360" w:lineRule="auto"/>
        <w:ind w:left="102" w:right="105"/>
      </w:pPr>
      <w:r>
        <w:rPr/>
        <w:t>Although we have argued that the pound is likely to depreciate against the euro over the next year, one should recognise the fact that exchange rate overshoots can last longer than one thinks. For example, many economists predicted a fall in the US dollar from early 1984 onwards, as it had already risen significantly since 1981, and yet, it rose almost 30% between March 1984 and February 1985 (see Figure 4). However, periods</w:t>
      </w:r>
    </w:p>
    <w:p>
      <w:pPr>
        <w:spacing w:after="0" w:line="360" w:lineRule="auto"/>
        <w:sectPr>
          <w:pgSz w:w="11900" w:h="16840"/>
          <w:pgMar w:header="0" w:footer="743" w:top="1360" w:bottom="940" w:left="1520" w:right="1660"/>
        </w:sectPr>
      </w:pPr>
    </w:p>
    <w:p>
      <w:pPr>
        <w:pStyle w:val="BodyText"/>
        <w:spacing w:line="360" w:lineRule="auto" w:before="73"/>
        <w:ind w:left="102" w:right="240"/>
      </w:pPr>
      <w:r>
        <w:rPr/>
        <w:t>of persistent overvaluation are costly and may be associated with a permanent loss of capacity. Export markets lost when the exchange rate is overvalued are difficult to re- enter even when the exchange rate has come down again. Hence, it is not surprising that many commentators and people from industry that we meet ask the MPC to ‘do something’ about the exchange rate. What can we do?</w:t>
      </w:r>
    </w:p>
    <w:p>
      <w:pPr>
        <w:pStyle w:val="BodyText"/>
        <w:rPr>
          <w:sz w:val="26"/>
        </w:rPr>
      </w:pPr>
    </w:p>
    <w:p>
      <w:pPr>
        <w:pStyle w:val="BodyText"/>
        <w:rPr>
          <w:sz w:val="26"/>
        </w:rPr>
      </w:pPr>
    </w:p>
    <w:p>
      <w:pPr>
        <w:pStyle w:val="BodyText"/>
        <w:spacing w:before="232"/>
        <w:ind w:left="102"/>
      </w:pPr>
      <w:r>
        <w:rPr/>
        <w:t>Figure 4</w:t>
      </w:r>
    </w:p>
    <w:p>
      <w:pPr>
        <w:pStyle w:val="BodyText"/>
        <w:spacing w:before="3"/>
        <w:rPr>
          <w:sz w:val="28"/>
        </w:rPr>
      </w:pPr>
    </w:p>
    <w:p>
      <w:pPr>
        <w:pStyle w:val="Heading1"/>
        <w:spacing w:before="90"/>
        <w:ind w:left="419"/>
      </w:pPr>
      <w:r>
        <w:rPr/>
        <w:t>$/DM exchange rate</w:t>
      </w:r>
    </w:p>
    <w:p>
      <w:pPr>
        <w:pStyle w:val="BodyText"/>
        <w:spacing w:before="1"/>
        <w:rPr>
          <w:b/>
          <w:sz w:val="21"/>
        </w:rPr>
      </w:pPr>
    </w:p>
    <w:p>
      <w:pPr>
        <w:spacing w:before="94"/>
        <w:ind w:left="4351" w:right="3580" w:firstLine="0"/>
        <w:jc w:val="center"/>
        <w:rPr>
          <w:sz w:val="16"/>
        </w:rPr>
      </w:pPr>
      <w:r>
        <w:rPr/>
        <w:pict>
          <v:group style="position:absolute;margin-left:106.080002pt;margin-top:9.408721pt;width:198.6pt;height:144.15pt;mso-position-horizontal-relative:page;mso-position-vertical-relative:paragraph;z-index:251673600" coordorigin="2122,188" coordsize="3972,2883">
            <v:shape style="position:absolute;left:2140;top:190;width:3951;height:2880" coordorigin="2141,191" coordsize="3951,2880" path="m6038,191l6038,3018,6091,3018m6038,2312l6091,2312m6038,1607l6091,1607m6038,901l6091,901m6038,191l6091,191m2141,3018l6038,3018m2141,3071l2141,3018m2621,3071l2621,3018m3096,3071l3096,3018m3571,3071l3571,3018m4046,3071l4046,3018m4526,3071l4526,3018m5006,3071l5006,3018m5482,3071l5482,3018m5957,3071l5957,3018e" filled="false" stroked="true" strokeweight=".24pt" strokecolor="#000000">
              <v:path arrowok="t"/>
              <v:stroke dashstyle="solid"/>
            </v:shape>
            <v:line style="position:absolute" from="2122,2139" to="2237,2139" stroked="true" strokeweight="2.4pt" strokecolor="#000080">
              <v:stroke dashstyle="solid"/>
            </v:line>
            <v:line style="position:absolute" from="2218,2135" to="2299,2178" stroked="true" strokeweight="1.92pt" strokecolor="#000080">
              <v:stroke dashstyle="solid"/>
            </v:line>
            <v:line style="position:absolute" from="2299,2178" to="2381,2019" stroked="true" strokeweight="1.92pt" strokecolor="#000080">
              <v:stroke dashstyle="solid"/>
            </v:line>
            <v:line style="position:absolute" from="2381,2019" to="2458,1847" stroked="true" strokeweight="1.92pt" strokecolor="#000080">
              <v:stroke dashstyle="solid"/>
            </v:line>
            <v:line style="position:absolute" from="2458,1847" to="2539,1760" stroked="true" strokeweight="1.92pt" strokecolor="#000080">
              <v:stroke dashstyle="solid"/>
            </v:line>
            <v:shape style="position:absolute;left:2539;top:1654;width:956;height:370" coordorigin="2539,1655" coordsize="956,370" path="m2539,1760l2621,1655m2621,1655l2698,1669m2698,1669l2774,1861m2774,1861l2856,1952m2856,1952l2938,2024m2938,2024l3014,1967m3014,1967l3096,1871m3096,1871l3173,1770m3173,1770l3254,1731m3254,1731l3331,1847m3331,1847l3413,1832m3413,1832l3494,1674e" filled="false" stroked="true" strokeweight="1.92pt" strokecolor="#000080">
              <v:path arrowok="t"/>
              <v:stroke dashstyle="solid"/>
            </v:shape>
            <v:line style="position:absolute" from="3475,1669" to="3590,1669" stroked="true" strokeweight="2.4pt" strokecolor="#000080">
              <v:stroke dashstyle="solid"/>
            </v:line>
            <v:shape style="position:absolute;left:3571;top:1328;width:1114;height:447" coordorigin="3571,1328" coordsize="1114,447" path="m3571,1664l3653,1611m3653,1611l3730,1568m3730,1568l3811,1520m3811,1520l3888,1631m3888,1631l3970,1775m3970,1775l4046,1669m4046,1669l4128,1698m4128,1698l4210,1712m4210,1712l4286,1664m4286,1664l4368,1573m4368,1573l4450,1549m4450,1549l4526,1400m4526,1400l4603,1328m4603,1328l4685,1415e" filled="false" stroked="true" strokeweight="1.92pt" strokecolor="#000080">
              <v:path arrowok="t"/>
              <v:stroke dashstyle="solid"/>
            </v:shape>
            <v:line style="position:absolute" from="4666,1419" to="4786,1419" stroked="true" strokeweight="2.4pt" strokecolor="#000080">
              <v:stroke dashstyle="solid"/>
            </v:line>
            <v:shape style="position:absolute;left:4766;top:809;width:874;height:663" coordorigin="4766,810" coordsize="874,663" path="m4766,1424l4843,1328m4843,1328l4925,1295m4925,1295l5006,1160m5006,1160l5083,1472m5083,1472l5160,1472m5160,1472l5242,1295m5242,1295l5323,1280m5323,1280l5400,1208m5400,1208l5482,1059m5482,1059l5558,1059m5558,1059l5640,810e" filled="false" stroked="true" strokeweight="1.92pt" strokecolor="#000080">
              <v:path arrowok="t"/>
              <v:stroke dashstyle="solid"/>
            </v:shape>
            <v:line style="position:absolute" from="5640,810" to="5722,848" stroked="true" strokeweight="1.92pt" strokecolor="#000080">
              <v:stroke dashstyle="solid"/>
            </v:line>
            <v:line style="position:absolute" from="5722,848" to="5798,762" stroked="true" strokeweight="1.92pt" strokecolor="#000080">
              <v:stroke dashstyle="solid"/>
            </v:line>
            <v:line style="position:absolute" from="5798,762" to="5875,680" stroked="true" strokeweight="1.92pt" strokecolor="#000080">
              <v:stroke dashstyle="solid"/>
            </v:line>
            <v:line style="position:absolute" from="5875,680" to="5957,666" stroked="true" strokeweight="1.92pt" strokecolor="#000080">
              <v:stroke dashstyle="solid"/>
            </v:line>
            <v:line style="position:absolute" from="5957,666" to="6038,411" stroked="true" strokeweight="1.92pt" strokecolor="#000080">
              <v:stroke dashstyle="solid"/>
            </v:line>
            <w10:wrap type="none"/>
          </v:group>
        </w:pict>
      </w:r>
      <w:r>
        <w:rPr>
          <w:sz w:val="16"/>
        </w:rPr>
        <w:t>3.5</w:t>
      </w:r>
    </w:p>
    <w:p>
      <w:pPr>
        <w:pStyle w:val="BodyText"/>
        <w:rPr>
          <w:sz w:val="20"/>
        </w:rPr>
      </w:pPr>
    </w:p>
    <w:p>
      <w:pPr>
        <w:pStyle w:val="BodyText"/>
        <w:spacing w:before="7"/>
        <w:rPr>
          <w:sz w:val="17"/>
        </w:rPr>
      </w:pPr>
    </w:p>
    <w:p>
      <w:pPr>
        <w:spacing w:before="94"/>
        <w:ind w:left="4351" w:right="3580" w:firstLine="0"/>
        <w:jc w:val="center"/>
        <w:rPr>
          <w:sz w:val="16"/>
        </w:rPr>
      </w:pPr>
      <w:r>
        <w:rPr>
          <w:sz w:val="16"/>
        </w:rPr>
        <w:t>3.0</w:t>
      </w:r>
    </w:p>
    <w:p>
      <w:pPr>
        <w:pStyle w:val="BodyText"/>
        <w:rPr>
          <w:sz w:val="20"/>
        </w:rPr>
      </w:pPr>
    </w:p>
    <w:p>
      <w:pPr>
        <w:pStyle w:val="BodyText"/>
        <w:spacing w:before="2"/>
        <w:rPr>
          <w:sz w:val="17"/>
        </w:rPr>
      </w:pPr>
    </w:p>
    <w:p>
      <w:pPr>
        <w:spacing w:before="94"/>
        <w:ind w:left="4351" w:right="3580" w:firstLine="0"/>
        <w:jc w:val="center"/>
        <w:rPr>
          <w:sz w:val="16"/>
        </w:rPr>
      </w:pPr>
      <w:r>
        <w:rPr>
          <w:sz w:val="16"/>
        </w:rPr>
        <w:t>2.5</w:t>
      </w:r>
    </w:p>
    <w:p>
      <w:pPr>
        <w:pStyle w:val="BodyText"/>
        <w:rPr>
          <w:sz w:val="20"/>
        </w:rPr>
      </w:pPr>
    </w:p>
    <w:p>
      <w:pPr>
        <w:pStyle w:val="BodyText"/>
        <w:spacing w:before="2"/>
        <w:rPr>
          <w:sz w:val="17"/>
        </w:rPr>
      </w:pPr>
    </w:p>
    <w:p>
      <w:pPr>
        <w:spacing w:before="94"/>
        <w:ind w:left="4351" w:right="3580" w:firstLine="0"/>
        <w:jc w:val="center"/>
        <w:rPr>
          <w:sz w:val="16"/>
        </w:rPr>
      </w:pPr>
      <w:r>
        <w:rPr>
          <w:sz w:val="16"/>
        </w:rPr>
        <w:t>2.0</w:t>
      </w:r>
    </w:p>
    <w:p>
      <w:pPr>
        <w:pStyle w:val="BodyText"/>
        <w:rPr>
          <w:sz w:val="20"/>
        </w:rPr>
      </w:pPr>
    </w:p>
    <w:p>
      <w:pPr>
        <w:pStyle w:val="BodyText"/>
        <w:spacing w:before="2"/>
        <w:rPr>
          <w:sz w:val="17"/>
        </w:rPr>
      </w:pPr>
    </w:p>
    <w:p>
      <w:pPr>
        <w:spacing w:after="0"/>
        <w:rPr>
          <w:sz w:val="17"/>
        </w:rPr>
        <w:sectPr>
          <w:pgSz w:w="11900" w:h="16840"/>
          <w:pgMar w:header="0" w:footer="743" w:top="1360" w:bottom="940" w:left="1520" w:right="1660"/>
        </w:sectPr>
      </w:pPr>
    </w:p>
    <w:p>
      <w:pPr>
        <w:pStyle w:val="BodyText"/>
        <w:rPr>
          <w:sz w:val="18"/>
        </w:rPr>
      </w:pPr>
    </w:p>
    <w:p>
      <w:pPr>
        <w:spacing w:line="268" w:lineRule="auto" w:before="132"/>
        <w:ind w:left="534" w:right="-13" w:hanging="53"/>
        <w:jc w:val="left"/>
        <w:rPr>
          <w:sz w:val="16"/>
        </w:rPr>
      </w:pPr>
      <w:r>
        <w:rPr>
          <w:sz w:val="16"/>
        </w:rPr>
        <w:t>Jan- 81</w:t>
      </w:r>
    </w:p>
    <w:p>
      <w:pPr>
        <w:pStyle w:val="BodyText"/>
        <w:rPr>
          <w:sz w:val="18"/>
        </w:rPr>
      </w:pPr>
      <w:r>
        <w:rPr/>
        <w:br w:type="column"/>
      </w:r>
      <w:r>
        <w:rPr>
          <w:sz w:val="18"/>
        </w:rPr>
      </w:r>
    </w:p>
    <w:p>
      <w:pPr>
        <w:spacing w:line="268" w:lineRule="auto" w:before="132"/>
        <w:ind w:left="220" w:right="-15" w:hanging="39"/>
        <w:jc w:val="left"/>
        <w:rPr>
          <w:sz w:val="16"/>
        </w:rPr>
      </w:pPr>
      <w:r>
        <w:rPr>
          <w:sz w:val="16"/>
        </w:rPr>
        <w:t>Jul- 81</w:t>
      </w:r>
    </w:p>
    <w:p>
      <w:pPr>
        <w:pStyle w:val="BodyText"/>
        <w:rPr>
          <w:sz w:val="18"/>
        </w:rPr>
      </w:pPr>
      <w:r>
        <w:rPr/>
        <w:br w:type="column"/>
      </w:r>
      <w:r>
        <w:rPr>
          <w:sz w:val="18"/>
        </w:rPr>
      </w:r>
    </w:p>
    <w:p>
      <w:pPr>
        <w:spacing w:line="268" w:lineRule="auto" w:before="132"/>
        <w:ind w:left="229" w:right="-13" w:hanging="53"/>
        <w:jc w:val="left"/>
        <w:rPr>
          <w:sz w:val="16"/>
        </w:rPr>
      </w:pPr>
      <w:r>
        <w:rPr>
          <w:sz w:val="16"/>
        </w:rPr>
        <w:t>Jan- 82</w:t>
      </w:r>
    </w:p>
    <w:p>
      <w:pPr>
        <w:pStyle w:val="BodyText"/>
        <w:rPr>
          <w:sz w:val="18"/>
        </w:rPr>
      </w:pPr>
      <w:r>
        <w:rPr/>
        <w:br w:type="column"/>
      </w:r>
      <w:r>
        <w:rPr>
          <w:sz w:val="18"/>
        </w:rPr>
      </w:r>
    </w:p>
    <w:p>
      <w:pPr>
        <w:spacing w:line="268" w:lineRule="auto" w:before="132"/>
        <w:ind w:left="220" w:right="-15" w:hanging="39"/>
        <w:jc w:val="left"/>
        <w:rPr>
          <w:sz w:val="16"/>
        </w:rPr>
      </w:pPr>
      <w:r>
        <w:rPr>
          <w:sz w:val="16"/>
        </w:rPr>
        <w:t>Jul- 82</w:t>
      </w:r>
    </w:p>
    <w:p>
      <w:pPr>
        <w:pStyle w:val="BodyText"/>
        <w:rPr>
          <w:sz w:val="18"/>
        </w:rPr>
      </w:pPr>
      <w:r>
        <w:rPr/>
        <w:br w:type="column"/>
      </w:r>
      <w:r>
        <w:rPr>
          <w:sz w:val="18"/>
        </w:rPr>
      </w:r>
    </w:p>
    <w:p>
      <w:pPr>
        <w:spacing w:line="268" w:lineRule="auto" w:before="132"/>
        <w:ind w:left="229" w:right="-13" w:hanging="53"/>
        <w:jc w:val="left"/>
        <w:rPr>
          <w:sz w:val="16"/>
        </w:rPr>
      </w:pPr>
      <w:r>
        <w:rPr>
          <w:sz w:val="16"/>
        </w:rPr>
        <w:t>Jan- 83</w:t>
      </w:r>
    </w:p>
    <w:p>
      <w:pPr>
        <w:pStyle w:val="BodyText"/>
        <w:rPr>
          <w:sz w:val="18"/>
        </w:rPr>
      </w:pPr>
      <w:r>
        <w:rPr/>
        <w:br w:type="column"/>
      </w:r>
      <w:r>
        <w:rPr>
          <w:sz w:val="18"/>
        </w:rPr>
      </w:r>
    </w:p>
    <w:p>
      <w:pPr>
        <w:spacing w:line="268" w:lineRule="auto" w:before="132"/>
        <w:ind w:left="220" w:right="-15" w:hanging="44"/>
        <w:jc w:val="left"/>
        <w:rPr>
          <w:sz w:val="16"/>
        </w:rPr>
      </w:pPr>
      <w:r>
        <w:rPr>
          <w:sz w:val="16"/>
        </w:rPr>
        <w:t>Jul- 83</w:t>
      </w:r>
    </w:p>
    <w:p>
      <w:pPr>
        <w:pStyle w:val="BodyText"/>
        <w:rPr>
          <w:sz w:val="18"/>
        </w:rPr>
      </w:pPr>
      <w:r>
        <w:rPr/>
        <w:br w:type="column"/>
      </w:r>
      <w:r>
        <w:rPr>
          <w:sz w:val="18"/>
        </w:rPr>
      </w:r>
    </w:p>
    <w:p>
      <w:pPr>
        <w:spacing w:line="268" w:lineRule="auto" w:before="132"/>
        <w:ind w:left="234" w:right="-13" w:hanging="53"/>
        <w:jc w:val="left"/>
        <w:rPr>
          <w:sz w:val="16"/>
        </w:rPr>
      </w:pPr>
      <w:r>
        <w:rPr>
          <w:sz w:val="16"/>
        </w:rPr>
        <w:t>Jan- 84</w:t>
      </w:r>
    </w:p>
    <w:p>
      <w:pPr>
        <w:pStyle w:val="BodyText"/>
        <w:rPr>
          <w:sz w:val="18"/>
        </w:rPr>
      </w:pPr>
      <w:r>
        <w:rPr/>
        <w:br w:type="column"/>
      </w:r>
      <w:r>
        <w:rPr>
          <w:sz w:val="18"/>
        </w:rPr>
      </w:r>
    </w:p>
    <w:p>
      <w:pPr>
        <w:spacing w:line="268" w:lineRule="auto" w:before="132"/>
        <w:ind w:left="215" w:right="-15" w:hanging="39"/>
        <w:jc w:val="left"/>
        <w:rPr>
          <w:sz w:val="16"/>
        </w:rPr>
      </w:pPr>
      <w:r>
        <w:rPr>
          <w:sz w:val="16"/>
        </w:rPr>
        <w:t>Jul- 84</w:t>
      </w:r>
    </w:p>
    <w:p>
      <w:pPr>
        <w:pStyle w:val="BodyText"/>
        <w:rPr>
          <w:sz w:val="18"/>
        </w:rPr>
      </w:pPr>
      <w:r>
        <w:rPr/>
        <w:br w:type="column"/>
      </w:r>
      <w:r>
        <w:rPr>
          <w:sz w:val="18"/>
        </w:rPr>
      </w:r>
    </w:p>
    <w:p>
      <w:pPr>
        <w:spacing w:line="268" w:lineRule="auto" w:before="132"/>
        <w:ind w:left="234" w:right="-13" w:hanging="53"/>
        <w:jc w:val="left"/>
        <w:rPr>
          <w:sz w:val="16"/>
        </w:rPr>
      </w:pPr>
      <w:r>
        <w:rPr>
          <w:sz w:val="16"/>
        </w:rPr>
        <w:t>Jan- 85</w:t>
      </w:r>
    </w:p>
    <w:p>
      <w:pPr>
        <w:spacing w:before="94"/>
        <w:ind w:left="28" w:right="0" w:firstLine="0"/>
        <w:jc w:val="left"/>
        <w:rPr>
          <w:sz w:val="16"/>
        </w:rPr>
      </w:pPr>
      <w:r>
        <w:rPr/>
        <w:br w:type="column"/>
      </w:r>
      <w:r>
        <w:rPr>
          <w:sz w:val="16"/>
        </w:rPr>
        <w:t>1.5</w:t>
      </w:r>
    </w:p>
    <w:p>
      <w:pPr>
        <w:spacing w:after="0"/>
        <w:jc w:val="left"/>
        <w:rPr>
          <w:sz w:val="16"/>
        </w:rPr>
        <w:sectPr>
          <w:type w:val="continuous"/>
          <w:pgSz w:w="11900" w:h="16840"/>
          <w:pgMar w:top="1180" w:bottom="280" w:left="1520" w:right="1660"/>
          <w:cols w:num="10" w:equalWidth="0">
            <w:col w:w="755" w:space="40"/>
            <w:col w:w="426" w:space="39"/>
            <w:col w:w="450" w:space="39"/>
            <w:col w:w="426" w:space="40"/>
            <w:col w:w="450" w:space="39"/>
            <w:col w:w="421" w:space="40"/>
            <w:col w:w="455" w:space="40"/>
            <w:col w:w="421" w:space="39"/>
            <w:col w:w="455" w:space="40"/>
            <w:col w:w="4105"/>
          </w:cols>
        </w:sectPr>
      </w:pPr>
    </w:p>
    <w:p>
      <w:pPr>
        <w:pStyle w:val="BodyText"/>
        <w:rPr>
          <w:sz w:val="20"/>
        </w:rPr>
      </w:pPr>
    </w:p>
    <w:p>
      <w:pPr>
        <w:pStyle w:val="BodyText"/>
        <w:rPr>
          <w:sz w:val="20"/>
        </w:rPr>
      </w:pPr>
    </w:p>
    <w:p>
      <w:pPr>
        <w:pStyle w:val="BodyText"/>
        <w:spacing w:before="4"/>
        <w:rPr>
          <w:sz w:val="23"/>
        </w:rPr>
      </w:pPr>
    </w:p>
    <w:p>
      <w:pPr>
        <w:pStyle w:val="Heading1"/>
        <w:numPr>
          <w:ilvl w:val="0"/>
          <w:numId w:val="3"/>
        </w:numPr>
        <w:tabs>
          <w:tab w:pos="467" w:val="left" w:leader="none"/>
          <w:tab w:pos="468" w:val="left" w:leader="none"/>
        </w:tabs>
        <w:spacing w:line="240" w:lineRule="auto" w:before="90" w:after="0"/>
        <w:ind w:left="467" w:right="0" w:hanging="366"/>
        <w:jc w:val="left"/>
      </w:pPr>
      <w:r>
        <w:rPr/>
        <w:t>WHAT CAN THE MPC</w:t>
      </w:r>
      <w:r>
        <w:rPr>
          <w:spacing w:val="7"/>
        </w:rPr>
        <w:t> </w:t>
      </w:r>
      <w:r>
        <w:rPr/>
        <w:t>DO?</w:t>
      </w:r>
    </w:p>
    <w:p>
      <w:pPr>
        <w:pStyle w:val="ListParagraph"/>
        <w:numPr>
          <w:ilvl w:val="1"/>
          <w:numId w:val="3"/>
        </w:numPr>
        <w:tabs>
          <w:tab w:pos="464" w:val="left" w:leader="none"/>
        </w:tabs>
        <w:spacing w:line="240" w:lineRule="auto" w:before="137" w:after="0"/>
        <w:ind w:left="463" w:right="0" w:hanging="362"/>
        <w:jc w:val="left"/>
        <w:rPr>
          <w:b/>
          <w:sz w:val="24"/>
        </w:rPr>
      </w:pPr>
      <w:r>
        <w:rPr>
          <w:b/>
          <w:sz w:val="24"/>
        </w:rPr>
        <w:t>SOME THINGS THAT WE SHOULD NOT</w:t>
      </w:r>
      <w:r>
        <w:rPr>
          <w:b/>
          <w:spacing w:val="4"/>
          <w:sz w:val="24"/>
        </w:rPr>
        <w:t> </w:t>
      </w:r>
      <w:r>
        <w:rPr>
          <w:b/>
          <w:sz w:val="24"/>
        </w:rPr>
        <w:t>DO</w:t>
      </w:r>
    </w:p>
    <w:p>
      <w:pPr>
        <w:pStyle w:val="BodyText"/>
        <w:rPr>
          <w:b/>
          <w:sz w:val="26"/>
        </w:rPr>
      </w:pPr>
    </w:p>
    <w:p>
      <w:pPr>
        <w:pStyle w:val="BodyText"/>
        <w:spacing w:before="9"/>
        <w:rPr>
          <w:b/>
          <w:sz w:val="21"/>
        </w:rPr>
      </w:pPr>
    </w:p>
    <w:p>
      <w:pPr>
        <w:pStyle w:val="BodyText"/>
        <w:spacing w:line="360" w:lineRule="auto"/>
        <w:ind w:left="102" w:right="105"/>
      </w:pPr>
      <w:r>
        <w:rPr/>
        <w:t>First, let me reject some proposed solutions that would, in my opinion, be damaging and are, in any case, inconsistent with the MPC’s remit. Some have suggested that a little more inflation would not be overly worrying, and so we could increase the level of the inflation target from, say, 2½% to something a little higher. </w:t>
      </w:r>
      <w:r>
        <w:rPr>
          <w:vertAlign w:val="superscript"/>
        </w:rPr>
        <w:t>7</w:t>
      </w:r>
      <w:r>
        <w:rPr>
          <w:vertAlign w:val="baseline"/>
        </w:rPr>
        <w:t> That would be a mistake. In recent years, inflation expectations have come down significantly in this country, and these are gains that are worth preserving. Allowing a ’little more inflation’ now would be perceived as the thin end of a wedge and could be hugely damaging to the credibility of the new monetary framework in the UK, and long-term interest rates would almost certainly rise.</w:t>
      </w:r>
    </w:p>
    <w:p>
      <w:pPr>
        <w:pStyle w:val="BodyText"/>
        <w:spacing w:before="7"/>
        <w:rPr>
          <w:sz w:val="10"/>
        </w:rPr>
      </w:pPr>
      <w:r>
        <w:rPr/>
        <w:pict>
          <v:shape style="position:absolute;margin-left:81.120003pt;margin-top:8.30958pt;width:144pt;height:.1pt;mso-position-horizontal-relative:page;mso-position-vertical-relative:paragraph;z-index:-251643904;mso-wrap-distance-left:0;mso-wrap-distance-right:0" coordorigin="1622,166" coordsize="2880,0" path="m1622,166l4502,166e" filled="false" stroked="true" strokeweight=".48pt" strokecolor="#000000">
            <v:path arrowok="t"/>
            <v:stroke dashstyle="solid"/>
            <w10:wrap type="topAndBottom"/>
          </v:shape>
        </w:pict>
      </w:r>
    </w:p>
    <w:p>
      <w:pPr>
        <w:spacing w:before="33"/>
        <w:ind w:left="102" w:right="0" w:firstLine="0"/>
        <w:jc w:val="left"/>
        <w:rPr>
          <w:sz w:val="20"/>
        </w:rPr>
      </w:pPr>
      <w:r>
        <w:rPr>
          <w:position w:val="9"/>
          <w:sz w:val="13"/>
        </w:rPr>
        <w:t>7 </w:t>
      </w:r>
      <w:r>
        <w:rPr>
          <w:sz w:val="20"/>
        </w:rPr>
        <w:t>Of course, the choice of the inflation target is, in any case, a matter for the Chancellor, not the MPC.</w:t>
      </w:r>
    </w:p>
    <w:p>
      <w:pPr>
        <w:spacing w:after="0"/>
        <w:jc w:val="left"/>
        <w:rPr>
          <w:sz w:val="20"/>
        </w:rPr>
        <w:sectPr>
          <w:type w:val="continuous"/>
          <w:pgSz w:w="11900" w:h="16840"/>
          <w:pgMar w:top="1180" w:bottom="280" w:left="1520" w:right="1660"/>
        </w:sectPr>
      </w:pPr>
    </w:p>
    <w:p>
      <w:pPr>
        <w:pStyle w:val="BodyText"/>
        <w:spacing w:before="7"/>
        <w:rPr>
          <w:sz w:val="13"/>
        </w:rPr>
      </w:pPr>
    </w:p>
    <w:p>
      <w:pPr>
        <w:pStyle w:val="BodyText"/>
        <w:spacing w:line="360" w:lineRule="auto" w:before="90"/>
        <w:ind w:left="102" w:right="150"/>
      </w:pPr>
      <w:r>
        <w:rPr/>
        <w:t>Alternatively, others have suggested that we have an exchange rate target as well as an inflation target. Again, I think that would be a mistake. We have but one main policy instrument – the short-term interest rate. </w:t>
      </w:r>
      <w:r>
        <w:rPr>
          <w:vertAlign w:val="superscript"/>
        </w:rPr>
        <w:t>8</w:t>
      </w:r>
      <w:r>
        <w:rPr>
          <w:vertAlign w:val="baseline"/>
        </w:rPr>
        <w:t> Obviously, we could not achieve both targets simultaneously. In the current conjuncture, this would increase inflation expectations and thereby be damaging.</w:t>
      </w:r>
    </w:p>
    <w:p>
      <w:pPr>
        <w:pStyle w:val="BodyText"/>
        <w:spacing w:before="2"/>
        <w:rPr>
          <w:sz w:val="36"/>
        </w:rPr>
      </w:pPr>
    </w:p>
    <w:p>
      <w:pPr>
        <w:pStyle w:val="BodyText"/>
        <w:ind w:left="102"/>
      </w:pPr>
      <w:r>
        <w:rPr/>
        <w:t>Therefore, I explore some alternative policies in the context of the MPC’s remit below.</w:t>
      </w:r>
    </w:p>
    <w:p>
      <w:pPr>
        <w:pStyle w:val="BodyText"/>
        <w:rPr>
          <w:sz w:val="26"/>
        </w:rPr>
      </w:pPr>
    </w:p>
    <w:p>
      <w:pPr>
        <w:pStyle w:val="BodyText"/>
        <w:spacing w:before="9"/>
        <w:rPr>
          <w:sz w:val="22"/>
        </w:rPr>
      </w:pPr>
    </w:p>
    <w:p>
      <w:pPr>
        <w:pStyle w:val="Heading1"/>
        <w:numPr>
          <w:ilvl w:val="1"/>
          <w:numId w:val="3"/>
        </w:numPr>
        <w:tabs>
          <w:tab w:pos="589" w:val="left" w:leader="none"/>
        </w:tabs>
        <w:spacing w:line="237" w:lineRule="auto" w:before="1" w:after="0"/>
        <w:ind w:left="102" w:right="820" w:firstLine="0"/>
        <w:jc w:val="left"/>
      </w:pPr>
      <w:r>
        <w:rPr/>
        <w:t>INCORPORATING ASSET PRICE </w:t>
      </w:r>
      <w:r>
        <w:rPr>
          <w:spacing w:val="2"/>
        </w:rPr>
        <w:t>MISALIGNMENTS </w:t>
      </w:r>
      <w:r>
        <w:rPr/>
        <w:t>WITHIN</w:t>
      </w:r>
      <w:r>
        <w:rPr>
          <w:spacing w:val="-23"/>
        </w:rPr>
        <w:t> </w:t>
      </w:r>
      <w:r>
        <w:rPr/>
        <w:t>AN INFLATION-TARGETING</w:t>
      </w:r>
      <w:r>
        <w:rPr>
          <w:spacing w:val="1"/>
        </w:rPr>
        <w:t> </w:t>
      </w:r>
      <w:r>
        <w:rPr/>
        <w:t>FRAMEWORK</w:t>
      </w:r>
    </w:p>
    <w:p>
      <w:pPr>
        <w:pStyle w:val="BodyText"/>
        <w:spacing w:before="2"/>
        <w:rPr>
          <w:b/>
          <w:sz w:val="36"/>
        </w:rPr>
      </w:pPr>
    </w:p>
    <w:p>
      <w:pPr>
        <w:pStyle w:val="ListParagraph"/>
        <w:numPr>
          <w:ilvl w:val="2"/>
          <w:numId w:val="3"/>
        </w:numPr>
        <w:tabs>
          <w:tab w:pos="822" w:val="left" w:leader="none"/>
          <w:tab w:pos="823" w:val="left" w:leader="none"/>
        </w:tabs>
        <w:spacing w:line="240" w:lineRule="auto" w:before="0" w:after="0"/>
        <w:ind w:left="822" w:right="0" w:hanging="721"/>
        <w:jc w:val="left"/>
        <w:rPr>
          <w:b/>
          <w:sz w:val="24"/>
        </w:rPr>
      </w:pPr>
      <w:r>
        <w:rPr>
          <w:b/>
          <w:sz w:val="24"/>
        </w:rPr>
        <w:t>THEORETICAL</w:t>
      </w:r>
      <w:r>
        <w:rPr>
          <w:b/>
          <w:spacing w:val="1"/>
          <w:sz w:val="24"/>
        </w:rPr>
        <w:t> </w:t>
      </w:r>
      <w:r>
        <w:rPr>
          <w:b/>
          <w:sz w:val="24"/>
        </w:rPr>
        <w:t>CONSIDERATIONS</w:t>
      </w:r>
    </w:p>
    <w:p>
      <w:pPr>
        <w:pStyle w:val="BodyText"/>
        <w:rPr>
          <w:b/>
          <w:sz w:val="26"/>
        </w:rPr>
      </w:pPr>
    </w:p>
    <w:p>
      <w:pPr>
        <w:pStyle w:val="BodyText"/>
        <w:spacing w:before="4"/>
        <w:rPr>
          <w:b/>
          <w:sz w:val="21"/>
        </w:rPr>
      </w:pPr>
    </w:p>
    <w:p>
      <w:pPr>
        <w:pStyle w:val="BodyText"/>
        <w:spacing w:line="360" w:lineRule="auto"/>
        <w:ind w:left="102" w:right="192"/>
      </w:pPr>
      <w:r>
        <w:rPr/>
        <w:t>Recently, I had the privilege to be a part of a group of economists who were asked to write on how asset prices should affect central bank policy (see Cecchetti, Genberg, Lipsky and Wadhwani (2000)). We were a fairly diverse bunch, with my co-authors including the former Research Director of the New York Fed, a Swiss-based monetary economist and the chief economist of a leading Wall Street firm. We concluded that, when operating in an inflation-targeting regime, central banks could reduce the volatility of inflation around the target if they allowed the interest rate-setting decision to be influenced by, </w:t>
      </w:r>
      <w:r>
        <w:rPr>
          <w:u w:val="single"/>
        </w:rPr>
        <w:t>both</w:t>
      </w:r>
      <w:r>
        <w:rPr/>
        <w:t>, the prospective inflation forecast (say, 2 years out), </w:t>
      </w:r>
      <w:r>
        <w:rPr>
          <w:u w:val="single"/>
        </w:rPr>
        <w:t>and</w:t>
      </w:r>
      <w:r>
        <w:rPr/>
        <w:t> any obvious asset price misalignments. We presented some simulation results in two different macroeconomic models suggesting that such a policy rule would reduce inflation (and, usually output) variability as compared to a policy rule which </w:t>
      </w:r>
      <w:r>
        <w:rPr>
          <w:u w:val="single"/>
        </w:rPr>
        <w:t>merely</w:t>
      </w:r>
      <w:r>
        <w:rPr/>
        <w:t> reacted to a fixed-horizon inflation forecast. One of the models that we used for our simulations has, in the past, been used at the Bank of England to shed some light on the issue of the optimal forecast horizon (see Batini and Nelson (2000)).</w:t>
      </w:r>
      <w:r>
        <w:rPr>
          <w:vertAlign w:val="superscript"/>
        </w:rPr>
        <w:t>9</w:t>
      </w:r>
    </w:p>
    <w:p>
      <w:pPr>
        <w:pStyle w:val="BodyText"/>
        <w:spacing w:before="2"/>
        <w:rPr>
          <w:sz w:val="36"/>
        </w:rPr>
      </w:pPr>
    </w:p>
    <w:p>
      <w:pPr>
        <w:pStyle w:val="BodyText"/>
        <w:spacing w:line="360" w:lineRule="auto"/>
        <w:ind w:left="102" w:right="152"/>
      </w:pPr>
      <w:r>
        <w:rPr/>
        <w:t>Our proposal is wholly consistent with the remit for the MPC, where the Chancellor has defined price stability as a target for RPIX of 2½%, and where “the inflation target is</w:t>
      </w:r>
    </w:p>
    <w:p>
      <w:pPr>
        <w:pStyle w:val="BodyText"/>
        <w:spacing w:before="7"/>
        <w:rPr>
          <w:sz w:val="29"/>
        </w:rPr>
      </w:pPr>
      <w:r>
        <w:rPr/>
        <w:pict>
          <v:shape style="position:absolute;margin-left:81.120003pt;margin-top:19.258125pt;width:144pt;height:.1pt;mso-position-horizontal-relative:page;mso-position-vertical-relative:paragraph;z-index:-251641856;mso-wrap-distance-left:0;mso-wrap-distance-right:0" coordorigin="1622,385" coordsize="2880,0" path="m1622,385l4502,385e" filled="false" stroked="true" strokeweight=".48pt" strokecolor="#000000">
            <v:path arrowok="t"/>
            <v:stroke dashstyle="solid"/>
            <w10:wrap type="topAndBottom"/>
          </v:shape>
        </w:pict>
      </w:r>
    </w:p>
    <w:p>
      <w:pPr>
        <w:spacing w:before="33"/>
        <w:ind w:left="102" w:right="0" w:firstLine="0"/>
        <w:jc w:val="left"/>
        <w:rPr>
          <w:sz w:val="20"/>
        </w:rPr>
      </w:pPr>
      <w:r>
        <w:rPr>
          <w:position w:val="9"/>
          <w:sz w:val="13"/>
        </w:rPr>
        <w:t>8 </w:t>
      </w:r>
      <w:r>
        <w:rPr>
          <w:sz w:val="20"/>
        </w:rPr>
        <w:t>We may, occasionally use foreign exchange intervention, which potentially gives us an additional policy instrument. However, as I argue below, this is an instrument to be used judiciously and sparingly.</w:t>
      </w:r>
    </w:p>
    <w:p>
      <w:pPr>
        <w:spacing w:line="230" w:lineRule="exact" w:before="3"/>
        <w:ind w:left="102" w:right="0" w:firstLine="0"/>
        <w:jc w:val="left"/>
        <w:rPr>
          <w:sz w:val="20"/>
        </w:rPr>
      </w:pPr>
      <w:r>
        <w:rPr>
          <w:position w:val="9"/>
          <w:sz w:val="13"/>
        </w:rPr>
        <w:t>9 </w:t>
      </w:r>
      <w:r>
        <w:rPr>
          <w:sz w:val="20"/>
        </w:rPr>
        <w:t>I am grateful to Nicoletta Batini of the Bank of England for running some simulations on the Batini- Nelson model.</w:t>
      </w:r>
    </w:p>
    <w:p>
      <w:pPr>
        <w:spacing w:after="0" w:line="230" w:lineRule="exact"/>
        <w:jc w:val="left"/>
        <w:rPr>
          <w:sz w:val="20"/>
        </w:rPr>
        <w:sectPr>
          <w:pgSz w:w="11900" w:h="16840"/>
          <w:pgMar w:header="0" w:footer="743" w:top="1600" w:bottom="940" w:left="1520" w:right="1660"/>
        </w:sectPr>
      </w:pPr>
    </w:p>
    <w:p>
      <w:pPr>
        <w:pStyle w:val="BodyText"/>
        <w:spacing w:before="73"/>
        <w:ind w:left="102"/>
      </w:pPr>
      <w:r>
        <w:rPr/>
        <w:t>2½% </w:t>
      </w:r>
      <w:r>
        <w:rPr>
          <w:u w:val="single"/>
        </w:rPr>
        <w:t>at all times</w:t>
      </w:r>
      <w:r>
        <w:rPr/>
        <w:t>” (emphasis added – see the Chancellor’s letter to the Governor,</w:t>
      </w:r>
    </w:p>
    <w:p>
      <w:pPr>
        <w:pStyle w:val="BodyText"/>
        <w:spacing w:line="360" w:lineRule="auto" w:before="137"/>
        <w:ind w:left="102" w:right="183"/>
        <w:rPr>
          <w:sz w:val="20"/>
        </w:rPr>
      </w:pPr>
      <w:r>
        <w:rPr/>
        <w:t>3 June 1998). Hence, the MPC should be concerned about deviations </w:t>
      </w:r>
      <w:r>
        <w:rPr>
          <w:spacing w:val="2"/>
        </w:rPr>
        <w:t>of </w:t>
      </w:r>
      <w:r>
        <w:rPr/>
        <w:t>inflation from target at all time-horizons, not just 2 years ahead, which is the perception </w:t>
      </w:r>
      <w:r>
        <w:rPr>
          <w:spacing w:val="2"/>
        </w:rPr>
        <w:t>of </w:t>
      </w:r>
      <w:r>
        <w:rPr/>
        <w:t>some market participants. I would argue that looking at asset price misalignments as well as our 2 year-ahead inflation forecast might help </w:t>
      </w:r>
      <w:r>
        <w:rPr>
          <w:spacing w:val="2"/>
        </w:rPr>
        <w:t>the </w:t>
      </w:r>
      <w:r>
        <w:rPr/>
        <w:t>MPC fulfill </w:t>
      </w:r>
      <w:r>
        <w:rPr>
          <w:spacing w:val="2"/>
        </w:rPr>
        <w:t>the </w:t>
      </w:r>
      <w:r>
        <w:rPr/>
        <w:t>Chancellor’s remit more effectively than just looking at inflation forecasts 18-24 months </w:t>
      </w:r>
      <w:r>
        <w:rPr>
          <w:spacing w:val="3"/>
        </w:rPr>
        <w:t>out. </w:t>
      </w:r>
      <w:r>
        <w:rPr/>
        <w:t>Note that, although, there is no mechanical link between 2 year-ahead inflation forecasts and the voting behaviour </w:t>
      </w:r>
      <w:r>
        <w:rPr>
          <w:spacing w:val="2"/>
        </w:rPr>
        <w:t>of </w:t>
      </w:r>
      <w:r>
        <w:rPr/>
        <w:t>the MPC, most market participants perceive the 2 year-ahead inflation forecast as playing a very important </w:t>
      </w:r>
      <w:r>
        <w:rPr>
          <w:spacing w:val="2"/>
        </w:rPr>
        <w:t>role </w:t>
      </w:r>
      <w:r>
        <w:rPr/>
        <w:t>in the final decision.  As my colleague Goodhart (2000) points </w:t>
      </w:r>
      <w:r>
        <w:rPr>
          <w:spacing w:val="3"/>
        </w:rPr>
        <w:t>out, </w:t>
      </w:r>
      <w:r>
        <w:rPr/>
        <w:t>many </w:t>
      </w:r>
      <w:r>
        <w:rPr>
          <w:spacing w:val="3"/>
        </w:rPr>
        <w:t>outside observers </w:t>
      </w:r>
      <w:r>
        <w:rPr/>
        <w:t>have noted that all the fan </w:t>
      </w:r>
      <w:r>
        <w:rPr>
          <w:spacing w:val="2"/>
        </w:rPr>
        <w:t>charts </w:t>
      </w:r>
      <w:r>
        <w:rPr/>
        <w:t>for inflation published since </w:t>
      </w:r>
      <w:r>
        <w:rPr>
          <w:spacing w:val="2"/>
        </w:rPr>
        <w:t>the </w:t>
      </w:r>
      <w:r>
        <w:rPr/>
        <w:t>MPC was established have shown </w:t>
      </w:r>
      <w:r>
        <w:rPr>
          <w:spacing w:val="2"/>
        </w:rPr>
        <w:t>inflation </w:t>
      </w:r>
      <w:r>
        <w:rPr/>
        <w:t>very</w:t>
      </w:r>
      <w:r>
        <w:rPr>
          <w:spacing w:val="-7"/>
        </w:rPr>
        <w:t> </w:t>
      </w:r>
      <w:r>
        <w:rPr/>
        <w:t>close</w:t>
      </w:r>
      <w:r>
        <w:rPr>
          <w:spacing w:val="-6"/>
        </w:rPr>
        <w:t> </w:t>
      </w:r>
      <w:r>
        <w:rPr>
          <w:spacing w:val="2"/>
        </w:rPr>
        <w:t>to</w:t>
      </w:r>
      <w:r>
        <w:rPr>
          <w:spacing w:val="-2"/>
        </w:rPr>
        <w:t> </w:t>
      </w:r>
      <w:r>
        <w:rPr/>
        <w:t>target</w:t>
      </w:r>
      <w:r>
        <w:rPr>
          <w:spacing w:val="-2"/>
        </w:rPr>
        <w:t> </w:t>
      </w:r>
      <w:r>
        <w:rPr/>
        <w:t>at</w:t>
      </w:r>
      <w:r>
        <w:rPr>
          <w:spacing w:val="-3"/>
        </w:rPr>
        <w:t> </w:t>
      </w:r>
      <w:r>
        <w:rPr/>
        <w:t>the</w:t>
      </w:r>
      <w:r>
        <w:rPr>
          <w:spacing w:val="-6"/>
        </w:rPr>
        <w:t> </w:t>
      </w:r>
      <w:r>
        <w:rPr/>
        <w:t>terminal</w:t>
      </w:r>
      <w:r>
        <w:rPr>
          <w:spacing w:val="-6"/>
        </w:rPr>
        <w:t> </w:t>
      </w:r>
      <w:r>
        <w:rPr/>
        <w:t>date,</w:t>
      </w:r>
      <w:r>
        <w:rPr>
          <w:spacing w:val="-7"/>
        </w:rPr>
        <w:t> </w:t>
      </w:r>
      <w:r>
        <w:rPr/>
        <w:t>but</w:t>
      </w:r>
      <w:r>
        <w:rPr>
          <w:spacing w:val="-2"/>
        </w:rPr>
        <w:t> </w:t>
      </w:r>
      <w:r>
        <w:rPr/>
        <w:t>deviating</w:t>
      </w:r>
      <w:r>
        <w:rPr>
          <w:spacing w:val="-6"/>
        </w:rPr>
        <w:t> </w:t>
      </w:r>
      <w:r>
        <w:rPr/>
        <w:t>by</w:t>
      </w:r>
      <w:r>
        <w:rPr>
          <w:spacing w:val="-6"/>
        </w:rPr>
        <w:t> </w:t>
      </w:r>
      <w:r>
        <w:rPr/>
        <w:t>more</w:t>
      </w:r>
      <w:r>
        <w:rPr>
          <w:spacing w:val="-7"/>
        </w:rPr>
        <w:t> </w:t>
      </w:r>
      <w:r>
        <w:rPr/>
        <w:t>in</w:t>
      </w:r>
      <w:r>
        <w:rPr>
          <w:spacing w:val="-6"/>
        </w:rPr>
        <w:t> </w:t>
      </w:r>
      <w:r>
        <w:rPr/>
        <w:t>the</w:t>
      </w:r>
      <w:r>
        <w:rPr>
          <w:spacing w:val="-6"/>
        </w:rPr>
        <w:t> </w:t>
      </w:r>
      <w:r>
        <w:rPr/>
        <w:t>preceding</w:t>
      </w:r>
      <w:r>
        <w:rPr>
          <w:spacing w:val="-7"/>
        </w:rPr>
        <w:t> </w:t>
      </w:r>
      <w:r>
        <w:rPr/>
        <w:t>quarters. Goodhart concludes that </w:t>
      </w:r>
      <w:r>
        <w:rPr>
          <w:spacing w:val="-4"/>
        </w:rPr>
        <w:t>“The </w:t>
      </w:r>
      <w:r>
        <w:rPr/>
        <w:t>implication </w:t>
      </w:r>
      <w:r>
        <w:rPr>
          <w:spacing w:val="2"/>
        </w:rPr>
        <w:t>of </w:t>
      </w:r>
      <w:r>
        <w:rPr/>
        <w:t>this would seem </w:t>
      </w:r>
      <w:r>
        <w:rPr>
          <w:spacing w:val="3"/>
        </w:rPr>
        <w:t>to </w:t>
      </w:r>
      <w:r>
        <w:rPr/>
        <w:t>be that a horizon </w:t>
      </w:r>
      <w:r>
        <w:rPr>
          <w:spacing w:val="2"/>
        </w:rPr>
        <w:t>of </w:t>
      </w:r>
      <w:r>
        <w:rPr/>
        <w:t>18 </w:t>
      </w:r>
      <w:r>
        <w:rPr>
          <w:spacing w:val="2"/>
        </w:rPr>
        <w:t>to </w:t>
      </w:r>
      <w:r>
        <w:rPr/>
        <w:t>24 months is also the policy horizon </w:t>
      </w:r>
      <w:r>
        <w:rPr>
          <w:spacing w:val="2"/>
        </w:rPr>
        <w:t>of </w:t>
      </w:r>
      <w:r>
        <w:rPr/>
        <w:t>the MPC.” ( page</w:t>
      </w:r>
      <w:r>
        <w:rPr>
          <w:spacing w:val="-24"/>
        </w:rPr>
        <w:t> </w:t>
      </w:r>
      <w:r>
        <w:rPr/>
        <w:t>7</w:t>
      </w:r>
      <w:r>
        <w:rPr>
          <w:sz w:val="20"/>
        </w:rPr>
        <w:t>)</w:t>
      </w:r>
    </w:p>
    <w:p>
      <w:pPr>
        <w:pStyle w:val="BodyText"/>
        <w:spacing w:before="3"/>
        <w:rPr>
          <w:sz w:val="36"/>
        </w:rPr>
      </w:pPr>
    </w:p>
    <w:p>
      <w:pPr>
        <w:pStyle w:val="BodyText"/>
        <w:spacing w:line="360" w:lineRule="auto"/>
        <w:ind w:left="102" w:right="223"/>
      </w:pPr>
      <w:r>
        <w:rPr/>
        <w:t>A purist might argue that the central bank should really look at inflation forecasts at several (all) future time periods, and set the interest rate so as </w:t>
      </w:r>
      <w:r>
        <w:rPr>
          <w:spacing w:val="2"/>
        </w:rPr>
        <w:t>to </w:t>
      </w:r>
      <w:r>
        <w:rPr/>
        <w:t>achieve the smoothest path consistent with hitting the pre-specified target </w:t>
      </w:r>
      <w:r>
        <w:rPr>
          <w:spacing w:val="3"/>
        </w:rPr>
        <w:t>on </w:t>
      </w:r>
      <w:r>
        <w:rPr/>
        <w:t>average. While in principle correct,</w:t>
      </w:r>
      <w:r>
        <w:rPr>
          <w:spacing w:val="-3"/>
        </w:rPr>
        <w:t> </w:t>
      </w:r>
      <w:r>
        <w:rPr/>
        <w:t>such</w:t>
      </w:r>
      <w:r>
        <w:rPr>
          <w:spacing w:val="-8"/>
        </w:rPr>
        <w:t> </w:t>
      </w:r>
      <w:r>
        <w:rPr/>
        <w:t>a</w:t>
      </w:r>
      <w:r>
        <w:rPr>
          <w:spacing w:val="-8"/>
        </w:rPr>
        <w:t> </w:t>
      </w:r>
      <w:r>
        <w:rPr/>
        <w:t>procedure</w:t>
      </w:r>
      <w:r>
        <w:rPr>
          <w:spacing w:val="-8"/>
        </w:rPr>
        <w:t> </w:t>
      </w:r>
      <w:r>
        <w:rPr>
          <w:spacing w:val="3"/>
        </w:rPr>
        <w:t>is,</w:t>
      </w:r>
      <w:r>
        <w:rPr>
          <w:spacing w:val="-4"/>
        </w:rPr>
        <w:t> </w:t>
      </w:r>
      <w:r>
        <w:rPr/>
        <w:t>however,</w:t>
      </w:r>
      <w:r>
        <w:rPr>
          <w:spacing w:val="-7"/>
        </w:rPr>
        <w:t> </w:t>
      </w:r>
      <w:r>
        <w:rPr/>
        <w:t>much</w:t>
      </w:r>
      <w:r>
        <w:rPr>
          <w:spacing w:val="-6"/>
        </w:rPr>
        <w:t> </w:t>
      </w:r>
      <w:r>
        <w:rPr>
          <w:spacing w:val="4"/>
        </w:rPr>
        <w:t>too</w:t>
      </w:r>
      <w:r>
        <w:rPr>
          <w:spacing w:val="-2"/>
        </w:rPr>
        <w:t> </w:t>
      </w:r>
      <w:r>
        <w:rPr/>
        <w:t>ambitious</w:t>
      </w:r>
      <w:r>
        <w:rPr>
          <w:spacing w:val="-6"/>
        </w:rPr>
        <w:t> </w:t>
      </w:r>
      <w:r>
        <w:rPr/>
        <w:t>given</w:t>
      </w:r>
      <w:r>
        <w:rPr>
          <w:spacing w:val="-6"/>
        </w:rPr>
        <w:t> </w:t>
      </w:r>
      <w:r>
        <w:rPr/>
        <w:t>the</w:t>
      </w:r>
      <w:r>
        <w:rPr>
          <w:spacing w:val="-6"/>
        </w:rPr>
        <w:t> </w:t>
      </w:r>
      <w:r>
        <w:rPr/>
        <w:t>uncertainty</w:t>
      </w:r>
      <w:r>
        <w:rPr>
          <w:spacing w:val="-6"/>
        </w:rPr>
        <w:t> </w:t>
      </w:r>
      <w:r>
        <w:rPr/>
        <w:t>related </w:t>
      </w:r>
      <w:r>
        <w:rPr>
          <w:spacing w:val="3"/>
        </w:rPr>
        <w:t>to </w:t>
      </w:r>
      <w:r>
        <w:rPr/>
        <w:t>the time lags in the effects </w:t>
      </w:r>
      <w:r>
        <w:rPr>
          <w:spacing w:val="2"/>
        </w:rPr>
        <w:t>of </w:t>
      </w:r>
      <w:r>
        <w:rPr/>
        <w:t>policies and shocks in general. Moreover, such a policy might not be easy </w:t>
      </w:r>
      <w:r>
        <w:rPr>
          <w:spacing w:val="3"/>
        </w:rPr>
        <w:t>to </w:t>
      </w:r>
      <w:r>
        <w:rPr/>
        <w:t>implement. As Kazuo Ueda, member </w:t>
      </w:r>
      <w:r>
        <w:rPr>
          <w:spacing w:val="3"/>
        </w:rPr>
        <w:t>of </w:t>
      </w:r>
      <w:r>
        <w:rPr/>
        <w:t>the Bank </w:t>
      </w:r>
      <w:r>
        <w:rPr>
          <w:spacing w:val="3"/>
        </w:rPr>
        <w:t>of </w:t>
      </w:r>
      <w:r>
        <w:rPr/>
        <w:t>Japan Policy Board said in his contribution </w:t>
      </w:r>
      <w:r>
        <w:rPr>
          <w:spacing w:val="2"/>
        </w:rPr>
        <w:t>to </w:t>
      </w:r>
      <w:r>
        <w:rPr/>
        <w:t>the conference at which </w:t>
      </w:r>
      <w:r>
        <w:rPr>
          <w:spacing w:val="3"/>
        </w:rPr>
        <w:t>our </w:t>
      </w:r>
      <w:r>
        <w:rPr/>
        <w:t>report was presented, a central bank that was looking at inflation forecasts 5-10 years </w:t>
      </w:r>
      <w:r>
        <w:rPr>
          <w:spacing w:val="3"/>
        </w:rPr>
        <w:t>out </w:t>
      </w:r>
      <w:r>
        <w:rPr/>
        <w:t>would have been raising interest rates in 1987-88 in Japan. However, given that the central bank</w:t>
      </w:r>
      <w:r>
        <w:rPr>
          <w:spacing w:val="-6"/>
        </w:rPr>
        <w:t> </w:t>
      </w:r>
      <w:r>
        <w:rPr/>
        <w:t>was</w:t>
      </w:r>
      <w:r>
        <w:rPr>
          <w:spacing w:val="-6"/>
        </w:rPr>
        <w:t> </w:t>
      </w:r>
      <w:r>
        <w:rPr/>
        <w:t>focussed</w:t>
      </w:r>
      <w:r>
        <w:rPr>
          <w:spacing w:val="-6"/>
        </w:rPr>
        <w:t> </w:t>
      </w:r>
      <w:r>
        <w:rPr>
          <w:spacing w:val="3"/>
        </w:rPr>
        <w:t>on</w:t>
      </w:r>
      <w:r>
        <w:rPr>
          <w:spacing w:val="-2"/>
        </w:rPr>
        <w:t> </w:t>
      </w:r>
      <w:r>
        <w:rPr/>
        <w:t>inflation</w:t>
      </w:r>
      <w:r>
        <w:rPr>
          <w:spacing w:val="-6"/>
        </w:rPr>
        <w:t> </w:t>
      </w:r>
      <w:r>
        <w:rPr>
          <w:spacing w:val="4"/>
        </w:rPr>
        <w:t>only</w:t>
      </w:r>
      <w:r>
        <w:rPr>
          <w:spacing w:val="-2"/>
        </w:rPr>
        <w:t> </w:t>
      </w:r>
      <w:r>
        <w:rPr/>
        <w:t>1-2</w:t>
      </w:r>
      <w:r>
        <w:rPr>
          <w:spacing w:val="-6"/>
        </w:rPr>
        <w:t> </w:t>
      </w:r>
      <w:r>
        <w:rPr/>
        <w:t>years</w:t>
      </w:r>
      <w:r>
        <w:rPr>
          <w:spacing w:val="-6"/>
        </w:rPr>
        <w:t> </w:t>
      </w:r>
      <w:r>
        <w:rPr>
          <w:spacing w:val="4"/>
        </w:rPr>
        <w:t>out,</w:t>
      </w:r>
      <w:r>
        <w:rPr>
          <w:spacing w:val="-2"/>
        </w:rPr>
        <w:t> </w:t>
      </w:r>
      <w:r>
        <w:rPr/>
        <w:t>it</w:t>
      </w:r>
      <w:r>
        <w:rPr>
          <w:spacing w:val="-2"/>
        </w:rPr>
        <w:t> </w:t>
      </w:r>
      <w:r>
        <w:rPr/>
        <w:t>was</w:t>
      </w:r>
      <w:r>
        <w:rPr>
          <w:spacing w:val="-6"/>
        </w:rPr>
        <w:t> </w:t>
      </w:r>
      <w:r>
        <w:rPr/>
        <w:t>much</w:t>
      </w:r>
      <w:r>
        <w:rPr>
          <w:spacing w:val="-5"/>
        </w:rPr>
        <w:t> </w:t>
      </w:r>
      <w:r>
        <w:rPr/>
        <w:t>more</w:t>
      </w:r>
      <w:r>
        <w:rPr>
          <w:spacing w:val="-6"/>
        </w:rPr>
        <w:t> </w:t>
      </w:r>
      <w:r>
        <w:rPr/>
        <w:t>difficult</w:t>
      </w:r>
      <w:r>
        <w:rPr>
          <w:spacing w:val="-2"/>
        </w:rPr>
        <w:t> </w:t>
      </w:r>
      <w:r>
        <w:rPr>
          <w:spacing w:val="3"/>
        </w:rPr>
        <w:t>to</w:t>
      </w:r>
      <w:r>
        <w:rPr>
          <w:spacing w:val="-1"/>
        </w:rPr>
        <w:t> </w:t>
      </w:r>
      <w:r>
        <w:rPr/>
        <w:t>justify increasing interest rates. Our proposal for incorporating asset price misalignments</w:t>
      </w:r>
      <w:r>
        <w:rPr>
          <w:spacing w:val="-24"/>
        </w:rPr>
        <w:t> </w:t>
      </w:r>
      <w:r>
        <w:rPr/>
        <w:t>can</w:t>
      </w:r>
    </w:p>
    <w:p>
      <w:pPr>
        <w:spacing w:after="0" w:line="360" w:lineRule="auto"/>
        <w:sectPr>
          <w:pgSz w:w="11900" w:h="16840"/>
          <w:pgMar w:header="0" w:footer="743" w:top="1360" w:bottom="940" w:left="1520" w:right="1660"/>
        </w:sectPr>
      </w:pPr>
    </w:p>
    <w:p>
      <w:pPr>
        <w:pStyle w:val="BodyText"/>
        <w:spacing w:line="360" w:lineRule="auto" w:before="73"/>
        <w:ind w:left="102" w:right="532" w:hanging="1"/>
      </w:pPr>
      <w:r>
        <w:rPr/>
        <w:t>be interpreted as an alternative way of allowing for considerations relating to longer time-horizons.</w:t>
      </w:r>
      <w:r>
        <w:rPr>
          <w:vertAlign w:val="superscript"/>
        </w:rPr>
        <w:t>10</w:t>
      </w:r>
    </w:p>
    <w:p>
      <w:pPr>
        <w:pStyle w:val="BodyText"/>
        <w:spacing w:before="1"/>
        <w:rPr>
          <w:sz w:val="36"/>
        </w:rPr>
      </w:pPr>
    </w:p>
    <w:p>
      <w:pPr>
        <w:pStyle w:val="BodyText"/>
        <w:spacing w:line="360" w:lineRule="auto" w:before="1"/>
        <w:ind w:left="102" w:right="192"/>
      </w:pPr>
      <w:r>
        <w:rPr/>
        <w:t>A second way </w:t>
      </w:r>
      <w:r>
        <w:rPr>
          <w:spacing w:val="2"/>
        </w:rPr>
        <w:t>to </w:t>
      </w:r>
      <w:r>
        <w:rPr/>
        <w:t>rationalise </w:t>
      </w:r>
      <w:r>
        <w:rPr>
          <w:spacing w:val="4"/>
        </w:rPr>
        <w:t>our </w:t>
      </w:r>
      <w:r>
        <w:rPr/>
        <w:t>recommended policy rule is that in an uncertain world where central banks necessarily </w:t>
      </w:r>
      <w:r>
        <w:rPr>
          <w:spacing w:val="5"/>
        </w:rPr>
        <w:t>operate </w:t>
      </w:r>
      <w:r>
        <w:rPr>
          <w:spacing w:val="3"/>
        </w:rPr>
        <w:t>on </w:t>
      </w:r>
      <w:r>
        <w:rPr/>
        <w:t>the basis </w:t>
      </w:r>
      <w:r>
        <w:rPr>
          <w:spacing w:val="3"/>
        </w:rPr>
        <w:t>of </w:t>
      </w:r>
      <w:r>
        <w:rPr/>
        <w:t>rather limited knowledge about some </w:t>
      </w:r>
      <w:r>
        <w:rPr>
          <w:spacing w:val="2"/>
        </w:rPr>
        <w:t>of </w:t>
      </w:r>
      <w:r>
        <w:rPr/>
        <w:t>the crucial variables (eg the size </w:t>
      </w:r>
      <w:r>
        <w:rPr>
          <w:spacing w:val="2"/>
        </w:rPr>
        <w:t>of </w:t>
      </w:r>
      <w:r>
        <w:rPr/>
        <w:t>the </w:t>
      </w:r>
      <w:r>
        <w:rPr>
          <w:spacing w:val="4"/>
        </w:rPr>
        <w:t>output </w:t>
      </w:r>
      <w:r>
        <w:rPr/>
        <w:t>gap), asset price misalignments can, sometimes, convey information that is not necessarily available in </w:t>
      </w:r>
      <w:r>
        <w:rPr>
          <w:spacing w:val="2"/>
        </w:rPr>
        <w:t>the inflation </w:t>
      </w:r>
      <w:r>
        <w:rPr/>
        <w:t>forecast. For example, as Ueda emphasises, inflation was low in Japan during </w:t>
      </w:r>
      <w:r>
        <w:rPr>
          <w:spacing w:val="2"/>
        </w:rPr>
        <w:t>the </w:t>
      </w:r>
      <w:r>
        <w:rPr/>
        <w:t>1986- 89 period, and estimates </w:t>
      </w:r>
      <w:r>
        <w:rPr>
          <w:spacing w:val="2"/>
        </w:rPr>
        <w:t>of </w:t>
      </w:r>
      <w:r>
        <w:rPr/>
        <w:t>total factor productivity growth had risen (see also Yamaguchi (1999)). Indeed, as Ueda points </w:t>
      </w:r>
      <w:r>
        <w:rPr>
          <w:spacing w:val="3"/>
        </w:rPr>
        <w:t>out, </w:t>
      </w:r>
      <w:r>
        <w:rPr/>
        <w:t>the IMF said as late as February 1989 that there was no inflationary threat in Japan. Yet, if the framework had explicitly allowed for asset price misalignments, monetary policy would have been tighter than what</w:t>
      </w:r>
      <w:r>
        <w:rPr>
          <w:spacing w:val="-2"/>
        </w:rPr>
        <w:t> </w:t>
      </w:r>
      <w:r>
        <w:rPr/>
        <w:t>was</w:t>
      </w:r>
      <w:r>
        <w:rPr>
          <w:spacing w:val="-7"/>
        </w:rPr>
        <w:t> </w:t>
      </w:r>
      <w:r>
        <w:rPr/>
        <w:t>implied</w:t>
      </w:r>
      <w:r>
        <w:rPr>
          <w:spacing w:val="-7"/>
        </w:rPr>
        <w:t> </w:t>
      </w:r>
      <w:r>
        <w:rPr/>
        <w:t>by</w:t>
      </w:r>
      <w:r>
        <w:rPr>
          <w:spacing w:val="-7"/>
        </w:rPr>
        <w:t> </w:t>
      </w:r>
      <w:r>
        <w:rPr/>
        <w:t>just</w:t>
      </w:r>
      <w:r>
        <w:rPr>
          <w:spacing w:val="-2"/>
        </w:rPr>
        <w:t> </w:t>
      </w:r>
      <w:r>
        <w:rPr/>
        <w:t>looking</w:t>
      </w:r>
      <w:r>
        <w:rPr>
          <w:spacing w:val="-7"/>
        </w:rPr>
        <w:t> </w:t>
      </w:r>
      <w:r>
        <w:rPr/>
        <w:t>at</w:t>
      </w:r>
      <w:r>
        <w:rPr>
          <w:spacing w:val="-2"/>
        </w:rPr>
        <w:t> </w:t>
      </w:r>
      <w:r>
        <w:rPr/>
        <w:t>a</w:t>
      </w:r>
      <w:r>
        <w:rPr>
          <w:spacing w:val="-7"/>
        </w:rPr>
        <w:t> </w:t>
      </w:r>
      <w:r>
        <w:rPr/>
        <w:t>near-term</w:t>
      </w:r>
      <w:r>
        <w:rPr>
          <w:spacing w:val="-7"/>
        </w:rPr>
        <w:t> </w:t>
      </w:r>
      <w:r>
        <w:rPr/>
        <w:t>inflation</w:t>
      </w:r>
      <w:r>
        <w:rPr>
          <w:spacing w:val="-7"/>
        </w:rPr>
        <w:t> </w:t>
      </w:r>
      <w:r>
        <w:rPr/>
        <w:t>forecast</w:t>
      </w:r>
      <w:r>
        <w:rPr>
          <w:spacing w:val="-2"/>
        </w:rPr>
        <w:t> </w:t>
      </w:r>
      <w:r>
        <w:rPr/>
        <w:t>based</w:t>
      </w:r>
      <w:r>
        <w:rPr>
          <w:spacing w:val="-7"/>
        </w:rPr>
        <w:t> </w:t>
      </w:r>
      <w:r>
        <w:rPr>
          <w:spacing w:val="2"/>
        </w:rPr>
        <w:t>on</w:t>
      </w:r>
      <w:r>
        <w:rPr>
          <w:spacing w:val="-3"/>
        </w:rPr>
        <w:t> </w:t>
      </w:r>
      <w:r>
        <w:rPr/>
        <w:t>what</w:t>
      </w:r>
      <w:r>
        <w:rPr>
          <w:spacing w:val="-2"/>
        </w:rPr>
        <w:t> </w:t>
      </w:r>
      <w:r>
        <w:rPr/>
        <w:t>turned</w:t>
      </w:r>
    </w:p>
    <w:p>
      <w:pPr>
        <w:pStyle w:val="BodyText"/>
        <w:spacing w:line="360" w:lineRule="auto"/>
        <w:ind w:left="102" w:right="150"/>
      </w:pPr>
      <w:r>
        <w:rPr>
          <w:spacing w:val="3"/>
        </w:rPr>
        <w:t>out </w:t>
      </w:r>
      <w:r>
        <w:rPr>
          <w:spacing w:val="2"/>
        </w:rPr>
        <w:t>to </w:t>
      </w:r>
      <w:r>
        <w:rPr/>
        <w:t>be an </w:t>
      </w:r>
      <w:r>
        <w:rPr>
          <w:spacing w:val="4"/>
        </w:rPr>
        <w:t>over-optimistic </w:t>
      </w:r>
      <w:r>
        <w:rPr/>
        <w:t>view </w:t>
      </w:r>
      <w:r>
        <w:rPr>
          <w:spacing w:val="2"/>
        </w:rPr>
        <w:t>of </w:t>
      </w:r>
      <w:r>
        <w:rPr/>
        <w:t>the likely growth rate </w:t>
      </w:r>
      <w:r>
        <w:rPr>
          <w:spacing w:val="2"/>
        </w:rPr>
        <w:t>of </w:t>
      </w:r>
      <w:r>
        <w:rPr/>
        <w:t>potential </w:t>
      </w:r>
      <w:r>
        <w:rPr>
          <w:spacing w:val="4"/>
        </w:rPr>
        <w:t>output. </w:t>
      </w:r>
      <w:r>
        <w:rPr/>
        <w:t>This is</w:t>
      </w:r>
      <w:r>
        <w:rPr>
          <w:spacing w:val="-40"/>
        </w:rPr>
        <w:t> </w:t>
      </w:r>
      <w:r>
        <w:rPr/>
        <w:t>a fairly general </w:t>
      </w:r>
      <w:r>
        <w:rPr>
          <w:spacing w:val="2"/>
        </w:rPr>
        <w:t>point. </w:t>
      </w:r>
      <w:r>
        <w:rPr/>
        <w:t>Financial market prices are </w:t>
      </w:r>
      <w:r>
        <w:rPr>
          <w:spacing w:val="2"/>
        </w:rPr>
        <w:t>typically </w:t>
      </w:r>
      <w:r>
        <w:rPr/>
        <w:t>based </w:t>
      </w:r>
      <w:r>
        <w:rPr>
          <w:spacing w:val="3"/>
        </w:rPr>
        <w:t>on </w:t>
      </w:r>
      <w:r>
        <w:rPr/>
        <w:t>an implicit forecast </w:t>
      </w:r>
      <w:r>
        <w:rPr>
          <w:spacing w:val="2"/>
        </w:rPr>
        <w:t>of </w:t>
      </w:r>
      <w:r>
        <w:rPr/>
        <w:t>the economy. If the central </w:t>
      </w:r>
      <w:r>
        <w:rPr>
          <w:spacing w:val="-6"/>
        </w:rPr>
        <w:t>bank’s </w:t>
      </w:r>
      <w:r>
        <w:rPr/>
        <w:t>view is that the </w:t>
      </w:r>
      <w:r>
        <w:rPr>
          <w:spacing w:val="-4"/>
        </w:rPr>
        <w:t>market’s </w:t>
      </w:r>
      <w:r>
        <w:rPr/>
        <w:t>forecast might change (because it is wrong now), then, the effects </w:t>
      </w:r>
      <w:r>
        <w:rPr>
          <w:spacing w:val="2"/>
        </w:rPr>
        <w:t>of </w:t>
      </w:r>
      <w:r>
        <w:rPr/>
        <w:t>this revision should impact policy- making</w:t>
      </w:r>
      <w:r>
        <w:rPr>
          <w:spacing w:val="3"/>
        </w:rPr>
        <w:t> </w:t>
      </w:r>
      <w:r>
        <w:rPr>
          <w:spacing w:val="2"/>
        </w:rPr>
        <w:t>today.</w:t>
      </w:r>
    </w:p>
    <w:p>
      <w:pPr>
        <w:pStyle w:val="BodyText"/>
        <w:spacing w:before="5"/>
        <w:rPr>
          <w:sz w:val="36"/>
        </w:rPr>
      </w:pPr>
    </w:p>
    <w:p>
      <w:pPr>
        <w:pStyle w:val="Heading1"/>
        <w:numPr>
          <w:ilvl w:val="2"/>
          <w:numId w:val="3"/>
        </w:numPr>
        <w:tabs>
          <w:tab w:pos="768" w:val="left" w:leader="none"/>
        </w:tabs>
        <w:spacing w:line="240" w:lineRule="auto" w:before="0" w:after="0"/>
        <w:ind w:left="767" w:right="0" w:hanging="666"/>
        <w:jc w:val="left"/>
      </w:pPr>
      <w:r>
        <w:rPr/>
        <w:t>THE CURRENT CONJUNCTURE IN THE</w:t>
      </w:r>
      <w:r>
        <w:rPr>
          <w:spacing w:val="2"/>
        </w:rPr>
        <w:t> </w:t>
      </w:r>
      <w:r>
        <w:rPr/>
        <w:t>UK</w:t>
      </w:r>
    </w:p>
    <w:p>
      <w:pPr>
        <w:pStyle w:val="BodyText"/>
        <w:rPr>
          <w:b/>
          <w:sz w:val="26"/>
        </w:rPr>
      </w:pPr>
    </w:p>
    <w:p>
      <w:pPr>
        <w:pStyle w:val="BodyText"/>
        <w:spacing w:before="4"/>
        <w:rPr>
          <w:b/>
          <w:sz w:val="21"/>
        </w:rPr>
      </w:pPr>
    </w:p>
    <w:p>
      <w:pPr>
        <w:pStyle w:val="BodyText"/>
        <w:tabs>
          <w:tab w:pos="6476" w:val="left" w:leader="none"/>
        </w:tabs>
        <w:spacing w:line="360" w:lineRule="auto"/>
        <w:ind w:left="102" w:right="175"/>
      </w:pPr>
      <w:r>
        <w:rPr/>
        <w:t>In</w:t>
      </w:r>
      <w:r>
        <w:rPr>
          <w:spacing w:val="-3"/>
        </w:rPr>
        <w:t> </w:t>
      </w:r>
      <w:r>
        <w:rPr/>
        <w:t>the</w:t>
      </w:r>
      <w:r>
        <w:rPr>
          <w:spacing w:val="-4"/>
        </w:rPr>
        <w:t> </w:t>
      </w:r>
      <w:r>
        <w:rPr/>
        <w:t>current conjuncture</w:t>
      </w:r>
      <w:r>
        <w:rPr>
          <w:spacing w:val="-4"/>
        </w:rPr>
        <w:t> </w:t>
      </w:r>
      <w:r>
        <w:rPr/>
        <w:t>in</w:t>
      </w:r>
      <w:r>
        <w:rPr>
          <w:spacing w:val="-4"/>
        </w:rPr>
        <w:t> </w:t>
      </w:r>
      <w:r>
        <w:rPr/>
        <w:t>the</w:t>
      </w:r>
      <w:r>
        <w:rPr>
          <w:spacing w:val="-4"/>
        </w:rPr>
        <w:t> </w:t>
      </w:r>
      <w:r>
        <w:rPr/>
        <w:t>UK,</w:t>
      </w:r>
      <w:r>
        <w:rPr>
          <w:spacing w:val="-5"/>
        </w:rPr>
        <w:t> </w:t>
      </w:r>
      <w:r>
        <w:rPr/>
        <w:t>where</w:t>
      </w:r>
      <w:r>
        <w:rPr>
          <w:spacing w:val="-4"/>
        </w:rPr>
        <w:t> </w:t>
      </w:r>
      <w:r>
        <w:rPr/>
        <w:t>we</w:t>
      </w:r>
      <w:r>
        <w:rPr>
          <w:spacing w:val="-4"/>
        </w:rPr>
        <w:t> </w:t>
      </w:r>
      <w:r>
        <w:rPr/>
        <w:t>have</w:t>
      </w:r>
      <w:r>
        <w:rPr>
          <w:spacing w:val="-4"/>
        </w:rPr>
        <w:t> </w:t>
      </w:r>
      <w:r>
        <w:rPr/>
        <w:t>an</w:t>
      </w:r>
      <w:r>
        <w:rPr>
          <w:spacing w:val="-3"/>
        </w:rPr>
        <w:t> </w:t>
      </w:r>
      <w:r>
        <w:rPr/>
        <w:t>“overvalued”</w:t>
      </w:r>
      <w:r>
        <w:rPr>
          <w:spacing w:val="-19"/>
        </w:rPr>
        <w:t> </w:t>
      </w:r>
      <w:r>
        <w:rPr/>
        <w:t>exchange</w:t>
      </w:r>
      <w:r>
        <w:rPr>
          <w:spacing w:val="-7"/>
        </w:rPr>
        <w:t> </w:t>
      </w:r>
      <w:r>
        <w:rPr/>
        <w:t>rate,</w:t>
      </w:r>
      <w:r>
        <w:rPr>
          <w:spacing w:val="-5"/>
        </w:rPr>
        <w:t> </w:t>
      </w:r>
      <w:r>
        <w:rPr/>
        <w:t>the aforementioned analysis would suggest that interest rates should be held a little lower than</w:t>
      </w:r>
      <w:r>
        <w:rPr>
          <w:spacing w:val="-7"/>
        </w:rPr>
        <w:t> </w:t>
      </w:r>
      <w:r>
        <w:rPr/>
        <w:t>would</w:t>
      </w:r>
      <w:r>
        <w:rPr>
          <w:spacing w:val="-6"/>
        </w:rPr>
        <w:t> </w:t>
      </w:r>
      <w:r>
        <w:rPr/>
        <w:t>be</w:t>
      </w:r>
      <w:r>
        <w:rPr>
          <w:spacing w:val="-6"/>
        </w:rPr>
        <w:t> </w:t>
      </w:r>
      <w:r>
        <w:rPr/>
        <w:t>necessary</w:t>
      </w:r>
      <w:r>
        <w:rPr>
          <w:spacing w:val="-6"/>
        </w:rPr>
        <w:t> </w:t>
      </w:r>
      <w:r>
        <w:rPr>
          <w:spacing w:val="2"/>
        </w:rPr>
        <w:t>to</w:t>
      </w:r>
      <w:r>
        <w:rPr>
          <w:spacing w:val="-2"/>
        </w:rPr>
        <w:t> </w:t>
      </w:r>
      <w:r>
        <w:rPr/>
        <w:t>hit</w:t>
      </w:r>
      <w:r>
        <w:rPr>
          <w:spacing w:val="-2"/>
        </w:rPr>
        <w:t> </w:t>
      </w:r>
      <w:r>
        <w:rPr/>
        <w:t>the</w:t>
      </w:r>
      <w:r>
        <w:rPr>
          <w:spacing w:val="-6"/>
        </w:rPr>
        <w:t> </w:t>
      </w:r>
      <w:r>
        <w:rPr/>
        <w:t>inflation</w:t>
      </w:r>
      <w:r>
        <w:rPr>
          <w:spacing w:val="-7"/>
        </w:rPr>
        <w:t> </w:t>
      </w:r>
      <w:r>
        <w:rPr/>
        <w:t>target</w:t>
      </w:r>
      <w:r>
        <w:rPr>
          <w:spacing w:val="-1"/>
        </w:rPr>
        <w:t> </w:t>
      </w:r>
      <w:r>
        <w:rPr/>
        <w:t>two</w:t>
      </w:r>
      <w:r>
        <w:rPr>
          <w:spacing w:val="-7"/>
        </w:rPr>
        <w:t> </w:t>
      </w:r>
      <w:r>
        <w:rPr/>
        <w:t>years</w:t>
      </w:r>
      <w:r>
        <w:rPr>
          <w:spacing w:val="-6"/>
        </w:rPr>
        <w:t> </w:t>
      </w:r>
      <w:r>
        <w:rPr>
          <w:spacing w:val="3"/>
        </w:rPr>
        <w:t>out.</w:t>
        <w:tab/>
      </w:r>
      <w:r>
        <w:rPr/>
        <w:t>The advantages of this stance would include the possibility that by keeping interest rates lower than they would </w:t>
      </w:r>
      <w:r>
        <w:rPr>
          <w:spacing w:val="4"/>
        </w:rPr>
        <w:t>otherwise </w:t>
      </w:r>
      <w:r>
        <w:rPr>
          <w:spacing w:val="-9"/>
        </w:rPr>
        <w:t>be, </w:t>
      </w:r>
      <w:r>
        <w:rPr/>
        <w:t>the level </w:t>
      </w:r>
      <w:r>
        <w:rPr>
          <w:spacing w:val="2"/>
        </w:rPr>
        <w:t>of </w:t>
      </w:r>
      <w:r>
        <w:rPr/>
        <w:t>the pound is also likely </w:t>
      </w:r>
      <w:r>
        <w:rPr>
          <w:spacing w:val="3"/>
        </w:rPr>
        <w:t>to </w:t>
      </w:r>
      <w:r>
        <w:rPr/>
        <w:t>be lower than it would </w:t>
      </w:r>
      <w:r>
        <w:rPr>
          <w:spacing w:val="4"/>
        </w:rPr>
        <w:t>otherwise </w:t>
      </w:r>
      <w:r>
        <w:rPr/>
        <w:t>be. </w:t>
      </w:r>
      <w:r>
        <w:rPr>
          <w:spacing w:val="2"/>
        </w:rPr>
        <w:t>This </w:t>
      </w:r>
      <w:r>
        <w:rPr/>
        <w:t>would have the effect </w:t>
      </w:r>
      <w:r>
        <w:rPr>
          <w:spacing w:val="2"/>
        </w:rPr>
        <w:t>of </w:t>
      </w:r>
      <w:r>
        <w:rPr/>
        <w:t>reducing the size </w:t>
      </w:r>
      <w:r>
        <w:rPr>
          <w:spacing w:val="2"/>
        </w:rPr>
        <w:t>of </w:t>
      </w:r>
      <w:r>
        <w:rPr/>
        <w:t>the inflation undershoot now. Moreover, if the pound </w:t>
      </w:r>
      <w:r>
        <w:rPr>
          <w:spacing w:val="4"/>
        </w:rPr>
        <w:t>overshoots </w:t>
      </w:r>
      <w:r>
        <w:rPr/>
        <w:t>its equilibrium level by less</w:t>
      </w:r>
      <w:r>
        <w:rPr>
          <w:spacing w:val="-38"/>
        </w:rPr>
        <w:t> </w:t>
      </w:r>
      <w:r>
        <w:rPr/>
        <w:t>now,</w:t>
      </w:r>
    </w:p>
    <w:p>
      <w:pPr>
        <w:pStyle w:val="BodyText"/>
        <w:spacing w:before="1"/>
        <w:rPr>
          <w:sz w:val="14"/>
        </w:rPr>
      </w:pPr>
      <w:r>
        <w:rPr/>
        <w:pict>
          <v:shape style="position:absolute;margin-left:81.120003pt;margin-top:10.34417pt;width:144pt;height:.1pt;mso-position-horizontal-relative:page;mso-position-vertical-relative:paragraph;z-index:-251640832;mso-wrap-distance-left:0;mso-wrap-distance-right:0" coordorigin="1622,207" coordsize="2880,0" path="m1622,207l4502,207e" filled="false" stroked="true" strokeweight=".48pt" strokecolor="#000000">
            <v:path arrowok="t"/>
            <v:stroke dashstyle="solid"/>
            <w10:wrap type="topAndBottom"/>
          </v:shape>
        </w:pict>
      </w:r>
    </w:p>
    <w:p>
      <w:pPr>
        <w:spacing w:line="240" w:lineRule="auto" w:before="33"/>
        <w:ind w:left="102" w:right="169" w:firstLine="0"/>
        <w:jc w:val="left"/>
        <w:rPr>
          <w:sz w:val="20"/>
        </w:rPr>
      </w:pPr>
      <w:r>
        <w:rPr>
          <w:position w:val="9"/>
          <w:sz w:val="13"/>
        </w:rPr>
        <w:t>10 </w:t>
      </w:r>
      <w:r>
        <w:rPr>
          <w:sz w:val="20"/>
        </w:rPr>
        <w:t>An alternative justification for </w:t>
      </w:r>
      <w:r>
        <w:rPr>
          <w:spacing w:val="2"/>
          <w:sz w:val="20"/>
        </w:rPr>
        <w:t>our </w:t>
      </w:r>
      <w:r>
        <w:rPr>
          <w:sz w:val="20"/>
        </w:rPr>
        <w:t>procedures is to recognise that, of course, in conventional macro- models, </w:t>
      </w:r>
      <w:r>
        <w:rPr>
          <w:spacing w:val="3"/>
          <w:sz w:val="20"/>
        </w:rPr>
        <w:t>once </w:t>
      </w:r>
      <w:r>
        <w:rPr>
          <w:spacing w:val="2"/>
          <w:sz w:val="20"/>
        </w:rPr>
        <w:t>one </w:t>
      </w:r>
      <w:r>
        <w:rPr>
          <w:sz w:val="20"/>
        </w:rPr>
        <w:t>allows for either non-linearities in the model, or for non-additive uncertainty, then, the conventional theoretical argument for inflation forecast-targeting is no longer valid (see eg Svensson (1999)).  In that particular case, policy should be set by looking at the forecast of the entire distribution of possible </w:t>
      </w:r>
      <w:r>
        <w:rPr>
          <w:spacing w:val="3"/>
          <w:sz w:val="20"/>
        </w:rPr>
        <w:t>outcomes </w:t>
      </w:r>
      <w:r>
        <w:rPr>
          <w:sz w:val="20"/>
        </w:rPr>
        <w:t>rather than just a point forecast. Once again, looking at asset price misalignments might be thought of as providing information about the distribution of possible </w:t>
      </w:r>
      <w:r>
        <w:rPr>
          <w:spacing w:val="2"/>
          <w:sz w:val="20"/>
        </w:rPr>
        <w:t>outcomes over </w:t>
      </w:r>
      <w:r>
        <w:rPr>
          <w:sz w:val="20"/>
        </w:rPr>
        <w:t>and above looking at the forecast of the mean </w:t>
      </w:r>
      <w:r>
        <w:rPr>
          <w:spacing w:val="2"/>
          <w:sz w:val="20"/>
        </w:rPr>
        <w:t>outcome </w:t>
      </w:r>
      <w:r>
        <w:rPr>
          <w:sz w:val="20"/>
        </w:rPr>
        <w:t>for inflation. At the Bank, we already do look at our fan chart,</w:t>
      </w:r>
      <w:r>
        <w:rPr>
          <w:spacing w:val="-3"/>
          <w:sz w:val="20"/>
        </w:rPr>
        <w:t> </w:t>
      </w:r>
      <w:r>
        <w:rPr>
          <w:sz w:val="20"/>
        </w:rPr>
        <w:t>but</w:t>
      </w:r>
      <w:r>
        <w:rPr>
          <w:spacing w:val="-3"/>
          <w:sz w:val="20"/>
        </w:rPr>
        <w:t> </w:t>
      </w:r>
      <w:r>
        <w:rPr>
          <w:sz w:val="20"/>
        </w:rPr>
        <w:t>given</w:t>
      </w:r>
      <w:r>
        <w:rPr>
          <w:spacing w:val="-6"/>
          <w:sz w:val="20"/>
        </w:rPr>
        <w:t> </w:t>
      </w:r>
      <w:r>
        <w:rPr>
          <w:sz w:val="20"/>
        </w:rPr>
        <w:t>the</w:t>
      </w:r>
      <w:r>
        <w:rPr>
          <w:spacing w:val="-5"/>
          <w:sz w:val="20"/>
        </w:rPr>
        <w:t> </w:t>
      </w:r>
      <w:r>
        <w:rPr>
          <w:spacing w:val="3"/>
          <w:sz w:val="20"/>
        </w:rPr>
        <w:t>other</w:t>
      </w:r>
      <w:r>
        <w:rPr>
          <w:spacing w:val="-3"/>
          <w:sz w:val="20"/>
        </w:rPr>
        <w:t> </w:t>
      </w:r>
      <w:r>
        <w:rPr>
          <w:sz w:val="20"/>
        </w:rPr>
        <w:t>difficulties</w:t>
      </w:r>
      <w:r>
        <w:rPr>
          <w:spacing w:val="-6"/>
          <w:sz w:val="20"/>
        </w:rPr>
        <w:t> </w:t>
      </w:r>
      <w:r>
        <w:rPr>
          <w:sz w:val="20"/>
        </w:rPr>
        <w:t>associated</w:t>
      </w:r>
      <w:r>
        <w:rPr>
          <w:spacing w:val="-6"/>
          <w:sz w:val="20"/>
        </w:rPr>
        <w:t> </w:t>
      </w:r>
      <w:r>
        <w:rPr>
          <w:sz w:val="20"/>
        </w:rPr>
        <w:t>with</w:t>
      </w:r>
      <w:r>
        <w:rPr>
          <w:spacing w:val="-6"/>
          <w:sz w:val="20"/>
        </w:rPr>
        <w:t> </w:t>
      </w:r>
      <w:r>
        <w:rPr>
          <w:sz w:val="20"/>
        </w:rPr>
        <w:t>that,</w:t>
      </w:r>
      <w:r>
        <w:rPr>
          <w:spacing w:val="-2"/>
          <w:sz w:val="20"/>
        </w:rPr>
        <w:t> </w:t>
      </w:r>
      <w:r>
        <w:rPr>
          <w:sz w:val="20"/>
        </w:rPr>
        <w:t>looking</w:t>
      </w:r>
      <w:r>
        <w:rPr>
          <w:spacing w:val="-6"/>
          <w:sz w:val="20"/>
        </w:rPr>
        <w:t> </w:t>
      </w:r>
      <w:r>
        <w:rPr>
          <w:sz w:val="20"/>
        </w:rPr>
        <w:t>at</w:t>
      </w:r>
      <w:r>
        <w:rPr>
          <w:spacing w:val="-3"/>
          <w:sz w:val="20"/>
        </w:rPr>
        <w:t> </w:t>
      </w:r>
      <w:r>
        <w:rPr>
          <w:sz w:val="20"/>
        </w:rPr>
        <w:t>asset</w:t>
      </w:r>
      <w:r>
        <w:rPr>
          <w:spacing w:val="-3"/>
          <w:sz w:val="20"/>
        </w:rPr>
        <w:t> </w:t>
      </w:r>
      <w:r>
        <w:rPr>
          <w:sz w:val="20"/>
        </w:rPr>
        <w:t>price</w:t>
      </w:r>
      <w:r>
        <w:rPr>
          <w:spacing w:val="-5"/>
          <w:sz w:val="20"/>
        </w:rPr>
        <w:t> </w:t>
      </w:r>
      <w:r>
        <w:rPr>
          <w:sz w:val="20"/>
        </w:rPr>
        <w:t>misalignments</w:t>
      </w:r>
      <w:r>
        <w:rPr>
          <w:spacing w:val="-6"/>
          <w:sz w:val="20"/>
        </w:rPr>
        <w:t> </w:t>
      </w:r>
      <w:r>
        <w:rPr>
          <w:sz w:val="20"/>
        </w:rPr>
        <w:t>might</w:t>
      </w:r>
      <w:r>
        <w:rPr>
          <w:spacing w:val="-3"/>
          <w:sz w:val="20"/>
        </w:rPr>
        <w:t> </w:t>
      </w:r>
      <w:r>
        <w:rPr>
          <w:sz w:val="20"/>
        </w:rPr>
        <w:t>be</w:t>
      </w:r>
      <w:r>
        <w:rPr>
          <w:spacing w:val="-6"/>
          <w:sz w:val="20"/>
        </w:rPr>
        <w:t> </w:t>
      </w:r>
      <w:r>
        <w:rPr>
          <w:sz w:val="20"/>
        </w:rPr>
        <w:t>a reasonable simple</w:t>
      </w:r>
      <w:r>
        <w:rPr>
          <w:spacing w:val="8"/>
          <w:sz w:val="20"/>
        </w:rPr>
        <w:t> </w:t>
      </w:r>
      <w:r>
        <w:rPr>
          <w:sz w:val="20"/>
        </w:rPr>
        <w:t>alternative.</w:t>
      </w:r>
    </w:p>
    <w:p>
      <w:pPr>
        <w:spacing w:after="0" w:line="240" w:lineRule="auto"/>
        <w:jc w:val="left"/>
        <w:rPr>
          <w:sz w:val="20"/>
        </w:rPr>
        <w:sectPr>
          <w:pgSz w:w="11900" w:h="16840"/>
          <w:pgMar w:header="0" w:footer="743" w:top="1360" w:bottom="940" w:left="1520" w:right="1660"/>
        </w:sectPr>
      </w:pPr>
    </w:p>
    <w:p>
      <w:pPr>
        <w:pStyle w:val="BodyText"/>
        <w:spacing w:line="360" w:lineRule="auto" w:before="73"/>
        <w:ind w:left="102" w:right="147"/>
      </w:pPr>
      <w:r>
        <w:rPr/>
        <w:t>this reduces the size of the inflationary shock and the corresponding possible inflation overshoot associated with the likely fall of the pound at some uncertain date in the future. Also, if a lower level of the pound now reduces the number of firms that go out of business because of an “overvalued” exchange rate (ie firms that would be perfectly viable at the equilibrium exchange rate), the higher level of capacity of the economy is also likely to reduce the size of any inflationary overshoot that might follow a fall in the pound .</w:t>
      </w:r>
    </w:p>
    <w:p>
      <w:pPr>
        <w:pStyle w:val="BodyText"/>
        <w:rPr>
          <w:sz w:val="36"/>
        </w:rPr>
      </w:pPr>
    </w:p>
    <w:p>
      <w:pPr>
        <w:pStyle w:val="BodyText"/>
        <w:spacing w:line="360" w:lineRule="auto" w:before="1"/>
        <w:ind w:left="102"/>
      </w:pPr>
      <w:r>
        <w:rPr/>
        <w:t>Hence, I would argue that in the current conjuncture, if one wants to reduce the average deviation of inflation from target, </w:t>
      </w:r>
      <w:r>
        <w:rPr>
          <w:vertAlign w:val="superscript"/>
        </w:rPr>
        <w:t>11</w:t>
      </w:r>
      <w:r>
        <w:rPr>
          <w:vertAlign w:val="baseline"/>
        </w:rPr>
        <w:t> which, after all, is more consistent with the MPC’s remit of trying to hit the inflation target “at all times” than a policy that is tied to the</w:t>
      </w:r>
    </w:p>
    <w:p>
      <w:pPr>
        <w:pStyle w:val="BodyText"/>
        <w:tabs>
          <w:tab w:pos="5780" w:val="left" w:leader="none"/>
        </w:tabs>
        <w:spacing w:line="360" w:lineRule="auto" w:before="1"/>
        <w:ind w:left="102" w:right="298"/>
      </w:pPr>
      <w:r>
        <w:rPr/>
        <w:t>2-year</w:t>
      </w:r>
      <w:r>
        <w:rPr>
          <w:spacing w:val="-7"/>
        </w:rPr>
        <w:t> </w:t>
      </w:r>
      <w:r>
        <w:rPr/>
        <w:t>horizon,</w:t>
      </w:r>
      <w:r>
        <w:rPr>
          <w:spacing w:val="-6"/>
        </w:rPr>
        <w:t> </w:t>
      </w:r>
      <w:r>
        <w:rPr/>
        <w:t>then</w:t>
      </w:r>
      <w:r>
        <w:rPr>
          <w:spacing w:val="-6"/>
        </w:rPr>
        <w:t> </w:t>
      </w:r>
      <w:r>
        <w:rPr/>
        <w:t>an</w:t>
      </w:r>
      <w:r>
        <w:rPr>
          <w:spacing w:val="-6"/>
        </w:rPr>
        <w:t> </w:t>
      </w:r>
      <w:r>
        <w:rPr/>
        <w:t>interest</w:t>
      </w:r>
      <w:r>
        <w:rPr>
          <w:spacing w:val="13"/>
        </w:rPr>
        <w:t> </w:t>
      </w:r>
      <w:r>
        <w:rPr/>
        <w:t>rate</w:t>
      </w:r>
      <w:r>
        <w:rPr>
          <w:spacing w:val="-4"/>
        </w:rPr>
        <w:t> </w:t>
      </w:r>
      <w:r>
        <w:rPr/>
        <w:t>which</w:t>
      </w:r>
      <w:r>
        <w:rPr>
          <w:spacing w:val="-6"/>
        </w:rPr>
        <w:t> </w:t>
      </w:r>
      <w:r>
        <w:rPr/>
        <w:t>is</w:t>
      </w:r>
      <w:r>
        <w:rPr>
          <w:spacing w:val="-6"/>
        </w:rPr>
        <w:t> </w:t>
      </w:r>
      <w:r>
        <w:rPr/>
        <w:t>a</w:t>
      </w:r>
      <w:r>
        <w:rPr>
          <w:spacing w:val="-7"/>
        </w:rPr>
        <w:t> </w:t>
      </w:r>
      <w:r>
        <w:rPr/>
        <w:t>little</w:t>
      </w:r>
      <w:r>
        <w:rPr>
          <w:spacing w:val="-6"/>
        </w:rPr>
        <w:t> </w:t>
      </w:r>
      <w:r>
        <w:rPr/>
        <w:t>lower</w:t>
      </w:r>
      <w:r>
        <w:rPr>
          <w:spacing w:val="-5"/>
        </w:rPr>
        <w:t> </w:t>
      </w:r>
      <w:r>
        <w:rPr/>
        <w:t>than</w:t>
      </w:r>
      <w:r>
        <w:rPr>
          <w:spacing w:val="-6"/>
        </w:rPr>
        <w:t> </w:t>
      </w:r>
      <w:r>
        <w:rPr/>
        <w:t>what</w:t>
      </w:r>
      <w:r>
        <w:rPr>
          <w:spacing w:val="-1"/>
        </w:rPr>
        <w:t> </w:t>
      </w:r>
      <w:r>
        <w:rPr/>
        <w:t>is</w:t>
      </w:r>
      <w:r>
        <w:rPr>
          <w:spacing w:val="-6"/>
        </w:rPr>
        <w:t> </w:t>
      </w:r>
      <w:r>
        <w:rPr/>
        <w:t>necessary</w:t>
      </w:r>
      <w:r>
        <w:rPr>
          <w:spacing w:val="-6"/>
        </w:rPr>
        <w:t> </w:t>
      </w:r>
      <w:r>
        <w:rPr>
          <w:spacing w:val="3"/>
        </w:rPr>
        <w:t>to</w:t>
      </w:r>
      <w:r>
        <w:rPr>
          <w:spacing w:val="-1"/>
        </w:rPr>
        <w:t> </w:t>
      </w:r>
      <w:r>
        <w:rPr/>
        <w:t>hit 2½%</w:t>
      </w:r>
      <w:r>
        <w:rPr>
          <w:spacing w:val="-6"/>
        </w:rPr>
        <w:t> </w:t>
      </w:r>
      <w:r>
        <w:rPr>
          <w:spacing w:val="2"/>
        </w:rPr>
        <w:t>on</w:t>
      </w:r>
      <w:r>
        <w:rPr>
          <w:spacing w:val="-2"/>
        </w:rPr>
        <w:t> </w:t>
      </w:r>
      <w:r>
        <w:rPr>
          <w:spacing w:val="3"/>
        </w:rPr>
        <w:t>our</w:t>
      </w:r>
      <w:r>
        <w:rPr>
          <w:spacing w:val="-1"/>
        </w:rPr>
        <w:t> </w:t>
      </w:r>
      <w:r>
        <w:rPr/>
        <w:t>modal</w:t>
      </w:r>
      <w:r>
        <w:rPr>
          <w:spacing w:val="-6"/>
        </w:rPr>
        <w:t> </w:t>
      </w:r>
      <w:r>
        <w:rPr/>
        <w:t>projection</w:t>
      </w:r>
      <w:r>
        <w:rPr>
          <w:spacing w:val="-6"/>
        </w:rPr>
        <w:t> </w:t>
      </w:r>
      <w:r>
        <w:rPr/>
        <w:t>in</w:t>
      </w:r>
      <w:r>
        <w:rPr>
          <w:spacing w:val="-6"/>
        </w:rPr>
        <w:t> </w:t>
      </w:r>
      <w:r>
        <w:rPr/>
        <w:t>2</w:t>
      </w:r>
      <w:r>
        <w:rPr>
          <w:spacing w:val="-6"/>
        </w:rPr>
        <w:t> </w:t>
      </w:r>
      <w:r>
        <w:rPr/>
        <w:t>years</w:t>
      </w:r>
      <w:r>
        <w:rPr>
          <w:spacing w:val="-5"/>
        </w:rPr>
        <w:t> </w:t>
      </w:r>
      <w:r>
        <w:rPr/>
        <w:t>is</w:t>
      </w:r>
      <w:r>
        <w:rPr>
          <w:spacing w:val="-6"/>
        </w:rPr>
        <w:t> </w:t>
      </w:r>
      <w:r>
        <w:rPr/>
        <w:t>likely</w:t>
      </w:r>
      <w:r>
        <w:rPr>
          <w:spacing w:val="-6"/>
        </w:rPr>
        <w:t> </w:t>
      </w:r>
      <w:r>
        <w:rPr>
          <w:spacing w:val="3"/>
        </w:rPr>
        <w:t>to</w:t>
      </w:r>
      <w:r>
        <w:rPr>
          <w:spacing w:val="-2"/>
        </w:rPr>
        <w:t> </w:t>
      </w:r>
      <w:r>
        <w:rPr/>
        <w:t>do</w:t>
      </w:r>
      <w:r>
        <w:rPr>
          <w:spacing w:val="-5"/>
        </w:rPr>
        <w:t> </w:t>
      </w:r>
      <w:r>
        <w:rPr>
          <w:spacing w:val="2"/>
        </w:rPr>
        <w:t>it.</w:t>
        <w:tab/>
      </w:r>
      <w:r>
        <w:rPr/>
        <w:t>This is because the reduced inflation undershoot in the near-term and the reduced inflation </w:t>
      </w:r>
      <w:r>
        <w:rPr>
          <w:spacing w:val="4"/>
        </w:rPr>
        <w:t>overshoot </w:t>
      </w:r>
      <w:r>
        <w:rPr/>
        <w:t>when the pound</w:t>
      </w:r>
      <w:r>
        <w:rPr>
          <w:spacing w:val="-8"/>
        </w:rPr>
        <w:t> </w:t>
      </w:r>
      <w:r>
        <w:rPr/>
        <w:t>falls</w:t>
      </w:r>
      <w:r>
        <w:rPr>
          <w:spacing w:val="-7"/>
        </w:rPr>
        <w:t> </w:t>
      </w:r>
      <w:r>
        <w:rPr/>
        <w:t>from</w:t>
      </w:r>
      <w:r>
        <w:rPr>
          <w:spacing w:val="-7"/>
        </w:rPr>
        <w:t> </w:t>
      </w:r>
      <w:r>
        <w:rPr/>
        <w:t>a</w:t>
      </w:r>
      <w:r>
        <w:rPr>
          <w:spacing w:val="-7"/>
        </w:rPr>
        <w:t> </w:t>
      </w:r>
      <w:r>
        <w:rPr/>
        <w:t>less</w:t>
      </w:r>
      <w:r>
        <w:rPr>
          <w:spacing w:val="-7"/>
        </w:rPr>
        <w:t> </w:t>
      </w:r>
      <w:r>
        <w:rPr/>
        <w:t>elevated</w:t>
      </w:r>
      <w:r>
        <w:rPr>
          <w:spacing w:val="-7"/>
        </w:rPr>
        <w:t> </w:t>
      </w:r>
      <w:r>
        <w:rPr/>
        <w:t>level</w:t>
      </w:r>
      <w:r>
        <w:rPr>
          <w:spacing w:val="-7"/>
        </w:rPr>
        <w:t> </w:t>
      </w:r>
      <w:r>
        <w:rPr/>
        <w:t>will</w:t>
      </w:r>
      <w:r>
        <w:rPr>
          <w:spacing w:val="-7"/>
        </w:rPr>
        <w:t> </w:t>
      </w:r>
      <w:r>
        <w:rPr/>
        <w:t>easily</w:t>
      </w:r>
      <w:r>
        <w:rPr>
          <w:spacing w:val="-7"/>
        </w:rPr>
        <w:t> </w:t>
      </w:r>
      <w:r>
        <w:rPr/>
        <w:t>more</w:t>
      </w:r>
      <w:r>
        <w:rPr>
          <w:spacing w:val="-7"/>
        </w:rPr>
        <w:t> </w:t>
      </w:r>
      <w:r>
        <w:rPr/>
        <w:t>than</w:t>
      </w:r>
      <w:r>
        <w:rPr>
          <w:spacing w:val="-7"/>
        </w:rPr>
        <w:t> </w:t>
      </w:r>
      <w:r>
        <w:rPr>
          <w:spacing w:val="5"/>
        </w:rPr>
        <w:t>offset</w:t>
      </w:r>
      <w:r>
        <w:rPr>
          <w:spacing w:val="-3"/>
        </w:rPr>
        <w:t> </w:t>
      </w:r>
      <w:r>
        <w:rPr/>
        <w:t>the</w:t>
      </w:r>
      <w:r>
        <w:rPr>
          <w:spacing w:val="-7"/>
        </w:rPr>
        <w:t> </w:t>
      </w:r>
      <w:r>
        <w:rPr/>
        <w:t>modest</w:t>
      </w:r>
      <w:r>
        <w:rPr>
          <w:spacing w:val="-3"/>
        </w:rPr>
        <w:t> </w:t>
      </w:r>
      <w:r>
        <w:rPr/>
        <w:t>deviation from target 2 years </w:t>
      </w:r>
      <w:r>
        <w:rPr>
          <w:spacing w:val="3"/>
        </w:rPr>
        <w:t>out </w:t>
      </w:r>
      <w:r>
        <w:rPr/>
        <w:t>in terms </w:t>
      </w:r>
      <w:r>
        <w:rPr>
          <w:spacing w:val="2"/>
        </w:rPr>
        <w:t>of </w:t>
      </w:r>
      <w:r>
        <w:rPr/>
        <w:t>an </w:t>
      </w:r>
      <w:r>
        <w:rPr>
          <w:spacing w:val="4"/>
        </w:rPr>
        <w:t>objective </w:t>
      </w:r>
      <w:r>
        <w:rPr/>
        <w:t>function that weights deviations from target at all time-horizons</w:t>
      </w:r>
      <w:r>
        <w:rPr>
          <w:spacing w:val="19"/>
        </w:rPr>
        <w:t> </w:t>
      </w:r>
      <w:r>
        <w:rPr/>
        <w:t>equally.</w:t>
      </w:r>
    </w:p>
    <w:p>
      <w:pPr>
        <w:pStyle w:val="BodyText"/>
        <w:spacing w:before="1"/>
        <w:rPr>
          <w:sz w:val="36"/>
        </w:rPr>
      </w:pPr>
    </w:p>
    <w:p>
      <w:pPr>
        <w:pStyle w:val="BodyText"/>
        <w:tabs>
          <w:tab w:pos="5396" w:val="left" w:leader="none"/>
        </w:tabs>
        <w:spacing w:line="360" w:lineRule="auto"/>
        <w:ind w:left="102" w:right="290"/>
      </w:pPr>
      <w:r>
        <w:rPr/>
        <w:t>Note that this policy recommendation contrasts sharply with the view </w:t>
      </w:r>
      <w:r>
        <w:rPr>
          <w:spacing w:val="2"/>
        </w:rPr>
        <w:t>that, </w:t>
      </w:r>
      <w:r>
        <w:rPr/>
        <w:t>in the current</w:t>
      </w:r>
      <w:r>
        <w:rPr>
          <w:spacing w:val="-4"/>
        </w:rPr>
        <w:t> </w:t>
      </w:r>
      <w:r>
        <w:rPr/>
        <w:t>conjuncture,</w:t>
      </w:r>
      <w:r>
        <w:rPr>
          <w:spacing w:val="-9"/>
        </w:rPr>
        <w:t> </w:t>
      </w:r>
      <w:r>
        <w:rPr/>
        <w:t>interest</w:t>
      </w:r>
      <w:r>
        <w:rPr>
          <w:spacing w:val="-3"/>
        </w:rPr>
        <w:t> </w:t>
      </w:r>
      <w:r>
        <w:rPr/>
        <w:t>rates</w:t>
      </w:r>
      <w:r>
        <w:rPr>
          <w:spacing w:val="-7"/>
        </w:rPr>
        <w:t> </w:t>
      </w:r>
      <w:r>
        <w:rPr/>
        <w:t>should</w:t>
      </w:r>
      <w:r>
        <w:rPr>
          <w:spacing w:val="-9"/>
        </w:rPr>
        <w:t> </w:t>
      </w:r>
      <w:r>
        <w:rPr/>
        <w:t>be</w:t>
      </w:r>
      <w:r>
        <w:rPr>
          <w:spacing w:val="10"/>
        </w:rPr>
        <w:t> </w:t>
      </w:r>
      <w:r>
        <w:rPr>
          <w:u w:val="single"/>
        </w:rPr>
        <w:t>higher</w:t>
      </w:r>
      <w:r>
        <w:rPr>
          <w:spacing w:val="-6"/>
        </w:rPr>
        <w:t> </w:t>
      </w:r>
      <w:r>
        <w:rPr/>
        <w:t>than</w:t>
      </w:r>
      <w:r>
        <w:rPr>
          <w:spacing w:val="-5"/>
        </w:rPr>
        <w:t> </w:t>
      </w:r>
      <w:r>
        <w:rPr/>
        <w:t>is</w:t>
      </w:r>
      <w:r>
        <w:rPr>
          <w:spacing w:val="-5"/>
        </w:rPr>
        <w:t> </w:t>
      </w:r>
      <w:r>
        <w:rPr/>
        <w:t>necessary</w:t>
      </w:r>
      <w:r>
        <w:rPr>
          <w:spacing w:val="-6"/>
        </w:rPr>
        <w:t> </w:t>
      </w:r>
      <w:r>
        <w:rPr>
          <w:spacing w:val="3"/>
        </w:rPr>
        <w:t>to</w:t>
      </w:r>
      <w:r>
        <w:rPr>
          <w:spacing w:val="-1"/>
        </w:rPr>
        <w:t> </w:t>
      </w:r>
      <w:r>
        <w:rPr/>
        <w:t>hit</w:t>
      </w:r>
      <w:r>
        <w:rPr>
          <w:spacing w:val="-1"/>
        </w:rPr>
        <w:t> </w:t>
      </w:r>
      <w:r>
        <w:rPr/>
        <w:t>the</w:t>
      </w:r>
      <w:r>
        <w:rPr>
          <w:spacing w:val="-5"/>
        </w:rPr>
        <w:t> </w:t>
      </w:r>
      <w:r>
        <w:rPr/>
        <w:t>inflation target in 2 years in </w:t>
      </w:r>
      <w:r>
        <w:rPr>
          <w:spacing w:val="3"/>
        </w:rPr>
        <w:t>order </w:t>
      </w:r>
      <w:r>
        <w:rPr>
          <w:spacing w:val="2"/>
        </w:rPr>
        <w:t>to </w:t>
      </w:r>
      <w:r>
        <w:rPr/>
        <w:t>prepare for</w:t>
      </w:r>
      <w:r>
        <w:rPr>
          <w:spacing w:val="-40"/>
        </w:rPr>
        <w:t> </w:t>
      </w:r>
      <w:r>
        <w:rPr>
          <w:spacing w:val="-3"/>
        </w:rPr>
        <w:t>sterling’s </w:t>
      </w:r>
      <w:r>
        <w:rPr>
          <w:spacing w:val="2"/>
        </w:rPr>
        <w:t>fall.</w:t>
        <w:tab/>
      </w:r>
      <w:r>
        <w:rPr/>
        <w:t>Currently, I disagree with this prescription because the higher interest rates would not </w:t>
      </w:r>
      <w:r>
        <w:rPr>
          <w:spacing w:val="3"/>
        </w:rPr>
        <w:t>only </w:t>
      </w:r>
      <w:r>
        <w:rPr/>
        <w:t>exacerbate the inflation undershoot</w:t>
      </w:r>
      <w:r>
        <w:rPr>
          <w:spacing w:val="-3"/>
        </w:rPr>
        <w:t> </w:t>
      </w:r>
      <w:r>
        <w:rPr/>
        <w:t>now,</w:t>
      </w:r>
      <w:r>
        <w:rPr>
          <w:spacing w:val="-8"/>
        </w:rPr>
        <w:t> </w:t>
      </w:r>
      <w:r>
        <w:rPr/>
        <w:t>but</w:t>
      </w:r>
      <w:r>
        <w:rPr>
          <w:spacing w:val="-2"/>
        </w:rPr>
        <w:t> </w:t>
      </w:r>
      <w:r>
        <w:rPr/>
        <w:t>could</w:t>
      </w:r>
      <w:r>
        <w:rPr>
          <w:spacing w:val="-8"/>
        </w:rPr>
        <w:t> </w:t>
      </w:r>
      <w:r>
        <w:rPr/>
        <w:t>end</w:t>
      </w:r>
      <w:r>
        <w:rPr>
          <w:spacing w:val="-8"/>
        </w:rPr>
        <w:t> </w:t>
      </w:r>
      <w:r>
        <w:rPr/>
        <w:t>up</w:t>
      </w:r>
      <w:r>
        <w:rPr>
          <w:spacing w:val="-7"/>
        </w:rPr>
        <w:t> </w:t>
      </w:r>
      <w:r>
        <w:rPr/>
        <w:t>by</w:t>
      </w:r>
      <w:r>
        <w:rPr>
          <w:spacing w:val="-8"/>
        </w:rPr>
        <w:t> </w:t>
      </w:r>
      <w:r>
        <w:rPr/>
        <w:t>increasing</w:t>
      </w:r>
      <w:r>
        <w:rPr>
          <w:spacing w:val="-7"/>
        </w:rPr>
        <w:t> </w:t>
      </w:r>
      <w:r>
        <w:rPr/>
        <w:t>the</w:t>
      </w:r>
      <w:r>
        <w:rPr>
          <w:spacing w:val="-8"/>
        </w:rPr>
        <w:t> </w:t>
      </w:r>
      <w:r>
        <w:rPr/>
        <w:t>degree</w:t>
      </w:r>
      <w:r>
        <w:rPr>
          <w:spacing w:val="-8"/>
        </w:rPr>
        <w:t> </w:t>
      </w:r>
      <w:r>
        <w:rPr>
          <w:spacing w:val="2"/>
        </w:rPr>
        <w:t>of</w:t>
      </w:r>
      <w:r>
        <w:rPr>
          <w:spacing w:val="-3"/>
        </w:rPr>
        <w:t> </w:t>
      </w:r>
      <w:r>
        <w:rPr/>
        <w:t>inflation</w:t>
      </w:r>
      <w:r>
        <w:rPr>
          <w:spacing w:val="-8"/>
        </w:rPr>
        <w:t> </w:t>
      </w:r>
      <w:r>
        <w:rPr>
          <w:spacing w:val="4"/>
        </w:rPr>
        <w:t>overshoot</w:t>
      </w:r>
      <w:r>
        <w:rPr>
          <w:spacing w:val="-3"/>
        </w:rPr>
        <w:t> </w:t>
      </w:r>
      <w:r>
        <w:rPr/>
        <w:t>later by increasing, both, the likely size and the probability </w:t>
      </w:r>
      <w:r>
        <w:rPr>
          <w:spacing w:val="3"/>
        </w:rPr>
        <w:t>of </w:t>
      </w:r>
      <w:r>
        <w:rPr/>
        <w:t>the pound </w:t>
      </w:r>
      <w:r>
        <w:rPr>
          <w:u w:val="single"/>
        </w:rPr>
        <w:t>eventually</w:t>
      </w:r>
      <w:r>
        <w:rPr/>
        <w:t> collapsing, by taking it up </w:t>
      </w:r>
      <w:r>
        <w:rPr>
          <w:spacing w:val="3"/>
        </w:rPr>
        <w:t>to </w:t>
      </w:r>
      <w:r>
        <w:rPr/>
        <w:t>even more </w:t>
      </w:r>
      <w:r>
        <w:rPr>
          <w:spacing w:val="5"/>
        </w:rPr>
        <w:t>overvalued </w:t>
      </w:r>
      <w:r>
        <w:rPr/>
        <w:t>levels</w:t>
      </w:r>
      <w:r>
        <w:rPr>
          <w:spacing w:val="28"/>
        </w:rPr>
        <w:t> </w:t>
      </w:r>
      <w:r>
        <w:rPr>
          <w:spacing w:val="2"/>
        </w:rPr>
        <w:t>first.</w:t>
      </w:r>
    </w:p>
    <w:p>
      <w:pPr>
        <w:pStyle w:val="BodyText"/>
        <w:rPr>
          <w:sz w:val="36"/>
        </w:rPr>
      </w:pPr>
    </w:p>
    <w:p>
      <w:pPr>
        <w:pStyle w:val="BodyText"/>
        <w:spacing w:line="360" w:lineRule="auto" w:before="1"/>
        <w:ind w:left="102"/>
      </w:pPr>
      <w:r>
        <w:rPr/>
        <w:t>There is also another important reason as to why it would be a mistake to raise interest rates pre-emptively in order to slow domestic demand growth now in order to better prepare the economy for a likely fall in sterling. It is the conventional argument that whether or not the MPC actually responds to a fall in the pound by raising interest rates surely depends on </w:t>
      </w:r>
      <w:r>
        <w:rPr>
          <w:u w:val="single"/>
        </w:rPr>
        <w:t>why</w:t>
      </w:r>
      <w:r>
        <w:rPr/>
        <w:t> the pound falls. If, for example, global equity markets were to tumble from their current, overvalued levels, then, it is likely that the US dollar would</w:t>
      </w:r>
    </w:p>
    <w:p>
      <w:pPr>
        <w:pStyle w:val="BodyText"/>
        <w:spacing w:before="7"/>
        <w:rPr>
          <w:sz w:val="29"/>
        </w:rPr>
      </w:pPr>
      <w:r>
        <w:rPr/>
        <w:pict>
          <v:shape style="position:absolute;margin-left:81.120003pt;margin-top:19.24625pt;width:144pt;height:.1pt;mso-position-horizontal-relative:page;mso-position-vertical-relative:paragraph;z-index:-251639808;mso-wrap-distance-left:0;mso-wrap-distance-right:0" coordorigin="1622,385" coordsize="2880,0" path="m1622,385l4502,385e" filled="false" stroked="true" strokeweight=".48pt" strokecolor="#000000">
            <v:path arrowok="t"/>
            <v:stroke dashstyle="solid"/>
            <w10:wrap type="topAndBottom"/>
          </v:shape>
        </w:pict>
      </w:r>
    </w:p>
    <w:p>
      <w:pPr>
        <w:spacing w:before="33"/>
        <w:ind w:left="102" w:right="0" w:firstLine="0"/>
        <w:jc w:val="left"/>
        <w:rPr>
          <w:sz w:val="20"/>
        </w:rPr>
      </w:pPr>
      <w:r>
        <w:rPr>
          <w:position w:val="9"/>
          <w:sz w:val="13"/>
        </w:rPr>
        <w:t>11 </w:t>
      </w:r>
      <w:r>
        <w:rPr>
          <w:sz w:val="20"/>
        </w:rPr>
        <w:t>As measured in absolute value terms, or, alternatively, as squared deviations.</w:t>
      </w:r>
    </w:p>
    <w:p>
      <w:pPr>
        <w:spacing w:after="0"/>
        <w:jc w:val="left"/>
        <w:rPr>
          <w:sz w:val="20"/>
        </w:rPr>
        <w:sectPr>
          <w:pgSz w:w="11900" w:h="16840"/>
          <w:pgMar w:header="0" w:footer="743" w:top="1360" w:bottom="940" w:left="1520" w:right="1660"/>
        </w:sectPr>
      </w:pPr>
    </w:p>
    <w:p>
      <w:pPr>
        <w:pStyle w:val="BodyText"/>
        <w:spacing w:line="360" w:lineRule="auto" w:before="73"/>
        <w:ind w:left="102" w:right="201"/>
      </w:pPr>
      <w:r>
        <w:rPr/>
        <w:t>also fall against the euro and take the pound with it (see also Wadhwani (1999) for some empirical evidence on this linkage). Of course, a significant fall in global equity markets would make the MPC less likely to raise interest rates, notwithstanding the effect on sterling.</w:t>
      </w:r>
    </w:p>
    <w:p>
      <w:pPr>
        <w:pStyle w:val="BodyText"/>
        <w:spacing w:before="11"/>
        <w:rPr>
          <w:sz w:val="35"/>
        </w:rPr>
      </w:pPr>
    </w:p>
    <w:p>
      <w:pPr>
        <w:pStyle w:val="BodyText"/>
        <w:spacing w:line="360" w:lineRule="auto"/>
        <w:ind w:left="102" w:right="146"/>
      </w:pPr>
      <w:r>
        <w:rPr/>
        <w:t>To take another example, suppose that the level of the sterling-mark exchange rate is, other things being equal, associated with the relative growth rates of the two economies. If, hypothetically, sterling falls because the UK economy slows autonomously, there might once again, be no need to raise interest rates. In both cases, there would have been no need to “prepare” the economy for sterling’s fall. Hence, in this case, what might appear to be a prudent, pre-emptive policy might actually lead to over-kill.</w:t>
      </w:r>
    </w:p>
    <w:p>
      <w:pPr>
        <w:pStyle w:val="BodyText"/>
        <w:spacing w:before="1"/>
        <w:rPr>
          <w:sz w:val="36"/>
        </w:rPr>
      </w:pPr>
    </w:p>
    <w:p>
      <w:pPr>
        <w:pStyle w:val="BodyText"/>
        <w:spacing w:line="360" w:lineRule="auto"/>
        <w:ind w:left="102" w:right="201"/>
      </w:pPr>
      <w:r>
        <w:rPr/>
        <w:t>Of course, it is important to incorporate misalignments in </w:t>
      </w:r>
      <w:r>
        <w:rPr>
          <w:u w:val="single"/>
        </w:rPr>
        <w:t>all</w:t>
      </w:r>
      <w:r>
        <w:rPr/>
        <w:t> asset markets into our decision. Some have argued (see, eg Yamaguchi (1999)) that, perhaps excessive attention was paid to the strong yen by Japanese monetary policy-makers in 1986-88. Arguably, had they looked at misalignments in the land and equity markets at the same time, monetary policy would probably have been tighter.</w:t>
      </w:r>
    </w:p>
    <w:p>
      <w:pPr>
        <w:pStyle w:val="BodyText"/>
        <w:spacing w:before="3"/>
        <w:rPr>
          <w:sz w:val="36"/>
        </w:rPr>
      </w:pPr>
    </w:p>
    <w:p>
      <w:pPr>
        <w:pStyle w:val="BodyText"/>
        <w:tabs>
          <w:tab w:pos="8022" w:val="left" w:leader="none"/>
        </w:tabs>
        <w:spacing w:line="360" w:lineRule="auto"/>
        <w:ind w:left="102" w:right="157"/>
      </w:pPr>
      <w:r>
        <w:rPr/>
        <w:t>Consequently, in focussing </w:t>
      </w:r>
      <w:r>
        <w:rPr>
          <w:spacing w:val="3"/>
        </w:rPr>
        <w:t>on </w:t>
      </w:r>
      <w:r>
        <w:rPr/>
        <w:t>the exchange </w:t>
      </w:r>
      <w:r>
        <w:rPr>
          <w:spacing w:val="2"/>
        </w:rPr>
        <w:t>rate </w:t>
      </w:r>
      <w:r>
        <w:rPr/>
        <w:t>misalignment in the discussion above, I</w:t>
      </w:r>
      <w:r>
        <w:rPr>
          <w:spacing w:val="-7"/>
        </w:rPr>
        <w:t> </w:t>
      </w:r>
      <w:r>
        <w:rPr/>
        <w:t>am</w:t>
      </w:r>
      <w:r>
        <w:rPr>
          <w:spacing w:val="-7"/>
        </w:rPr>
        <w:t> </w:t>
      </w:r>
      <w:r>
        <w:rPr>
          <w:spacing w:val="2"/>
        </w:rPr>
        <w:t>implicitly</w:t>
      </w:r>
      <w:r>
        <w:rPr>
          <w:spacing w:val="-8"/>
        </w:rPr>
        <w:t> </w:t>
      </w:r>
      <w:r>
        <w:rPr/>
        <w:t>making</w:t>
      </w:r>
      <w:r>
        <w:rPr>
          <w:spacing w:val="-8"/>
        </w:rPr>
        <w:t> </w:t>
      </w:r>
      <w:r>
        <w:rPr/>
        <w:t>a</w:t>
      </w:r>
      <w:r>
        <w:rPr>
          <w:spacing w:val="-8"/>
        </w:rPr>
        <w:t> </w:t>
      </w:r>
      <w:r>
        <w:rPr/>
        <w:t>judgment</w:t>
      </w:r>
      <w:r>
        <w:rPr>
          <w:spacing w:val="-3"/>
        </w:rPr>
        <w:t> </w:t>
      </w:r>
      <w:r>
        <w:rPr>
          <w:spacing w:val="3"/>
        </w:rPr>
        <w:t>that,</w:t>
      </w:r>
      <w:r>
        <w:rPr>
          <w:spacing w:val="-3"/>
        </w:rPr>
        <w:t> </w:t>
      </w:r>
      <w:r>
        <w:rPr/>
        <w:t>currently,</w:t>
      </w:r>
      <w:r>
        <w:rPr>
          <w:spacing w:val="-7"/>
        </w:rPr>
        <w:t> </w:t>
      </w:r>
      <w:r>
        <w:rPr>
          <w:spacing w:val="2"/>
        </w:rPr>
        <w:t>the</w:t>
      </w:r>
      <w:r>
        <w:rPr>
          <w:spacing w:val="-8"/>
        </w:rPr>
        <w:t> </w:t>
      </w:r>
      <w:r>
        <w:rPr/>
        <w:t>misalignments</w:t>
      </w:r>
      <w:r>
        <w:rPr>
          <w:spacing w:val="-7"/>
        </w:rPr>
        <w:t> </w:t>
      </w:r>
      <w:r>
        <w:rPr/>
        <w:t>in</w:t>
      </w:r>
      <w:r>
        <w:rPr>
          <w:spacing w:val="-7"/>
        </w:rPr>
        <w:t> </w:t>
      </w:r>
      <w:r>
        <w:rPr>
          <w:spacing w:val="2"/>
        </w:rPr>
        <w:t>the</w:t>
      </w:r>
      <w:r>
        <w:rPr>
          <w:spacing w:val="-8"/>
        </w:rPr>
        <w:t> </w:t>
      </w:r>
      <w:r>
        <w:rPr/>
        <w:t>housing</w:t>
      </w:r>
      <w:r>
        <w:rPr>
          <w:spacing w:val="-8"/>
        </w:rPr>
        <w:t> </w:t>
      </w:r>
      <w:r>
        <w:rPr>
          <w:spacing w:val="2"/>
        </w:rPr>
        <w:t>and </w:t>
      </w:r>
      <w:r>
        <w:rPr/>
        <w:t>equity markets are quantitatively less important for interest rate-setting. Of course, this could change. The fall in sterling-mark from DM3.44 </w:t>
      </w:r>
      <w:r>
        <w:rPr>
          <w:spacing w:val="3"/>
        </w:rPr>
        <w:t>to </w:t>
      </w:r>
      <w:r>
        <w:rPr/>
        <w:t>DM3.17 in recent weeks has already</w:t>
      </w:r>
      <w:r>
        <w:rPr>
          <w:spacing w:val="-10"/>
        </w:rPr>
        <w:t> </w:t>
      </w:r>
      <w:r>
        <w:rPr>
          <w:spacing w:val="2"/>
        </w:rPr>
        <w:t>significantly</w:t>
      </w:r>
      <w:r>
        <w:rPr>
          <w:spacing w:val="-9"/>
        </w:rPr>
        <w:t> </w:t>
      </w:r>
      <w:r>
        <w:rPr>
          <w:spacing w:val="3"/>
        </w:rPr>
        <w:t>reduced</w:t>
      </w:r>
      <w:r>
        <w:rPr>
          <w:spacing w:val="-8"/>
        </w:rPr>
        <w:t> </w:t>
      </w:r>
      <w:r>
        <w:rPr>
          <w:spacing w:val="2"/>
        </w:rPr>
        <w:t>the</w:t>
      </w:r>
      <w:r>
        <w:rPr>
          <w:spacing w:val="-10"/>
        </w:rPr>
        <w:t> </w:t>
      </w:r>
      <w:r>
        <w:rPr/>
        <w:t>size</w:t>
      </w:r>
      <w:r>
        <w:rPr>
          <w:spacing w:val="-9"/>
        </w:rPr>
        <w:t> </w:t>
      </w:r>
      <w:r>
        <w:rPr>
          <w:spacing w:val="3"/>
        </w:rPr>
        <w:t>of</w:t>
      </w:r>
      <w:r>
        <w:rPr>
          <w:spacing w:val="-6"/>
        </w:rPr>
        <w:t> </w:t>
      </w:r>
      <w:r>
        <w:rPr>
          <w:spacing w:val="2"/>
        </w:rPr>
        <w:t>the</w:t>
      </w:r>
      <w:r>
        <w:rPr>
          <w:spacing w:val="-9"/>
        </w:rPr>
        <w:t> </w:t>
      </w:r>
      <w:r>
        <w:rPr/>
        <w:t>FX</w:t>
      </w:r>
      <w:r>
        <w:rPr>
          <w:spacing w:val="-9"/>
        </w:rPr>
        <w:t> </w:t>
      </w:r>
      <w:r>
        <w:rPr>
          <w:spacing w:val="2"/>
        </w:rPr>
        <w:t>misalignment.</w:t>
      </w:r>
      <w:r>
        <w:rPr>
          <w:spacing w:val="30"/>
        </w:rPr>
        <w:t> </w:t>
      </w:r>
      <w:r>
        <w:rPr/>
        <w:t>I</w:t>
      </w:r>
      <w:r>
        <w:rPr>
          <w:spacing w:val="-8"/>
        </w:rPr>
        <w:t> </w:t>
      </w:r>
      <w:r>
        <w:rPr/>
        <w:t>can</w:t>
      </w:r>
      <w:r>
        <w:rPr>
          <w:spacing w:val="-9"/>
        </w:rPr>
        <w:t> </w:t>
      </w:r>
      <w:r>
        <w:rPr>
          <w:spacing w:val="2"/>
        </w:rPr>
        <w:t>certainly</w:t>
      </w:r>
      <w:r>
        <w:rPr>
          <w:spacing w:val="-10"/>
        </w:rPr>
        <w:t> </w:t>
      </w:r>
      <w:r>
        <w:rPr/>
        <w:t>envisage circumstances where, hypothetically, I might be more worried about a house price misalignment than a FX bubble. In that case, interest rates would have </w:t>
      </w:r>
      <w:r>
        <w:rPr>
          <w:spacing w:val="3"/>
        </w:rPr>
        <w:t>to </w:t>
      </w:r>
      <w:r>
        <w:rPr/>
        <w:t>be a little higher</w:t>
      </w:r>
      <w:r>
        <w:rPr>
          <w:spacing w:val="-7"/>
        </w:rPr>
        <w:t> </w:t>
      </w:r>
      <w:r>
        <w:rPr/>
        <w:t>than</w:t>
      </w:r>
      <w:r>
        <w:rPr>
          <w:spacing w:val="-7"/>
        </w:rPr>
        <w:t> </w:t>
      </w:r>
      <w:r>
        <w:rPr/>
        <w:t>what</w:t>
      </w:r>
      <w:r>
        <w:rPr>
          <w:spacing w:val="-2"/>
        </w:rPr>
        <w:t> </w:t>
      </w:r>
      <w:r>
        <w:rPr/>
        <w:t>would</w:t>
      </w:r>
      <w:r>
        <w:rPr>
          <w:spacing w:val="-7"/>
        </w:rPr>
        <w:t> </w:t>
      </w:r>
      <w:r>
        <w:rPr/>
        <w:t>be</w:t>
      </w:r>
      <w:r>
        <w:rPr>
          <w:spacing w:val="-8"/>
        </w:rPr>
        <w:t> </w:t>
      </w:r>
      <w:r>
        <w:rPr/>
        <w:t>needed</w:t>
      </w:r>
      <w:r>
        <w:rPr>
          <w:spacing w:val="-6"/>
        </w:rPr>
        <w:t> </w:t>
      </w:r>
      <w:r>
        <w:rPr>
          <w:spacing w:val="3"/>
        </w:rPr>
        <w:t>to</w:t>
      </w:r>
      <w:r>
        <w:rPr>
          <w:spacing w:val="-2"/>
        </w:rPr>
        <w:t> </w:t>
      </w:r>
      <w:r>
        <w:rPr/>
        <w:t>achieve</w:t>
      </w:r>
      <w:r>
        <w:rPr>
          <w:spacing w:val="-6"/>
        </w:rPr>
        <w:t> </w:t>
      </w:r>
      <w:r>
        <w:rPr/>
        <w:t>the</w:t>
      </w:r>
      <w:r>
        <w:rPr>
          <w:spacing w:val="-8"/>
        </w:rPr>
        <w:t> </w:t>
      </w:r>
      <w:r>
        <w:rPr/>
        <w:t>2</w:t>
      </w:r>
      <w:r>
        <w:rPr>
          <w:spacing w:val="-7"/>
        </w:rPr>
        <w:t> </w:t>
      </w:r>
      <w:r>
        <w:rPr/>
        <w:t>year-ahead</w:t>
      </w:r>
      <w:r>
        <w:rPr>
          <w:spacing w:val="-7"/>
        </w:rPr>
        <w:t> </w:t>
      </w:r>
      <w:r>
        <w:rPr/>
        <w:t>inflation</w:t>
      </w:r>
      <w:r>
        <w:rPr>
          <w:spacing w:val="-7"/>
        </w:rPr>
        <w:t> </w:t>
      </w:r>
      <w:r>
        <w:rPr/>
        <w:t>forecast.</w:t>
        <w:tab/>
        <w:t>Note that in forming my judgment that the misalignment in the foreign exchange market is more important at the moment, I am not </w:t>
      </w:r>
      <w:r>
        <w:rPr>
          <w:spacing w:val="3"/>
        </w:rPr>
        <w:t>only </w:t>
      </w:r>
      <w:r>
        <w:rPr/>
        <w:t>looking at the degree </w:t>
      </w:r>
      <w:r>
        <w:rPr>
          <w:spacing w:val="2"/>
        </w:rPr>
        <w:t>of </w:t>
      </w:r>
      <w:r>
        <w:rPr/>
        <w:t>misalignments in the various asset markets, but I am also influenced by the fact that a 1% move in the exchange</w:t>
      </w:r>
      <w:r>
        <w:rPr>
          <w:spacing w:val="-4"/>
        </w:rPr>
        <w:t> </w:t>
      </w:r>
      <w:r>
        <w:rPr/>
        <w:t>rate</w:t>
      </w:r>
      <w:r>
        <w:rPr>
          <w:spacing w:val="-4"/>
        </w:rPr>
        <w:t> </w:t>
      </w:r>
      <w:r>
        <w:rPr/>
        <w:t>has</w:t>
      </w:r>
      <w:r>
        <w:rPr>
          <w:spacing w:val="-3"/>
        </w:rPr>
        <w:t> </w:t>
      </w:r>
      <w:r>
        <w:rPr/>
        <w:t>a</w:t>
      </w:r>
      <w:r>
        <w:rPr>
          <w:spacing w:val="-4"/>
        </w:rPr>
        <w:t> </w:t>
      </w:r>
      <w:r>
        <w:rPr/>
        <w:t>much</w:t>
      </w:r>
      <w:r>
        <w:rPr>
          <w:spacing w:val="-4"/>
        </w:rPr>
        <w:t> </w:t>
      </w:r>
      <w:r>
        <w:rPr/>
        <w:t>larger</w:t>
      </w:r>
      <w:r>
        <w:rPr>
          <w:spacing w:val="-4"/>
        </w:rPr>
        <w:t> </w:t>
      </w:r>
      <w:r>
        <w:rPr/>
        <w:t>effect </w:t>
      </w:r>
      <w:r>
        <w:rPr>
          <w:spacing w:val="3"/>
        </w:rPr>
        <w:t>on</w:t>
      </w:r>
      <w:r>
        <w:rPr/>
        <w:t> inflation</w:t>
      </w:r>
      <w:r>
        <w:rPr>
          <w:spacing w:val="-4"/>
        </w:rPr>
        <w:t> </w:t>
      </w:r>
      <w:r>
        <w:rPr/>
        <w:t>than</w:t>
      </w:r>
      <w:r>
        <w:rPr>
          <w:spacing w:val="-4"/>
        </w:rPr>
        <w:t> </w:t>
      </w:r>
      <w:r>
        <w:rPr/>
        <w:t>a</w:t>
      </w:r>
      <w:r>
        <w:rPr>
          <w:spacing w:val="-4"/>
        </w:rPr>
        <w:t> </w:t>
      </w:r>
      <w:r>
        <w:rPr/>
        <w:t>1%</w:t>
      </w:r>
      <w:r>
        <w:rPr>
          <w:spacing w:val="-4"/>
        </w:rPr>
        <w:t> </w:t>
      </w:r>
      <w:r>
        <w:rPr/>
        <w:t>move</w:t>
      </w:r>
      <w:r>
        <w:rPr>
          <w:spacing w:val="-4"/>
        </w:rPr>
        <w:t> </w:t>
      </w:r>
      <w:r>
        <w:rPr/>
        <w:t>in</w:t>
      </w:r>
      <w:r>
        <w:rPr>
          <w:spacing w:val="-4"/>
        </w:rPr>
        <w:t> </w:t>
      </w:r>
      <w:r>
        <w:rPr/>
        <w:t>the</w:t>
      </w:r>
      <w:r>
        <w:rPr>
          <w:spacing w:val="-4"/>
        </w:rPr>
        <w:t> </w:t>
      </w:r>
      <w:r>
        <w:rPr/>
        <w:t>price</w:t>
      </w:r>
      <w:r>
        <w:rPr>
          <w:spacing w:val="-4"/>
        </w:rPr>
        <w:t> </w:t>
      </w:r>
      <w:r>
        <w:rPr>
          <w:spacing w:val="3"/>
        </w:rPr>
        <w:t>of</w:t>
      </w:r>
      <w:r>
        <w:rPr>
          <w:spacing w:val="-1"/>
        </w:rPr>
        <w:t> </w:t>
      </w:r>
      <w:r>
        <w:rPr/>
        <w:t>either equities </w:t>
      </w:r>
      <w:r>
        <w:rPr>
          <w:spacing w:val="2"/>
        </w:rPr>
        <w:t>or</w:t>
      </w:r>
      <w:r>
        <w:rPr>
          <w:spacing w:val="8"/>
        </w:rPr>
        <w:t> </w:t>
      </w:r>
      <w:r>
        <w:rPr/>
        <w:t>houses.</w:t>
      </w:r>
    </w:p>
    <w:p>
      <w:pPr>
        <w:pStyle w:val="BodyText"/>
        <w:spacing w:before="9"/>
        <w:rPr>
          <w:sz w:val="35"/>
        </w:rPr>
      </w:pPr>
    </w:p>
    <w:p>
      <w:pPr>
        <w:pStyle w:val="BodyText"/>
        <w:spacing w:line="360" w:lineRule="auto"/>
        <w:ind w:left="102" w:right="453"/>
      </w:pPr>
      <w:r>
        <w:rPr/>
        <w:t>I should emphasise that the “third way” solution that I have proposed above does </w:t>
      </w:r>
      <w:r>
        <w:rPr>
          <w:u w:val="single"/>
        </w:rPr>
        <w:t>not</w:t>
      </w:r>
      <w:r>
        <w:rPr/>
        <w:t> involve having an exchange rate target. Price stability is, still, as per the remit, the</w:t>
      </w:r>
    </w:p>
    <w:p>
      <w:pPr>
        <w:spacing w:after="0" w:line="360" w:lineRule="auto"/>
        <w:sectPr>
          <w:pgSz w:w="11900" w:h="16840"/>
          <w:pgMar w:header="0" w:footer="743" w:top="1360" w:bottom="940" w:left="1520" w:right="1660"/>
        </w:sectPr>
      </w:pPr>
    </w:p>
    <w:p>
      <w:pPr>
        <w:pStyle w:val="BodyText"/>
        <w:spacing w:line="360" w:lineRule="auto" w:before="73"/>
        <w:ind w:left="102" w:right="237"/>
      </w:pPr>
      <w:r>
        <w:rPr/>
        <w:t>paramount consideration. The recommended policy does not set </w:t>
      </w:r>
      <w:r>
        <w:rPr>
          <w:spacing w:val="3"/>
        </w:rPr>
        <w:t>out </w:t>
      </w:r>
      <w:r>
        <w:rPr>
          <w:spacing w:val="2"/>
        </w:rPr>
        <w:t>to </w:t>
      </w:r>
      <w:r>
        <w:rPr/>
        <w:t>prick the exchange rate bubble. It merely contends that in the presence </w:t>
      </w:r>
      <w:r>
        <w:rPr>
          <w:spacing w:val="2"/>
        </w:rPr>
        <w:t>of </w:t>
      </w:r>
      <w:r>
        <w:rPr/>
        <w:t>a bubble, interest rate policy should recognise the presence </w:t>
      </w:r>
      <w:r>
        <w:rPr>
          <w:spacing w:val="3"/>
        </w:rPr>
        <w:t>of </w:t>
      </w:r>
      <w:r>
        <w:rPr/>
        <w:t>such a misalignment, and that interest rates should be set such that the volatility </w:t>
      </w:r>
      <w:r>
        <w:rPr>
          <w:spacing w:val="2"/>
        </w:rPr>
        <w:t>of </w:t>
      </w:r>
      <w:r>
        <w:rPr/>
        <w:t>inflation is reduced. Hence, the proposal is entirely</w:t>
      </w:r>
      <w:r>
        <w:rPr>
          <w:spacing w:val="-9"/>
        </w:rPr>
        <w:t> </w:t>
      </w:r>
      <w:r>
        <w:rPr/>
        <w:t>consistent</w:t>
      </w:r>
      <w:r>
        <w:rPr>
          <w:spacing w:val="-4"/>
        </w:rPr>
        <w:t> </w:t>
      </w:r>
      <w:r>
        <w:rPr/>
        <w:t>with</w:t>
      </w:r>
      <w:r>
        <w:rPr>
          <w:spacing w:val="-9"/>
        </w:rPr>
        <w:t> </w:t>
      </w:r>
      <w:r>
        <w:rPr/>
        <w:t>the</w:t>
      </w:r>
      <w:r>
        <w:rPr>
          <w:spacing w:val="-8"/>
        </w:rPr>
        <w:t> </w:t>
      </w:r>
      <w:r>
        <w:rPr/>
        <w:t>notion</w:t>
      </w:r>
      <w:r>
        <w:rPr>
          <w:spacing w:val="-9"/>
        </w:rPr>
        <w:t> </w:t>
      </w:r>
      <w:r>
        <w:rPr>
          <w:spacing w:val="2"/>
        </w:rPr>
        <w:t>of</w:t>
      </w:r>
      <w:r>
        <w:rPr>
          <w:spacing w:val="-4"/>
        </w:rPr>
        <w:t> </w:t>
      </w:r>
      <w:r>
        <w:rPr/>
        <w:t>using</w:t>
      </w:r>
      <w:r>
        <w:rPr>
          <w:spacing w:val="-8"/>
        </w:rPr>
        <w:t> </w:t>
      </w:r>
      <w:r>
        <w:rPr>
          <w:spacing w:val="3"/>
        </w:rPr>
        <w:t>one</w:t>
      </w:r>
      <w:r>
        <w:rPr>
          <w:spacing w:val="-5"/>
        </w:rPr>
        <w:t> </w:t>
      </w:r>
      <w:r>
        <w:rPr/>
        <w:t>instrument</w:t>
      </w:r>
      <w:r>
        <w:rPr>
          <w:spacing w:val="-4"/>
        </w:rPr>
        <w:t> </w:t>
      </w:r>
      <w:r>
        <w:rPr/>
        <w:t>for</w:t>
      </w:r>
      <w:r>
        <w:rPr>
          <w:spacing w:val="-8"/>
        </w:rPr>
        <w:t> </w:t>
      </w:r>
      <w:r>
        <w:rPr>
          <w:spacing w:val="3"/>
        </w:rPr>
        <w:t>one</w:t>
      </w:r>
      <w:r>
        <w:rPr>
          <w:spacing w:val="-5"/>
        </w:rPr>
        <w:t> </w:t>
      </w:r>
      <w:r>
        <w:rPr/>
        <w:t>target</w:t>
      </w:r>
      <w:r>
        <w:rPr>
          <w:spacing w:val="-3"/>
        </w:rPr>
        <w:t> </w:t>
      </w:r>
      <w:r>
        <w:rPr/>
        <w:t>–</w:t>
      </w:r>
      <w:r>
        <w:rPr>
          <w:spacing w:val="-3"/>
        </w:rPr>
        <w:t> </w:t>
      </w:r>
      <w:r>
        <w:rPr>
          <w:spacing w:val="3"/>
        </w:rPr>
        <w:t>only</w:t>
      </w:r>
      <w:r>
        <w:rPr>
          <w:spacing w:val="-4"/>
        </w:rPr>
        <w:t> </w:t>
      </w:r>
      <w:r>
        <w:rPr/>
        <w:t>that</w:t>
      </w:r>
      <w:r>
        <w:rPr>
          <w:spacing w:val="-3"/>
        </w:rPr>
        <w:t> </w:t>
      </w:r>
      <w:r>
        <w:rPr/>
        <w:t>the target is the likely volatility </w:t>
      </w:r>
      <w:r>
        <w:rPr>
          <w:spacing w:val="3"/>
        </w:rPr>
        <w:t>of </w:t>
      </w:r>
      <w:r>
        <w:rPr/>
        <w:t>inflation around the 2½% level, instead </w:t>
      </w:r>
      <w:r>
        <w:rPr>
          <w:spacing w:val="3"/>
        </w:rPr>
        <w:t>of </w:t>
      </w:r>
      <w:r>
        <w:rPr/>
        <w:t>being seen as largely focussed </w:t>
      </w:r>
      <w:r>
        <w:rPr>
          <w:spacing w:val="3"/>
        </w:rPr>
        <w:t>on </w:t>
      </w:r>
      <w:r>
        <w:rPr/>
        <w:t>the 2 year-ahead inflation forecast. Although the policy guide is not designed </w:t>
      </w:r>
      <w:r>
        <w:rPr>
          <w:spacing w:val="3"/>
        </w:rPr>
        <w:t>to </w:t>
      </w:r>
      <w:r>
        <w:rPr/>
        <w:t>prick bubbles, if market participants knew that the central bank modified interest </w:t>
      </w:r>
      <w:r>
        <w:rPr>
          <w:spacing w:val="2"/>
        </w:rPr>
        <w:t>rates </w:t>
      </w:r>
      <w:r>
        <w:rPr/>
        <w:t>in </w:t>
      </w:r>
      <w:r>
        <w:rPr>
          <w:spacing w:val="2"/>
        </w:rPr>
        <w:t>response </w:t>
      </w:r>
      <w:r>
        <w:rPr>
          <w:spacing w:val="3"/>
        </w:rPr>
        <w:t>to </w:t>
      </w:r>
      <w:r>
        <w:rPr/>
        <w:t>asset price misalignments, then, bubbles would, plausibly be less likely </w:t>
      </w:r>
      <w:r>
        <w:rPr>
          <w:spacing w:val="3"/>
        </w:rPr>
        <w:t>to </w:t>
      </w:r>
      <w:r>
        <w:rPr>
          <w:spacing w:val="5"/>
        </w:rPr>
        <w:t>occur. </w:t>
      </w:r>
      <w:r>
        <w:rPr>
          <w:spacing w:val="3"/>
        </w:rPr>
        <w:t>This </w:t>
      </w:r>
      <w:r>
        <w:rPr/>
        <w:t>is likely </w:t>
      </w:r>
      <w:r>
        <w:rPr>
          <w:spacing w:val="3"/>
        </w:rPr>
        <w:t>to </w:t>
      </w:r>
      <w:r>
        <w:rPr/>
        <w:t>be a considerable benefit that would be associated with this</w:t>
      </w:r>
      <w:r>
        <w:rPr>
          <w:spacing w:val="9"/>
        </w:rPr>
        <w:t> </w:t>
      </w:r>
      <w:r>
        <w:rPr/>
        <w:t>proposal.</w:t>
      </w:r>
    </w:p>
    <w:p>
      <w:pPr>
        <w:pStyle w:val="BodyText"/>
        <w:rPr>
          <w:sz w:val="36"/>
        </w:rPr>
      </w:pPr>
    </w:p>
    <w:p>
      <w:pPr>
        <w:pStyle w:val="BodyText"/>
        <w:spacing w:line="360" w:lineRule="auto" w:before="1"/>
        <w:ind w:left="102" w:right="407"/>
      </w:pPr>
      <w:r>
        <w:rPr/>
        <w:t>As is clear from this discussion, I think that there are powerful theoretical reasons for considering this alternative interest rate policy, though the fact that most market participants see the Bank as using an interest rate that feeds back off an inflation forecast 2 years or so out is a potential hurdle.</w:t>
      </w:r>
    </w:p>
    <w:p>
      <w:pPr>
        <w:pStyle w:val="BodyText"/>
        <w:spacing w:before="10"/>
        <w:rPr>
          <w:sz w:val="35"/>
        </w:rPr>
      </w:pPr>
    </w:p>
    <w:p>
      <w:pPr>
        <w:pStyle w:val="BodyText"/>
        <w:spacing w:line="360" w:lineRule="auto"/>
        <w:ind w:left="102" w:right="373"/>
      </w:pPr>
      <w:r>
        <w:rPr/>
        <w:t>An important argument against the Bank changing its procedures is that the system is still new (it only dates back to May 1997), and a change could be damaging to credibility. As Sir Samuel Brittan (2000) argues about a change in the remit to incorporate exchange rate considerations:</w:t>
      </w:r>
    </w:p>
    <w:p>
      <w:pPr>
        <w:pStyle w:val="BodyText"/>
        <w:spacing w:before="4"/>
        <w:rPr>
          <w:sz w:val="36"/>
        </w:rPr>
      </w:pPr>
    </w:p>
    <w:p>
      <w:pPr>
        <w:pStyle w:val="BodyText"/>
        <w:spacing w:line="360" w:lineRule="auto"/>
        <w:ind w:left="942" w:hanging="115"/>
      </w:pPr>
      <w:r>
        <w:rPr/>
        <w:t>“I have to admit that, if made now, such a change would only increase the impression that the British adopt a bewildering succession of monetary objectives, only to drop then when the going gets rough.”</w:t>
      </w:r>
    </w:p>
    <w:p>
      <w:pPr>
        <w:pStyle w:val="BodyText"/>
        <w:rPr>
          <w:sz w:val="36"/>
        </w:rPr>
      </w:pPr>
    </w:p>
    <w:p>
      <w:pPr>
        <w:pStyle w:val="BodyText"/>
        <w:spacing w:line="360" w:lineRule="auto"/>
        <w:ind w:left="102" w:right="150"/>
      </w:pPr>
      <w:r>
        <w:rPr/>
        <w:t>Although Sir Samuel is talking about a change in remit, while I am discussing a change that might help the MPC fulfill its remit more effectively, the risk is clear. If, hypothetically, the MPC were to say that it took asset price misalignments into account </w:t>
      </w:r>
      <w:r>
        <w:rPr>
          <w:u w:val="single"/>
        </w:rPr>
        <w:t>separately</w:t>
      </w:r>
      <w:r>
        <w:rPr/>
        <w:t>, there is a clear risk that the markets would, in the current conjuncture, think that the Bank had gone soft on inflation (although this would be to wholly misunderstand the true situation).</w:t>
      </w:r>
    </w:p>
    <w:p>
      <w:pPr>
        <w:spacing w:after="0" w:line="360" w:lineRule="auto"/>
        <w:sectPr>
          <w:pgSz w:w="11900" w:h="16840"/>
          <w:pgMar w:header="0" w:footer="743" w:top="1360" w:bottom="940" w:left="1520" w:right="1660"/>
        </w:sectPr>
      </w:pPr>
    </w:p>
    <w:p>
      <w:pPr>
        <w:pStyle w:val="BodyText"/>
        <w:spacing w:line="360" w:lineRule="auto" w:before="73"/>
        <w:ind w:left="102" w:right="1126"/>
      </w:pPr>
      <w:r>
        <w:rPr/>
        <w:t>On the other hand, as </w:t>
      </w:r>
      <w:r>
        <w:rPr>
          <w:u w:val="single"/>
        </w:rPr>
        <w:t>The Economist</w:t>
      </w:r>
      <w:r>
        <w:rPr/>
        <w:t> (2000a) reminds us when discussing the incorporation of asset prices in central bank policy,</w:t>
      </w:r>
    </w:p>
    <w:p>
      <w:pPr>
        <w:pStyle w:val="BodyText"/>
        <w:spacing w:before="1"/>
        <w:rPr>
          <w:sz w:val="36"/>
        </w:rPr>
      </w:pPr>
    </w:p>
    <w:p>
      <w:pPr>
        <w:pStyle w:val="BodyText"/>
        <w:spacing w:line="360" w:lineRule="auto" w:before="1"/>
        <w:ind w:left="1004" w:right="1326" w:hanging="119"/>
      </w:pPr>
      <w:r>
        <w:rPr/>
        <w:t>“That simple – but bad – policy rules can be easily explained does not make them better than good policy rules.”</w:t>
      </w:r>
    </w:p>
    <w:p>
      <w:pPr>
        <w:pStyle w:val="BodyText"/>
        <w:spacing w:before="1"/>
        <w:rPr>
          <w:sz w:val="36"/>
        </w:rPr>
      </w:pPr>
    </w:p>
    <w:p>
      <w:pPr>
        <w:pStyle w:val="BodyText"/>
        <w:spacing w:line="360" w:lineRule="auto"/>
        <w:ind w:left="102" w:right="281"/>
      </w:pPr>
      <w:r>
        <w:rPr/>
        <w:t>It seems to me that the MPC’s interest rate reaction function can legitimately be made more complex (by, for example, including asset price misalignments), but it is of critical importance that any change be justified and explained </w:t>
      </w:r>
      <w:r>
        <w:rPr>
          <w:u w:val="single"/>
        </w:rPr>
        <w:t>ONLY</w:t>
      </w:r>
      <w:r>
        <w:rPr/>
        <w:t> with reference to doing a better job in terms of achieving price stability, ie the ultimate objective should remain simple and easy to explain.</w:t>
      </w:r>
    </w:p>
    <w:p>
      <w:pPr>
        <w:pStyle w:val="BodyText"/>
        <w:spacing w:before="9"/>
        <w:rPr>
          <w:sz w:val="35"/>
        </w:rPr>
      </w:pPr>
    </w:p>
    <w:p>
      <w:pPr>
        <w:pStyle w:val="BodyText"/>
        <w:spacing w:line="360" w:lineRule="auto"/>
        <w:ind w:left="102" w:right="141"/>
      </w:pPr>
      <w:r>
        <w:rPr/>
        <w:t>Of course, another important reason for being cautious is that we do need more research in this area.</w:t>
      </w:r>
    </w:p>
    <w:p>
      <w:pPr>
        <w:pStyle w:val="BodyText"/>
        <w:spacing w:before="1"/>
        <w:rPr>
          <w:sz w:val="36"/>
        </w:rPr>
      </w:pPr>
    </w:p>
    <w:p>
      <w:pPr>
        <w:pStyle w:val="BodyText"/>
        <w:spacing w:line="360" w:lineRule="auto"/>
        <w:ind w:left="102" w:right="150"/>
      </w:pPr>
      <w:r>
        <w:rPr/>
        <w:t>Also,</w:t>
      </w:r>
      <w:r>
        <w:rPr>
          <w:spacing w:val="-8"/>
        </w:rPr>
        <w:t> </w:t>
      </w:r>
      <w:r>
        <w:rPr/>
        <w:t>there</w:t>
      </w:r>
      <w:r>
        <w:rPr>
          <w:spacing w:val="-8"/>
        </w:rPr>
        <w:t> </w:t>
      </w:r>
      <w:r>
        <w:rPr/>
        <w:t>might</w:t>
      </w:r>
      <w:r>
        <w:rPr>
          <w:spacing w:val="-3"/>
        </w:rPr>
        <w:t> </w:t>
      </w:r>
      <w:r>
        <w:rPr/>
        <w:t>be</w:t>
      </w:r>
      <w:r>
        <w:rPr>
          <w:spacing w:val="-8"/>
        </w:rPr>
        <w:t> </w:t>
      </w:r>
      <w:r>
        <w:rPr>
          <w:spacing w:val="4"/>
        </w:rPr>
        <w:t>other</w:t>
      </w:r>
      <w:r>
        <w:rPr>
          <w:spacing w:val="-3"/>
        </w:rPr>
        <w:t> </w:t>
      </w:r>
      <w:r>
        <w:rPr/>
        <w:t>ways</w:t>
      </w:r>
      <w:r>
        <w:rPr>
          <w:spacing w:val="-8"/>
        </w:rPr>
        <w:t> </w:t>
      </w:r>
      <w:r>
        <w:rPr>
          <w:spacing w:val="2"/>
        </w:rPr>
        <w:t>of</w:t>
      </w:r>
      <w:r>
        <w:rPr>
          <w:spacing w:val="-4"/>
        </w:rPr>
        <w:t> </w:t>
      </w:r>
      <w:r>
        <w:rPr/>
        <w:t>refining</w:t>
      </w:r>
      <w:r>
        <w:rPr>
          <w:spacing w:val="-6"/>
        </w:rPr>
        <w:t> </w:t>
      </w:r>
      <w:r>
        <w:rPr>
          <w:spacing w:val="3"/>
        </w:rPr>
        <w:t>our</w:t>
      </w:r>
      <w:r>
        <w:rPr>
          <w:spacing w:val="-3"/>
        </w:rPr>
        <w:t> </w:t>
      </w:r>
      <w:r>
        <w:rPr>
          <w:spacing w:val="4"/>
        </w:rPr>
        <w:t>operating</w:t>
      </w:r>
      <w:r>
        <w:rPr>
          <w:spacing w:val="-4"/>
        </w:rPr>
        <w:t> </w:t>
      </w:r>
      <w:r>
        <w:rPr/>
        <w:t>procedures</w:t>
      </w:r>
      <w:r>
        <w:rPr>
          <w:spacing w:val="-8"/>
        </w:rPr>
        <w:t> </w:t>
      </w:r>
      <w:r>
        <w:rPr/>
        <w:t>that</w:t>
      </w:r>
      <w:r>
        <w:rPr>
          <w:spacing w:val="-2"/>
        </w:rPr>
        <w:t> </w:t>
      </w:r>
      <w:r>
        <w:rPr/>
        <w:t>might</w:t>
      </w:r>
      <w:r>
        <w:rPr>
          <w:spacing w:val="-3"/>
        </w:rPr>
        <w:t> </w:t>
      </w:r>
      <w:r>
        <w:rPr/>
        <w:t>help</w:t>
      </w:r>
      <w:r>
        <w:rPr>
          <w:spacing w:val="-8"/>
        </w:rPr>
        <w:t> </w:t>
      </w:r>
      <w:r>
        <w:rPr/>
        <w:t>us reduce the volatility </w:t>
      </w:r>
      <w:r>
        <w:rPr>
          <w:spacing w:val="3"/>
        </w:rPr>
        <w:t>of </w:t>
      </w:r>
      <w:r>
        <w:rPr/>
        <w:t>inflation. A theoretical example </w:t>
      </w:r>
      <w:r>
        <w:rPr>
          <w:spacing w:val="3"/>
        </w:rPr>
        <w:t>of </w:t>
      </w:r>
      <w:r>
        <w:rPr/>
        <w:t>this would be </w:t>
      </w:r>
      <w:r>
        <w:rPr>
          <w:spacing w:val="3"/>
        </w:rPr>
        <w:t>to </w:t>
      </w:r>
      <w:r>
        <w:rPr/>
        <w:t>produce a forecast that was conditioned on a prospective time-path of interest rates rather than the current conditioning assumption </w:t>
      </w:r>
      <w:r>
        <w:rPr>
          <w:spacing w:val="2"/>
        </w:rPr>
        <w:t>of </w:t>
      </w:r>
      <w:r>
        <w:rPr/>
        <w:t>constant interest rates. A discussion </w:t>
      </w:r>
      <w:r>
        <w:rPr>
          <w:spacing w:val="2"/>
        </w:rPr>
        <w:t>of </w:t>
      </w:r>
      <w:r>
        <w:rPr/>
        <w:t>that issue would detain us for </w:t>
      </w:r>
      <w:r>
        <w:rPr>
          <w:spacing w:val="3"/>
        </w:rPr>
        <w:t>too </w:t>
      </w:r>
      <w:r>
        <w:rPr/>
        <w:t>long tonight, but my colleague, Charles Goodhart (2000) has </w:t>
      </w:r>
      <w:r>
        <w:rPr>
          <w:spacing w:val="2"/>
        </w:rPr>
        <w:t>recently </w:t>
      </w:r>
      <w:r>
        <w:rPr/>
        <w:t>written an excellent paper </w:t>
      </w:r>
      <w:r>
        <w:rPr>
          <w:spacing w:val="3"/>
        </w:rPr>
        <w:t>on </w:t>
      </w:r>
      <w:r>
        <w:rPr/>
        <w:t>the practical difficulties surrounding this proposal.</w:t>
      </w:r>
    </w:p>
    <w:p>
      <w:pPr>
        <w:pStyle w:val="BodyText"/>
        <w:spacing w:before="1"/>
        <w:rPr>
          <w:sz w:val="36"/>
        </w:rPr>
      </w:pPr>
    </w:p>
    <w:p>
      <w:pPr>
        <w:pStyle w:val="BodyText"/>
        <w:spacing w:line="360" w:lineRule="auto"/>
        <w:ind w:left="102" w:right="201"/>
      </w:pPr>
      <w:r>
        <w:rPr/>
        <w:t>Anyhow, </w:t>
      </w:r>
      <w:r>
        <w:rPr>
          <w:spacing w:val="4"/>
        </w:rPr>
        <w:t>over </w:t>
      </w:r>
      <w:r>
        <w:rPr/>
        <w:t>the next few months, the MPC will have </w:t>
      </w:r>
      <w:r>
        <w:rPr>
          <w:spacing w:val="3"/>
        </w:rPr>
        <w:t>to </w:t>
      </w:r>
      <w:r>
        <w:rPr/>
        <w:t>continue </w:t>
      </w:r>
      <w:r>
        <w:rPr>
          <w:spacing w:val="3"/>
        </w:rPr>
        <w:t>to </w:t>
      </w:r>
      <w:r>
        <w:rPr/>
        <w:t>make difficult decisions about how it incorporates asset price misalignments into its policy decision and, indeed, </w:t>
      </w:r>
      <w:r>
        <w:rPr>
          <w:spacing w:val="2"/>
        </w:rPr>
        <w:t>on </w:t>
      </w:r>
      <w:r>
        <w:rPr/>
        <w:t>how it communicates its policy formation process.</w:t>
      </w:r>
      <w:r>
        <w:rPr>
          <w:spacing w:val="10"/>
        </w:rPr>
        <w:t> </w:t>
      </w:r>
      <w:r>
        <w:rPr/>
        <w:t>I shall now turn </w:t>
      </w:r>
      <w:r>
        <w:rPr>
          <w:spacing w:val="3"/>
        </w:rPr>
        <w:t>to </w:t>
      </w:r>
      <w:r>
        <w:rPr/>
        <w:t>another possible ‘solution’ </w:t>
      </w:r>
      <w:r>
        <w:rPr>
          <w:spacing w:val="2"/>
        </w:rPr>
        <w:t>to </w:t>
      </w:r>
      <w:r>
        <w:rPr>
          <w:spacing w:val="3"/>
        </w:rPr>
        <w:t>our </w:t>
      </w:r>
      <w:r>
        <w:rPr/>
        <w:t>current predicament – direct intervention in the FX markets.</w:t>
      </w:r>
    </w:p>
    <w:p>
      <w:pPr>
        <w:pStyle w:val="BodyText"/>
        <w:spacing w:before="2"/>
        <w:rPr>
          <w:sz w:val="36"/>
        </w:rPr>
      </w:pPr>
    </w:p>
    <w:p>
      <w:pPr>
        <w:pStyle w:val="Heading1"/>
        <w:numPr>
          <w:ilvl w:val="1"/>
          <w:numId w:val="3"/>
        </w:numPr>
        <w:tabs>
          <w:tab w:pos="583" w:val="left" w:leader="none"/>
        </w:tabs>
        <w:spacing w:line="240" w:lineRule="auto" w:before="0" w:after="0"/>
        <w:ind w:left="582" w:right="0" w:hanging="481"/>
        <w:jc w:val="left"/>
      </w:pPr>
      <w:r>
        <w:rPr/>
        <w:t>CAN FOREIGN EXCHANGE INTERVENTION HELP</w:t>
      </w:r>
      <w:r>
        <w:rPr>
          <w:spacing w:val="-2"/>
        </w:rPr>
        <w:t> </w:t>
      </w:r>
      <w:r>
        <w:rPr/>
        <w:t>SOMETIMES?</w:t>
      </w:r>
    </w:p>
    <w:p>
      <w:pPr>
        <w:pStyle w:val="BodyText"/>
        <w:rPr>
          <w:b/>
          <w:sz w:val="26"/>
        </w:rPr>
      </w:pPr>
    </w:p>
    <w:p>
      <w:pPr>
        <w:pStyle w:val="BodyText"/>
        <w:spacing w:before="9"/>
        <w:rPr>
          <w:b/>
          <w:sz w:val="21"/>
        </w:rPr>
      </w:pPr>
    </w:p>
    <w:p>
      <w:pPr>
        <w:pStyle w:val="BodyText"/>
        <w:spacing w:line="360" w:lineRule="auto" w:before="1"/>
        <w:ind w:left="102" w:right="220"/>
      </w:pPr>
      <w:r>
        <w:rPr/>
        <w:t>In the UK, although the Government is responsible for the exchange rate regime, the Bank may use its own separate pool of exchange rate reserves “at its discretion to intervene in support of its monetary policy objective” (see the Chancellor’s letter to the</w:t>
      </w:r>
    </w:p>
    <w:p>
      <w:pPr>
        <w:spacing w:after="0" w:line="360" w:lineRule="auto"/>
        <w:sectPr>
          <w:pgSz w:w="11900" w:h="16840"/>
          <w:pgMar w:header="0" w:footer="743" w:top="1360" w:bottom="940" w:left="1520" w:right="1660"/>
        </w:sectPr>
      </w:pPr>
    </w:p>
    <w:p>
      <w:pPr>
        <w:pStyle w:val="BodyText"/>
        <w:spacing w:line="360" w:lineRule="auto" w:before="73"/>
        <w:ind w:left="102" w:right="127"/>
      </w:pPr>
      <w:r>
        <w:rPr/>
        <w:t>Governor, 6 May 1997). In addition, of course, the Bank would act as an agent for intervention using the Government’s foreign exchange reserves ( action which would be automatically sterilised).</w:t>
      </w:r>
    </w:p>
    <w:p>
      <w:pPr>
        <w:pStyle w:val="BodyText"/>
        <w:rPr>
          <w:sz w:val="36"/>
        </w:rPr>
      </w:pPr>
    </w:p>
    <w:p>
      <w:pPr>
        <w:pStyle w:val="BodyText"/>
        <w:spacing w:line="360" w:lineRule="auto"/>
        <w:ind w:left="102"/>
      </w:pPr>
      <w:r>
        <w:rPr/>
        <w:t>Although the issue of FX intervention has been debated at some MPC meetings, the committee has not, as yet, decided to intervene.</w:t>
      </w:r>
    </w:p>
    <w:p>
      <w:pPr>
        <w:pStyle w:val="BodyText"/>
        <w:spacing w:before="1"/>
        <w:rPr>
          <w:sz w:val="36"/>
        </w:rPr>
      </w:pPr>
    </w:p>
    <w:p>
      <w:pPr>
        <w:pStyle w:val="BodyText"/>
        <w:spacing w:line="360" w:lineRule="auto" w:before="1"/>
        <w:ind w:left="102" w:right="147"/>
      </w:pPr>
      <w:r>
        <w:rPr/>
        <w:t>If </w:t>
      </w:r>
      <w:r>
        <w:rPr>
          <w:spacing w:val="3"/>
        </w:rPr>
        <w:t>one </w:t>
      </w:r>
      <w:r>
        <w:rPr/>
        <w:t>felt that sterilised intervention were effective, </w:t>
      </w:r>
      <w:r>
        <w:rPr>
          <w:vertAlign w:val="superscript"/>
        </w:rPr>
        <w:t>12</w:t>
      </w:r>
      <w:r>
        <w:rPr>
          <w:vertAlign w:val="baseline"/>
        </w:rPr>
        <w:t> then it could be a useful additional </w:t>
      </w:r>
      <w:r>
        <w:rPr>
          <w:spacing w:val="2"/>
          <w:vertAlign w:val="baseline"/>
        </w:rPr>
        <w:t>tool </w:t>
      </w:r>
      <w:r>
        <w:rPr>
          <w:vertAlign w:val="baseline"/>
        </w:rPr>
        <w:t>in the current conjuncture.  Anything that pricked the “bubble” in sterling </w:t>
      </w:r>
      <w:r>
        <w:rPr>
          <w:u w:val="single"/>
          <w:vertAlign w:val="baseline"/>
        </w:rPr>
        <w:t>now</w:t>
      </w:r>
      <w:r>
        <w:rPr>
          <w:vertAlign w:val="baseline"/>
        </w:rPr>
        <w:t> would, both, reduce the current inflation undershoot, and prevent the UK economy from </w:t>
      </w:r>
      <w:r>
        <w:rPr>
          <w:spacing w:val="2"/>
          <w:vertAlign w:val="baseline"/>
        </w:rPr>
        <w:t>receiving </w:t>
      </w:r>
      <w:r>
        <w:rPr>
          <w:vertAlign w:val="baseline"/>
        </w:rPr>
        <w:t>a significant inflationary impulse at some future, </w:t>
      </w:r>
      <w:r>
        <w:rPr>
          <w:spacing w:val="2"/>
          <w:vertAlign w:val="baseline"/>
        </w:rPr>
        <w:t>uncertain, </w:t>
      </w:r>
      <w:r>
        <w:rPr>
          <w:vertAlign w:val="baseline"/>
        </w:rPr>
        <w:t>date when the inflation rate may well already be above target. Hence, I see no problem in justifying a successful FX intervention policy in terms </w:t>
      </w:r>
      <w:r>
        <w:rPr>
          <w:spacing w:val="3"/>
          <w:vertAlign w:val="baseline"/>
        </w:rPr>
        <w:t>of </w:t>
      </w:r>
      <w:r>
        <w:rPr>
          <w:spacing w:val="4"/>
          <w:vertAlign w:val="baseline"/>
        </w:rPr>
        <w:t>our </w:t>
      </w:r>
      <w:r>
        <w:rPr>
          <w:vertAlign w:val="baseline"/>
        </w:rPr>
        <w:t>monetary policy </w:t>
      </w:r>
      <w:r>
        <w:rPr>
          <w:spacing w:val="4"/>
          <w:vertAlign w:val="baseline"/>
        </w:rPr>
        <w:t>objective, </w:t>
      </w:r>
      <w:r>
        <w:rPr>
          <w:vertAlign w:val="baseline"/>
        </w:rPr>
        <w:t>as it is likely </w:t>
      </w:r>
      <w:r>
        <w:rPr>
          <w:spacing w:val="3"/>
          <w:vertAlign w:val="baseline"/>
        </w:rPr>
        <w:t>to </w:t>
      </w:r>
      <w:r>
        <w:rPr>
          <w:vertAlign w:val="baseline"/>
        </w:rPr>
        <w:t>make the prospective path </w:t>
      </w:r>
      <w:r>
        <w:rPr>
          <w:spacing w:val="2"/>
          <w:vertAlign w:val="baseline"/>
        </w:rPr>
        <w:t>of </w:t>
      </w:r>
      <w:r>
        <w:rPr>
          <w:vertAlign w:val="baseline"/>
        </w:rPr>
        <w:t>inflation smoother. In</w:t>
      </w:r>
      <w:r>
        <w:rPr>
          <w:spacing w:val="-24"/>
          <w:vertAlign w:val="baseline"/>
        </w:rPr>
        <w:t> </w:t>
      </w:r>
      <w:r>
        <w:rPr>
          <w:vertAlign w:val="baseline"/>
        </w:rPr>
        <w:t>addition, given</w:t>
      </w:r>
      <w:r>
        <w:rPr>
          <w:spacing w:val="-10"/>
          <w:vertAlign w:val="baseline"/>
        </w:rPr>
        <w:t> </w:t>
      </w:r>
      <w:r>
        <w:rPr>
          <w:vertAlign w:val="baseline"/>
        </w:rPr>
        <w:t>that</w:t>
      </w:r>
      <w:r>
        <w:rPr>
          <w:spacing w:val="-5"/>
          <w:vertAlign w:val="baseline"/>
        </w:rPr>
        <w:t> </w:t>
      </w:r>
      <w:r>
        <w:rPr>
          <w:spacing w:val="3"/>
          <w:vertAlign w:val="baseline"/>
        </w:rPr>
        <w:t>our</w:t>
      </w:r>
      <w:r>
        <w:rPr>
          <w:spacing w:val="-5"/>
          <w:vertAlign w:val="baseline"/>
        </w:rPr>
        <w:t> </w:t>
      </w:r>
      <w:r>
        <w:rPr>
          <w:vertAlign w:val="baseline"/>
        </w:rPr>
        <w:t>remit</w:t>
      </w:r>
      <w:r>
        <w:rPr>
          <w:spacing w:val="-7"/>
          <w:vertAlign w:val="baseline"/>
        </w:rPr>
        <w:t> </w:t>
      </w:r>
      <w:r>
        <w:rPr>
          <w:vertAlign w:val="baseline"/>
        </w:rPr>
        <w:t>includes</w:t>
      </w:r>
      <w:r>
        <w:rPr>
          <w:spacing w:val="-9"/>
          <w:vertAlign w:val="baseline"/>
        </w:rPr>
        <w:t> </w:t>
      </w:r>
      <w:r>
        <w:rPr>
          <w:vertAlign w:val="baseline"/>
        </w:rPr>
        <w:t>concerns</w:t>
      </w:r>
      <w:r>
        <w:rPr>
          <w:spacing w:val="-9"/>
          <w:vertAlign w:val="baseline"/>
        </w:rPr>
        <w:t> </w:t>
      </w:r>
      <w:r>
        <w:rPr>
          <w:vertAlign w:val="baseline"/>
        </w:rPr>
        <w:t>about</w:t>
      </w:r>
      <w:r>
        <w:rPr>
          <w:spacing w:val="-5"/>
          <w:vertAlign w:val="baseline"/>
        </w:rPr>
        <w:t> </w:t>
      </w:r>
      <w:r>
        <w:rPr>
          <w:spacing w:val="4"/>
          <w:vertAlign w:val="baseline"/>
        </w:rPr>
        <w:t>output</w:t>
      </w:r>
      <w:r>
        <w:rPr>
          <w:spacing w:val="-5"/>
          <w:vertAlign w:val="baseline"/>
        </w:rPr>
        <w:t> </w:t>
      </w:r>
      <w:r>
        <w:rPr>
          <w:vertAlign w:val="baseline"/>
        </w:rPr>
        <w:t>and</w:t>
      </w:r>
      <w:r>
        <w:rPr>
          <w:spacing w:val="-10"/>
          <w:vertAlign w:val="baseline"/>
        </w:rPr>
        <w:t> </w:t>
      </w:r>
      <w:r>
        <w:rPr>
          <w:vertAlign w:val="baseline"/>
        </w:rPr>
        <w:t>employment</w:t>
      </w:r>
      <w:r>
        <w:rPr>
          <w:spacing w:val="-5"/>
          <w:vertAlign w:val="baseline"/>
        </w:rPr>
        <w:t> </w:t>
      </w:r>
      <w:r>
        <w:rPr>
          <w:vertAlign w:val="baseline"/>
        </w:rPr>
        <w:t>(of</w:t>
      </w:r>
      <w:r>
        <w:rPr>
          <w:spacing w:val="-7"/>
          <w:vertAlign w:val="baseline"/>
        </w:rPr>
        <w:t> </w:t>
      </w:r>
      <w:r>
        <w:rPr>
          <w:vertAlign w:val="baseline"/>
        </w:rPr>
        <w:t>course,</w:t>
      </w:r>
      <w:r>
        <w:rPr>
          <w:spacing w:val="-9"/>
          <w:vertAlign w:val="baseline"/>
        </w:rPr>
        <w:t> </w:t>
      </w:r>
      <w:r>
        <w:rPr>
          <w:vertAlign w:val="baseline"/>
        </w:rPr>
        <w:t>without prejudice </w:t>
      </w:r>
      <w:r>
        <w:rPr>
          <w:spacing w:val="3"/>
          <w:vertAlign w:val="baseline"/>
        </w:rPr>
        <w:t>to </w:t>
      </w:r>
      <w:r>
        <w:rPr>
          <w:vertAlign w:val="baseline"/>
        </w:rPr>
        <w:t>the price stability </w:t>
      </w:r>
      <w:r>
        <w:rPr>
          <w:spacing w:val="4"/>
          <w:vertAlign w:val="baseline"/>
        </w:rPr>
        <w:t>objective), </w:t>
      </w:r>
      <w:r>
        <w:rPr>
          <w:vertAlign w:val="baseline"/>
        </w:rPr>
        <w:t>FX intervention that prevented the “hysteresis” effects associated with a period </w:t>
      </w:r>
      <w:r>
        <w:rPr>
          <w:spacing w:val="2"/>
          <w:vertAlign w:val="baseline"/>
        </w:rPr>
        <w:t>of </w:t>
      </w:r>
      <w:r>
        <w:rPr>
          <w:vertAlign w:val="baseline"/>
        </w:rPr>
        <w:t>exchange rate </w:t>
      </w:r>
      <w:r>
        <w:rPr>
          <w:spacing w:val="4"/>
          <w:vertAlign w:val="baseline"/>
        </w:rPr>
        <w:t>overvaluation </w:t>
      </w:r>
      <w:r>
        <w:rPr>
          <w:vertAlign w:val="baseline"/>
        </w:rPr>
        <w:t>could also be interpreted as supportive </w:t>
      </w:r>
      <w:r>
        <w:rPr>
          <w:spacing w:val="2"/>
          <w:vertAlign w:val="baseline"/>
        </w:rPr>
        <w:t>of </w:t>
      </w:r>
      <w:r>
        <w:rPr>
          <w:spacing w:val="3"/>
          <w:vertAlign w:val="baseline"/>
        </w:rPr>
        <w:t>our </w:t>
      </w:r>
      <w:r>
        <w:rPr>
          <w:vertAlign w:val="baseline"/>
        </w:rPr>
        <w:t>monetary policy</w:t>
      </w:r>
      <w:r>
        <w:rPr>
          <w:spacing w:val="9"/>
          <w:vertAlign w:val="baseline"/>
        </w:rPr>
        <w:t> </w:t>
      </w:r>
      <w:r>
        <w:rPr>
          <w:spacing w:val="3"/>
          <w:vertAlign w:val="baseline"/>
        </w:rPr>
        <w:t>objective.</w:t>
      </w:r>
    </w:p>
    <w:p>
      <w:pPr>
        <w:pStyle w:val="BodyText"/>
        <w:rPr>
          <w:sz w:val="36"/>
        </w:rPr>
      </w:pPr>
    </w:p>
    <w:p>
      <w:pPr>
        <w:pStyle w:val="BodyText"/>
        <w:spacing w:line="360" w:lineRule="auto"/>
        <w:ind w:left="102" w:right="155"/>
      </w:pPr>
      <w:r>
        <w:rPr/>
        <w:t>However, there are those who argue that sterilised </w:t>
      </w:r>
      <w:r>
        <w:rPr>
          <w:spacing w:val="2"/>
        </w:rPr>
        <w:t>intervention </w:t>
      </w:r>
      <w:r>
        <w:rPr/>
        <w:t>is unlikely </w:t>
      </w:r>
      <w:r>
        <w:rPr>
          <w:spacing w:val="3"/>
        </w:rPr>
        <w:t>to </w:t>
      </w:r>
      <w:r>
        <w:rPr/>
        <w:t>be effective</w:t>
      </w:r>
      <w:r>
        <w:rPr>
          <w:spacing w:val="-8"/>
        </w:rPr>
        <w:t> </w:t>
      </w:r>
      <w:r>
        <w:rPr/>
        <w:t>because</w:t>
      </w:r>
      <w:r>
        <w:rPr>
          <w:spacing w:val="-8"/>
        </w:rPr>
        <w:t> </w:t>
      </w:r>
      <w:r>
        <w:rPr>
          <w:spacing w:val="2"/>
        </w:rPr>
        <w:t>the</w:t>
      </w:r>
      <w:r>
        <w:rPr>
          <w:spacing w:val="-8"/>
        </w:rPr>
        <w:t> </w:t>
      </w:r>
      <w:r>
        <w:rPr/>
        <w:t>likely</w:t>
      </w:r>
      <w:r>
        <w:rPr>
          <w:spacing w:val="-7"/>
        </w:rPr>
        <w:t> </w:t>
      </w:r>
      <w:r>
        <w:rPr/>
        <w:t>size</w:t>
      </w:r>
      <w:r>
        <w:rPr>
          <w:spacing w:val="-8"/>
        </w:rPr>
        <w:t> </w:t>
      </w:r>
      <w:r>
        <w:rPr>
          <w:spacing w:val="3"/>
        </w:rPr>
        <w:t>of</w:t>
      </w:r>
      <w:r>
        <w:rPr>
          <w:spacing w:val="-4"/>
        </w:rPr>
        <w:t> </w:t>
      </w:r>
      <w:r>
        <w:rPr/>
        <w:t>any</w:t>
      </w:r>
      <w:r>
        <w:rPr>
          <w:spacing w:val="-8"/>
        </w:rPr>
        <w:t> </w:t>
      </w:r>
      <w:r>
        <w:rPr>
          <w:spacing w:val="5"/>
        </w:rPr>
        <w:t>operation</w:t>
      </w:r>
      <w:r>
        <w:rPr>
          <w:spacing w:val="-5"/>
        </w:rPr>
        <w:t> </w:t>
      </w:r>
      <w:r>
        <w:rPr/>
        <w:t>is</w:t>
      </w:r>
      <w:r>
        <w:rPr>
          <w:spacing w:val="-7"/>
        </w:rPr>
        <w:t> </w:t>
      </w:r>
      <w:r>
        <w:rPr/>
        <w:t>small</w:t>
      </w:r>
      <w:r>
        <w:rPr>
          <w:spacing w:val="-8"/>
        </w:rPr>
        <w:t> </w:t>
      </w:r>
      <w:r>
        <w:rPr/>
        <w:t>in</w:t>
      </w:r>
      <w:r>
        <w:rPr>
          <w:spacing w:val="-8"/>
        </w:rPr>
        <w:t> </w:t>
      </w:r>
      <w:r>
        <w:rPr>
          <w:spacing w:val="2"/>
        </w:rPr>
        <w:t>relation</w:t>
      </w:r>
      <w:r>
        <w:rPr>
          <w:spacing w:val="-6"/>
        </w:rPr>
        <w:t> </w:t>
      </w:r>
      <w:r>
        <w:rPr>
          <w:spacing w:val="3"/>
        </w:rPr>
        <w:t>to</w:t>
      </w:r>
      <w:r>
        <w:rPr>
          <w:spacing w:val="-3"/>
        </w:rPr>
        <w:t> </w:t>
      </w:r>
      <w:r>
        <w:rPr>
          <w:spacing w:val="2"/>
        </w:rPr>
        <w:t>the</w:t>
      </w:r>
      <w:r>
        <w:rPr>
          <w:spacing w:val="-8"/>
        </w:rPr>
        <w:t> </w:t>
      </w:r>
      <w:r>
        <w:rPr/>
        <w:t>daily</w:t>
      </w:r>
      <w:r>
        <w:rPr>
          <w:spacing w:val="-8"/>
        </w:rPr>
        <w:t> </w:t>
      </w:r>
      <w:r>
        <w:rPr>
          <w:spacing w:val="2"/>
        </w:rPr>
        <w:t>volume of </w:t>
      </w:r>
      <w:r>
        <w:rPr/>
        <w:t>the FX market. In this context, I like the analogy for FX intervention used by Dominguez and Frankel (1993 – DF, hereafter). They liken the role </w:t>
      </w:r>
      <w:r>
        <w:rPr>
          <w:spacing w:val="2"/>
        </w:rPr>
        <w:t>of </w:t>
      </w:r>
      <w:r>
        <w:rPr/>
        <w:t>intervention </w:t>
      </w:r>
      <w:r>
        <w:rPr>
          <w:spacing w:val="3"/>
        </w:rPr>
        <w:t>to </w:t>
      </w:r>
      <w:r>
        <w:rPr/>
        <w:t>the role played by herd dogs among cattle. It is clear that, </w:t>
      </w:r>
      <w:r>
        <w:rPr>
          <w:spacing w:val="4"/>
        </w:rPr>
        <w:t>often, </w:t>
      </w:r>
      <w:r>
        <w:rPr/>
        <w:t>a few dogs, who, after all, are smaller in size and fewer in number than the steers, cannot always sustain control of the cattle. However, on those </w:t>
      </w:r>
      <w:r>
        <w:rPr>
          <w:spacing w:val="3"/>
        </w:rPr>
        <w:t>occasions </w:t>
      </w:r>
      <w:r>
        <w:rPr/>
        <w:t>when a stampede gets under way because</w:t>
      </w:r>
      <w:r>
        <w:rPr>
          <w:spacing w:val="-5"/>
        </w:rPr>
        <w:t> </w:t>
      </w:r>
      <w:r>
        <w:rPr/>
        <w:t>each</w:t>
      </w:r>
      <w:r>
        <w:rPr>
          <w:spacing w:val="-4"/>
        </w:rPr>
        <w:t> </w:t>
      </w:r>
      <w:r>
        <w:rPr/>
        <w:t>panicked</w:t>
      </w:r>
      <w:r>
        <w:rPr>
          <w:spacing w:val="-4"/>
        </w:rPr>
        <w:t> </w:t>
      </w:r>
      <w:r>
        <w:rPr/>
        <w:t>steer</w:t>
      </w:r>
      <w:r>
        <w:rPr>
          <w:spacing w:val="-5"/>
        </w:rPr>
        <w:t> </w:t>
      </w:r>
      <w:r>
        <w:rPr/>
        <w:t>is</w:t>
      </w:r>
      <w:r>
        <w:rPr>
          <w:spacing w:val="-4"/>
        </w:rPr>
        <w:t> </w:t>
      </w:r>
      <w:r>
        <w:rPr/>
        <w:t>following</w:t>
      </w:r>
      <w:r>
        <w:rPr>
          <w:spacing w:val="-4"/>
        </w:rPr>
        <w:t> </w:t>
      </w:r>
      <w:r>
        <w:rPr/>
        <w:t>its</w:t>
      </w:r>
      <w:r>
        <w:rPr>
          <w:spacing w:val="9"/>
        </w:rPr>
        <w:t> </w:t>
      </w:r>
      <w:r>
        <w:rPr/>
        <w:t>neighbours,</w:t>
      </w:r>
      <w:r>
        <w:rPr>
          <w:spacing w:val="-6"/>
        </w:rPr>
        <w:t> </w:t>
      </w:r>
      <w:r>
        <w:rPr/>
        <w:t>the</w:t>
      </w:r>
      <w:r>
        <w:rPr>
          <w:spacing w:val="-6"/>
        </w:rPr>
        <w:t> </w:t>
      </w:r>
      <w:r>
        <w:rPr/>
        <w:t>herd</w:t>
      </w:r>
      <w:r>
        <w:rPr>
          <w:spacing w:val="-7"/>
        </w:rPr>
        <w:t> </w:t>
      </w:r>
      <w:r>
        <w:rPr/>
        <w:t>can</w:t>
      </w:r>
      <w:r>
        <w:rPr>
          <w:spacing w:val="-7"/>
        </w:rPr>
        <w:t> </w:t>
      </w:r>
      <w:r>
        <w:rPr/>
        <w:t>potentially</w:t>
      </w:r>
      <w:r>
        <w:rPr>
          <w:spacing w:val="-7"/>
        </w:rPr>
        <w:t> </w:t>
      </w:r>
      <w:r>
        <w:rPr/>
        <w:t>wander </w:t>
      </w:r>
      <w:r>
        <w:rPr>
          <w:spacing w:val="4"/>
        </w:rPr>
        <w:t>off </w:t>
      </w:r>
      <w:r>
        <w:rPr/>
        <w:t>quite far from their initially desired direction. The dogs can, sometimes be helpful in a stampede, for, by turning a few steers around, they might induce the herd </w:t>
      </w:r>
      <w:r>
        <w:rPr>
          <w:spacing w:val="2"/>
        </w:rPr>
        <w:t>to </w:t>
      </w:r>
      <w:r>
        <w:rPr/>
        <w:t>follow. It is interesting that DF claim, after careful analysis </w:t>
      </w:r>
      <w:r>
        <w:rPr>
          <w:spacing w:val="3"/>
        </w:rPr>
        <w:t>of </w:t>
      </w:r>
      <w:r>
        <w:rPr/>
        <w:t>the data,</w:t>
      </w:r>
      <w:r>
        <w:rPr>
          <w:spacing w:val="14"/>
        </w:rPr>
        <w:t> </w:t>
      </w:r>
      <w:r>
        <w:rPr/>
        <w:t>that</w:t>
      </w:r>
    </w:p>
    <w:p>
      <w:pPr>
        <w:pStyle w:val="BodyText"/>
        <w:rPr>
          <w:sz w:val="20"/>
        </w:rPr>
      </w:pPr>
    </w:p>
    <w:p>
      <w:pPr>
        <w:pStyle w:val="BodyText"/>
        <w:rPr>
          <w:sz w:val="20"/>
        </w:rPr>
      </w:pPr>
    </w:p>
    <w:p>
      <w:pPr>
        <w:pStyle w:val="BodyText"/>
        <w:rPr>
          <w:sz w:val="20"/>
        </w:rPr>
      </w:pPr>
    </w:p>
    <w:p>
      <w:pPr>
        <w:pStyle w:val="BodyText"/>
        <w:spacing w:before="9"/>
        <w:rPr>
          <w:sz w:val="21"/>
        </w:rPr>
      </w:pPr>
      <w:r>
        <w:rPr/>
        <w:pict>
          <v:shape style="position:absolute;margin-left:81.120003pt;margin-top:14.725664pt;width:144pt;height:.1pt;mso-position-horizontal-relative:page;mso-position-vertical-relative:paragraph;z-index:-251638784;mso-wrap-distance-left:0;mso-wrap-distance-right:0" coordorigin="1622,295" coordsize="2880,0" path="m1622,295l4502,295e" filled="false" stroked="true" strokeweight=".48pt" strokecolor="#000000">
            <v:path arrowok="t"/>
            <v:stroke dashstyle="solid"/>
            <w10:wrap type="topAndBottom"/>
          </v:shape>
        </w:pict>
      </w:r>
    </w:p>
    <w:p>
      <w:pPr>
        <w:spacing w:before="33"/>
        <w:ind w:left="102" w:right="132" w:hanging="1"/>
        <w:jc w:val="left"/>
        <w:rPr>
          <w:sz w:val="20"/>
        </w:rPr>
      </w:pPr>
      <w:r>
        <w:rPr>
          <w:position w:val="9"/>
          <w:sz w:val="13"/>
        </w:rPr>
        <w:t>12 </w:t>
      </w:r>
      <w:r>
        <w:rPr>
          <w:sz w:val="20"/>
        </w:rPr>
        <w:t>And it is sterlised intervention that we are discussing, because unsterlised intervention is just equivalent to changing interest rates, which we discussed above.</w:t>
      </w:r>
    </w:p>
    <w:p>
      <w:pPr>
        <w:spacing w:after="0"/>
        <w:jc w:val="left"/>
        <w:rPr>
          <w:sz w:val="20"/>
        </w:rPr>
        <w:sectPr>
          <w:pgSz w:w="11900" w:h="16840"/>
          <w:pgMar w:header="0" w:footer="743" w:top="1360" w:bottom="940" w:left="1520" w:right="1660"/>
        </w:sectPr>
      </w:pPr>
    </w:p>
    <w:p>
      <w:pPr>
        <w:pStyle w:val="BodyText"/>
        <w:spacing w:before="7"/>
        <w:rPr>
          <w:sz w:val="13"/>
        </w:rPr>
      </w:pPr>
    </w:p>
    <w:p>
      <w:pPr>
        <w:pStyle w:val="BodyText"/>
        <w:spacing w:line="362" w:lineRule="auto" w:before="90"/>
        <w:ind w:left="837" w:right="1458" w:hanging="72"/>
      </w:pPr>
      <w:r>
        <w:rPr/>
        <w:t>“Intervention does appear to have been instrumental in pricking the 1984-85 speculative bubble in the dollar.” ( p 139)</w:t>
      </w:r>
    </w:p>
    <w:p>
      <w:pPr>
        <w:pStyle w:val="BodyText"/>
        <w:spacing w:before="7"/>
        <w:rPr>
          <w:sz w:val="35"/>
        </w:rPr>
      </w:pPr>
    </w:p>
    <w:p>
      <w:pPr>
        <w:pStyle w:val="BodyText"/>
        <w:spacing w:line="360" w:lineRule="auto"/>
        <w:ind w:left="102" w:right="107"/>
      </w:pPr>
      <w:r>
        <w:rPr/>
        <w:t>If one recognises the reality that the FX markets contain many participants who trade on the basis of past price momentum rather then the underlying economic fundamentals, it is easy to see how overshoots might occur. Those who trade currencies on the basis of economic fundamentals obviously have to take the activities of the momentum-based traders into account. Under some circumstances, FX intervention can give the fundamentals-based traders greater confidence to initiate positions during overshoots.</w:t>
      </w:r>
    </w:p>
    <w:p>
      <w:pPr>
        <w:pStyle w:val="BodyText"/>
        <w:spacing w:line="360" w:lineRule="auto" w:before="2"/>
        <w:ind w:left="102" w:right="147"/>
      </w:pPr>
      <w:r>
        <w:rPr/>
        <w:t>Alternatively, in an overextended market, intervention can sometimes directly affect the behaviour of the momentum-based traders.</w:t>
      </w:r>
      <w:r>
        <w:rPr>
          <w:vertAlign w:val="superscript"/>
        </w:rPr>
        <w:t>13</w:t>
      </w:r>
    </w:p>
    <w:p>
      <w:pPr>
        <w:pStyle w:val="BodyText"/>
        <w:spacing w:before="8"/>
        <w:rPr>
          <w:sz w:val="35"/>
        </w:rPr>
      </w:pPr>
    </w:p>
    <w:p>
      <w:pPr>
        <w:pStyle w:val="BodyText"/>
        <w:spacing w:line="360" w:lineRule="auto"/>
        <w:ind w:left="102" w:right="373"/>
      </w:pPr>
      <w:r>
        <w:rPr/>
        <w:t>In terms of the empirical evidence on the efficacy of FX intervention, DF concluded that “foreign exchange intervention can “work” if properly conceived and executed” (p 140). In a more recent study put out by the European Central Bank, Fatum (2000) argued that</w:t>
      </w:r>
    </w:p>
    <w:p>
      <w:pPr>
        <w:pStyle w:val="BodyText"/>
        <w:spacing w:before="4"/>
        <w:rPr>
          <w:sz w:val="36"/>
        </w:rPr>
      </w:pPr>
    </w:p>
    <w:p>
      <w:pPr>
        <w:pStyle w:val="BodyText"/>
        <w:spacing w:line="360" w:lineRule="auto"/>
        <w:ind w:left="947" w:right="201" w:hanging="119"/>
      </w:pPr>
      <w:r>
        <w:rPr/>
        <w:t>“… the results clearly suggested that intervention is indeed effective in terms of influencing the evolution of exchange rates over the short-run, </w:t>
      </w:r>
      <w:r>
        <w:rPr>
          <w:w w:val="95"/>
        </w:rPr>
        <w:t>… </w:t>
      </w:r>
      <w:r>
        <w:rPr/>
        <w:t>clear evidence was presented that coordinated intervention was more likely to be associated with a success.” ( p 18)</w:t>
      </w:r>
    </w:p>
    <w:p>
      <w:pPr>
        <w:pStyle w:val="BodyText"/>
        <w:spacing w:before="11"/>
        <w:rPr>
          <w:sz w:val="35"/>
        </w:rPr>
      </w:pPr>
    </w:p>
    <w:p>
      <w:pPr>
        <w:pStyle w:val="BodyText"/>
        <w:spacing w:line="360" w:lineRule="auto"/>
        <w:ind w:left="102" w:right="500"/>
      </w:pPr>
      <w:r>
        <w:rPr/>
        <w:t>Of course, it is important to put these results in perspective. In the UK, we all remember the failed intervention operations associated with trying to stay within the ERM. Intervention is unlikely to work if it works in the opposite direction to the underlying economic fundamentals. For me, sterilised intervention is no magic</w:t>
      </w:r>
    </w:p>
    <w:p>
      <w:pPr>
        <w:pStyle w:val="BodyText"/>
        <w:spacing w:line="360" w:lineRule="auto"/>
        <w:ind w:left="102" w:right="201"/>
      </w:pPr>
      <w:r>
        <w:rPr/>
        <w:t>weapon to wheel out generally. In my opinion, while intervention is a valuable weapon in the MPC’s arsenal, it should only be used when the chances of success are relatively high, eg during periods of significant misalignment, provided some other conditions</w:t>
      </w:r>
    </w:p>
    <w:p>
      <w:pPr>
        <w:pStyle w:val="BodyText"/>
        <w:spacing w:before="1"/>
        <w:ind w:left="102"/>
      </w:pPr>
      <w:r>
        <w:rPr/>
        <w:t>that are conducive to success are also met.</w:t>
      </w:r>
    </w:p>
    <w:p>
      <w:pPr>
        <w:pStyle w:val="BodyText"/>
        <w:rPr>
          <w:sz w:val="20"/>
        </w:rPr>
      </w:pPr>
    </w:p>
    <w:p>
      <w:pPr>
        <w:pStyle w:val="BodyText"/>
        <w:rPr>
          <w:sz w:val="20"/>
        </w:rPr>
      </w:pPr>
    </w:p>
    <w:p>
      <w:pPr>
        <w:pStyle w:val="BodyText"/>
        <w:spacing w:before="7"/>
        <w:rPr>
          <w:sz w:val="17"/>
        </w:rPr>
      </w:pPr>
      <w:r>
        <w:rPr/>
        <w:pict>
          <v:shape style="position:absolute;margin-left:81.120003pt;margin-top:12.348614pt;width:144pt;height:.1pt;mso-position-horizontal-relative:page;mso-position-vertical-relative:paragraph;z-index:-251637760;mso-wrap-distance-left:0;mso-wrap-distance-right:0" coordorigin="1622,247" coordsize="2880,0" path="m1622,247l4502,247e" filled="false" stroked="true" strokeweight=".48pt" strokecolor="#000000">
            <v:path arrowok="t"/>
            <v:stroke dashstyle="solid"/>
            <w10:wrap type="topAndBottom"/>
          </v:shape>
        </w:pict>
      </w:r>
    </w:p>
    <w:p>
      <w:pPr>
        <w:spacing w:before="33"/>
        <w:ind w:left="102" w:right="806" w:firstLine="0"/>
        <w:jc w:val="left"/>
        <w:rPr>
          <w:sz w:val="20"/>
        </w:rPr>
      </w:pPr>
      <w:r>
        <w:rPr>
          <w:position w:val="9"/>
          <w:sz w:val="13"/>
        </w:rPr>
        <w:t>13 </w:t>
      </w:r>
      <w:r>
        <w:rPr>
          <w:sz w:val="20"/>
        </w:rPr>
        <w:t>See, eg Rosenberg (1996), pp 310-315 – a book written by a currency economist at a leading Wall Street firm. Academics call this the “noise trading” channel.</w:t>
      </w:r>
    </w:p>
    <w:p>
      <w:pPr>
        <w:spacing w:after="0"/>
        <w:jc w:val="left"/>
        <w:rPr>
          <w:sz w:val="20"/>
        </w:rPr>
        <w:sectPr>
          <w:footerReference w:type="default" r:id="rId8"/>
          <w:pgSz w:w="11900" w:h="16840"/>
          <w:pgMar w:footer="743" w:header="0" w:top="1600" w:bottom="940" w:left="1520" w:right="1660"/>
          <w:pgNumType w:start="17"/>
        </w:sectPr>
      </w:pPr>
    </w:p>
    <w:p>
      <w:pPr>
        <w:pStyle w:val="BodyText"/>
        <w:spacing w:line="360" w:lineRule="auto" w:before="73"/>
        <w:ind w:left="102"/>
      </w:pPr>
      <w:r>
        <w:rPr/>
        <w:t>There are those who argue that successful FX intervention in the current conjuncture would be self-defeating because a lower pound would lead to higher interest rates which would take the pound back up (see, eg The Economist (2000b)).</w:t>
      </w:r>
    </w:p>
    <w:p>
      <w:pPr>
        <w:pStyle w:val="BodyText"/>
        <w:rPr>
          <w:sz w:val="36"/>
        </w:rPr>
      </w:pPr>
    </w:p>
    <w:p>
      <w:pPr>
        <w:pStyle w:val="BodyText"/>
        <w:spacing w:line="360" w:lineRule="auto"/>
        <w:ind w:left="102" w:right="201"/>
      </w:pPr>
      <w:r>
        <w:rPr/>
        <w:t>Even putting aside the issue that there is no mechanical link between exchange rate movements and our interest rate decision, I do not believe that the pound would necessarily go up all the way back to the original position even if interest rates were raised. This is because I think that “hysteresis” effects in exchange rates can be important. When a market includes a significant number of momentum-based traders, demand curves can become perversely-sloped, and multiple equilibria are possible.</w:t>
      </w:r>
      <w:r>
        <w:rPr>
          <w:vertAlign w:val="superscript"/>
        </w:rPr>
        <w:t>14</w:t>
      </w:r>
      <w:r>
        <w:rPr>
          <w:vertAlign w:val="baseline"/>
        </w:rPr>
        <w:t> Under certain circumstances, FX intervention can cause a </w:t>
      </w:r>
      <w:r>
        <w:rPr>
          <w:u w:val="single"/>
          <w:vertAlign w:val="baseline"/>
        </w:rPr>
        <w:t>large</w:t>
      </w:r>
      <w:r>
        <w:rPr>
          <w:vertAlign w:val="baseline"/>
        </w:rPr>
        <w:t> move, while any subsequent interest rate rise might only have a modest effect.</w:t>
      </w:r>
    </w:p>
    <w:p>
      <w:pPr>
        <w:pStyle w:val="BodyText"/>
        <w:spacing w:before="11"/>
        <w:rPr>
          <w:sz w:val="35"/>
        </w:rPr>
      </w:pPr>
    </w:p>
    <w:p>
      <w:pPr>
        <w:pStyle w:val="BodyText"/>
        <w:spacing w:line="360" w:lineRule="auto"/>
        <w:ind w:left="102" w:right="236"/>
      </w:pPr>
      <w:r>
        <w:rPr/>
        <w:t>Further, allowing an </w:t>
      </w:r>
      <w:r>
        <w:rPr>
          <w:spacing w:val="4"/>
        </w:rPr>
        <w:t>overshoot </w:t>
      </w:r>
      <w:r>
        <w:rPr>
          <w:spacing w:val="3"/>
        </w:rPr>
        <w:t>to </w:t>
      </w:r>
      <w:r>
        <w:rPr/>
        <w:t>continue can, </w:t>
      </w:r>
      <w:r>
        <w:rPr>
          <w:spacing w:val="2"/>
        </w:rPr>
        <w:t>of </w:t>
      </w:r>
      <w:r>
        <w:rPr/>
        <w:t>itself, begin </w:t>
      </w:r>
      <w:r>
        <w:rPr>
          <w:spacing w:val="3"/>
        </w:rPr>
        <w:t>to </w:t>
      </w:r>
      <w:r>
        <w:rPr/>
        <w:t>affect the “fundamentals”, or at least, the </w:t>
      </w:r>
      <w:r>
        <w:rPr>
          <w:spacing w:val="-5"/>
        </w:rPr>
        <w:t>market’s </w:t>
      </w:r>
      <w:r>
        <w:rPr/>
        <w:t>perceptions </w:t>
      </w:r>
      <w:r>
        <w:rPr>
          <w:spacing w:val="2"/>
        </w:rPr>
        <w:t>of </w:t>
      </w:r>
      <w:r>
        <w:rPr/>
        <w:t>them. For example, allowing the euro </w:t>
      </w:r>
      <w:r>
        <w:rPr>
          <w:spacing w:val="3"/>
        </w:rPr>
        <w:t>to </w:t>
      </w:r>
      <w:r>
        <w:rPr/>
        <w:t>fall indefinitely might, </w:t>
      </w:r>
      <w:r>
        <w:rPr>
          <w:spacing w:val="2"/>
        </w:rPr>
        <w:t>rightly </w:t>
      </w:r>
      <w:r>
        <w:rPr>
          <w:spacing w:val="3"/>
        </w:rPr>
        <w:t>or </w:t>
      </w:r>
      <w:r>
        <w:rPr/>
        <w:t>wrongly, increase perceptions </w:t>
      </w:r>
      <w:r>
        <w:rPr>
          <w:spacing w:val="3"/>
        </w:rPr>
        <w:t>of </w:t>
      </w:r>
      <w:r>
        <w:rPr>
          <w:spacing w:val="2"/>
        </w:rPr>
        <w:t>the </w:t>
      </w:r>
      <w:r>
        <w:rPr/>
        <w:t>political risk associated with holding that currency. It is, therefore, a mistake </w:t>
      </w:r>
      <w:r>
        <w:rPr>
          <w:spacing w:val="3"/>
        </w:rPr>
        <w:t>to </w:t>
      </w:r>
      <w:r>
        <w:rPr/>
        <w:t>assume that the fundamentals are independent </w:t>
      </w:r>
      <w:r>
        <w:rPr>
          <w:spacing w:val="2"/>
        </w:rPr>
        <w:t>of </w:t>
      </w:r>
      <w:r>
        <w:rPr/>
        <w:t>the precise time-path </w:t>
      </w:r>
      <w:r>
        <w:rPr>
          <w:spacing w:val="2"/>
        </w:rPr>
        <w:t>of </w:t>
      </w:r>
      <w:r>
        <w:rPr/>
        <w:t>the moves </w:t>
      </w:r>
      <w:r>
        <w:rPr>
          <w:spacing w:val="2"/>
        </w:rPr>
        <w:t>of </w:t>
      </w:r>
      <w:r>
        <w:rPr/>
        <w:t>a currency. Intervention can, therefore, even affect the “fundamentals” by altering </w:t>
      </w:r>
      <w:r>
        <w:rPr>
          <w:spacing w:val="2"/>
        </w:rPr>
        <w:t>the </w:t>
      </w:r>
      <w:r>
        <w:rPr/>
        <w:t>time-path </w:t>
      </w:r>
      <w:r>
        <w:rPr>
          <w:spacing w:val="2"/>
        </w:rPr>
        <w:t>of </w:t>
      </w:r>
      <w:r>
        <w:rPr/>
        <w:t>a </w:t>
      </w:r>
      <w:r>
        <w:rPr>
          <w:spacing w:val="-3"/>
        </w:rPr>
        <w:t>currency’s</w:t>
      </w:r>
      <w:r>
        <w:rPr>
          <w:spacing w:val="16"/>
        </w:rPr>
        <w:t> </w:t>
      </w:r>
      <w:r>
        <w:rPr/>
        <w:t>movements.</w:t>
      </w:r>
    </w:p>
    <w:p>
      <w:pPr>
        <w:pStyle w:val="BodyText"/>
        <w:rPr>
          <w:sz w:val="36"/>
        </w:rPr>
      </w:pPr>
    </w:p>
    <w:p>
      <w:pPr>
        <w:pStyle w:val="BodyText"/>
        <w:spacing w:line="360" w:lineRule="auto"/>
        <w:ind w:left="102" w:right="291"/>
      </w:pPr>
      <w:r>
        <w:rPr/>
        <w:t>For those who believe that FX intervention cannot work if monetary policy is not working in the same direction, just think back to the intervention to support the yen in 1998 (on June 17). Within a few hours, the currency moved from around Y144 to Y136 ( a dollar depreciation of more than 5%), despite the fact that there was, then, no immediate prospect of the Japanese tightening monetary policy or the US easing monetary policy. It is possible that this particular intervention operation was successful because it was </w:t>
      </w:r>
      <w:r>
        <w:rPr>
          <w:u w:val="single"/>
        </w:rPr>
        <w:t>coordinated</w:t>
      </w:r>
      <w:r>
        <w:rPr/>
        <w:t>, with the US Fed coming in as well as the Bank of Japan.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r>
        <w:rPr/>
        <w:pict>
          <v:shape style="position:absolute;margin-left:81.120003pt;margin-top:12.571787pt;width:144pt;height:.1pt;mso-position-horizontal-relative:page;mso-position-vertical-relative:paragraph;z-index:-251636736;mso-wrap-distance-left:0;mso-wrap-distance-right:0" coordorigin="1622,251" coordsize="2880,0" path="m1622,251l4502,251e" filled="false" stroked="true" strokeweight=".48pt" strokecolor="#000000">
            <v:path arrowok="t"/>
            <v:stroke dashstyle="solid"/>
            <w10:wrap type="topAndBottom"/>
          </v:shape>
        </w:pict>
      </w:r>
    </w:p>
    <w:p>
      <w:pPr>
        <w:spacing w:before="33"/>
        <w:ind w:left="102" w:right="0" w:firstLine="0"/>
        <w:jc w:val="left"/>
        <w:rPr>
          <w:sz w:val="20"/>
        </w:rPr>
      </w:pPr>
      <w:r>
        <w:rPr>
          <w:position w:val="9"/>
          <w:sz w:val="13"/>
        </w:rPr>
        <w:t>14 </w:t>
      </w:r>
      <w:r>
        <w:rPr>
          <w:sz w:val="20"/>
        </w:rPr>
        <w:t>See Genotte and Leland (1990) for an application of such a model to the 1987 stock market crash.</w:t>
      </w:r>
    </w:p>
    <w:p>
      <w:pPr>
        <w:spacing w:after="0"/>
        <w:jc w:val="left"/>
        <w:rPr>
          <w:sz w:val="20"/>
        </w:rPr>
        <w:sectPr>
          <w:pgSz w:w="11900" w:h="16840"/>
          <w:pgMar w:header="0" w:footer="743" w:top="1360" w:bottom="940" w:left="1520" w:right="1660"/>
        </w:sectPr>
      </w:pPr>
    </w:p>
    <w:p>
      <w:pPr>
        <w:pStyle w:val="BodyText"/>
        <w:spacing w:line="360" w:lineRule="auto" w:before="73"/>
        <w:ind w:left="102" w:right="232"/>
      </w:pPr>
      <w:r>
        <w:rPr/>
        <w:t>Hence, to summarise, FX intervention is no panacea, and can easily fail. However, used</w:t>
      </w:r>
      <w:r>
        <w:rPr>
          <w:spacing w:val="-9"/>
        </w:rPr>
        <w:t> </w:t>
      </w:r>
      <w:r>
        <w:rPr/>
        <w:t>judiciously,</w:t>
      </w:r>
      <w:r>
        <w:rPr>
          <w:spacing w:val="-8"/>
        </w:rPr>
        <w:t> </w:t>
      </w:r>
      <w:r>
        <w:rPr/>
        <w:t>it</w:t>
      </w:r>
      <w:r>
        <w:rPr>
          <w:spacing w:val="-4"/>
        </w:rPr>
        <w:t> </w:t>
      </w:r>
      <w:r>
        <w:rPr/>
        <w:t>can</w:t>
      </w:r>
      <w:r>
        <w:rPr>
          <w:spacing w:val="-9"/>
        </w:rPr>
        <w:t> </w:t>
      </w:r>
      <w:r>
        <w:rPr/>
        <w:t>sometimes</w:t>
      </w:r>
      <w:r>
        <w:rPr>
          <w:spacing w:val="-8"/>
        </w:rPr>
        <w:t> </w:t>
      </w:r>
      <w:r>
        <w:rPr/>
        <w:t>be</w:t>
      </w:r>
      <w:r>
        <w:rPr>
          <w:spacing w:val="-9"/>
        </w:rPr>
        <w:t> </w:t>
      </w:r>
      <w:r>
        <w:rPr/>
        <w:t>helpful</w:t>
      </w:r>
      <w:r>
        <w:rPr>
          <w:spacing w:val="-8"/>
        </w:rPr>
        <w:t> </w:t>
      </w:r>
      <w:r>
        <w:rPr/>
        <w:t>in</w:t>
      </w:r>
      <w:r>
        <w:rPr>
          <w:spacing w:val="-8"/>
        </w:rPr>
        <w:t> </w:t>
      </w:r>
      <w:r>
        <w:rPr/>
        <w:t>terms</w:t>
      </w:r>
      <w:r>
        <w:rPr>
          <w:spacing w:val="-8"/>
        </w:rPr>
        <w:t> </w:t>
      </w:r>
      <w:r>
        <w:rPr>
          <w:spacing w:val="3"/>
        </w:rPr>
        <w:t>of</w:t>
      </w:r>
      <w:r>
        <w:rPr>
          <w:spacing w:val="-5"/>
        </w:rPr>
        <w:t> </w:t>
      </w:r>
      <w:r>
        <w:rPr/>
        <w:t>achieving</w:t>
      </w:r>
      <w:r>
        <w:rPr>
          <w:spacing w:val="-8"/>
        </w:rPr>
        <w:t> </w:t>
      </w:r>
      <w:r>
        <w:rPr>
          <w:spacing w:val="4"/>
        </w:rPr>
        <w:t>our</w:t>
      </w:r>
      <w:r>
        <w:rPr>
          <w:spacing w:val="-5"/>
        </w:rPr>
        <w:t> </w:t>
      </w:r>
      <w:r>
        <w:rPr/>
        <w:t>monetary</w:t>
      </w:r>
      <w:r>
        <w:rPr>
          <w:spacing w:val="-8"/>
        </w:rPr>
        <w:t> </w:t>
      </w:r>
      <w:r>
        <w:rPr/>
        <w:t>policy </w:t>
      </w:r>
      <w:r>
        <w:rPr>
          <w:spacing w:val="3"/>
        </w:rPr>
        <w:t>objective.</w:t>
      </w:r>
    </w:p>
    <w:p>
      <w:pPr>
        <w:pStyle w:val="BodyText"/>
        <w:spacing w:before="5"/>
        <w:rPr>
          <w:sz w:val="36"/>
        </w:rPr>
      </w:pPr>
    </w:p>
    <w:p>
      <w:pPr>
        <w:pStyle w:val="Heading1"/>
        <w:numPr>
          <w:ilvl w:val="1"/>
          <w:numId w:val="3"/>
        </w:numPr>
        <w:tabs>
          <w:tab w:pos="583" w:val="left" w:leader="none"/>
        </w:tabs>
        <w:spacing w:line="242" w:lineRule="auto" w:before="0" w:after="0"/>
        <w:ind w:left="582" w:right="1348" w:hanging="480"/>
        <w:jc w:val="left"/>
      </w:pPr>
      <w:r>
        <w:rPr/>
        <w:t>EXCHANGE RATE FORECASTING PROCEDURES AND</w:t>
      </w:r>
      <w:r>
        <w:rPr>
          <w:spacing w:val="-22"/>
        </w:rPr>
        <w:t> </w:t>
      </w:r>
      <w:r>
        <w:rPr/>
        <w:t>THE INTEREST RATE</w:t>
      </w:r>
      <w:r>
        <w:rPr>
          <w:spacing w:val="3"/>
        </w:rPr>
        <w:t> </w:t>
      </w:r>
      <w:r>
        <w:rPr/>
        <w:t>DECISION</w:t>
      </w:r>
    </w:p>
    <w:p>
      <w:pPr>
        <w:pStyle w:val="BodyText"/>
        <w:spacing w:before="4"/>
        <w:rPr>
          <w:b/>
          <w:sz w:val="23"/>
        </w:rPr>
      </w:pPr>
    </w:p>
    <w:p>
      <w:pPr>
        <w:pStyle w:val="BodyText"/>
        <w:tabs>
          <w:tab w:pos="2631" w:val="left" w:leader="none"/>
        </w:tabs>
        <w:spacing w:line="360" w:lineRule="auto"/>
        <w:ind w:left="102" w:right="392"/>
      </w:pPr>
      <w:r>
        <w:rPr/>
        <w:t>In</w:t>
      </w:r>
      <w:r>
        <w:rPr>
          <w:spacing w:val="-4"/>
        </w:rPr>
        <w:t> </w:t>
      </w:r>
      <w:r>
        <w:rPr/>
        <w:t>a</w:t>
      </w:r>
      <w:r>
        <w:rPr>
          <w:spacing w:val="-4"/>
        </w:rPr>
        <w:t> </w:t>
      </w:r>
      <w:r>
        <w:rPr/>
        <w:t>small,</w:t>
      </w:r>
      <w:r>
        <w:rPr>
          <w:spacing w:val="-4"/>
        </w:rPr>
        <w:t> </w:t>
      </w:r>
      <w:r>
        <w:rPr>
          <w:spacing w:val="3"/>
        </w:rPr>
        <w:t>open</w:t>
      </w:r>
      <w:r>
        <w:rPr/>
        <w:t> economy</w:t>
      </w:r>
      <w:r>
        <w:rPr>
          <w:spacing w:val="-4"/>
        </w:rPr>
        <w:t> </w:t>
      </w:r>
      <w:r>
        <w:rPr/>
        <w:t>like</w:t>
      </w:r>
      <w:r>
        <w:rPr>
          <w:spacing w:val="-4"/>
        </w:rPr>
        <w:t> </w:t>
      </w:r>
      <w:r>
        <w:rPr/>
        <w:t>the</w:t>
      </w:r>
      <w:r>
        <w:rPr>
          <w:spacing w:val="-4"/>
        </w:rPr>
        <w:t> </w:t>
      </w:r>
      <w:r>
        <w:rPr/>
        <w:t>UK,</w:t>
      </w:r>
      <w:r>
        <w:rPr>
          <w:spacing w:val="-4"/>
        </w:rPr>
        <w:t> </w:t>
      </w:r>
      <w:r>
        <w:rPr/>
        <w:t>the</w:t>
      </w:r>
      <w:r>
        <w:rPr>
          <w:spacing w:val="-4"/>
        </w:rPr>
        <w:t> </w:t>
      </w:r>
      <w:r>
        <w:rPr/>
        <w:t>exchange</w:t>
      </w:r>
      <w:r>
        <w:rPr>
          <w:spacing w:val="-5"/>
        </w:rPr>
        <w:t> </w:t>
      </w:r>
      <w:r>
        <w:rPr/>
        <w:t>rate</w:t>
      </w:r>
      <w:r>
        <w:rPr>
          <w:spacing w:val="-3"/>
        </w:rPr>
        <w:t> </w:t>
      </w:r>
      <w:r>
        <w:rPr/>
        <w:t>can</w:t>
      </w:r>
      <w:r>
        <w:rPr>
          <w:spacing w:val="-4"/>
        </w:rPr>
        <w:t> </w:t>
      </w:r>
      <w:r>
        <w:rPr/>
        <w:t>have</w:t>
      </w:r>
      <w:r>
        <w:rPr>
          <w:spacing w:val="-4"/>
        </w:rPr>
        <w:t> </w:t>
      </w:r>
      <w:r>
        <w:rPr/>
        <w:t>an</w:t>
      </w:r>
      <w:r>
        <w:rPr>
          <w:spacing w:val="-4"/>
        </w:rPr>
        <w:t> </w:t>
      </w:r>
      <w:r>
        <w:rPr/>
        <w:t>important effect </w:t>
      </w:r>
      <w:r>
        <w:rPr>
          <w:spacing w:val="2"/>
        </w:rPr>
        <w:t>on </w:t>
      </w:r>
      <w:r>
        <w:rPr/>
        <w:t>the</w:t>
      </w:r>
      <w:r>
        <w:rPr>
          <w:spacing w:val="-8"/>
        </w:rPr>
        <w:t> </w:t>
      </w:r>
      <w:r>
        <w:rPr/>
        <w:t>inflation</w:t>
      </w:r>
      <w:r>
        <w:rPr>
          <w:spacing w:val="-5"/>
        </w:rPr>
        <w:t> </w:t>
      </w:r>
      <w:r>
        <w:rPr/>
        <w:t>forecast.</w:t>
        <w:tab/>
        <w:t>For example, in the context </w:t>
      </w:r>
      <w:r>
        <w:rPr>
          <w:spacing w:val="2"/>
        </w:rPr>
        <w:t>of </w:t>
      </w:r>
      <w:r>
        <w:rPr/>
        <w:t>the core macro-econometric model used in the </w:t>
      </w:r>
      <w:r>
        <w:rPr>
          <w:spacing w:val="-6"/>
        </w:rPr>
        <w:t>MPC’s </w:t>
      </w:r>
      <w:r>
        <w:rPr/>
        <w:t>forecasting process, if </w:t>
      </w:r>
      <w:r>
        <w:rPr>
          <w:spacing w:val="3"/>
        </w:rPr>
        <w:t>one </w:t>
      </w:r>
      <w:r>
        <w:rPr/>
        <w:t>takes an exogenous fall in the exchange rate </w:t>
      </w:r>
      <w:r>
        <w:rPr>
          <w:spacing w:val="2"/>
        </w:rPr>
        <w:t>of </w:t>
      </w:r>
      <w:r>
        <w:rPr/>
        <w:t>10% (i.e. a change that, hypothetically, </w:t>
      </w:r>
      <w:r>
        <w:rPr>
          <w:spacing w:val="4"/>
        </w:rPr>
        <w:t>occurs </w:t>
      </w:r>
      <w:r>
        <w:rPr/>
        <w:t>for reasons that are unrelated </w:t>
      </w:r>
      <w:r>
        <w:rPr>
          <w:spacing w:val="3"/>
        </w:rPr>
        <w:t>to </w:t>
      </w:r>
      <w:r>
        <w:rPr/>
        <w:t>the fundamentals), then, this would imply an increase </w:t>
      </w:r>
      <w:r>
        <w:rPr>
          <w:spacing w:val="3"/>
        </w:rPr>
        <w:t>of </w:t>
      </w:r>
      <w:r>
        <w:rPr/>
        <w:t>as much</w:t>
      </w:r>
      <w:r>
        <w:rPr>
          <w:spacing w:val="-27"/>
        </w:rPr>
        <w:t> </w:t>
      </w:r>
      <w:r>
        <w:rPr/>
        <w:t>as</w:t>
      </w:r>
    </w:p>
    <w:p>
      <w:pPr>
        <w:pStyle w:val="BodyText"/>
        <w:tabs>
          <w:tab w:pos="5292" w:val="left" w:leader="none"/>
        </w:tabs>
        <w:spacing w:line="360" w:lineRule="auto"/>
        <w:ind w:left="102" w:right="307"/>
      </w:pPr>
      <w:r>
        <w:rPr/>
        <w:t>1.4 percentage points </w:t>
      </w:r>
      <w:r>
        <w:rPr>
          <w:spacing w:val="2"/>
        </w:rPr>
        <w:t>on </w:t>
      </w:r>
      <w:r>
        <w:rPr/>
        <w:t>RPIX inflation 2</w:t>
      </w:r>
      <w:r>
        <w:rPr>
          <w:spacing w:val="-27"/>
        </w:rPr>
        <w:t> </w:t>
      </w:r>
      <w:r>
        <w:rPr/>
        <w:t>years</w:t>
      </w:r>
      <w:r>
        <w:rPr>
          <w:spacing w:val="-4"/>
        </w:rPr>
        <w:t> </w:t>
      </w:r>
      <w:r>
        <w:rPr/>
        <w:t>out.</w:t>
        <w:tab/>
        <w:t>Hence, if </w:t>
      </w:r>
      <w:r>
        <w:rPr>
          <w:spacing w:val="2"/>
        </w:rPr>
        <w:t>one </w:t>
      </w:r>
      <w:r>
        <w:rPr/>
        <w:t>were </w:t>
      </w:r>
      <w:r>
        <w:rPr>
          <w:spacing w:val="2"/>
        </w:rPr>
        <w:t>to </w:t>
      </w:r>
      <w:r>
        <w:rPr/>
        <w:t>use the inflation forecast and the model mechanically </w:t>
      </w:r>
      <w:r>
        <w:rPr>
          <w:spacing w:val="2"/>
        </w:rPr>
        <w:t>(which </w:t>
      </w:r>
      <w:r>
        <w:rPr/>
        <w:t>the MPC does </w:t>
      </w:r>
      <w:r>
        <w:rPr>
          <w:spacing w:val="3"/>
        </w:rPr>
        <w:t>not), </w:t>
      </w:r>
      <w:r>
        <w:rPr/>
        <w:t>the implied impact </w:t>
      </w:r>
      <w:r>
        <w:rPr>
          <w:spacing w:val="2"/>
        </w:rPr>
        <w:t>on </w:t>
      </w:r>
      <w:r>
        <w:rPr/>
        <w:t>interest rates </w:t>
      </w:r>
      <w:r>
        <w:rPr>
          <w:spacing w:val="2"/>
        </w:rPr>
        <w:t>of </w:t>
      </w:r>
      <w:r>
        <w:rPr/>
        <w:t>a difference in the exchange rate forecast can be</w:t>
      </w:r>
      <w:r>
        <w:rPr>
          <w:spacing w:val="-42"/>
        </w:rPr>
        <w:t> </w:t>
      </w:r>
      <w:r>
        <w:rPr/>
        <w:t>substantial.</w:t>
      </w:r>
    </w:p>
    <w:p>
      <w:pPr>
        <w:pStyle w:val="BodyText"/>
        <w:spacing w:before="10"/>
        <w:rPr>
          <w:sz w:val="35"/>
        </w:rPr>
      </w:pPr>
    </w:p>
    <w:p>
      <w:pPr>
        <w:pStyle w:val="BodyText"/>
        <w:spacing w:line="360" w:lineRule="auto"/>
        <w:ind w:left="102" w:right="213"/>
      </w:pPr>
      <w:r>
        <w:rPr/>
        <w:t>Note also that, therefore, the more pessimistic that the MPC is about sterling, then, other things being equal, the higher that UK interest rates will be and consequently, the higher that sterling will be. Hence, those who desire sterling to be lower must actually want the MPC to expect sterling to remain high!</w:t>
      </w:r>
    </w:p>
    <w:p>
      <w:pPr>
        <w:pStyle w:val="BodyText"/>
        <w:spacing w:before="11"/>
        <w:rPr>
          <w:sz w:val="35"/>
        </w:rPr>
      </w:pPr>
    </w:p>
    <w:p>
      <w:pPr>
        <w:pStyle w:val="BodyText"/>
        <w:spacing w:line="360" w:lineRule="auto"/>
        <w:ind w:left="102" w:right="206"/>
      </w:pPr>
      <w:r>
        <w:rPr/>
        <w:t>Now, at the Bank of England, the exchange rate has (until November 1999) been forecast using the assumption of the textbook uncovered interest parity (UIP, hereafter) hypothesis whereby the exchange rate is assumed to move in line with existing interest rate differentials. Note that during a period where the effective exchange rate has moved from around 83 in 1996 Q1, to about 113 in May 2000, at each stage during this near 35% </w:t>
      </w:r>
      <w:r>
        <w:rPr>
          <w:u w:val="single"/>
        </w:rPr>
        <w:t>appreciation</w:t>
      </w:r>
      <w:r>
        <w:rPr/>
        <w:t> of the currency, the Bank of England has tended to predict a </w:t>
      </w:r>
      <w:r>
        <w:rPr>
          <w:u w:val="single"/>
        </w:rPr>
        <w:t>depreciation</w:t>
      </w:r>
      <w:r>
        <w:rPr/>
        <w:t> (see Figure 5). A corollary of this is that, other things being equal, the Bank of England’s inflation forecast has been persistently higher than it might have been under perfect foresight of the exchange rate and, therefore, there is a risk that interest rates have been set too high. Of course, as we discussed above, forecasting exchange rates is not easy.</w:t>
      </w:r>
    </w:p>
    <w:p>
      <w:pPr>
        <w:spacing w:after="0" w:line="360" w:lineRule="auto"/>
        <w:sectPr>
          <w:pgSz w:w="11900" w:h="16840"/>
          <w:pgMar w:header="0" w:footer="743" w:top="1360" w:bottom="940" w:left="1520" w:right="1660"/>
        </w:sectPr>
      </w:pPr>
    </w:p>
    <w:p>
      <w:pPr>
        <w:pStyle w:val="BodyText"/>
        <w:spacing w:before="73"/>
        <w:ind w:left="102"/>
      </w:pPr>
      <w:r>
        <w:rPr/>
        <w:t>Figure 5</w:t>
      </w:r>
    </w:p>
    <w:p>
      <w:pPr>
        <w:pStyle w:val="BodyText"/>
        <w:spacing w:before="3"/>
        <w:rPr>
          <w:sz w:val="25"/>
        </w:rPr>
      </w:pPr>
    </w:p>
    <w:p>
      <w:pPr>
        <w:spacing w:before="91"/>
        <w:ind w:left="409" w:right="0" w:firstLine="0"/>
        <w:jc w:val="left"/>
        <w:rPr>
          <w:b/>
          <w:sz w:val="23"/>
        </w:rPr>
      </w:pPr>
      <w:r>
        <w:rPr>
          <w:b/>
          <w:sz w:val="23"/>
        </w:rPr>
        <w:t>Inflation Report ERI forecasts relative to outturn</w:t>
      </w:r>
    </w:p>
    <w:p>
      <w:pPr>
        <w:spacing w:after="0"/>
        <w:jc w:val="left"/>
        <w:rPr>
          <w:sz w:val="23"/>
        </w:rPr>
        <w:sectPr>
          <w:pgSz w:w="11900" w:h="16840"/>
          <w:pgMar w:header="0" w:footer="743" w:top="1360" w:bottom="940" w:left="1520" w:right="1660"/>
        </w:sectPr>
      </w:pPr>
    </w:p>
    <w:p>
      <w:pPr>
        <w:pStyle w:val="BodyText"/>
        <w:spacing w:before="8"/>
        <w:rPr>
          <w:b/>
          <w:sz w:val="15"/>
        </w:rPr>
      </w:pPr>
    </w:p>
    <w:p>
      <w:pPr>
        <w:spacing w:before="0"/>
        <w:ind w:left="347" w:right="0" w:firstLine="0"/>
        <w:jc w:val="left"/>
        <w:rPr>
          <w:sz w:val="16"/>
        </w:rPr>
      </w:pPr>
      <w:r>
        <w:rPr>
          <w:sz w:val="16"/>
        </w:rPr>
        <w:t>115</w:t>
      </w:r>
    </w:p>
    <w:p>
      <w:pPr>
        <w:pStyle w:val="BodyText"/>
        <w:spacing w:before="7"/>
        <w:rPr>
          <w:sz w:val="18"/>
        </w:rPr>
      </w:pPr>
      <w:r>
        <w:rPr/>
        <w:br w:type="column"/>
      </w:r>
      <w:r>
        <w:rPr>
          <w:sz w:val="18"/>
        </w:rPr>
      </w:r>
    </w:p>
    <w:p>
      <w:pPr>
        <w:spacing w:before="0"/>
        <w:ind w:left="156" w:right="0" w:firstLine="0"/>
        <w:jc w:val="left"/>
        <w:rPr>
          <w:sz w:val="16"/>
        </w:rPr>
      </w:pPr>
      <w:r>
        <w:rPr/>
        <w:pict>
          <v:group style="position:absolute;margin-left:108.959999pt;margin-top:3.508767pt;width:288.5pt;height:180.85pt;mso-position-horizontal-relative:page;mso-position-vertical-relative:paragraph;z-index:-252546048" coordorigin="2179,70" coordsize="5770,3617">
            <v:shape style="position:absolute;left:2179;top:72;width:5765;height:3615" coordorigin="2179,73" coordsize="5765,3615" path="m2227,73l2227,3634m2179,3634l2227,3634m2179,3125l2227,3125m2179,2617l2227,2617m2179,2108l2227,2108m2179,1599l2227,1599m2179,1090l2227,1090m2179,581l2227,581m2179,73l2227,73m2227,3634l7944,3634m2227,3687l2227,3634m3144,3687l3144,3634m4056,3687l4056,3634m4973,3687l4973,3634m5890,3687l5890,3634m6802,3687l6802,3634m7714,3687l7714,3634e" filled="false" stroked="true" strokeweight=".24pt" strokecolor="#000000">
              <v:path arrowok="t"/>
              <v:stroke dashstyle="solid"/>
            </v:shape>
            <v:shape style="position:absolute;left:2198;top:518;width:5660;height:2871" type="#_x0000_t75" stroked="false">
              <v:imagedata r:id="rId9" o:title=""/>
            </v:shape>
            <v:shape style="position:absolute;left:7468;top:677;width:480;height:749" coordorigin="7469,677" coordsize="480,749" path="m7498,1407l7474,1402,7469,1421,7493,1426,7498,1407m7723,869l7704,865,7704,884,7723,889,7723,869m7949,677l7934,677,7930,697,7949,697,7949,677e" filled="true" fillcolor="#ff0000" stroked="false">
              <v:path arrowok="t"/>
              <v:fill type="solid"/>
            </v:shape>
            <w10:wrap type="none"/>
          </v:group>
        </w:pict>
      </w:r>
      <w:r>
        <w:rPr>
          <w:sz w:val="16"/>
        </w:rPr>
        <w:t>1990=100</w:t>
      </w:r>
    </w:p>
    <w:p>
      <w:pPr>
        <w:spacing w:after="0"/>
        <w:jc w:val="left"/>
        <w:rPr>
          <w:sz w:val="16"/>
        </w:rPr>
        <w:sectPr>
          <w:type w:val="continuous"/>
          <w:pgSz w:w="11900" w:h="16840"/>
          <w:pgMar w:top="1180" w:bottom="280" w:left="1520" w:right="1660"/>
          <w:cols w:num="2" w:equalWidth="0">
            <w:col w:w="588" w:space="40"/>
            <w:col w:w="8092"/>
          </w:cols>
        </w:sectPr>
      </w:pPr>
    </w:p>
    <w:p>
      <w:pPr>
        <w:pStyle w:val="BodyText"/>
        <w:rPr>
          <w:sz w:val="15"/>
        </w:rPr>
      </w:pPr>
    </w:p>
    <w:p>
      <w:pPr>
        <w:spacing w:after="0"/>
        <w:rPr>
          <w:sz w:val="15"/>
        </w:rPr>
        <w:sectPr>
          <w:type w:val="continuous"/>
          <w:pgSz w:w="11900" w:h="16840"/>
          <w:pgMar w:top="1180" w:bottom="280" w:left="1520" w:right="1660"/>
        </w:sectPr>
      </w:pPr>
    </w:p>
    <w:p>
      <w:pPr>
        <w:spacing w:before="119"/>
        <w:ind w:left="347" w:right="0" w:firstLine="0"/>
        <w:jc w:val="left"/>
        <w:rPr>
          <w:sz w:val="16"/>
        </w:rPr>
      </w:pPr>
      <w:r>
        <w:rPr>
          <w:sz w:val="16"/>
        </w:rPr>
        <w:t>110</w:t>
      </w:r>
    </w:p>
    <w:p>
      <w:pPr>
        <w:spacing w:before="99"/>
        <w:ind w:left="347" w:right="0" w:firstLine="0"/>
        <w:jc w:val="left"/>
        <w:rPr>
          <w:sz w:val="13"/>
        </w:rPr>
      </w:pPr>
      <w:r>
        <w:rPr/>
        <w:br w:type="column"/>
      </w:r>
      <w:r>
        <w:rPr>
          <w:sz w:val="13"/>
        </w:rPr>
        <w:t>May00 IR</w:t>
      </w:r>
    </w:p>
    <w:p>
      <w:pPr>
        <w:spacing w:after="0"/>
        <w:jc w:val="left"/>
        <w:rPr>
          <w:sz w:val="13"/>
        </w:rPr>
        <w:sectPr>
          <w:type w:val="continuous"/>
          <w:pgSz w:w="11900" w:h="16840"/>
          <w:pgMar w:top="1180" w:bottom="280" w:left="1520" w:right="1660"/>
          <w:cols w:num="2" w:equalWidth="0">
            <w:col w:w="628" w:space="4936"/>
            <w:col w:w="3156"/>
          </w:cols>
        </w:sectPr>
      </w:pPr>
    </w:p>
    <w:p>
      <w:pPr>
        <w:pStyle w:val="BodyText"/>
        <w:rPr>
          <w:sz w:val="20"/>
        </w:rPr>
      </w:pPr>
    </w:p>
    <w:p>
      <w:pPr>
        <w:spacing w:after="0"/>
        <w:rPr>
          <w:sz w:val="20"/>
        </w:rPr>
        <w:sectPr>
          <w:type w:val="continuous"/>
          <w:pgSz w:w="11900" w:h="16840"/>
          <w:pgMar w:top="1180" w:bottom="280" w:left="1520" w:right="1660"/>
        </w:sectPr>
      </w:pPr>
    </w:p>
    <w:p>
      <w:pPr>
        <w:spacing w:before="94"/>
        <w:ind w:left="0" w:right="38" w:firstLine="0"/>
        <w:jc w:val="right"/>
        <w:rPr>
          <w:sz w:val="16"/>
        </w:rPr>
      </w:pPr>
      <w:r>
        <w:rPr>
          <w:spacing w:val="-2"/>
          <w:sz w:val="16"/>
        </w:rPr>
        <w:t>105</w:t>
      </w:r>
    </w:p>
    <w:p>
      <w:pPr>
        <w:pStyle w:val="BodyText"/>
        <w:rPr>
          <w:sz w:val="18"/>
        </w:rPr>
      </w:pPr>
    </w:p>
    <w:p>
      <w:pPr>
        <w:spacing w:before="118"/>
        <w:ind w:left="0" w:right="38" w:firstLine="0"/>
        <w:jc w:val="right"/>
        <w:rPr>
          <w:sz w:val="16"/>
        </w:rPr>
      </w:pPr>
      <w:r>
        <w:rPr>
          <w:spacing w:val="-2"/>
          <w:sz w:val="16"/>
        </w:rPr>
        <w:t>100</w:t>
      </w:r>
    </w:p>
    <w:p>
      <w:pPr>
        <w:pStyle w:val="BodyText"/>
        <w:rPr>
          <w:sz w:val="18"/>
        </w:rPr>
      </w:pPr>
    </w:p>
    <w:p>
      <w:pPr>
        <w:spacing w:before="118"/>
        <w:ind w:left="0" w:right="38" w:firstLine="0"/>
        <w:jc w:val="right"/>
        <w:rPr>
          <w:sz w:val="16"/>
        </w:rPr>
      </w:pPr>
      <w:r>
        <w:rPr>
          <w:spacing w:val="-3"/>
          <w:sz w:val="16"/>
        </w:rPr>
        <w:t>95</w:t>
      </w:r>
    </w:p>
    <w:p>
      <w:pPr>
        <w:spacing w:before="108"/>
        <w:ind w:left="568" w:right="0" w:firstLine="0"/>
        <w:jc w:val="left"/>
        <w:rPr>
          <w:sz w:val="13"/>
        </w:rPr>
      </w:pPr>
      <w:r>
        <w:rPr/>
        <w:br w:type="column"/>
      </w:r>
      <w:r>
        <w:rPr>
          <w:sz w:val="13"/>
        </w:rPr>
        <w:t>Feb00 IR</w:t>
      </w:r>
    </w:p>
    <w:p>
      <w:pPr>
        <w:pStyle w:val="BodyText"/>
        <w:rPr>
          <w:sz w:val="14"/>
        </w:rPr>
      </w:pPr>
    </w:p>
    <w:p>
      <w:pPr>
        <w:pStyle w:val="BodyText"/>
        <w:spacing w:before="1"/>
        <w:rPr>
          <w:sz w:val="13"/>
        </w:rPr>
      </w:pPr>
    </w:p>
    <w:p>
      <w:pPr>
        <w:spacing w:before="0"/>
        <w:ind w:left="476" w:right="0" w:firstLine="0"/>
        <w:jc w:val="left"/>
        <w:rPr>
          <w:sz w:val="13"/>
        </w:rPr>
      </w:pPr>
      <w:r>
        <w:rPr>
          <w:w w:val="105"/>
          <w:sz w:val="13"/>
        </w:rPr>
        <w:t>Nov99 IR</w:t>
      </w:r>
    </w:p>
    <w:p>
      <w:pPr>
        <w:pStyle w:val="BodyText"/>
        <w:rPr>
          <w:sz w:val="14"/>
        </w:rPr>
      </w:pPr>
    </w:p>
    <w:p>
      <w:pPr>
        <w:pStyle w:val="BodyText"/>
        <w:spacing w:before="1"/>
        <w:rPr>
          <w:sz w:val="15"/>
        </w:rPr>
      </w:pPr>
    </w:p>
    <w:p>
      <w:pPr>
        <w:spacing w:before="1"/>
        <w:ind w:left="347" w:right="0" w:firstLine="0"/>
        <w:jc w:val="left"/>
        <w:rPr>
          <w:sz w:val="13"/>
        </w:rPr>
      </w:pPr>
      <w:r>
        <w:rPr>
          <w:w w:val="105"/>
          <w:sz w:val="13"/>
        </w:rPr>
        <w:t>Aug99 IR</w:t>
      </w:r>
    </w:p>
    <w:p>
      <w:pPr>
        <w:spacing w:after="0"/>
        <w:jc w:val="left"/>
        <w:rPr>
          <w:sz w:val="13"/>
        </w:rPr>
        <w:sectPr>
          <w:type w:val="continuous"/>
          <w:pgSz w:w="11900" w:h="16840"/>
          <w:pgMar w:top="1180" w:bottom="280" w:left="1520" w:right="1660"/>
          <w:cols w:num="2" w:equalWidth="0">
            <w:col w:w="628" w:space="4806"/>
            <w:col w:w="3286"/>
          </w:cols>
        </w:sectPr>
      </w:pPr>
    </w:p>
    <w:p>
      <w:pPr>
        <w:pStyle w:val="BodyText"/>
        <w:spacing w:before="1"/>
        <w:rPr>
          <w:sz w:val="20"/>
        </w:rPr>
      </w:pPr>
    </w:p>
    <w:p>
      <w:pPr>
        <w:spacing w:before="94"/>
        <w:ind w:left="428" w:right="0" w:firstLine="0"/>
        <w:jc w:val="left"/>
        <w:rPr>
          <w:sz w:val="16"/>
        </w:rPr>
      </w:pPr>
      <w:r>
        <w:rPr>
          <w:sz w:val="16"/>
        </w:rPr>
        <w:t>90</w:t>
      </w:r>
    </w:p>
    <w:p>
      <w:pPr>
        <w:pStyle w:val="BodyText"/>
        <w:spacing w:before="1"/>
        <w:rPr>
          <w:sz w:val="20"/>
        </w:rPr>
      </w:pPr>
    </w:p>
    <w:p>
      <w:pPr>
        <w:spacing w:before="94"/>
        <w:ind w:left="428" w:right="0" w:firstLine="0"/>
        <w:jc w:val="left"/>
        <w:rPr>
          <w:sz w:val="16"/>
        </w:rPr>
      </w:pPr>
      <w:r>
        <w:rPr>
          <w:sz w:val="16"/>
        </w:rPr>
        <w:t>85</w:t>
      </w:r>
    </w:p>
    <w:p>
      <w:pPr>
        <w:pStyle w:val="BodyText"/>
        <w:spacing w:before="1"/>
        <w:rPr>
          <w:sz w:val="20"/>
        </w:rPr>
      </w:pPr>
    </w:p>
    <w:p>
      <w:pPr>
        <w:spacing w:before="94"/>
        <w:ind w:left="428" w:right="0" w:firstLine="0"/>
        <w:jc w:val="left"/>
        <w:rPr>
          <w:sz w:val="16"/>
        </w:rPr>
      </w:pPr>
      <w:r>
        <w:rPr>
          <w:sz w:val="16"/>
        </w:rPr>
        <w:t>80</w:t>
      </w:r>
    </w:p>
    <w:p>
      <w:pPr>
        <w:tabs>
          <w:tab w:pos="1460" w:val="left" w:leader="none"/>
          <w:tab w:pos="2377" w:val="left" w:leader="none"/>
          <w:tab w:pos="3289" w:val="left" w:leader="none"/>
          <w:tab w:pos="4206" w:val="left" w:leader="none"/>
          <w:tab w:pos="5123" w:val="left" w:leader="none"/>
          <w:tab w:pos="6035" w:val="left" w:leader="none"/>
        </w:tabs>
        <w:spacing w:before="60"/>
        <w:ind w:left="548" w:right="0" w:firstLine="0"/>
        <w:jc w:val="left"/>
        <w:rPr>
          <w:sz w:val="16"/>
        </w:rPr>
      </w:pPr>
      <w:r>
        <w:rPr>
          <w:sz w:val="16"/>
        </w:rPr>
        <w:t>1996</w:t>
        <w:tab/>
        <w:t>1997</w:t>
        <w:tab/>
        <w:t>1998</w:t>
        <w:tab/>
        <w:t>1999</w:t>
        <w:tab/>
        <w:t>2000</w:t>
        <w:tab/>
        <w:t>2001</w:t>
        <w:tab/>
        <w:t>2002</w:t>
      </w:r>
    </w:p>
    <w:p>
      <w:pPr>
        <w:pStyle w:val="BodyText"/>
        <w:spacing w:before="7"/>
        <w:rPr>
          <w:sz w:val="9"/>
        </w:rPr>
      </w:pPr>
    </w:p>
    <w:p>
      <w:pPr>
        <w:spacing w:before="99"/>
        <w:ind w:left="217" w:right="0" w:firstLine="0"/>
        <w:jc w:val="left"/>
        <w:rPr>
          <w:sz w:val="13"/>
        </w:rPr>
      </w:pPr>
      <w:r>
        <w:rPr>
          <w:sz w:val="13"/>
        </w:rPr>
        <w:t>We have linearly interpolated between the starting point and the 2yr ahead projection published in each IR.</w:t>
      </w: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2" w:right="201"/>
      </w:pPr>
      <w:r>
        <w:rPr/>
        <w:t>A lesson that I draw from our difficulties with forecasting exchange rates is that one needs to be open-minded and willing to use a variety of different inputs and techniques to arrive at one’s view about the likely evolution of the exchange rate. I think that it would be a mistake to stay within the straitjacket of academic, Rational Expectations- based models.</w:t>
      </w:r>
    </w:p>
    <w:p>
      <w:pPr>
        <w:pStyle w:val="BodyText"/>
        <w:spacing w:before="9"/>
        <w:rPr>
          <w:sz w:val="35"/>
        </w:rPr>
      </w:pPr>
    </w:p>
    <w:p>
      <w:pPr>
        <w:pStyle w:val="BodyText"/>
        <w:spacing w:line="360" w:lineRule="auto" w:before="1"/>
        <w:ind w:left="102" w:right="201"/>
      </w:pPr>
      <w:r>
        <w:rPr/>
        <w:t>In terms of policy-setting, I wonder if a lesson is that, perhaps, one should not set interest rates on the assumption that exchange rates would fall, but, instead, react to the situation if and when the exchange rate falls. This is analogous to how the MPC treats equity prices, and it may well turn out to be appropriate here, though I regard it as very much the second-best alternative.</w:t>
      </w:r>
    </w:p>
    <w:p>
      <w:pPr>
        <w:spacing w:after="0" w:line="360" w:lineRule="auto"/>
        <w:sectPr>
          <w:type w:val="continuous"/>
          <w:pgSz w:w="11900" w:h="16840"/>
          <w:pgMar w:top="1180" w:bottom="280" w:left="1520" w:right="1660"/>
        </w:sectPr>
      </w:pPr>
    </w:p>
    <w:p>
      <w:pPr>
        <w:pStyle w:val="BodyText"/>
        <w:rPr>
          <w:sz w:val="14"/>
        </w:rPr>
      </w:pPr>
    </w:p>
    <w:p>
      <w:pPr>
        <w:pStyle w:val="Heading1"/>
        <w:spacing w:before="90"/>
      </w:pPr>
      <w:r>
        <w:rPr/>
        <w:t>CONCLUSIONS</w:t>
      </w:r>
    </w:p>
    <w:p>
      <w:pPr>
        <w:pStyle w:val="BodyText"/>
        <w:rPr>
          <w:b/>
          <w:sz w:val="26"/>
        </w:rPr>
      </w:pPr>
    </w:p>
    <w:p>
      <w:pPr>
        <w:pStyle w:val="BodyText"/>
        <w:spacing w:before="9"/>
        <w:rPr>
          <w:b/>
          <w:sz w:val="21"/>
        </w:rPr>
      </w:pPr>
    </w:p>
    <w:p>
      <w:pPr>
        <w:pStyle w:val="BodyText"/>
        <w:ind w:left="102"/>
      </w:pPr>
      <w:r>
        <w:rPr/>
        <w:t>I have argued today that:</w:t>
      </w:r>
    </w:p>
    <w:p>
      <w:pPr>
        <w:pStyle w:val="BodyText"/>
        <w:rPr>
          <w:sz w:val="26"/>
        </w:rPr>
      </w:pPr>
    </w:p>
    <w:p>
      <w:pPr>
        <w:pStyle w:val="BodyText"/>
        <w:spacing w:before="9"/>
        <w:rPr>
          <w:sz w:val="21"/>
        </w:rPr>
      </w:pPr>
    </w:p>
    <w:p>
      <w:pPr>
        <w:pStyle w:val="ListParagraph"/>
        <w:numPr>
          <w:ilvl w:val="0"/>
          <w:numId w:val="4"/>
        </w:numPr>
        <w:tabs>
          <w:tab w:pos="822" w:val="left" w:leader="none"/>
          <w:tab w:pos="823" w:val="left" w:leader="none"/>
        </w:tabs>
        <w:spacing w:line="240" w:lineRule="auto" w:before="0" w:after="0"/>
        <w:ind w:left="822" w:right="0" w:hanging="721"/>
        <w:jc w:val="left"/>
        <w:rPr>
          <w:sz w:val="24"/>
        </w:rPr>
      </w:pPr>
      <w:r>
        <w:rPr>
          <w:sz w:val="24"/>
          <w:u w:val="single"/>
        </w:rPr>
        <w:t>Re-rating </w:t>
      </w:r>
      <w:r>
        <w:rPr>
          <w:spacing w:val="2"/>
          <w:sz w:val="24"/>
          <w:u w:val="single"/>
        </w:rPr>
        <w:t>of</w:t>
      </w:r>
      <w:r>
        <w:rPr>
          <w:spacing w:val="10"/>
          <w:sz w:val="24"/>
          <w:u w:val="single"/>
        </w:rPr>
        <w:t> </w:t>
      </w:r>
      <w:r>
        <w:rPr>
          <w:sz w:val="24"/>
          <w:u w:val="single"/>
        </w:rPr>
        <w:t>sterling</w:t>
      </w:r>
    </w:p>
    <w:p>
      <w:pPr>
        <w:pStyle w:val="BodyText"/>
        <w:rPr>
          <w:sz w:val="20"/>
        </w:rPr>
      </w:pPr>
    </w:p>
    <w:p>
      <w:pPr>
        <w:pStyle w:val="BodyText"/>
        <w:spacing w:before="5"/>
        <w:rPr>
          <w:sz w:val="20"/>
        </w:rPr>
      </w:pPr>
    </w:p>
    <w:p>
      <w:pPr>
        <w:pStyle w:val="BodyText"/>
        <w:spacing w:line="360" w:lineRule="auto" w:before="90"/>
        <w:ind w:left="102" w:right="150"/>
      </w:pPr>
      <w:r>
        <w:rPr/>
        <w:t>Although there are some good reasons (eg supply-side reform, improved macroeconomic framework) for a re-rating of sterling versus the DM, and the “equilibrium” exchange is likely to be </w:t>
      </w:r>
      <w:r>
        <w:rPr>
          <w:u w:val="single"/>
        </w:rPr>
        <w:t>higher</w:t>
      </w:r>
      <w:r>
        <w:rPr/>
        <w:t> than the PPP level of around DM2.60 it is very difficult to justify the level of around DM3.40 that was achieved in early May.</w:t>
      </w:r>
    </w:p>
    <w:p>
      <w:pPr>
        <w:pStyle w:val="BodyText"/>
        <w:spacing w:before="10"/>
        <w:rPr>
          <w:sz w:val="35"/>
        </w:rPr>
      </w:pPr>
    </w:p>
    <w:p>
      <w:pPr>
        <w:pStyle w:val="ListParagraph"/>
        <w:numPr>
          <w:ilvl w:val="0"/>
          <w:numId w:val="4"/>
        </w:numPr>
        <w:tabs>
          <w:tab w:pos="822" w:val="left" w:leader="none"/>
          <w:tab w:pos="823" w:val="left" w:leader="none"/>
        </w:tabs>
        <w:spacing w:line="240" w:lineRule="auto" w:before="0" w:after="0"/>
        <w:ind w:left="822" w:right="0" w:hanging="721"/>
        <w:jc w:val="left"/>
        <w:rPr>
          <w:sz w:val="24"/>
        </w:rPr>
      </w:pPr>
      <w:r>
        <w:rPr>
          <w:sz w:val="24"/>
          <w:u w:val="single"/>
        </w:rPr>
        <w:t>Prospects for</w:t>
      </w:r>
      <w:r>
        <w:rPr>
          <w:spacing w:val="4"/>
          <w:sz w:val="24"/>
          <w:u w:val="single"/>
        </w:rPr>
        <w:t> </w:t>
      </w:r>
      <w:r>
        <w:rPr>
          <w:sz w:val="24"/>
          <w:u w:val="single"/>
        </w:rPr>
        <w:t>sterling</w:t>
      </w:r>
    </w:p>
    <w:p>
      <w:pPr>
        <w:pStyle w:val="BodyText"/>
        <w:rPr>
          <w:sz w:val="20"/>
        </w:rPr>
      </w:pPr>
    </w:p>
    <w:p>
      <w:pPr>
        <w:pStyle w:val="BodyText"/>
        <w:spacing w:before="5"/>
        <w:rPr>
          <w:sz w:val="20"/>
        </w:rPr>
      </w:pPr>
    </w:p>
    <w:p>
      <w:pPr>
        <w:pStyle w:val="BodyText"/>
        <w:spacing w:line="360" w:lineRule="auto" w:before="90"/>
        <w:ind w:left="102" w:right="240"/>
      </w:pPr>
      <w:r>
        <w:rPr/>
        <w:t>Given that sterling is now “overvalued” against the DM, it should plausibly decline over the next 2 years or so. However, while we wait for the FX market to ‘get it right’, otherwise viable businesses might face considerable difficulties, and the prospective volatility of inflation is likely to be high (and could go even higher). Therefore, it is legitimate to ask whether the MPC should ‘do something’ about the exchange rate misalignment.</w:t>
      </w:r>
    </w:p>
    <w:p>
      <w:pPr>
        <w:pStyle w:val="BodyText"/>
        <w:spacing w:before="3"/>
        <w:rPr>
          <w:sz w:val="36"/>
        </w:rPr>
      </w:pPr>
    </w:p>
    <w:p>
      <w:pPr>
        <w:pStyle w:val="ListParagraph"/>
        <w:numPr>
          <w:ilvl w:val="0"/>
          <w:numId w:val="4"/>
        </w:numPr>
        <w:tabs>
          <w:tab w:pos="822" w:val="left" w:leader="none"/>
          <w:tab w:pos="823" w:val="left" w:leader="none"/>
        </w:tabs>
        <w:spacing w:line="237" w:lineRule="auto" w:before="0" w:after="0"/>
        <w:ind w:left="822" w:right="1262" w:hanging="720"/>
        <w:jc w:val="left"/>
        <w:rPr>
          <w:sz w:val="24"/>
        </w:rPr>
      </w:pPr>
      <w:r>
        <w:rPr>
          <w:spacing w:val="2"/>
          <w:sz w:val="24"/>
          <w:u w:val="single"/>
        </w:rPr>
        <w:t>Incorporating</w:t>
      </w:r>
      <w:r>
        <w:rPr>
          <w:spacing w:val="-11"/>
          <w:sz w:val="24"/>
          <w:u w:val="single"/>
        </w:rPr>
        <w:t> </w:t>
      </w:r>
      <w:r>
        <w:rPr>
          <w:sz w:val="24"/>
          <w:u w:val="single"/>
        </w:rPr>
        <w:t>asset</w:t>
      </w:r>
      <w:r>
        <w:rPr>
          <w:spacing w:val="-8"/>
          <w:sz w:val="24"/>
          <w:u w:val="single"/>
        </w:rPr>
        <w:t> </w:t>
      </w:r>
      <w:r>
        <w:rPr>
          <w:sz w:val="24"/>
          <w:u w:val="single"/>
        </w:rPr>
        <w:t>price</w:t>
      </w:r>
      <w:r>
        <w:rPr>
          <w:spacing w:val="-12"/>
          <w:sz w:val="24"/>
          <w:u w:val="single"/>
        </w:rPr>
        <w:t> </w:t>
      </w:r>
      <w:r>
        <w:rPr>
          <w:sz w:val="24"/>
          <w:u w:val="single"/>
        </w:rPr>
        <w:t>misalignments</w:t>
      </w:r>
      <w:r>
        <w:rPr>
          <w:spacing w:val="-12"/>
          <w:sz w:val="24"/>
          <w:u w:val="single"/>
        </w:rPr>
        <w:t> </w:t>
      </w:r>
      <w:r>
        <w:rPr>
          <w:sz w:val="24"/>
          <w:u w:val="single"/>
        </w:rPr>
        <w:t>within</w:t>
      </w:r>
      <w:r>
        <w:rPr>
          <w:spacing w:val="-12"/>
          <w:sz w:val="24"/>
          <w:u w:val="single"/>
        </w:rPr>
        <w:t> </w:t>
      </w:r>
      <w:r>
        <w:rPr>
          <w:sz w:val="24"/>
          <w:u w:val="single"/>
        </w:rPr>
        <w:t>an</w:t>
      </w:r>
      <w:r>
        <w:rPr>
          <w:spacing w:val="-12"/>
          <w:sz w:val="24"/>
          <w:u w:val="single"/>
        </w:rPr>
        <w:t> </w:t>
      </w:r>
      <w:r>
        <w:rPr>
          <w:sz w:val="24"/>
          <w:u w:val="single"/>
        </w:rPr>
        <w:t>inflation-</w:t>
      </w:r>
      <w:r>
        <w:rPr>
          <w:spacing w:val="-12"/>
          <w:sz w:val="24"/>
          <w:u w:val="single"/>
        </w:rPr>
        <w:t> </w:t>
      </w:r>
      <w:r>
        <w:rPr>
          <w:sz w:val="24"/>
          <w:u w:val="single"/>
        </w:rPr>
        <w:t>targeting framework</w:t>
      </w:r>
    </w:p>
    <w:p>
      <w:pPr>
        <w:pStyle w:val="BodyText"/>
        <w:spacing w:before="3"/>
        <w:rPr>
          <w:sz w:val="16"/>
        </w:rPr>
      </w:pPr>
    </w:p>
    <w:p>
      <w:pPr>
        <w:pStyle w:val="BodyText"/>
        <w:spacing w:line="360" w:lineRule="auto" w:before="90"/>
        <w:ind w:left="102" w:right="302"/>
      </w:pPr>
      <w:r>
        <w:rPr/>
        <w:t>The MPC has an inflation target, and given that we only have one instrument, I do not believe that we can try to target the exchange rate as well. Also, I certainly do not think that we should try to get the exchange rate down by aiming for a higher inflation rate, as high and variable inflation ultimately destroys jobs.</w:t>
      </w:r>
    </w:p>
    <w:p>
      <w:pPr>
        <w:pStyle w:val="BodyText"/>
        <w:spacing w:before="11"/>
        <w:rPr>
          <w:sz w:val="35"/>
        </w:rPr>
      </w:pPr>
    </w:p>
    <w:p>
      <w:pPr>
        <w:pStyle w:val="BodyText"/>
        <w:spacing w:line="360" w:lineRule="auto"/>
        <w:ind w:left="102" w:right="296"/>
      </w:pPr>
      <w:r>
        <w:rPr/>
        <w:t>Therefore, I explored an alternative, whereby the MPC would focus on minimising the average volatility of inflation around the 2½% target at all times in the future, but, in order to achieve this goal, interest rates would respond to both, the 2 year-ahead inflation forecast </w:t>
      </w:r>
      <w:r>
        <w:rPr>
          <w:u w:val="single"/>
        </w:rPr>
        <w:t>and</w:t>
      </w:r>
      <w:r>
        <w:rPr/>
        <w:t> asset price misalignments. Of course, this would be entirely in line with the Chancellor’s remit. In the current conjuncture, it would imply that interest rates be held modestly lower than what is necessary to hit the inflation target</w:t>
      </w:r>
    </w:p>
    <w:p>
      <w:pPr>
        <w:spacing w:after="0" w:line="360" w:lineRule="auto"/>
        <w:sectPr>
          <w:pgSz w:w="11900" w:h="16840"/>
          <w:pgMar w:header="0" w:footer="743" w:top="1600" w:bottom="940" w:left="1520" w:right="1660"/>
        </w:sectPr>
      </w:pPr>
    </w:p>
    <w:p>
      <w:pPr>
        <w:pStyle w:val="BodyText"/>
        <w:spacing w:line="360" w:lineRule="auto" w:before="73"/>
        <w:ind w:left="102" w:right="133"/>
      </w:pPr>
      <w:r>
        <w:rPr/>
        <w:t>2 years out, because such a policy would, by keeping the pound lower than it would otherwise be, both, reduce the size of the inflation undershoot now, and would plausibly reduce the likely size of the inflation overshoot that might occur if and when the pound falls eventually (because it would fall from a less elevated level). Hence, the average deviation (in absolute terms) of inflation from target would plausibly be reduced by the pursuit of such a policy. Although this alternative policy rule does </w:t>
      </w:r>
      <w:r>
        <w:rPr>
          <w:u w:val="single"/>
        </w:rPr>
        <w:t>not</w:t>
      </w:r>
      <w:r>
        <w:rPr/>
        <w:t> set out to prick asset price bubbles directly, it is plausible that the knowledge that the central bank would adjust interest rates in response to an asset price misalignment would, of itself, make the emergence of an asset price bubble less likely. This would represent an additional contribution to macroeconomic stability.</w:t>
      </w:r>
    </w:p>
    <w:p>
      <w:pPr>
        <w:pStyle w:val="BodyText"/>
        <w:spacing w:before="2"/>
        <w:rPr>
          <w:sz w:val="36"/>
        </w:rPr>
      </w:pPr>
    </w:p>
    <w:p>
      <w:pPr>
        <w:pStyle w:val="BodyText"/>
        <w:spacing w:line="360" w:lineRule="auto"/>
        <w:ind w:left="102" w:right="286"/>
      </w:pPr>
      <w:r>
        <w:rPr/>
        <w:t>Although I believe there to be sound theoretical and practical reasons for adopting the above proposal, one potential hurdle is that market participants perceive us setting interest rates by feeding off an inflation forecast 2 years or so out. If, hypothetically, the MPC were to say that it took asset price misalignments into account </w:t>
      </w:r>
      <w:r>
        <w:rPr>
          <w:u w:val="single"/>
        </w:rPr>
        <w:t>separately</w:t>
      </w:r>
      <w:r>
        <w:rPr/>
        <w:t>, there is a clear risk that the markets would think that the Bank had gone soft on inflation. This would, of course, be to entirely misunderstand the true situation, as we would only be taking asset price misalignments in order to do a better job of achieving consumer price stability. Nevertheless, there is an important issue relating to communication here, and this will clearly be an important consideration in how this debate evolves.</w:t>
      </w:r>
    </w:p>
    <w:p>
      <w:pPr>
        <w:pStyle w:val="BodyText"/>
        <w:spacing w:before="1"/>
        <w:rPr>
          <w:sz w:val="36"/>
        </w:rPr>
      </w:pPr>
    </w:p>
    <w:p>
      <w:pPr>
        <w:pStyle w:val="ListParagraph"/>
        <w:numPr>
          <w:ilvl w:val="0"/>
          <w:numId w:val="4"/>
        </w:numPr>
        <w:tabs>
          <w:tab w:pos="822" w:val="left" w:leader="none"/>
          <w:tab w:pos="823" w:val="left" w:leader="none"/>
        </w:tabs>
        <w:spacing w:line="240" w:lineRule="auto" w:before="0" w:after="0"/>
        <w:ind w:left="822" w:right="0" w:hanging="721"/>
        <w:jc w:val="left"/>
        <w:rPr>
          <w:sz w:val="24"/>
        </w:rPr>
      </w:pPr>
      <w:r>
        <w:rPr>
          <w:sz w:val="24"/>
          <w:u w:val="single"/>
        </w:rPr>
        <w:t>The role </w:t>
      </w:r>
      <w:r>
        <w:rPr>
          <w:spacing w:val="2"/>
          <w:sz w:val="24"/>
          <w:u w:val="single"/>
        </w:rPr>
        <w:t>of </w:t>
      </w:r>
      <w:r>
        <w:rPr>
          <w:sz w:val="24"/>
          <w:u w:val="single"/>
        </w:rPr>
        <w:t>FX</w:t>
      </w:r>
      <w:r>
        <w:rPr>
          <w:spacing w:val="20"/>
          <w:sz w:val="24"/>
          <w:u w:val="single"/>
        </w:rPr>
        <w:t> </w:t>
      </w:r>
      <w:r>
        <w:rPr>
          <w:sz w:val="24"/>
          <w:u w:val="single"/>
        </w:rPr>
        <w:t>intervention</w:t>
      </w:r>
    </w:p>
    <w:p>
      <w:pPr>
        <w:pStyle w:val="BodyText"/>
        <w:rPr>
          <w:sz w:val="20"/>
        </w:rPr>
      </w:pPr>
    </w:p>
    <w:p>
      <w:pPr>
        <w:pStyle w:val="BodyText"/>
        <w:rPr>
          <w:sz w:val="20"/>
        </w:rPr>
      </w:pPr>
    </w:p>
    <w:p>
      <w:pPr>
        <w:pStyle w:val="BodyText"/>
        <w:spacing w:line="360" w:lineRule="auto" w:before="90"/>
        <w:ind w:left="102" w:right="240"/>
      </w:pPr>
      <w:r>
        <w:rPr/>
        <w:t>Sterilised intervention that helped prick the current sterling ‘bubble’ would, in the current</w:t>
      </w:r>
      <w:r>
        <w:rPr>
          <w:spacing w:val="-2"/>
        </w:rPr>
        <w:t> </w:t>
      </w:r>
      <w:r>
        <w:rPr/>
        <w:t>conjuncture,</w:t>
      </w:r>
      <w:r>
        <w:rPr>
          <w:spacing w:val="-5"/>
        </w:rPr>
        <w:t> </w:t>
      </w:r>
      <w:r>
        <w:rPr/>
        <w:t>make</w:t>
      </w:r>
      <w:r>
        <w:rPr>
          <w:spacing w:val="-5"/>
        </w:rPr>
        <w:t> </w:t>
      </w:r>
      <w:r>
        <w:rPr/>
        <w:t>it</w:t>
      </w:r>
      <w:r>
        <w:rPr>
          <w:spacing w:val="-1"/>
        </w:rPr>
        <w:t> </w:t>
      </w:r>
      <w:r>
        <w:rPr/>
        <w:t>easier</w:t>
      </w:r>
      <w:r>
        <w:rPr>
          <w:spacing w:val="-6"/>
        </w:rPr>
        <w:t> </w:t>
      </w:r>
      <w:r>
        <w:rPr>
          <w:spacing w:val="3"/>
        </w:rPr>
        <w:t>to</w:t>
      </w:r>
      <w:r>
        <w:rPr>
          <w:spacing w:val="-1"/>
        </w:rPr>
        <w:t> </w:t>
      </w:r>
      <w:r>
        <w:rPr/>
        <w:t>achieve</w:t>
      </w:r>
      <w:r>
        <w:rPr>
          <w:spacing w:val="-5"/>
        </w:rPr>
        <w:t> </w:t>
      </w:r>
      <w:r>
        <w:rPr/>
        <w:t>(consumer)</w:t>
      </w:r>
      <w:r>
        <w:rPr>
          <w:spacing w:val="-4"/>
        </w:rPr>
        <w:t> </w:t>
      </w:r>
      <w:r>
        <w:rPr/>
        <w:t>price</w:t>
      </w:r>
      <w:r>
        <w:rPr>
          <w:spacing w:val="-6"/>
        </w:rPr>
        <w:t> </w:t>
      </w:r>
      <w:r>
        <w:rPr/>
        <w:t>stability</w:t>
      </w:r>
      <w:r>
        <w:rPr>
          <w:spacing w:val="-5"/>
        </w:rPr>
        <w:t> </w:t>
      </w:r>
      <w:r>
        <w:rPr/>
        <w:t>in</w:t>
      </w:r>
      <w:r>
        <w:rPr>
          <w:spacing w:val="-5"/>
        </w:rPr>
        <w:t> </w:t>
      </w:r>
      <w:r>
        <w:rPr/>
        <w:t>this</w:t>
      </w:r>
      <w:r>
        <w:rPr>
          <w:spacing w:val="-6"/>
        </w:rPr>
        <w:t> </w:t>
      </w:r>
      <w:r>
        <w:rPr/>
        <w:t>country. Although there have been some spectacular instances where intervention has failed </w:t>
      </w:r>
      <w:r>
        <w:rPr>
          <w:spacing w:val="2"/>
        </w:rPr>
        <w:t>(eg </w:t>
      </w:r>
      <w:r>
        <w:rPr/>
        <w:t>trying </w:t>
      </w:r>
      <w:r>
        <w:rPr>
          <w:spacing w:val="3"/>
        </w:rPr>
        <w:t>to </w:t>
      </w:r>
      <w:r>
        <w:rPr/>
        <w:t>keep the UK within the </w:t>
      </w:r>
      <w:r>
        <w:rPr>
          <w:spacing w:val="2"/>
        </w:rPr>
        <w:t>ERM), </w:t>
      </w:r>
      <w:r>
        <w:rPr/>
        <w:t>there is empirical evidence </w:t>
      </w:r>
      <w:r>
        <w:rPr>
          <w:spacing w:val="2"/>
        </w:rPr>
        <w:t>that, </w:t>
      </w:r>
      <w:r>
        <w:rPr/>
        <w:t>under certain circumstances, sterilised </w:t>
      </w:r>
      <w:r>
        <w:rPr>
          <w:spacing w:val="2"/>
        </w:rPr>
        <w:t>intervention </w:t>
      </w:r>
      <w:r>
        <w:rPr/>
        <w:t>can be effective </w:t>
      </w:r>
      <w:r>
        <w:rPr>
          <w:spacing w:val="2"/>
        </w:rPr>
        <w:t>(especially </w:t>
      </w:r>
      <w:r>
        <w:rPr/>
        <w:t>when there is a </w:t>
      </w:r>
      <w:r>
        <w:rPr>
          <w:spacing w:val="-4"/>
        </w:rPr>
        <w:t>‘bubble’). </w:t>
      </w:r>
      <w:r>
        <w:rPr>
          <w:spacing w:val="52"/>
        </w:rPr>
        <w:t> </w:t>
      </w:r>
      <w:r>
        <w:rPr/>
        <w:t>Consequently, I feel </w:t>
      </w:r>
      <w:r>
        <w:rPr>
          <w:spacing w:val="2"/>
        </w:rPr>
        <w:t>that, </w:t>
      </w:r>
      <w:r>
        <w:rPr/>
        <w:t>used judiciously, FX intervention could potentially be useful in terms </w:t>
      </w:r>
      <w:r>
        <w:rPr>
          <w:spacing w:val="3"/>
        </w:rPr>
        <w:t>of </w:t>
      </w:r>
      <w:r>
        <w:rPr/>
        <w:t>achieving </w:t>
      </w:r>
      <w:r>
        <w:rPr>
          <w:spacing w:val="4"/>
        </w:rPr>
        <w:t>our </w:t>
      </w:r>
      <w:r>
        <w:rPr>
          <w:spacing w:val="5"/>
        </w:rPr>
        <w:t>overall </w:t>
      </w:r>
      <w:r>
        <w:rPr/>
        <w:t>monetary policy </w:t>
      </w:r>
      <w:r>
        <w:rPr>
          <w:spacing w:val="4"/>
        </w:rPr>
        <w:t>objective, </w:t>
      </w:r>
      <w:r>
        <w:rPr/>
        <w:t>though it is no panacea. It would be important </w:t>
      </w:r>
      <w:r>
        <w:rPr>
          <w:spacing w:val="2"/>
        </w:rPr>
        <w:t>to </w:t>
      </w:r>
      <w:r>
        <w:rPr>
          <w:spacing w:val="3"/>
        </w:rPr>
        <w:t>only </w:t>
      </w:r>
      <w:r>
        <w:rPr/>
        <w:t>use it when the pre-conditions for likely success were in</w:t>
      </w:r>
      <w:r>
        <w:rPr>
          <w:spacing w:val="26"/>
        </w:rPr>
        <w:t> </w:t>
      </w:r>
      <w:r>
        <w:rPr/>
        <w:t>place.</w:t>
      </w:r>
    </w:p>
    <w:p>
      <w:pPr>
        <w:spacing w:after="0" w:line="360" w:lineRule="auto"/>
        <w:sectPr>
          <w:pgSz w:w="11900" w:h="16840"/>
          <w:pgMar w:header="0" w:footer="743" w:top="1360" w:bottom="940" w:left="1520" w:right="1660"/>
        </w:sectPr>
      </w:pPr>
    </w:p>
    <w:p>
      <w:pPr>
        <w:pStyle w:val="BodyText"/>
        <w:spacing w:line="360" w:lineRule="auto" w:before="73"/>
        <w:ind w:left="102" w:right="273"/>
      </w:pPr>
      <w:r>
        <w:rPr/>
        <w:t>Finally, I do not believe that one can offer any ‘quick fix’ to the problem of an overvalued exchange rate. Given that the MPC’s remit is consumer price stability, there are clear limitations (for good reason) on what we can do. I have, though, discussed some suggestions with respect to our interest rate-setting procedures and FX intervention that </w:t>
      </w:r>
      <w:r>
        <w:rPr>
          <w:u w:val="single"/>
        </w:rPr>
        <w:t>might</w:t>
      </w:r>
      <w:r>
        <w:rPr/>
        <w:t> alleviate the extent of the pound’s overvaluation and, thereby, help us to do a better job in terms of delivering consumer price stability.</w:t>
      </w:r>
    </w:p>
    <w:p>
      <w:pPr>
        <w:spacing w:after="0" w:line="360" w:lineRule="auto"/>
        <w:sectPr>
          <w:pgSz w:w="11900" w:h="16840"/>
          <w:pgMar w:header="0" w:footer="743" w:top="1360" w:bottom="940" w:left="1520" w:right="1660"/>
        </w:sectPr>
      </w:pPr>
    </w:p>
    <w:p>
      <w:pPr>
        <w:pStyle w:val="Heading1"/>
        <w:spacing w:before="78"/>
      </w:pPr>
      <w:r>
        <w:rPr/>
        <w:t>BIBLIOGRAPHY</w:t>
      </w:r>
    </w:p>
    <w:p>
      <w:pPr>
        <w:pStyle w:val="BodyText"/>
        <w:rPr>
          <w:b/>
          <w:sz w:val="26"/>
        </w:rPr>
      </w:pPr>
    </w:p>
    <w:p>
      <w:pPr>
        <w:pStyle w:val="BodyText"/>
        <w:rPr>
          <w:b/>
          <w:sz w:val="26"/>
        </w:rPr>
      </w:pPr>
    </w:p>
    <w:p>
      <w:pPr>
        <w:pStyle w:val="BodyText"/>
        <w:spacing w:before="8"/>
        <w:rPr>
          <w:b/>
          <w:sz w:val="31"/>
        </w:rPr>
      </w:pPr>
    </w:p>
    <w:p>
      <w:pPr>
        <w:pStyle w:val="BodyText"/>
        <w:spacing w:line="242" w:lineRule="auto"/>
        <w:ind w:left="102" w:right="1126"/>
      </w:pPr>
      <w:r>
        <w:rPr/>
        <w:t>Batini, N and E Nelson (2000) “Optimal Horizons for Inflation Targeting”, Bank of England Working Paper.</w:t>
      </w:r>
    </w:p>
    <w:p>
      <w:pPr>
        <w:pStyle w:val="BodyText"/>
        <w:spacing w:before="11"/>
        <w:rPr>
          <w:sz w:val="23"/>
        </w:rPr>
      </w:pPr>
    </w:p>
    <w:p>
      <w:pPr>
        <w:pStyle w:val="BodyText"/>
        <w:spacing w:line="237" w:lineRule="auto"/>
        <w:ind w:left="102" w:right="806"/>
      </w:pPr>
      <w:r>
        <w:rPr/>
        <w:t>Brittan, Samuel (2000) “Beware the Politics of Sterling”, The Financial Times, 13 April.</w:t>
      </w:r>
    </w:p>
    <w:p>
      <w:pPr>
        <w:pStyle w:val="BodyText"/>
      </w:pPr>
    </w:p>
    <w:p>
      <w:pPr>
        <w:pStyle w:val="BodyText"/>
        <w:spacing w:line="242" w:lineRule="auto" w:before="1"/>
        <w:ind w:left="102"/>
      </w:pPr>
      <w:r>
        <w:rPr/>
        <w:t>Cecchetti, S, H Genberg, J Lipsky and S Wadhwani (2000) “Asset Prices and Central Bank Policy”, ICMB/CEPR special paper, forthcoming.</w:t>
      </w:r>
    </w:p>
    <w:p>
      <w:pPr>
        <w:pStyle w:val="BodyText"/>
        <w:spacing w:before="10"/>
        <w:rPr>
          <w:sz w:val="23"/>
        </w:rPr>
      </w:pPr>
    </w:p>
    <w:p>
      <w:pPr>
        <w:pStyle w:val="BodyText"/>
        <w:spacing w:line="237" w:lineRule="auto"/>
        <w:ind w:left="102"/>
      </w:pPr>
      <w:r>
        <w:rPr/>
        <w:t>Dominguez, K and J Frankel (1993) “Does Foreign Exchange Intervention Work?”, Institute for International Economics, Washington DC.</w:t>
      </w:r>
    </w:p>
    <w:p>
      <w:pPr>
        <w:pStyle w:val="BodyText"/>
        <w:spacing w:before="1"/>
      </w:pPr>
    </w:p>
    <w:p>
      <w:pPr>
        <w:pStyle w:val="BodyText"/>
        <w:spacing w:line="480" w:lineRule="auto"/>
        <w:ind w:left="102" w:right="1473"/>
      </w:pPr>
      <w:r>
        <w:rPr/>
        <w:t>The Economist (2000a) “Central Banks and Asset Prices”, 13-19 May. The Economist (2000b) “Rescuing the euro”, 13-19 May.</w:t>
      </w:r>
    </w:p>
    <w:p>
      <w:pPr>
        <w:pStyle w:val="BodyText"/>
        <w:spacing w:line="242" w:lineRule="auto"/>
        <w:ind w:left="102"/>
      </w:pPr>
      <w:r>
        <w:rPr/>
        <w:t>Fatum, Rasmus (2000) “On the Effectiveness of Sterlised Foreign Exchange Intervention”, ECB Working Paper No10.</w:t>
      </w:r>
    </w:p>
    <w:p>
      <w:pPr>
        <w:pStyle w:val="BodyText"/>
        <w:spacing w:before="11"/>
        <w:rPr>
          <w:sz w:val="23"/>
        </w:rPr>
      </w:pPr>
    </w:p>
    <w:p>
      <w:pPr>
        <w:pStyle w:val="BodyText"/>
        <w:spacing w:line="237" w:lineRule="auto"/>
        <w:ind w:left="102" w:right="373"/>
      </w:pPr>
      <w:r>
        <w:rPr/>
        <w:t>Froot, K A and R H Thaler (1990) “Anomalies: Foreign Exchange”, </w:t>
      </w:r>
      <w:r>
        <w:rPr>
          <w:u w:val="single"/>
        </w:rPr>
        <w:t>Journal of</w:t>
      </w:r>
      <w:r>
        <w:rPr/>
        <w:t> </w:t>
      </w:r>
      <w:r>
        <w:rPr>
          <w:u w:val="single"/>
        </w:rPr>
        <w:t>Economic Perspectives</w:t>
      </w:r>
      <w:r>
        <w:rPr/>
        <w:t>, Vol 4, No 3, Summer, pp 179-192.</w:t>
      </w:r>
    </w:p>
    <w:p>
      <w:pPr>
        <w:pStyle w:val="BodyText"/>
        <w:spacing w:before="3"/>
        <w:rPr>
          <w:sz w:val="16"/>
        </w:rPr>
      </w:pPr>
    </w:p>
    <w:p>
      <w:pPr>
        <w:pStyle w:val="BodyText"/>
        <w:spacing w:line="242" w:lineRule="auto" w:before="90"/>
        <w:ind w:left="102" w:right="1326"/>
      </w:pPr>
      <w:r>
        <w:rPr/>
        <w:t>Genotte, G and H Leland (1990) “Market Liquidity, Hedging and Crashes”, The American Economic Review, December.</w:t>
      </w:r>
    </w:p>
    <w:p>
      <w:pPr>
        <w:pStyle w:val="BodyText"/>
        <w:spacing w:before="11"/>
        <w:rPr>
          <w:sz w:val="23"/>
        </w:rPr>
      </w:pPr>
    </w:p>
    <w:p>
      <w:pPr>
        <w:pStyle w:val="BodyText"/>
        <w:spacing w:line="237" w:lineRule="auto"/>
        <w:ind w:left="102" w:right="373"/>
      </w:pPr>
      <w:r>
        <w:rPr/>
        <w:t>Goodhart, C A E (2000) “Monetary Transmission Lags and the Formulation of the Policy Decision on Interest Rates”, Bank of England, mimeo.</w:t>
      </w:r>
    </w:p>
    <w:p>
      <w:pPr>
        <w:pStyle w:val="BodyText"/>
      </w:pPr>
    </w:p>
    <w:p>
      <w:pPr>
        <w:pStyle w:val="BodyText"/>
        <w:spacing w:before="1"/>
        <w:ind w:left="102"/>
      </w:pPr>
      <w:r>
        <w:rPr/>
        <w:t>Rosenberg, Michael R (1996) “Currency Forecasting”, Irwin, Chicago.</w:t>
      </w:r>
    </w:p>
    <w:p>
      <w:pPr>
        <w:pStyle w:val="BodyText"/>
      </w:pPr>
    </w:p>
    <w:p>
      <w:pPr>
        <w:pStyle w:val="BodyText"/>
        <w:spacing w:line="242" w:lineRule="auto"/>
        <w:ind w:left="102"/>
      </w:pPr>
      <w:r>
        <w:rPr/>
        <w:t>Svensson, Lars (1999) “Price Stability as a Target for Monetary Policy : Defining and Maintaining Price Stability”, IIES, Stockholm, mimeo.</w:t>
      </w:r>
    </w:p>
    <w:p>
      <w:pPr>
        <w:pStyle w:val="BodyText"/>
        <w:spacing w:before="8"/>
        <w:rPr>
          <w:sz w:val="23"/>
        </w:rPr>
      </w:pPr>
    </w:p>
    <w:p>
      <w:pPr>
        <w:pStyle w:val="BodyText"/>
        <w:ind w:left="102"/>
      </w:pPr>
      <w:r>
        <w:rPr/>
        <w:t>Wadhwani, Sushil B (1996) “Sterling work for Labour”, </w:t>
      </w:r>
      <w:r>
        <w:rPr>
          <w:u w:val="single"/>
        </w:rPr>
        <w:t>New Economy</w:t>
      </w:r>
      <w:r>
        <w:rPr/>
        <w:t>, pp 138-142.</w:t>
      </w:r>
    </w:p>
    <w:p>
      <w:pPr>
        <w:pStyle w:val="BodyText"/>
        <w:spacing w:before="2"/>
        <w:rPr>
          <w:sz w:val="16"/>
        </w:rPr>
      </w:pPr>
    </w:p>
    <w:p>
      <w:pPr>
        <w:pStyle w:val="BodyText"/>
        <w:spacing w:line="237" w:lineRule="auto" w:before="92"/>
        <w:ind w:left="102" w:right="385"/>
      </w:pPr>
      <w:r>
        <w:rPr/>
        <w:t>Wadhwani, Sushil B (1999) “On Sterling’s Puzzling Behaviour”, BEQB, November , pp 416-427.</w:t>
      </w:r>
    </w:p>
    <w:p>
      <w:pPr>
        <w:pStyle w:val="BodyText"/>
        <w:spacing w:before="1"/>
      </w:pPr>
    </w:p>
    <w:p>
      <w:pPr>
        <w:pStyle w:val="BodyText"/>
        <w:spacing w:line="242" w:lineRule="auto"/>
        <w:ind w:left="102"/>
      </w:pPr>
      <w:r>
        <w:rPr/>
        <w:t>Wren-Lewis, Simon and Rebecca L Driver (1998) “Real Exchange Rates for the Year 2000”, Institute for International Economics, Washington DC.</w:t>
      </w:r>
    </w:p>
    <w:p>
      <w:pPr>
        <w:pStyle w:val="BodyText"/>
        <w:spacing w:before="11"/>
        <w:rPr>
          <w:sz w:val="23"/>
        </w:rPr>
      </w:pPr>
    </w:p>
    <w:p>
      <w:pPr>
        <w:pStyle w:val="BodyText"/>
        <w:spacing w:line="237" w:lineRule="auto"/>
        <w:ind w:left="102"/>
      </w:pPr>
      <w:r>
        <w:rPr/>
        <w:t>Yamaguchi, Yutaka (1999) “Asset Prices and Monetary Policy: Japan’s Experience”, Remarks at Symposium sponsored by the Federal Reserve Bank of Kansas, August.</w:t>
      </w:r>
    </w:p>
    <w:sectPr>
      <w:pgSz w:w="11900" w:h="16840"/>
      <w:pgMar w:header="0" w:footer="743" w:top="1360" w:bottom="940" w:left="152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5.239990pt;margin-top:793.857605pt;width:16.1pt;height:13.2pt;mso-position-horizontal-relative:page;mso-position-vertical-relative:page;z-index:-252568576"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39990pt;margin-top:793.857605pt;width:16.1pt;height:13.2pt;mso-position-horizontal-relative:page;mso-position-vertical-relative:page;z-index:-252567552"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822" w:hanging="720"/>
        <w:jc w:val="left"/>
      </w:pPr>
      <w:rPr>
        <w:rFonts w:hint="default" w:ascii="Times New Roman" w:hAnsi="Times New Roman" w:eastAsia="Times New Roman" w:cs="Times New Roman"/>
        <w:w w:val="95"/>
        <w:sz w:val="24"/>
        <w:szCs w:val="24"/>
      </w:rPr>
    </w:lvl>
    <w:lvl w:ilvl="1">
      <w:start w:val="0"/>
      <w:numFmt w:val="bullet"/>
      <w:lvlText w:val="•"/>
      <w:lvlJc w:val="left"/>
      <w:pPr>
        <w:ind w:left="1610" w:hanging="720"/>
      </w:pPr>
      <w:rPr>
        <w:rFonts w:hint="default"/>
      </w:rPr>
    </w:lvl>
    <w:lvl w:ilvl="2">
      <w:start w:val="0"/>
      <w:numFmt w:val="bullet"/>
      <w:lvlText w:val="•"/>
      <w:lvlJc w:val="left"/>
      <w:pPr>
        <w:ind w:left="2400" w:hanging="720"/>
      </w:pPr>
      <w:rPr>
        <w:rFonts w:hint="default"/>
      </w:rPr>
    </w:lvl>
    <w:lvl w:ilvl="3">
      <w:start w:val="0"/>
      <w:numFmt w:val="bullet"/>
      <w:lvlText w:val="•"/>
      <w:lvlJc w:val="left"/>
      <w:pPr>
        <w:ind w:left="3190" w:hanging="720"/>
      </w:pPr>
      <w:rPr>
        <w:rFonts w:hint="default"/>
      </w:rPr>
    </w:lvl>
    <w:lvl w:ilvl="4">
      <w:start w:val="0"/>
      <w:numFmt w:val="bullet"/>
      <w:lvlText w:val="•"/>
      <w:lvlJc w:val="left"/>
      <w:pPr>
        <w:ind w:left="3980" w:hanging="720"/>
      </w:pPr>
      <w:rPr>
        <w:rFonts w:hint="default"/>
      </w:rPr>
    </w:lvl>
    <w:lvl w:ilvl="5">
      <w:start w:val="0"/>
      <w:numFmt w:val="bullet"/>
      <w:lvlText w:val="•"/>
      <w:lvlJc w:val="left"/>
      <w:pPr>
        <w:ind w:left="4770" w:hanging="720"/>
      </w:pPr>
      <w:rPr>
        <w:rFonts w:hint="default"/>
      </w:rPr>
    </w:lvl>
    <w:lvl w:ilvl="6">
      <w:start w:val="0"/>
      <w:numFmt w:val="bullet"/>
      <w:lvlText w:val="•"/>
      <w:lvlJc w:val="left"/>
      <w:pPr>
        <w:ind w:left="5560" w:hanging="720"/>
      </w:pPr>
      <w:rPr>
        <w:rFonts w:hint="default"/>
      </w:rPr>
    </w:lvl>
    <w:lvl w:ilvl="7">
      <w:start w:val="0"/>
      <w:numFmt w:val="bullet"/>
      <w:lvlText w:val="•"/>
      <w:lvlJc w:val="left"/>
      <w:pPr>
        <w:ind w:left="6350" w:hanging="720"/>
      </w:pPr>
      <w:rPr>
        <w:rFonts w:hint="default"/>
      </w:rPr>
    </w:lvl>
    <w:lvl w:ilvl="8">
      <w:start w:val="0"/>
      <w:numFmt w:val="bullet"/>
      <w:lvlText w:val="•"/>
      <w:lvlJc w:val="left"/>
      <w:pPr>
        <w:ind w:left="7140" w:hanging="720"/>
      </w:pPr>
      <w:rPr>
        <w:rFonts w:hint="default"/>
      </w:rPr>
    </w:lvl>
  </w:abstractNum>
  <w:abstractNum w:abstractNumId="2">
    <w:multiLevelType w:val="hybridMultilevel"/>
    <w:lvl w:ilvl="0">
      <w:start w:val="4"/>
      <w:numFmt w:val="decimal"/>
      <w:lvlText w:val="%1"/>
      <w:lvlJc w:val="left"/>
      <w:pPr>
        <w:ind w:left="467" w:hanging="365"/>
        <w:jc w:val="left"/>
      </w:pPr>
      <w:rPr>
        <w:rFonts w:hint="default" w:ascii="Times New Roman" w:hAnsi="Times New Roman" w:eastAsia="Times New Roman" w:cs="Times New Roman"/>
        <w:b/>
        <w:bCs/>
        <w:w w:val="99"/>
        <w:sz w:val="24"/>
        <w:szCs w:val="24"/>
      </w:rPr>
    </w:lvl>
    <w:lvl w:ilvl="1">
      <w:start w:val="1"/>
      <w:numFmt w:val="decimal"/>
      <w:lvlText w:val="%1.%2"/>
      <w:lvlJc w:val="left"/>
      <w:pPr>
        <w:ind w:left="463" w:hanging="362"/>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822"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575" w:hanging="720"/>
      </w:pPr>
      <w:rPr>
        <w:rFonts w:hint="default"/>
      </w:rPr>
    </w:lvl>
    <w:lvl w:ilvl="4">
      <w:start w:val="0"/>
      <w:numFmt w:val="bullet"/>
      <w:lvlText w:val="•"/>
      <w:lvlJc w:val="left"/>
      <w:pPr>
        <w:ind w:left="3453" w:hanging="720"/>
      </w:pPr>
      <w:rPr>
        <w:rFonts w:hint="default"/>
      </w:rPr>
    </w:lvl>
    <w:lvl w:ilvl="5">
      <w:start w:val="0"/>
      <w:numFmt w:val="bullet"/>
      <w:lvlText w:val="•"/>
      <w:lvlJc w:val="left"/>
      <w:pPr>
        <w:ind w:left="4331"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86" w:hanging="720"/>
      </w:pPr>
      <w:rPr>
        <w:rFonts w:hint="default"/>
      </w:rPr>
    </w:lvl>
    <w:lvl w:ilvl="8">
      <w:start w:val="0"/>
      <w:numFmt w:val="bullet"/>
      <w:lvlText w:val="•"/>
      <w:lvlJc w:val="left"/>
      <w:pPr>
        <w:ind w:left="6964" w:hanging="720"/>
      </w:pPr>
      <w:rPr>
        <w:rFonts w:hint="default"/>
      </w:rPr>
    </w:lvl>
  </w:abstractNum>
  <w:abstractNum w:abstractNumId="1">
    <w:multiLevelType w:val="hybridMultilevel"/>
    <w:lvl w:ilvl="0">
      <w:start w:val="1"/>
      <w:numFmt w:val="lowerRoman"/>
      <w:lvlText w:val="(%1)"/>
      <w:lvlJc w:val="left"/>
      <w:pPr>
        <w:ind w:left="822" w:hanging="720"/>
        <w:jc w:val="left"/>
      </w:pPr>
      <w:rPr>
        <w:rFonts w:hint="default" w:ascii="Times New Roman" w:hAnsi="Times New Roman" w:eastAsia="Times New Roman" w:cs="Times New Roman"/>
        <w:w w:val="95"/>
        <w:sz w:val="24"/>
        <w:szCs w:val="24"/>
      </w:rPr>
    </w:lvl>
    <w:lvl w:ilvl="1">
      <w:start w:val="0"/>
      <w:numFmt w:val="bullet"/>
      <w:lvlText w:val="•"/>
      <w:lvlJc w:val="left"/>
      <w:pPr>
        <w:ind w:left="1610" w:hanging="720"/>
      </w:pPr>
      <w:rPr>
        <w:rFonts w:hint="default"/>
      </w:rPr>
    </w:lvl>
    <w:lvl w:ilvl="2">
      <w:start w:val="0"/>
      <w:numFmt w:val="bullet"/>
      <w:lvlText w:val="•"/>
      <w:lvlJc w:val="left"/>
      <w:pPr>
        <w:ind w:left="2400" w:hanging="720"/>
      </w:pPr>
      <w:rPr>
        <w:rFonts w:hint="default"/>
      </w:rPr>
    </w:lvl>
    <w:lvl w:ilvl="3">
      <w:start w:val="0"/>
      <w:numFmt w:val="bullet"/>
      <w:lvlText w:val="•"/>
      <w:lvlJc w:val="left"/>
      <w:pPr>
        <w:ind w:left="3190" w:hanging="720"/>
      </w:pPr>
      <w:rPr>
        <w:rFonts w:hint="default"/>
      </w:rPr>
    </w:lvl>
    <w:lvl w:ilvl="4">
      <w:start w:val="0"/>
      <w:numFmt w:val="bullet"/>
      <w:lvlText w:val="•"/>
      <w:lvlJc w:val="left"/>
      <w:pPr>
        <w:ind w:left="3980" w:hanging="720"/>
      </w:pPr>
      <w:rPr>
        <w:rFonts w:hint="default"/>
      </w:rPr>
    </w:lvl>
    <w:lvl w:ilvl="5">
      <w:start w:val="0"/>
      <w:numFmt w:val="bullet"/>
      <w:lvlText w:val="•"/>
      <w:lvlJc w:val="left"/>
      <w:pPr>
        <w:ind w:left="4770" w:hanging="720"/>
      </w:pPr>
      <w:rPr>
        <w:rFonts w:hint="default"/>
      </w:rPr>
    </w:lvl>
    <w:lvl w:ilvl="6">
      <w:start w:val="0"/>
      <w:numFmt w:val="bullet"/>
      <w:lvlText w:val="•"/>
      <w:lvlJc w:val="left"/>
      <w:pPr>
        <w:ind w:left="5560" w:hanging="720"/>
      </w:pPr>
      <w:rPr>
        <w:rFonts w:hint="default"/>
      </w:rPr>
    </w:lvl>
    <w:lvl w:ilvl="7">
      <w:start w:val="0"/>
      <w:numFmt w:val="bullet"/>
      <w:lvlText w:val="•"/>
      <w:lvlJc w:val="left"/>
      <w:pPr>
        <w:ind w:left="6350" w:hanging="720"/>
      </w:pPr>
      <w:rPr>
        <w:rFonts w:hint="default"/>
      </w:rPr>
    </w:lvl>
    <w:lvl w:ilvl="8">
      <w:start w:val="0"/>
      <w:numFmt w:val="bullet"/>
      <w:lvlText w:val="•"/>
      <w:lvlJc w:val="left"/>
      <w:pPr>
        <w:ind w:left="7140" w:hanging="720"/>
      </w:pPr>
      <w:rPr>
        <w:rFonts w:hint="default"/>
      </w:rPr>
    </w:lvl>
  </w:abstractNum>
  <w:abstractNum w:abstractNumId="0">
    <w:multiLevelType w:val="hybridMultilevel"/>
    <w:lvl w:ilvl="0">
      <w:start w:val="1"/>
      <w:numFmt w:val="decimal"/>
      <w:lvlText w:val="%1"/>
      <w:lvlJc w:val="left"/>
      <w:pPr>
        <w:ind w:left="462" w:hanging="360"/>
        <w:jc w:val="left"/>
      </w:pPr>
      <w:rPr>
        <w:rFonts w:hint="default" w:ascii="Times New Roman" w:hAnsi="Times New Roman" w:eastAsia="Times New Roman" w:cs="Times New Roman"/>
        <w:w w:val="95"/>
        <w:sz w:val="24"/>
        <w:szCs w:val="24"/>
      </w:rPr>
    </w:lvl>
    <w:lvl w:ilvl="1">
      <w:start w:val="0"/>
      <w:numFmt w:val="bullet"/>
      <w:lvlText w:val="•"/>
      <w:lvlJc w:val="left"/>
      <w:pPr>
        <w:ind w:left="128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2938" w:hanging="360"/>
      </w:pPr>
      <w:rPr>
        <w:rFonts w:hint="default"/>
      </w:rPr>
    </w:lvl>
    <w:lvl w:ilvl="4">
      <w:start w:val="0"/>
      <w:numFmt w:val="bullet"/>
      <w:lvlText w:val="•"/>
      <w:lvlJc w:val="left"/>
      <w:pPr>
        <w:ind w:left="3764" w:hanging="360"/>
      </w:pPr>
      <w:rPr>
        <w:rFonts w:hint="default"/>
      </w:rPr>
    </w:lvl>
    <w:lvl w:ilvl="5">
      <w:start w:val="0"/>
      <w:numFmt w:val="bullet"/>
      <w:lvlText w:val="•"/>
      <w:lvlJc w:val="left"/>
      <w:pPr>
        <w:ind w:left="4590" w:hanging="360"/>
      </w:pPr>
      <w:rPr>
        <w:rFonts w:hint="default"/>
      </w:rPr>
    </w:lvl>
    <w:lvl w:ilvl="6">
      <w:start w:val="0"/>
      <w:numFmt w:val="bullet"/>
      <w:lvlText w:val="•"/>
      <w:lvlJc w:val="left"/>
      <w:pPr>
        <w:ind w:left="5416" w:hanging="360"/>
      </w:pPr>
      <w:rPr>
        <w:rFonts w:hint="default"/>
      </w:rPr>
    </w:lvl>
    <w:lvl w:ilvl="7">
      <w:start w:val="0"/>
      <w:numFmt w:val="bullet"/>
      <w:lvlText w:val="•"/>
      <w:lvlJc w:val="left"/>
      <w:pPr>
        <w:ind w:left="6242" w:hanging="360"/>
      </w:pPr>
      <w:rPr>
        <w:rFonts w:hint="default"/>
      </w:rPr>
    </w:lvl>
    <w:lvl w:ilvl="8">
      <w:start w:val="0"/>
      <w:numFmt w:val="bullet"/>
      <w:lvlText w:val="•"/>
      <w:lvlJc w:val="left"/>
      <w:pPr>
        <w:ind w:left="706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2" w:hanging="7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Exchange Rate and the MPC: What can we do?</dc:subject>
  <dc:title>Speech by Sushil Wadhwani</dc:title>
  <dcterms:created xsi:type="dcterms:W3CDTF">2020-06-02T18:39:28Z</dcterms:created>
  <dcterms:modified xsi:type="dcterms:W3CDTF">2020-06-02T18:39:28Z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2000-05-30T00:00:00Z</vt:filetime>
  </property>
  <property fmtid="{D5CDD505-2E9C-101B-9397-08002B2CF9AE}" pid="3" name="LastSaved">
    <vt:filetime>2020-06-02T00:00:00Z</vt:filetime>
  </property>
</Properties>
</file>