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963"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The Impact of the Financial Market Disruption on the UK Economy</w:t>
      </w:r>
    </w:p>
    <w:p>
      <w:pPr>
        <w:pStyle w:val="BodyText"/>
        <w:spacing w:before="280"/>
        <w:ind w:left="352"/>
        <w:rPr>
          <w:rFonts w:ascii="Arial"/>
        </w:rPr>
      </w:pPr>
      <w:r>
        <w:rPr>
          <w:rFonts w:ascii="Arial"/>
        </w:rPr>
        <w:t>Speech given</w:t>
      </w:r>
      <w:r>
        <w:rPr>
          <w:rFonts w:ascii="Arial"/>
          <w:spacing w:val="-8"/>
        </w:rPr>
        <w:t> </w:t>
      </w:r>
      <w:r>
        <w:rPr>
          <w:rFonts w:ascii="Arial"/>
        </w:rPr>
        <w:t>by</w:t>
      </w:r>
    </w:p>
    <w:p>
      <w:pPr>
        <w:pStyle w:val="BodyText"/>
        <w:spacing w:line="720" w:lineRule="auto" w:before="137"/>
        <w:ind w:left="352" w:right="4068"/>
        <w:rPr>
          <w:rFonts w:ascii="Arial"/>
        </w:rPr>
      </w:pPr>
      <w:r>
        <w:rPr>
          <w:rFonts w:ascii="Arial"/>
        </w:rPr>
        <w:t>Sir John Gieve, Deputy Governor, Bank of England 17 January</w:t>
      </w:r>
      <w:r>
        <w:rPr>
          <w:rFonts w:ascii="Arial"/>
          <w:spacing w:val="-2"/>
        </w:rPr>
        <w:t> </w:t>
      </w:r>
      <w:r>
        <w:rPr>
          <w:rFonts w:ascii="Arial"/>
        </w:rPr>
        <w:t>2008</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16"/>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Heading1"/>
        <w:spacing w:before="79"/>
      </w:pPr>
      <w:r>
        <w:rPr/>
        <w:t>Introduction</w:t>
      </w:r>
    </w:p>
    <w:p>
      <w:pPr>
        <w:pStyle w:val="BodyText"/>
        <w:spacing w:before="2"/>
        <w:rPr>
          <w:b/>
          <w:sz w:val="38"/>
        </w:rPr>
      </w:pPr>
    </w:p>
    <w:p>
      <w:pPr>
        <w:pStyle w:val="BodyText"/>
        <w:ind w:left="840"/>
      </w:pPr>
      <w:r>
        <w:rPr/>
        <w:t>These are testing times for the MPC.</w:t>
      </w:r>
    </w:p>
    <w:p>
      <w:pPr>
        <w:pStyle w:val="BodyText"/>
        <w:spacing w:before="5"/>
        <w:rPr>
          <w:sz w:val="38"/>
        </w:rPr>
      </w:pPr>
    </w:p>
    <w:p>
      <w:pPr>
        <w:pStyle w:val="BodyText"/>
        <w:spacing w:line="312" w:lineRule="auto"/>
        <w:ind w:left="840" w:right="1429"/>
      </w:pPr>
      <w:r>
        <w:rPr/>
        <w:t>The latest official figures for growth confirm the strength of the economy in Q3 with above trend growth in domestic demand and a growing current account deficit. But the evidence from surveys and other timely indicators is that growth is slowing quite sharply now, in part because of the rises in interest rates last year. That in itself might justify a progressive shift in policy – from restrictive to a more neutral stance. And the case for easing has been greatly strengthened by the disruption in global credit markets and in our own banking system which brings a risk of a deeper downturn.</w:t>
      </w:r>
    </w:p>
    <w:p>
      <w:pPr>
        <w:pStyle w:val="BodyText"/>
        <w:spacing w:before="2"/>
        <w:rPr>
          <w:sz w:val="31"/>
        </w:rPr>
      </w:pPr>
    </w:p>
    <w:p>
      <w:pPr>
        <w:pStyle w:val="BodyText"/>
        <w:spacing w:line="312" w:lineRule="auto"/>
        <w:ind w:left="840" w:right="1391"/>
      </w:pPr>
      <w:r>
        <w:rPr/>
        <w:t>However we have also seen a big rise in the world prices of oil and food. That is being amplified in the UK by a fall in sterling and is now coming through in our food, petrol, gas and electricity prices. These are likely to raise our inflation rate well above target in the coming months at a time when short term inflation expectations remain uncomfortably high.</w:t>
      </w:r>
    </w:p>
    <w:p>
      <w:pPr>
        <w:pStyle w:val="BodyText"/>
        <w:spacing w:before="3"/>
        <w:rPr>
          <w:sz w:val="31"/>
        </w:rPr>
      </w:pPr>
    </w:p>
    <w:p>
      <w:pPr>
        <w:pStyle w:val="BodyText"/>
        <w:spacing w:line="312" w:lineRule="auto"/>
        <w:ind w:left="840" w:right="1994"/>
      </w:pPr>
      <w:r>
        <w:rPr/>
        <w:t>This combination of upside and downside risks complicates our task of keeping inflation on track to meet the 2% target.</w:t>
      </w:r>
    </w:p>
    <w:p>
      <w:pPr>
        <w:pStyle w:val="BodyText"/>
        <w:spacing w:before="3"/>
        <w:rPr>
          <w:sz w:val="31"/>
        </w:rPr>
      </w:pPr>
    </w:p>
    <w:p>
      <w:pPr>
        <w:pStyle w:val="Heading1"/>
      </w:pPr>
      <w:r>
        <w:rPr/>
        <w:t>Financial market disruption</w:t>
      </w:r>
    </w:p>
    <w:p>
      <w:pPr>
        <w:pStyle w:val="BodyText"/>
        <w:rPr>
          <w:b/>
          <w:sz w:val="26"/>
        </w:rPr>
      </w:pPr>
    </w:p>
    <w:p>
      <w:pPr>
        <w:pStyle w:val="BodyText"/>
        <w:spacing w:line="312" w:lineRule="auto" w:before="178"/>
        <w:ind w:left="840" w:right="1614"/>
      </w:pPr>
      <w:r>
        <w:rPr/>
        <w:t>The disruption of credit and money markets was set off by a deterioration in the US sub-prime housing market. This started to show up in increasing provisions in the 2006 accounts of banks which held them on balance sheet in a traditional way. But impairment charges of that sort would not have occasioned such ferment in international markets. That was the result of the impact on the new markets for structured credit such as Collateralised Debt Obligations (CDO’s)</w:t>
      </w:r>
      <w:r>
        <w:rPr>
          <w:vertAlign w:val="superscript"/>
        </w:rPr>
        <w:t>1</w:t>
      </w:r>
      <w:r>
        <w:rPr>
          <w:vertAlign w:val="baseline"/>
        </w:rPr>
        <w:t> (Chart 1), which had developed to meet investors’ demand for higher yield. As forecasts of US sub- prime defaults mounted, it became clear that such products had introduced opacity and uncertainty into both the distribution and scale of losses.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8"/>
        </w:rPr>
      </w:pPr>
      <w:r>
        <w:rPr/>
        <w:pict>
          <v:shape style="position:absolute;margin-left:90pt;margin-top:18.626978pt;width:144pt;height:.1pt;mso-position-horizontal-relative:page;mso-position-vertical-relative:paragraph;z-index:-251656192;mso-wrap-distance-left:0;mso-wrap-distance-right:0" coordorigin="1800,373" coordsize="2880,0" path="m1800,373l4680,373e" filled="false" stroked="true" strokeweight=".600010pt" strokecolor="#000000">
            <v:path arrowok="t"/>
            <v:stroke dashstyle="solid"/>
            <w10:wrap type="topAndBottom"/>
          </v:shape>
        </w:pict>
      </w:r>
    </w:p>
    <w:p>
      <w:pPr>
        <w:spacing w:before="49"/>
        <w:ind w:left="840" w:right="0" w:firstLine="0"/>
        <w:jc w:val="left"/>
        <w:rPr>
          <w:sz w:val="20"/>
        </w:rPr>
      </w:pPr>
      <w:r>
        <w:rPr>
          <w:position w:val="9"/>
          <w:sz w:val="13"/>
        </w:rPr>
        <w:t>1 </w:t>
      </w:r>
      <w:r>
        <w:rPr>
          <w:sz w:val="20"/>
        </w:rPr>
        <w:t>Collateralised Debt Obligations are securities backed by a portfolio of fixed-income assets that</w:t>
      </w:r>
    </w:p>
    <w:p>
      <w:pPr>
        <w:spacing w:before="0"/>
        <w:ind w:left="840" w:right="1391" w:firstLine="0"/>
        <w:jc w:val="left"/>
        <w:rPr>
          <w:sz w:val="20"/>
        </w:rPr>
      </w:pPr>
      <w:r>
        <w:rPr>
          <w:sz w:val="20"/>
        </w:rPr>
        <w:t>are issued in tranches of varying seniority. As default losses accrue to the underlying portfolio they are applied to the securities in reverse order of seniority. The main types of CDOs are those based on portfolios of leveraged bank loans (CLOs) and asset-backed securities (ABS CDOs).</w:t>
      </w:r>
    </w:p>
    <w:p>
      <w:pPr>
        <w:spacing w:after="0"/>
        <w:jc w:val="left"/>
        <w:rPr>
          <w:sz w:val="20"/>
        </w:rPr>
        <w:sectPr>
          <w:footerReference w:type="default" r:id="rId7"/>
          <w:pgSz w:w="11900" w:h="16840"/>
          <w:pgMar w:footer="882" w:header="0" w:top="1360" w:bottom="1080" w:left="960" w:right="440"/>
          <w:pgNumType w:start="2"/>
        </w:sectPr>
      </w:pPr>
    </w:p>
    <w:p>
      <w:pPr>
        <w:pStyle w:val="BodyText"/>
        <w:spacing w:line="312" w:lineRule="auto" w:before="76"/>
        <w:ind w:left="1200" w:right="1736"/>
      </w:pPr>
      <w:r>
        <w:rPr/>
        <w:t>The crisis played itself out in number of “lurches”, which were reflected in the movements in the ABX indices</w:t>
      </w:r>
      <w:r>
        <w:rPr>
          <w:vertAlign w:val="superscript"/>
        </w:rPr>
        <w:t>2</w:t>
      </w:r>
      <w:r>
        <w:rPr>
          <w:vertAlign w:val="baseline"/>
        </w:rPr>
        <w:t> (Chart 2):</w:t>
      </w:r>
    </w:p>
    <w:p>
      <w:pPr>
        <w:pStyle w:val="BodyText"/>
        <w:spacing w:before="3"/>
        <w:rPr>
          <w:sz w:val="31"/>
        </w:rPr>
      </w:pPr>
    </w:p>
    <w:p>
      <w:pPr>
        <w:pStyle w:val="ListParagraph"/>
        <w:numPr>
          <w:ilvl w:val="0"/>
          <w:numId w:val="1"/>
        </w:numPr>
        <w:tabs>
          <w:tab w:pos="2280" w:val="left" w:leader="none"/>
        </w:tabs>
        <w:spacing w:line="309" w:lineRule="auto" w:before="1" w:after="0"/>
        <w:ind w:left="2274" w:right="1458" w:hanging="357"/>
        <w:jc w:val="both"/>
        <w:rPr>
          <w:sz w:val="24"/>
        </w:rPr>
      </w:pPr>
      <w:r>
        <w:rPr>
          <w:sz w:val="24"/>
        </w:rPr>
        <w:t>Although the problems of the sub-prime market were obvious in mid- 2006, it wasn’t until January/February 2007 that the rising defaults </w:t>
      </w:r>
      <w:r>
        <w:rPr>
          <w:spacing w:val="-4"/>
          <w:sz w:val="24"/>
        </w:rPr>
        <w:t>led </w:t>
      </w:r>
      <w:r>
        <w:rPr>
          <w:sz w:val="24"/>
        </w:rPr>
        <w:t>to mark downs in indices valuing the riskier tranches of the structured products and difficulties at a number of US sub-prime</w:t>
      </w:r>
      <w:r>
        <w:rPr>
          <w:spacing w:val="-5"/>
          <w:sz w:val="24"/>
        </w:rPr>
        <w:t> </w:t>
      </w:r>
      <w:r>
        <w:rPr>
          <w:sz w:val="24"/>
        </w:rPr>
        <w:t>originators;</w:t>
      </w:r>
    </w:p>
    <w:p>
      <w:pPr>
        <w:pStyle w:val="ListParagraph"/>
        <w:numPr>
          <w:ilvl w:val="0"/>
          <w:numId w:val="1"/>
        </w:numPr>
        <w:tabs>
          <w:tab w:pos="2279" w:val="left" w:leader="none"/>
          <w:tab w:pos="2280" w:val="left" w:leader="none"/>
        </w:tabs>
        <w:spacing w:line="309" w:lineRule="auto" w:before="124" w:after="0"/>
        <w:ind w:left="2273" w:right="1360" w:hanging="357"/>
        <w:jc w:val="left"/>
        <w:rPr>
          <w:sz w:val="24"/>
        </w:rPr>
      </w:pPr>
      <w:r>
        <w:rPr>
          <w:sz w:val="24"/>
        </w:rPr>
        <w:t>in June, as losses began to appear in highly-rated tranches of so-called mezzanine CDOs, two heavily exposed Bear Stearns hedge funds collapsed; the rating agencies began to review their methodologies and started to downgrade securities, some by several</w:t>
      </w:r>
      <w:r>
        <w:rPr>
          <w:spacing w:val="-1"/>
          <w:sz w:val="24"/>
        </w:rPr>
        <w:t> </w:t>
      </w:r>
      <w:r>
        <w:rPr>
          <w:sz w:val="24"/>
        </w:rPr>
        <w:t>notches;</w:t>
      </w:r>
    </w:p>
    <w:p>
      <w:pPr>
        <w:pStyle w:val="ListParagraph"/>
        <w:numPr>
          <w:ilvl w:val="0"/>
          <w:numId w:val="1"/>
        </w:numPr>
        <w:tabs>
          <w:tab w:pos="2279" w:val="left" w:leader="none"/>
          <w:tab w:pos="2280" w:val="left" w:leader="none"/>
        </w:tabs>
        <w:spacing w:line="312" w:lineRule="auto" w:before="125" w:after="0"/>
        <w:ind w:left="2273" w:right="1530" w:hanging="357"/>
        <w:jc w:val="left"/>
        <w:rPr>
          <w:sz w:val="24"/>
        </w:rPr>
      </w:pPr>
      <w:r>
        <w:rPr>
          <w:sz w:val="24"/>
        </w:rPr>
        <w:t>at the end of July, a SIV</w:t>
      </w:r>
      <w:r>
        <w:rPr>
          <w:sz w:val="24"/>
          <w:vertAlign w:val="superscript"/>
        </w:rPr>
        <w:t>3</w:t>
      </w:r>
      <w:r>
        <w:rPr>
          <w:sz w:val="24"/>
          <w:vertAlign w:val="baseline"/>
        </w:rPr>
        <w:t> sponsored by IKB reported losses on sub- prime mortgage exposures and failed to raise funding in the commercial paper market, and in early August BNP Paribas temporarily suspended redemptions from a number of money market funds because of valuation problems; this provoked an ‘investors’ strike’ on mortgage-backed securities and the commercial paper that funded off-balance sheet vehicles holding them; in turn this led banks to hoard liquidity against potential calls on their committed lines, to a marked tightening of inter-bank markets and funding pressures on banks, including, of course, Northern Rock;</w:t>
      </w:r>
    </w:p>
    <w:p>
      <w:pPr>
        <w:pStyle w:val="ListParagraph"/>
        <w:numPr>
          <w:ilvl w:val="0"/>
          <w:numId w:val="1"/>
        </w:numPr>
        <w:tabs>
          <w:tab w:pos="2279" w:val="left" w:leader="none"/>
          <w:tab w:pos="2280" w:val="left" w:leader="none"/>
        </w:tabs>
        <w:spacing w:line="309" w:lineRule="auto" w:before="115" w:after="0"/>
        <w:ind w:left="2274" w:right="1392" w:hanging="357"/>
        <w:jc w:val="left"/>
        <w:rPr>
          <w:sz w:val="24"/>
        </w:rPr>
      </w:pPr>
      <w:r>
        <w:rPr>
          <w:sz w:val="24"/>
        </w:rPr>
        <w:t>after a brief lull in October, renewed doubts about the scale of the losses in the big international banks led to concerns about counterparty risk and sparked a renewed squeeze in the money markets with LIBOR spreads climbing back to levels experienced in</w:t>
      </w:r>
      <w:r>
        <w:rPr>
          <w:spacing w:val="-5"/>
          <w:sz w:val="24"/>
        </w:rPr>
        <w:t> </w:t>
      </w:r>
      <w:r>
        <w:rPr>
          <w:sz w:val="24"/>
        </w:rPr>
        <w:t>August.</w:t>
      </w:r>
    </w:p>
    <w:p>
      <w:pPr>
        <w:pStyle w:val="BodyText"/>
        <w:rPr>
          <w:sz w:val="26"/>
        </w:rPr>
      </w:pPr>
    </w:p>
    <w:p>
      <w:pPr>
        <w:pStyle w:val="BodyText"/>
        <w:spacing w:line="312" w:lineRule="auto" w:before="184"/>
        <w:ind w:left="840" w:right="1375"/>
      </w:pPr>
      <w:r>
        <w:rPr/>
        <w:t>There are many lessons for markets and the authorities from this turmoil. First it underlined the critical importance of liquidity in managing and regulating banks. Second it showed up the limitations of the models which underpin the valuation and rating of structured products and the excessive weight that had been given to them not just by the naive or unwary, but by some of the most sophisticated players in financial</w:t>
      </w:r>
    </w:p>
    <w:p>
      <w:pPr>
        <w:pStyle w:val="BodyText"/>
        <w:spacing w:before="7"/>
      </w:pPr>
      <w:r>
        <w:rPr/>
        <w:pict>
          <v:shape style="position:absolute;margin-left:90pt;margin-top:16.422701pt;width:144pt;height:.1pt;mso-position-horizontal-relative:page;mso-position-vertical-relative:paragraph;z-index:-251655168;mso-wrap-distance-left:0;mso-wrap-distance-right:0" coordorigin="1800,328" coordsize="2880,0" path="m1800,328l4680,328e" filled="false" stroked="true" strokeweight=".600010pt" strokecolor="#000000">
            <v:path arrowok="t"/>
            <v:stroke dashstyle="solid"/>
            <w10:wrap type="topAndBottom"/>
          </v:shape>
        </w:pict>
      </w:r>
    </w:p>
    <w:p>
      <w:pPr>
        <w:spacing w:before="49"/>
        <w:ind w:left="840" w:right="1391" w:hanging="1"/>
        <w:jc w:val="left"/>
        <w:rPr>
          <w:sz w:val="20"/>
        </w:rPr>
      </w:pPr>
      <w:r>
        <w:rPr>
          <w:position w:val="9"/>
          <w:sz w:val="13"/>
        </w:rPr>
        <w:t>2 </w:t>
      </w:r>
      <w:r>
        <w:rPr>
          <w:sz w:val="20"/>
        </w:rPr>
        <w:t>The ABX indices are baskets of 20 credit default swaps that provide insurance against default losses on securities of a given rating and vintage of issuance that are backed by home equity loans. The home equity loan category comprises mainly of sub-prime first mortgages, but also second</w:t>
      </w:r>
    </w:p>
    <w:p>
      <w:pPr>
        <w:spacing w:before="0"/>
        <w:ind w:left="840" w:right="0" w:firstLine="0"/>
        <w:jc w:val="left"/>
        <w:rPr>
          <w:sz w:val="20"/>
        </w:rPr>
      </w:pPr>
      <w:r>
        <w:rPr>
          <w:sz w:val="20"/>
        </w:rPr>
        <w:t>mortgages, mortgages with high loan-to-value ratios and home equity lines of credit</w:t>
      </w:r>
    </w:p>
    <w:p>
      <w:pPr>
        <w:spacing w:before="95"/>
        <w:ind w:left="839" w:right="1553" w:firstLine="0"/>
        <w:jc w:val="left"/>
        <w:rPr>
          <w:sz w:val="20"/>
        </w:rPr>
      </w:pPr>
      <w:r>
        <w:rPr>
          <w:position w:val="9"/>
          <w:sz w:val="13"/>
        </w:rPr>
        <w:t>3 </w:t>
      </w:r>
      <w:r>
        <w:rPr>
          <w:sz w:val="20"/>
        </w:rPr>
        <w:t>Structured investment vehicles are funds that issue short-term securities in order to invest in longer- term securities. The latter have typically comprised mainly of mortgage-backed securities and other asset-backed securities. Banks sponsored SIVs are managed by banks.</w:t>
      </w:r>
    </w:p>
    <w:p>
      <w:pPr>
        <w:spacing w:after="0"/>
        <w:jc w:val="left"/>
        <w:rPr>
          <w:sz w:val="20"/>
        </w:rPr>
        <w:sectPr>
          <w:pgSz w:w="11900" w:h="16840"/>
          <w:pgMar w:header="0" w:footer="882" w:top="1360" w:bottom="1160" w:left="960" w:right="440"/>
        </w:sectPr>
      </w:pPr>
    </w:p>
    <w:p>
      <w:pPr>
        <w:pStyle w:val="BodyText"/>
        <w:spacing w:line="312" w:lineRule="auto" w:before="76"/>
        <w:ind w:left="840" w:right="1481"/>
      </w:pPr>
      <w:r>
        <w:rPr/>
        <w:t>markets (including many of the sponsoring banks who underestimated the risks they were running in retaining super senior tranches). Third, it illuminated the adverse incentives that had been allowed to develop in the distribution chain for credit products including the strong incentives for originators to put quantity above quality, for the rating agencies to expand their scope as widely as possible, and for banks to use off-balance-sheet vehicles to finance structured credits. It may also reveal some flaws in the compensation schemes in banks. In some cases these incentives arose despite regulation, in others they were the consequence of faults in the regulatory system. Finally it showed again how measures of risk used by companies and regulators can be pro-cyclical, encouraging more risk taking at the top of the cycle and potentially exacerbating the downswing.</w:t>
      </w:r>
    </w:p>
    <w:p>
      <w:pPr>
        <w:pStyle w:val="BodyText"/>
        <w:spacing w:before="3"/>
        <w:rPr>
          <w:sz w:val="31"/>
        </w:rPr>
      </w:pPr>
    </w:p>
    <w:p>
      <w:pPr>
        <w:pStyle w:val="BodyText"/>
        <w:spacing w:line="312" w:lineRule="auto"/>
        <w:ind w:left="840" w:right="1442"/>
      </w:pPr>
      <w:r>
        <w:rPr/>
        <w:t>In the last few weeks, markets have been calmer. Liquidity pressures in short-term funding markets have eased, helped in part by the co-ordinated action by central banks to address elevated funding rates over the year end (Chart 3). And, as losses have been declared it has proved possible for a number of firms such as UBS, Merrill Lynch and Citigroup to attract new capital including from Sovereign Wealth Funds.</w:t>
      </w:r>
    </w:p>
    <w:p>
      <w:pPr>
        <w:pStyle w:val="BodyText"/>
        <w:spacing w:before="2"/>
        <w:rPr>
          <w:sz w:val="31"/>
        </w:rPr>
      </w:pPr>
    </w:p>
    <w:p>
      <w:pPr>
        <w:pStyle w:val="BodyText"/>
        <w:spacing w:line="312" w:lineRule="auto" w:before="1"/>
        <w:ind w:left="840" w:right="1358"/>
      </w:pPr>
      <w:r>
        <w:rPr/>
        <w:t>It is too early to declare the problem solved. The longer term bank funding markets remain relatively illiquid, many securitisation markets remain effectively closed (Chart 4), and general market sentiment remains fragile. Only a part of the total losses on sub-prime have yet been declared and not all the questions about the future of </w:t>
      </w:r>
      <w:r>
        <w:rPr>
          <w:spacing w:val="-4"/>
        </w:rPr>
        <w:t>SIVs </w:t>
      </w:r>
      <w:r>
        <w:rPr/>
        <w:t>or the capitalisation of monoline insurers have yet been answered. The sub-prime chapter will not be closed for some months yet and there are still risks of re-ignition of the acute money market conditions we saw last</w:t>
      </w:r>
      <w:r>
        <w:rPr>
          <w:spacing w:val="-1"/>
        </w:rPr>
        <w:t> </w:t>
      </w:r>
      <w:r>
        <w:rPr/>
        <w:t>month.</w:t>
      </w:r>
    </w:p>
    <w:p>
      <w:pPr>
        <w:pStyle w:val="BodyText"/>
        <w:spacing w:before="1"/>
        <w:rPr>
          <w:sz w:val="31"/>
        </w:rPr>
      </w:pPr>
    </w:p>
    <w:p>
      <w:pPr>
        <w:pStyle w:val="BodyText"/>
        <w:spacing w:line="312" w:lineRule="auto"/>
        <w:ind w:left="840" w:right="1348"/>
      </w:pPr>
      <w:r>
        <w:rPr/>
        <w:t>But there are grounds for hope that we are reaching the end of the beginning at least and that the key challenge is moving from stabilising the financial markets themselves to dealing with the impact on the wider economy.</w:t>
      </w:r>
    </w:p>
    <w:p>
      <w:pPr>
        <w:pStyle w:val="BodyText"/>
        <w:spacing w:before="5"/>
        <w:rPr>
          <w:sz w:val="31"/>
        </w:rPr>
      </w:pPr>
    </w:p>
    <w:p>
      <w:pPr>
        <w:pStyle w:val="Heading1"/>
      </w:pPr>
      <w:r>
        <w:rPr/>
        <w:t>Macroeconomic impact</w:t>
      </w:r>
    </w:p>
    <w:p>
      <w:pPr>
        <w:pStyle w:val="BodyText"/>
        <w:spacing w:before="2"/>
        <w:rPr>
          <w:b/>
          <w:sz w:val="38"/>
        </w:rPr>
      </w:pPr>
    </w:p>
    <w:p>
      <w:pPr>
        <w:pStyle w:val="BodyText"/>
        <w:spacing w:line="312" w:lineRule="auto"/>
        <w:ind w:left="840" w:right="1402"/>
      </w:pPr>
      <w:r>
        <w:rPr/>
        <w:t>Judging that impact is not easy. Banking crises have typically reflected macroeconomic difficulties at home. Banks have lent too much and too cheaply at the top of the cycle and have then suffered from defaults when policy tightened and unemployment and failures increased. The most recent example in the UK banking sector was during the recession of the early 1990s when the major banks wrote off about 2.5%of their domestic loan book and tightened credit conditions, thus exacerbating the fall in property prices and in confidence. It has been estimated that</w:t>
      </w:r>
    </w:p>
    <w:p>
      <w:pPr>
        <w:spacing w:after="0" w:line="312" w:lineRule="auto"/>
        <w:sectPr>
          <w:pgSz w:w="11900" w:h="16840"/>
          <w:pgMar w:header="0" w:footer="882" w:top="1360" w:bottom="1160" w:left="960" w:right="440"/>
        </w:sectPr>
      </w:pPr>
    </w:p>
    <w:p>
      <w:pPr>
        <w:pStyle w:val="BodyText"/>
        <w:spacing w:line="312" w:lineRule="auto" w:before="76"/>
        <w:ind w:left="839" w:right="1525"/>
      </w:pPr>
      <w:r>
        <w:rPr/>
        <w:t>the effect of the tightening of credit conditions was to reduce UK output in 1991 by almost 2% relative to what it would otherwise have been.</w:t>
      </w:r>
      <w:r>
        <w:rPr>
          <w:vertAlign w:val="superscript"/>
        </w:rPr>
        <w:t>4</w:t>
      </w:r>
      <w:r>
        <w:rPr>
          <w:vertAlign w:val="baseline"/>
        </w:rPr>
        <w:t> Of course, there was little monetary policy could do at that time to offset these effects because of Sterling’s ERM membership.</w:t>
      </w:r>
    </w:p>
    <w:p>
      <w:pPr>
        <w:pStyle w:val="BodyText"/>
        <w:spacing w:before="3"/>
        <w:rPr>
          <w:sz w:val="31"/>
        </w:rPr>
      </w:pPr>
    </w:p>
    <w:p>
      <w:pPr>
        <w:pStyle w:val="BodyText"/>
        <w:spacing w:line="312" w:lineRule="auto"/>
        <w:ind w:left="839" w:right="1390"/>
      </w:pPr>
      <w:r>
        <w:rPr/>
        <w:t>But the current crisis does not follow that pattern. It has come at a time when the performance of the UK economy has been unusually good. Over the past fifteen years the economy has experienced the most stable macroeconomic conditions on record with steady growth, low inflation and a declining trend in unemployment.</w:t>
      </w:r>
      <w:r>
        <w:rPr>
          <w:vertAlign w:val="superscript"/>
        </w:rPr>
        <w:t>5</w:t>
      </w:r>
      <w:r>
        <w:rPr>
          <w:vertAlign w:val="baseline"/>
        </w:rPr>
        <w:t> For the most part the underlying balance sheet position of households and firms is robust and most indicators of financial fragility such as mortgage arrears, repossessions and corporate insolvencies are at low levels (Chart 5).</w:t>
      </w:r>
    </w:p>
    <w:p>
      <w:pPr>
        <w:pStyle w:val="BodyText"/>
        <w:spacing w:before="2"/>
        <w:rPr>
          <w:sz w:val="31"/>
        </w:rPr>
      </w:pPr>
    </w:p>
    <w:p>
      <w:pPr>
        <w:pStyle w:val="BodyText"/>
        <w:spacing w:line="312" w:lineRule="auto"/>
        <w:ind w:left="840" w:right="1382"/>
      </w:pPr>
      <w:r>
        <w:rPr/>
        <w:t>So the question is whether we can reverse into macroeconomic trouble starting from a banking crisis with its origins in the US housing market. Of course a marked slowdown in the US will diminish directly part of our exports. But two domestic transmission channels to consumption and investment will determine the size of the overall impact on our economy:</w:t>
      </w:r>
    </w:p>
    <w:p>
      <w:pPr>
        <w:pStyle w:val="BodyText"/>
        <w:spacing w:before="3"/>
        <w:rPr>
          <w:sz w:val="31"/>
        </w:rPr>
      </w:pPr>
    </w:p>
    <w:p>
      <w:pPr>
        <w:pStyle w:val="ListParagraph"/>
        <w:numPr>
          <w:ilvl w:val="0"/>
          <w:numId w:val="1"/>
        </w:numPr>
        <w:tabs>
          <w:tab w:pos="2279" w:val="left" w:leader="none"/>
          <w:tab w:pos="2280" w:val="left" w:leader="none"/>
        </w:tabs>
        <w:spacing w:line="240" w:lineRule="auto" w:before="1" w:after="0"/>
        <w:ind w:left="2280" w:right="0" w:hanging="360"/>
        <w:jc w:val="left"/>
        <w:rPr>
          <w:sz w:val="24"/>
        </w:rPr>
      </w:pPr>
      <w:r>
        <w:rPr>
          <w:sz w:val="24"/>
        </w:rPr>
        <w:t>the effects of credit constraints;</w:t>
      </w:r>
      <w:r>
        <w:rPr>
          <w:spacing w:val="-5"/>
          <w:sz w:val="24"/>
        </w:rPr>
        <w:t> </w:t>
      </w:r>
      <w:r>
        <w:rPr>
          <w:sz w:val="24"/>
        </w:rPr>
        <w:t>and</w:t>
      </w:r>
    </w:p>
    <w:p>
      <w:pPr>
        <w:pStyle w:val="ListParagraph"/>
        <w:numPr>
          <w:ilvl w:val="0"/>
          <w:numId w:val="1"/>
        </w:numPr>
        <w:tabs>
          <w:tab w:pos="2279" w:val="left" w:leader="none"/>
          <w:tab w:pos="2280" w:val="left" w:leader="none"/>
        </w:tabs>
        <w:spacing w:line="240" w:lineRule="auto" w:before="81" w:after="0"/>
        <w:ind w:left="2280" w:right="0" w:hanging="360"/>
        <w:jc w:val="left"/>
        <w:rPr>
          <w:sz w:val="24"/>
        </w:rPr>
      </w:pPr>
      <w:r>
        <w:rPr>
          <w:sz w:val="24"/>
        </w:rPr>
        <w:t>impact on expectations and</w:t>
      </w:r>
      <w:r>
        <w:rPr>
          <w:spacing w:val="-5"/>
          <w:sz w:val="24"/>
        </w:rPr>
        <w:t> </w:t>
      </w:r>
      <w:r>
        <w:rPr>
          <w:sz w:val="24"/>
        </w:rPr>
        <w:t>confidence.</w:t>
      </w:r>
    </w:p>
    <w:p>
      <w:pPr>
        <w:pStyle w:val="BodyText"/>
        <w:spacing w:before="3"/>
        <w:rPr>
          <w:sz w:val="38"/>
        </w:rPr>
      </w:pPr>
    </w:p>
    <w:p>
      <w:pPr>
        <w:pStyle w:val="BodyText"/>
        <w:ind w:left="840"/>
      </w:pPr>
      <w:r>
        <w:rPr>
          <w:u w:val="single"/>
        </w:rPr>
        <w:t>Credit constraints</w:t>
      </w:r>
    </w:p>
    <w:p>
      <w:pPr>
        <w:pStyle w:val="BodyText"/>
        <w:spacing w:before="4"/>
        <w:rPr>
          <w:sz w:val="23"/>
        </w:rPr>
      </w:pPr>
    </w:p>
    <w:p>
      <w:pPr>
        <w:pStyle w:val="BodyText"/>
        <w:spacing w:line="312" w:lineRule="auto" w:before="90"/>
        <w:ind w:left="839" w:right="1416"/>
      </w:pPr>
      <w:r>
        <w:rPr/>
        <w:t>With their own funding rates increasing and a reduction in their ability to distribute risk through securitisation, there is now clear evidence that UK lenders have begun to tighten lending conditions for households and firms. The Bank’s Credit Conditions Survey (CCS) of major UK lenders has identified a change in behaviour since the summer.</w:t>
      </w:r>
      <w:r>
        <w:rPr>
          <w:vertAlign w:val="superscript"/>
        </w:rPr>
        <w:t>6</w:t>
      </w:r>
      <w:r>
        <w:rPr>
          <w:vertAlign w:val="baseline"/>
        </w:rPr>
        <w:t> Contrary to earlier expectations, lenders reported that the availability of secured credit to households had reduced noticeably over the three months to mid- December (Chart 6). Corporate credit availability was also reported to have been reduced significantly over the same period. A further reduction in the general availability of credit was expected over the next three months.</w:t>
      </w:r>
    </w:p>
    <w:p>
      <w:pPr>
        <w:pStyle w:val="BodyText"/>
        <w:rPr>
          <w:sz w:val="20"/>
        </w:rPr>
      </w:pPr>
    </w:p>
    <w:p>
      <w:pPr>
        <w:pStyle w:val="BodyText"/>
        <w:spacing w:before="3"/>
        <w:rPr>
          <w:sz w:val="14"/>
        </w:rPr>
      </w:pPr>
      <w:r>
        <w:rPr/>
        <w:pict>
          <v:shape style="position:absolute;margin-left:90pt;margin-top:10.48542pt;width:144pt;height:.1pt;mso-position-horizontal-relative:page;mso-position-vertical-relative:paragraph;z-index:-251654144;mso-wrap-distance-left:0;mso-wrap-distance-right:0" coordorigin="1800,210" coordsize="2880,0" path="m1800,210l4680,210e" filled="false" stroked="true" strokeweight=".599980pt" strokecolor="#000000">
            <v:path arrowok="t"/>
            <v:stroke dashstyle="solid"/>
            <w10:wrap type="topAndBottom"/>
          </v:shape>
        </w:pict>
      </w:r>
    </w:p>
    <w:p>
      <w:pPr>
        <w:spacing w:before="49"/>
        <w:ind w:left="839" w:right="1429" w:firstLine="0"/>
        <w:jc w:val="left"/>
        <w:rPr>
          <w:sz w:val="20"/>
        </w:rPr>
      </w:pPr>
      <w:r>
        <w:rPr>
          <w:position w:val="9"/>
          <w:sz w:val="13"/>
        </w:rPr>
        <w:t>4 </w:t>
      </w:r>
      <w:r>
        <w:rPr>
          <w:sz w:val="20"/>
        </w:rPr>
        <w:t>Young, G (1996), ‘The influence of financial intermediaries on the behaviour of the UK economy’, NIESR Occasional Paper No 50.</w:t>
      </w:r>
    </w:p>
    <w:p>
      <w:pPr>
        <w:spacing w:before="95"/>
        <w:ind w:left="839" w:right="1759" w:firstLine="0"/>
        <w:jc w:val="left"/>
        <w:rPr>
          <w:sz w:val="20"/>
        </w:rPr>
      </w:pPr>
      <w:r>
        <w:rPr>
          <w:position w:val="9"/>
          <w:sz w:val="13"/>
        </w:rPr>
        <w:t>5 </w:t>
      </w:r>
      <w:r>
        <w:rPr>
          <w:sz w:val="20"/>
        </w:rPr>
        <w:t>This is discussed in detail in the Bank’s memorandum to the House of Commons Treasury Committee’s inquiry into ‘The Monetary Policy Committee of the Bank of England: ten years on’, </w:t>
      </w:r>
      <w:r>
        <w:rPr>
          <w:i/>
          <w:sz w:val="20"/>
        </w:rPr>
        <w:t>Quarterly Bulletin</w:t>
      </w:r>
      <w:r>
        <w:rPr>
          <w:sz w:val="20"/>
        </w:rPr>
        <w:t>, 47(1), 2007Q1, 24- 38.</w:t>
      </w:r>
    </w:p>
    <w:p>
      <w:pPr>
        <w:spacing w:before="95"/>
        <w:ind w:left="840" w:right="0" w:firstLine="0"/>
        <w:jc w:val="left"/>
        <w:rPr>
          <w:sz w:val="20"/>
        </w:rPr>
      </w:pPr>
      <w:r>
        <w:rPr>
          <w:position w:val="9"/>
          <w:sz w:val="13"/>
        </w:rPr>
        <w:t>6 </w:t>
      </w:r>
      <w:r>
        <w:rPr>
          <w:sz w:val="20"/>
        </w:rPr>
        <w:t>Credit Conditions Survey, </w:t>
      </w:r>
      <w:hyperlink r:id="rId8">
        <w:r>
          <w:rPr>
            <w:sz w:val="20"/>
          </w:rPr>
          <w:t>http://externalboeweb/publications/other/monetary/creditconditions.htm</w:t>
        </w:r>
      </w:hyperlink>
    </w:p>
    <w:p>
      <w:pPr>
        <w:spacing w:after="0"/>
        <w:jc w:val="left"/>
        <w:rPr>
          <w:sz w:val="20"/>
        </w:rPr>
        <w:sectPr>
          <w:pgSz w:w="11900" w:h="16840"/>
          <w:pgMar w:header="0" w:footer="882" w:top="1360" w:bottom="1160" w:left="960" w:right="440"/>
        </w:sectPr>
      </w:pPr>
    </w:p>
    <w:p>
      <w:pPr>
        <w:pStyle w:val="BodyText"/>
        <w:spacing w:before="2"/>
        <w:rPr>
          <w:sz w:val="9"/>
        </w:rPr>
      </w:pPr>
    </w:p>
    <w:p>
      <w:pPr>
        <w:pStyle w:val="BodyText"/>
        <w:spacing w:line="312" w:lineRule="auto" w:before="90"/>
        <w:ind w:left="839" w:right="1450"/>
      </w:pPr>
      <w:r>
        <w:rPr/>
        <w:t>The survey suggests that lenders are both raising the price of borrowing and reducing the range of people and firms they are prepared to lend to. There has been a pick up in the average spread of quoted mortgage rates over the appropriate funding rate in recent months (Chart 7). There has also been a fall in the number of mortgage products available for credit-impaired borrowers (Chart 8).</w:t>
      </w:r>
    </w:p>
    <w:p>
      <w:pPr>
        <w:pStyle w:val="BodyText"/>
        <w:spacing w:before="2"/>
        <w:rPr>
          <w:sz w:val="31"/>
        </w:rPr>
      </w:pPr>
    </w:p>
    <w:p>
      <w:pPr>
        <w:pStyle w:val="BodyText"/>
        <w:spacing w:line="312" w:lineRule="auto"/>
        <w:ind w:left="840" w:right="1369"/>
      </w:pPr>
      <w:r>
        <w:rPr/>
        <w:t>The first impact of the tightening in secured credit conditions is being felt in the property markets and lower demand for assets but there will also be direct effects on activity. Although only a minority of households may be credit constrained they are probably sufficient in number to depress household spending somewhat, possibly reversing a little of the decline in the saving ratio seen since the early 1990s (Chart 9). In a similar way a tightening of corporate lending conditions will affect some companies’ investment. The Deloitte CFO survey taken in early December finds that 20% of firms expect the recent credit market events to have a negative impact on their capital spending in 2008.</w:t>
      </w:r>
      <w:r>
        <w:rPr>
          <w:vertAlign w:val="superscript"/>
        </w:rPr>
        <w:t>7</w:t>
      </w:r>
    </w:p>
    <w:p>
      <w:pPr>
        <w:pStyle w:val="BodyText"/>
        <w:spacing w:before="3"/>
        <w:rPr>
          <w:sz w:val="31"/>
        </w:rPr>
      </w:pPr>
    </w:p>
    <w:p>
      <w:pPr>
        <w:pStyle w:val="BodyText"/>
        <w:spacing w:line="360" w:lineRule="auto"/>
        <w:ind w:left="839" w:right="1336"/>
      </w:pPr>
      <w:r>
        <w:rPr/>
        <w:t>This tightening of credit conditions would be exacerbated by any further weakening in the financial position of banks due to a slowdown in the wider economy. Slower growth and a rise in unemployment in particular would lead to higher loan defaults.</w:t>
      </w:r>
    </w:p>
    <w:p>
      <w:pPr>
        <w:pStyle w:val="BodyText"/>
        <w:spacing w:line="360" w:lineRule="auto"/>
        <w:ind w:left="839" w:right="1391"/>
      </w:pPr>
      <w:r>
        <w:rPr/>
        <w:t>There are signs that this is already happening in consumer lending in the US. Weakening property prices would reduce the amount that lenders could realise in the event of default. With pressures on their capital and new capital expensive where it is available, banks are likely to attempt to increase their margins and to slow down new lending, thereby reducing their capital requirements, for example by tightening non- price terms and conditions on new loans.</w:t>
      </w:r>
    </w:p>
    <w:p>
      <w:pPr>
        <w:pStyle w:val="BodyText"/>
        <w:spacing w:before="10"/>
        <w:rPr>
          <w:sz w:val="35"/>
        </w:rPr>
      </w:pPr>
    </w:p>
    <w:p>
      <w:pPr>
        <w:pStyle w:val="BodyText"/>
        <w:spacing w:line="360" w:lineRule="auto"/>
        <w:ind w:left="839" w:right="1377"/>
      </w:pPr>
      <w:r>
        <w:rPr/>
        <w:t>One factor which regulators are watching carefully at present is the impact of the shift this month to the Basle II system of capital requirements for European banks. While Basle II improves on its predecessor and removes many undesirable incentives, it retains some procyclical features and any transition needs to be managed carefully.</w:t>
      </w:r>
      <w:r>
        <w:rPr>
          <w:vertAlign w:val="superscript"/>
        </w:rPr>
        <w:t>8</w:t>
      </w:r>
    </w:p>
    <w:p>
      <w:pPr>
        <w:pStyle w:val="BodyText"/>
        <w:rPr>
          <w:sz w:val="20"/>
        </w:rPr>
      </w:pPr>
    </w:p>
    <w:p>
      <w:pPr>
        <w:pStyle w:val="BodyText"/>
        <w:rPr>
          <w:sz w:val="20"/>
        </w:rPr>
      </w:pPr>
    </w:p>
    <w:p>
      <w:pPr>
        <w:pStyle w:val="BodyText"/>
        <w:rPr>
          <w:sz w:val="20"/>
        </w:rPr>
      </w:pPr>
    </w:p>
    <w:p>
      <w:pPr>
        <w:pStyle w:val="BodyText"/>
        <w:spacing w:before="4"/>
        <w:rPr>
          <w:sz w:val="25"/>
        </w:rPr>
      </w:pPr>
      <w:r>
        <w:rPr/>
        <w:pict>
          <v:shape style="position:absolute;margin-left:90pt;margin-top:16.832294pt;width:144pt;height:.1pt;mso-position-horizontal-relative:page;mso-position-vertical-relative:paragraph;z-index:-251653120;mso-wrap-distance-left:0;mso-wrap-distance-right:0" coordorigin="1800,337" coordsize="2880,0" path="m1800,337l4680,337e" filled="false" stroked="true" strokeweight=".599980pt" strokecolor="#000000">
            <v:path arrowok="t"/>
            <v:stroke dashstyle="solid"/>
            <w10:wrap type="topAndBottom"/>
          </v:shape>
        </w:pict>
      </w:r>
    </w:p>
    <w:p>
      <w:pPr>
        <w:spacing w:before="49"/>
        <w:ind w:left="840" w:right="0" w:firstLine="0"/>
        <w:jc w:val="left"/>
        <w:rPr>
          <w:sz w:val="20"/>
        </w:rPr>
      </w:pPr>
      <w:r>
        <w:rPr>
          <w:position w:val="9"/>
          <w:sz w:val="13"/>
        </w:rPr>
        <w:t>7 </w:t>
      </w:r>
      <w:r>
        <w:rPr>
          <w:sz w:val="20"/>
        </w:rPr>
        <w:t>The Deloitte CFO Survey: Benchmarking Corporate Financial Attitudes, 4 January 2008.</w:t>
      </w:r>
    </w:p>
    <w:p>
      <w:pPr>
        <w:spacing w:before="94"/>
        <w:ind w:left="839" w:right="1667" w:firstLine="0"/>
        <w:jc w:val="left"/>
        <w:rPr>
          <w:sz w:val="20"/>
        </w:rPr>
      </w:pPr>
      <w:r>
        <w:rPr>
          <w:position w:val="9"/>
          <w:sz w:val="13"/>
        </w:rPr>
        <w:t>8 </w:t>
      </w:r>
      <w:r>
        <w:rPr>
          <w:sz w:val="20"/>
        </w:rPr>
        <w:t>Benford, J and Nier, E (2007), 'Monitoring cyclicality of Basel II Capital Requirements', Financial Stability Paper No. 3 (December 2007), Bank of England.</w:t>
      </w:r>
    </w:p>
    <w:p>
      <w:pPr>
        <w:spacing w:after="0"/>
        <w:jc w:val="left"/>
        <w:rPr>
          <w:sz w:val="20"/>
        </w:rPr>
        <w:sectPr>
          <w:pgSz w:w="11900" w:h="16840"/>
          <w:pgMar w:header="0" w:footer="882" w:top="1600" w:bottom="1160" w:left="960" w:right="440"/>
        </w:sectPr>
      </w:pPr>
    </w:p>
    <w:p>
      <w:pPr>
        <w:pStyle w:val="BodyText"/>
        <w:spacing w:before="76"/>
        <w:ind w:left="840"/>
      </w:pPr>
      <w:r>
        <w:rPr>
          <w:u w:val="single"/>
        </w:rPr>
        <w:t>The impact on expectations and confidence</w:t>
      </w:r>
    </w:p>
    <w:p>
      <w:pPr>
        <w:pStyle w:val="BodyText"/>
        <w:rPr>
          <w:sz w:val="20"/>
        </w:rPr>
      </w:pPr>
    </w:p>
    <w:p>
      <w:pPr>
        <w:pStyle w:val="BodyText"/>
        <w:spacing w:line="312" w:lineRule="auto" w:before="212"/>
        <w:ind w:left="839" w:right="1523"/>
      </w:pPr>
      <w:r>
        <w:rPr/>
        <w:t>The other channel by which the financial market turbulence is likely to have macroeconomic effects is by prompting more cautious behaviour by households and firms. This might simply reflect uncertainty about the future. Firms may temporarily postpone investment because of greater uncertainty about the future path of demand. We saw an effect like this after 9/11 for example. But it might also reflect a revision by households and firms about the sustainable path of income and wealth in the coming years. The change in expectations may reflect the higher costs of borrowing and a higher risk of unemployment.</w:t>
      </w:r>
    </w:p>
    <w:p>
      <w:pPr>
        <w:pStyle w:val="BodyText"/>
        <w:rPr>
          <w:sz w:val="26"/>
        </w:rPr>
      </w:pPr>
    </w:p>
    <w:p>
      <w:pPr>
        <w:pStyle w:val="BodyText"/>
        <w:spacing w:before="1"/>
        <w:rPr>
          <w:sz w:val="26"/>
        </w:rPr>
      </w:pPr>
    </w:p>
    <w:p>
      <w:pPr>
        <w:pStyle w:val="BodyText"/>
        <w:spacing w:line="312" w:lineRule="auto"/>
        <w:ind w:left="839" w:right="1669"/>
      </w:pPr>
      <w:r>
        <w:rPr/>
        <w:t>Again a reduction in confidence about future growth may lead directly to lower consumption and investment. It is also likely to affect equity and property markets. Potential buyers may decide to wait before purchasing if they sense that there is a chance that prices may fall. Such behaviour can be self-fulfilling.</w:t>
      </w:r>
    </w:p>
    <w:p>
      <w:pPr>
        <w:pStyle w:val="BodyText"/>
        <w:rPr>
          <w:sz w:val="26"/>
        </w:rPr>
      </w:pPr>
    </w:p>
    <w:p>
      <w:pPr>
        <w:pStyle w:val="BodyText"/>
        <w:spacing w:before="1"/>
        <w:rPr>
          <w:sz w:val="26"/>
        </w:rPr>
      </w:pPr>
    </w:p>
    <w:p>
      <w:pPr>
        <w:pStyle w:val="BodyText"/>
        <w:spacing w:line="312" w:lineRule="auto"/>
        <w:ind w:left="839" w:right="1366"/>
      </w:pPr>
      <w:r>
        <w:rPr/>
        <w:t>There is no doubt that the housing market has been weakening significantly in recent months and the trend is more advanced still in commercial property markets where prices are falling rapidly. It is widely assumed that weakening property prices will also depress consumption. The Bank has tended to be sceptical of this mechanism. </w:t>
      </w:r>
      <w:r>
        <w:rPr>
          <w:vertAlign w:val="superscript"/>
        </w:rPr>
        <w:t>9</w:t>
      </w:r>
      <w:r>
        <w:rPr>
          <w:vertAlign w:val="baseline"/>
        </w:rPr>
        <w:t> While property prices and spending tend to move together, that doesn’t prove that one causes the other. Both may result from changes in income and expectations of future income.</w:t>
      </w:r>
      <w:r>
        <w:rPr>
          <w:vertAlign w:val="superscript"/>
        </w:rPr>
        <w:t>10</w:t>
      </w:r>
      <w:r>
        <w:rPr>
          <w:vertAlign w:val="baseline"/>
        </w:rPr>
        <w:t> Indeed, in the same way as you can’t have your cake and eat it, it is not clear that a general increase in house prices does create extra spending power for the population as a whole. Owners who expect to remain in their current house for a long time cannot also spend their housing wealth and the benefits to those trading down are broadly offset by the costs to those trading up. While older owners may be richer and believe they can support a more expensive lifestyle, the rise in prices will show through in higher rents and larger deposits for those wanting to get on the</w:t>
      </w:r>
      <w:r>
        <w:rPr>
          <w:spacing w:val="-14"/>
          <w:vertAlign w:val="baseline"/>
        </w:rPr>
        <w:t> </w:t>
      </w:r>
      <w:r>
        <w:rPr>
          <w:vertAlign w:val="baseline"/>
        </w:rPr>
        <w:t>ladder.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3"/>
        </w:rPr>
      </w:pPr>
      <w:r>
        <w:rPr/>
        <w:pict>
          <v:shape style="position:absolute;margin-left:90pt;margin-top:9.790205pt;width:144pt;height:.1pt;mso-position-horizontal-relative:page;mso-position-vertical-relative:paragraph;z-index:-251652096;mso-wrap-distance-left:0;mso-wrap-distance-right:0" coordorigin="1800,196" coordsize="2880,0" path="m1800,196l4680,196e" filled="false" stroked="true" strokeweight=".599980pt" strokecolor="#000000">
            <v:path arrowok="t"/>
            <v:stroke dashstyle="solid"/>
            <w10:wrap type="topAndBottom"/>
          </v:shape>
        </w:pict>
      </w:r>
    </w:p>
    <w:p>
      <w:pPr>
        <w:spacing w:before="49"/>
        <w:ind w:left="839" w:right="1429" w:firstLine="0"/>
        <w:jc w:val="left"/>
        <w:rPr>
          <w:sz w:val="20"/>
        </w:rPr>
      </w:pPr>
      <w:r>
        <w:rPr>
          <w:position w:val="9"/>
          <w:sz w:val="13"/>
        </w:rPr>
        <w:t>9 </w:t>
      </w:r>
      <w:r>
        <w:rPr>
          <w:sz w:val="20"/>
        </w:rPr>
        <w:t>This view is discussed fully in Benito, A, Thompson, J, Waldron, M, and Wood, R (2006), ‘House prices and consumer spending’, </w:t>
      </w:r>
      <w:r>
        <w:rPr>
          <w:i/>
          <w:sz w:val="20"/>
        </w:rPr>
        <w:t>Bank of England Quarterly Bulletin</w:t>
      </w:r>
      <w:r>
        <w:rPr>
          <w:sz w:val="20"/>
        </w:rPr>
        <w:t>, Summer, pp. 142-154.</w:t>
      </w:r>
    </w:p>
    <w:p>
      <w:pPr>
        <w:spacing w:before="95"/>
        <w:ind w:left="840" w:right="1358" w:firstLine="0"/>
        <w:jc w:val="left"/>
        <w:rPr>
          <w:sz w:val="20"/>
        </w:rPr>
      </w:pPr>
      <w:r>
        <w:rPr>
          <w:position w:val="9"/>
          <w:sz w:val="13"/>
        </w:rPr>
        <w:t>10 </w:t>
      </w:r>
      <w:r>
        <w:rPr>
          <w:sz w:val="20"/>
        </w:rPr>
        <w:t>Some household level evidence for this view is given by Attanasio, O, Blow, L, Hamilton, R, and Leicester, A (2005), 'Consumption, house prices and expectation', Bank of England Working Paper No. 271</w:t>
      </w:r>
    </w:p>
    <w:p>
      <w:pPr>
        <w:spacing w:after="0"/>
        <w:jc w:val="left"/>
        <w:rPr>
          <w:sz w:val="20"/>
        </w:rPr>
        <w:sectPr>
          <w:pgSz w:w="11900" w:h="16840"/>
          <w:pgMar w:header="0" w:footer="882" w:top="1360" w:bottom="1160" w:left="960" w:right="440"/>
        </w:sectPr>
      </w:pPr>
    </w:p>
    <w:p>
      <w:pPr>
        <w:pStyle w:val="BodyText"/>
        <w:spacing w:line="312" w:lineRule="auto" w:before="76"/>
        <w:ind w:left="839" w:right="1375"/>
      </w:pPr>
      <w:r>
        <w:rPr/>
        <w:t>But even if there is not a strong causal connection between house prices and consumption through a wealth channel, there may nevertheless be a significant collateral channel. When house prices fall, the amount of housing equity and hence collateral at homeowners’ disposal decreases. This will tend to delay spending as lenders are willing to lend less or lend on less favourable terms to those who have little or no housing equity. That channel should have become less important in recent years. This is because most homeowners have substantial equity in their homes which would not be materially affected by relatively modest changes in house prices.</w:t>
      </w:r>
      <w:r>
        <w:rPr>
          <w:vertAlign w:val="superscript"/>
        </w:rPr>
        <w:t>11</w:t>
      </w:r>
      <w:r>
        <w:rPr>
          <w:vertAlign w:val="baseline"/>
        </w:rPr>
        <w:t> This may help to account for a decline in the correlation between real house price growth and consumption since the beginning of the decade (Chart 10).</w:t>
      </w:r>
    </w:p>
    <w:p>
      <w:pPr>
        <w:pStyle w:val="BodyText"/>
        <w:rPr>
          <w:sz w:val="26"/>
        </w:rPr>
      </w:pPr>
    </w:p>
    <w:p>
      <w:pPr>
        <w:pStyle w:val="BodyText"/>
        <w:spacing w:before="1"/>
        <w:rPr>
          <w:sz w:val="26"/>
        </w:rPr>
      </w:pPr>
    </w:p>
    <w:p>
      <w:pPr>
        <w:pStyle w:val="BodyText"/>
        <w:spacing w:line="312" w:lineRule="auto" w:before="1"/>
        <w:ind w:left="839" w:right="1374"/>
      </w:pPr>
      <w:r>
        <w:rPr/>
        <w:t>An analogous collateral channel may operate in the corporate sector. Declines in commercial property prices will weaken corporate balance sheets and this could affect corporate spending if lenders raise the cost of borrowing to affected companies. This effect is likely to be particularly pronounced among commercial real estate companies.</w:t>
      </w:r>
    </w:p>
    <w:p>
      <w:pPr>
        <w:pStyle w:val="BodyText"/>
        <w:spacing w:before="4"/>
        <w:rPr>
          <w:sz w:val="31"/>
        </w:rPr>
      </w:pPr>
    </w:p>
    <w:p>
      <w:pPr>
        <w:pStyle w:val="Heading1"/>
      </w:pPr>
      <w:r>
        <w:rPr/>
        <w:t>Inflation and energy prices</w:t>
      </w:r>
    </w:p>
    <w:p>
      <w:pPr>
        <w:pStyle w:val="BodyText"/>
        <w:rPr>
          <w:b/>
          <w:sz w:val="26"/>
        </w:rPr>
      </w:pPr>
    </w:p>
    <w:p>
      <w:pPr>
        <w:pStyle w:val="BodyText"/>
        <w:rPr>
          <w:b/>
          <w:sz w:val="26"/>
        </w:rPr>
      </w:pPr>
    </w:p>
    <w:p>
      <w:pPr>
        <w:pStyle w:val="BodyText"/>
        <w:spacing w:line="360" w:lineRule="auto" w:before="192"/>
        <w:ind w:left="840" w:right="1448"/>
      </w:pPr>
      <w:r>
        <w:rPr/>
        <w:t>In these ways the losses in credit markets are already contributing to slowing growth; the questions are by how much and for how long? The danger that they could turn a necessary modest slowdown into a deeper and more painful downturn is clear and, of course, that would dampen inflationary pressures. That was a key factor in my decision to vote for a cut in rates in November and December.</w:t>
      </w:r>
    </w:p>
    <w:p>
      <w:pPr>
        <w:pStyle w:val="BodyText"/>
        <w:rPr>
          <w:sz w:val="26"/>
        </w:rPr>
      </w:pPr>
    </w:p>
    <w:p>
      <w:pPr>
        <w:pStyle w:val="BodyText"/>
        <w:spacing w:before="9"/>
        <w:rPr>
          <w:sz w:val="30"/>
        </w:rPr>
      </w:pPr>
    </w:p>
    <w:p>
      <w:pPr>
        <w:pStyle w:val="BodyText"/>
        <w:spacing w:line="360" w:lineRule="auto"/>
        <w:ind w:left="840" w:right="1402"/>
      </w:pPr>
      <w:r>
        <w:rPr/>
        <w:t>But the current situation is complicated by emerging upside pressures on prices. This inflationary pressure is coming largely from outside the UK, reflecting in part increased demand from countries like China where output growth has been both rapid and commodity intensive. That has led to renewed strength in commodity prices (Chart 11), with oil rising as high as $100 a barrel and some agricultural foods reaching record highs in dollar terms. This has already increased the prices of</w:t>
      </w:r>
    </w:p>
    <w:p>
      <w:pPr>
        <w:pStyle w:val="BodyText"/>
        <w:rPr>
          <w:sz w:val="20"/>
        </w:rPr>
      </w:pPr>
    </w:p>
    <w:p>
      <w:pPr>
        <w:pStyle w:val="BodyText"/>
        <w:spacing w:before="1"/>
        <w:rPr>
          <w:sz w:val="13"/>
        </w:rPr>
      </w:pPr>
      <w:r>
        <w:rPr/>
        <w:pict>
          <v:shape style="position:absolute;margin-left:90pt;margin-top:9.818672pt;width:144pt;height:.1pt;mso-position-horizontal-relative:page;mso-position-vertical-relative:paragraph;z-index:-251651072;mso-wrap-distance-left:0;mso-wrap-distance-right:0" coordorigin="1800,196" coordsize="2880,0" path="m1800,196l4680,196e" filled="false" stroked="true" strokeweight=".599980pt" strokecolor="#000000">
            <v:path arrowok="t"/>
            <v:stroke dashstyle="solid"/>
            <w10:wrap type="topAndBottom"/>
          </v:shape>
        </w:pict>
      </w:r>
    </w:p>
    <w:p>
      <w:pPr>
        <w:spacing w:before="49"/>
        <w:ind w:left="840" w:right="1489" w:firstLine="0"/>
        <w:jc w:val="both"/>
        <w:rPr>
          <w:sz w:val="20"/>
        </w:rPr>
      </w:pPr>
      <w:r>
        <w:rPr>
          <w:position w:val="9"/>
          <w:sz w:val="13"/>
        </w:rPr>
        <w:t>11 </w:t>
      </w:r>
      <w:r>
        <w:rPr>
          <w:sz w:val="20"/>
        </w:rPr>
        <w:t>Evidence on housing equity is presented in Waldron, M and Young, Y (2006), ‘Household debt and spending: results from the 2007 NMG Research survey’, </w:t>
      </w:r>
      <w:r>
        <w:rPr>
          <w:i/>
          <w:sz w:val="20"/>
        </w:rPr>
        <w:t>Bank of England Quarterly Bulletin</w:t>
      </w:r>
      <w:r>
        <w:rPr>
          <w:sz w:val="20"/>
        </w:rPr>
        <w:t>, Winter, pp. 512-21.</w:t>
      </w:r>
    </w:p>
    <w:p>
      <w:pPr>
        <w:spacing w:after="0"/>
        <w:jc w:val="both"/>
        <w:rPr>
          <w:sz w:val="20"/>
        </w:rPr>
        <w:sectPr>
          <w:pgSz w:w="11900" w:h="16840"/>
          <w:pgMar w:header="0" w:footer="882" w:top="1360" w:bottom="1160" w:left="960" w:right="440"/>
        </w:sectPr>
      </w:pPr>
    </w:p>
    <w:p>
      <w:pPr>
        <w:pStyle w:val="BodyText"/>
        <w:spacing w:line="360" w:lineRule="auto" w:before="76"/>
        <w:ind w:left="840" w:right="1435"/>
      </w:pPr>
      <w:r>
        <w:rPr/>
        <w:t>imported goods, and that effect has been amplified recently by the fall in sterling. In turn, it is putting upward pressure on the sterling prices set by domestic producers for crude oil and wholesale gas and electricity. And, in contrast to the past, demand from emerging economies may mean that commodity prices prove resilient to slowing growth in the industrialised economies.</w:t>
      </w:r>
    </w:p>
    <w:p>
      <w:pPr>
        <w:pStyle w:val="BodyText"/>
        <w:rPr>
          <w:sz w:val="26"/>
        </w:rPr>
      </w:pPr>
    </w:p>
    <w:p>
      <w:pPr>
        <w:pStyle w:val="BodyText"/>
        <w:spacing w:before="10"/>
        <w:rPr>
          <w:sz w:val="30"/>
        </w:rPr>
      </w:pPr>
    </w:p>
    <w:p>
      <w:pPr>
        <w:pStyle w:val="BodyText"/>
        <w:spacing w:line="360" w:lineRule="auto" w:before="1"/>
        <w:ind w:left="840" w:right="1382"/>
      </w:pPr>
      <w:r>
        <w:rPr/>
        <w:t>The appropriate monetary policy reaction to upside pressures on prices coming from outside the economy (such as an energy price shock) depends on how households and businesses react to that shock - in other words, on so-called ‘second-round’ effects.</w:t>
      </w:r>
      <w:r>
        <w:rPr>
          <w:spacing w:val="38"/>
        </w:rPr>
        <w:t> </w:t>
      </w:r>
      <w:r>
        <w:rPr/>
        <w:t>A key determinant of those effects will be the impact on inflation expectations. If households’ and businesses’ expectations of future inflation rise following the initial price shock, pressures for compensating rises in wages and prices are much more likely. Inflation expectations are difficult to measure, but surveys of households’ expectations have picked up since early 2005 (Chart 12). This partly reflects the rise in inflation during 2005-06. But expectations have remained elevated during 2007 despite the easing in inflation in the second half of the</w:t>
      </w:r>
      <w:r>
        <w:rPr>
          <w:spacing w:val="-10"/>
        </w:rPr>
        <w:t> </w:t>
      </w:r>
      <w:r>
        <w:rPr/>
        <w:t>year.</w:t>
      </w:r>
    </w:p>
    <w:p>
      <w:pPr>
        <w:pStyle w:val="BodyText"/>
        <w:rPr>
          <w:sz w:val="26"/>
        </w:rPr>
      </w:pPr>
    </w:p>
    <w:p>
      <w:pPr>
        <w:pStyle w:val="Heading1"/>
        <w:spacing w:before="219"/>
      </w:pPr>
      <w:r>
        <w:rPr/>
        <w:t>Conclusion</w:t>
      </w:r>
    </w:p>
    <w:p>
      <w:pPr>
        <w:pStyle w:val="BodyText"/>
        <w:rPr>
          <w:b/>
          <w:sz w:val="26"/>
        </w:rPr>
      </w:pPr>
    </w:p>
    <w:p>
      <w:pPr>
        <w:pStyle w:val="BodyText"/>
        <w:spacing w:line="360" w:lineRule="auto" w:before="214"/>
        <w:ind w:left="840" w:right="1362"/>
      </w:pPr>
      <w:r>
        <w:rPr/>
        <w:t>After a long period of stability, we have experienced a major financial shock that has reverberated through the banking sector in all the advanced economies. It has calmed recently, but we should expect a prolonged period of discomfort for individual banks and the financial system as a whole. Unusually, this shock was not the result of bad loans at home but it will have an impact on growth through tighter credit constraints and by influencing expectations and confidence. We cannot be sure how large those effects will be but they pose a serious downside risk to growth. To make matters more difficult, we face a sharp rise in inflation in coming months as a result of rising commodity prices worldwide and a fall in our exchange rate.</w:t>
      </w:r>
    </w:p>
    <w:p>
      <w:pPr>
        <w:pStyle w:val="BodyText"/>
        <w:rPr>
          <w:sz w:val="26"/>
        </w:rPr>
      </w:pPr>
    </w:p>
    <w:p>
      <w:pPr>
        <w:pStyle w:val="BodyText"/>
        <w:spacing w:before="10"/>
        <w:rPr>
          <w:sz w:val="30"/>
        </w:rPr>
      </w:pPr>
    </w:p>
    <w:p>
      <w:pPr>
        <w:pStyle w:val="BodyText"/>
        <w:spacing w:line="360" w:lineRule="auto"/>
        <w:ind w:left="840" w:right="1488"/>
      </w:pPr>
      <w:r>
        <w:rPr/>
        <w:t>In reaching our decisions, the MPC always looks not just at the central projection for the economy but at the risks on either side. That will require not just difficult judgements but careful explanation in the months ahead.</w:t>
      </w:r>
    </w:p>
    <w:p>
      <w:pPr>
        <w:spacing w:after="0" w:line="360" w:lineRule="auto"/>
        <w:sectPr>
          <w:pgSz w:w="11900" w:h="16840"/>
          <w:pgMar w:header="0" w:footer="882" w:top="1360" w:bottom="1160" w:left="960" w:right="440"/>
        </w:sectPr>
      </w:pPr>
    </w:p>
    <w:p>
      <w:pPr>
        <w:pStyle w:val="BodyText"/>
        <w:spacing w:before="1"/>
        <w:rPr>
          <w:sz w:val="10"/>
        </w:rPr>
      </w:pPr>
    </w:p>
    <w:p>
      <w:pPr>
        <w:spacing w:after="0"/>
        <w:rPr>
          <w:sz w:val="10"/>
        </w:rPr>
        <w:sectPr>
          <w:pgSz w:w="11900" w:h="16840"/>
          <w:pgMar w:header="0" w:footer="882" w:top="1600" w:bottom="1160" w:left="960" w:right="440"/>
        </w:sectPr>
      </w:pPr>
    </w:p>
    <w:p>
      <w:pPr>
        <w:spacing w:before="91"/>
        <w:ind w:left="227" w:right="0" w:firstLine="0"/>
        <w:jc w:val="left"/>
        <w:rPr>
          <w:b/>
          <w:sz w:val="22"/>
        </w:rPr>
      </w:pPr>
      <w:r>
        <w:rPr/>
        <w:pict>
          <v:group style="position:absolute;margin-left:53.759998pt;margin-top:4.139861pt;width:514pt;height:522.25pt;mso-position-horizontal-relative:page;mso-position-vertical-relative:paragraph;z-index:-253046784" coordorigin="1075,83" coordsize="10280,10445">
            <v:line style="position:absolute" from="1075,88" to="11354,88" stroked="true" strokeweight=".47998pt" strokecolor="#000000">
              <v:stroke dashstyle="solid"/>
            </v:line>
            <v:line style="position:absolute" from="6120,92" to="6120,599" stroked="true" strokeweight=".48001pt" strokecolor="#000000">
              <v:stroke dashstyle="solid"/>
            </v:line>
            <v:line style="position:absolute" from="1075,604" to="11354,604" stroked="true" strokeweight=".48004pt" strokecolor="#000000">
              <v:stroke dashstyle="solid"/>
            </v:line>
            <v:line style="position:absolute" from="6120,608" to="6120,4554" stroked="true" strokeweight=".48001pt" strokecolor="#000000">
              <v:stroke dashstyle="solid"/>
            </v:line>
            <v:line style="position:absolute" from="1075,4559" to="11354,4559" stroked="true" strokeweight=".47998pt" strokecolor="#000000">
              <v:stroke dashstyle="solid"/>
            </v:line>
            <v:shape style="position:absolute;left:1075;top:4563;width:10280;height:1253" coordorigin="1075,4564" coordsize="10280,1253" path="m6120,4564l6120,5300m1075,5305l11354,5305m6120,5310l6120,5816e" filled="false" stroked="true" strokeweight=".48001pt" strokecolor="#000000">
              <v:path arrowok="t"/>
              <v:stroke dashstyle="solid"/>
            </v:shape>
            <v:line style="position:absolute" from="1075,5821" to="11354,5821" stroked="true" strokeweight=".47998pt" strokecolor="#000000">
              <v:stroke dashstyle="solid"/>
            </v:line>
            <v:shape style="position:absolute;left:1075;top:82;width:10280;height:10445" coordorigin="1075,83" coordsize="10280,10445" path="m6120,5826l6120,9772m1075,9776l11354,9776m1080,83l1080,10528e" filled="false" stroked="true" strokeweight=".48001pt" strokecolor="#000000">
              <v:path arrowok="t"/>
              <v:stroke dashstyle="solid"/>
            </v:shape>
            <v:line style="position:absolute" from="1075,10523" to="6115,10523" stroked="true" strokeweight=".48pt" strokecolor="#000000">
              <v:stroke dashstyle="solid"/>
            </v:line>
            <v:line style="position:absolute" from="6120,9781" to="6120,10528" stroked="true" strokeweight=".48001pt" strokecolor="#000000">
              <v:stroke dashstyle="solid"/>
            </v:line>
            <v:line style="position:absolute" from="6125,10523" to="11345,10523" stroked="true" strokeweight=".48pt" strokecolor="#000000">
              <v:stroke dashstyle="solid"/>
            </v:line>
            <v:line style="position:absolute" from="11350,83" to="11350,10528" stroked="true" strokeweight=".47998pt" strokecolor="#000000">
              <v:stroke dashstyle="solid"/>
            </v:line>
            <w10:wrap type="none"/>
          </v:group>
        </w:pict>
      </w:r>
      <w:r>
        <w:rPr/>
        <w:pict>
          <v:group style="position:absolute;margin-left:63.360001pt;margin-top:51.08984pt;width:200.6pt;height:145pt;mso-position-horizontal-relative:page;mso-position-vertical-relative:paragraph;z-index:251668480" coordorigin="1267,1022" coordsize="4012,2900">
            <v:line style="position:absolute" from="1829,3905" to="2022,3905" stroked="true" strokeweight="1.56pt" strokecolor="#3365ff">
              <v:stroke dashstyle="solid"/>
            </v:line>
            <v:line style="position:absolute" from="1829,3881" to="2022,3881" stroked="true" strokeweight=".77997pt" strokecolor="#9a3365">
              <v:stroke dashstyle="solid"/>
            </v:line>
            <v:line style="position:absolute" from="2279,3874" to="2455,3874" stroked="true" strokeweight="4.62pt" strokecolor="#3365ff">
              <v:stroke dashstyle="solid"/>
            </v:line>
            <v:line style="position:absolute" from="2279,3820" to="2455,3820" stroked="true" strokeweight=".78003pt" strokecolor="#9acc00">
              <v:stroke dashstyle="solid"/>
            </v:line>
            <v:rect style="position:absolute;left:2712;top:3828;width:192;height:93" filled="true" fillcolor="#3365ff" stroked="false">
              <v:fill type="solid"/>
            </v:rect>
            <v:rect style="position:absolute;left:2712;top:3781;width:192;height:47" filled="true" fillcolor="#9acc00" stroked="false">
              <v:fill type="solid"/>
            </v:rect>
            <v:rect style="position:absolute;left:3160;top:3751;width:177;height:170" filled="true" fillcolor="#3365ff" stroked="false">
              <v:fill type="solid"/>
            </v:rect>
            <v:rect style="position:absolute;left:3160;top:3720;width:177;height:32" filled="true" fillcolor="#9a3365" stroked="false">
              <v:fill type="solid"/>
            </v:rect>
            <v:rect style="position:absolute;left:3160;top:3674;width:177;height:46" filled="true" fillcolor="#9acc00" stroked="false">
              <v:fill type="solid"/>
            </v:rect>
            <v:rect style="position:absolute;left:3594;top:3580;width:194;height:340" filled="true" fillcolor="#3365ff" stroked="false">
              <v:fill type="solid"/>
            </v:rect>
            <v:rect style="position:absolute;left:3594;top:3396;width:194;height:185" filled="true" fillcolor="#9a3365" stroked="false">
              <v:fill type="solid"/>
            </v:rect>
            <v:rect style="position:absolute;left:3594;top:3319;width:194;height:77" filled="true" fillcolor="#9acc00" stroked="false">
              <v:fill type="solid"/>
            </v:rect>
            <v:rect style="position:absolute;left:4044;top:3211;width:177;height:710" filled="true" fillcolor="#3365ff" stroked="false">
              <v:fill type="solid"/>
            </v:rect>
            <v:rect style="position:absolute;left:4044;top:2965;width:177;height:246" filled="true" fillcolor="#9a3365" stroked="false">
              <v:fill type="solid"/>
            </v:rect>
            <v:rect style="position:absolute;left:4044;top:2857;width:177;height:108" filled="true" fillcolor="#9acc00" stroked="false">
              <v:fill type="solid"/>
            </v:rect>
            <v:rect style="position:absolute;left:4477;top:2332;width:192;height:1588" filled="true" fillcolor="#3365ff" stroked="false">
              <v:fill type="solid"/>
            </v:rect>
            <v:rect style="position:absolute;left:4477;top:1423;width:192;height:910" filled="true" fillcolor="#9a3365" stroked="false">
              <v:fill type="solid"/>
            </v:rect>
            <v:rect style="position:absolute;left:4477;top:1177;width:192;height:246" filled="true" fillcolor="#9acc00" stroked="false">
              <v:fill type="solid"/>
            </v:rect>
            <v:rect style="position:absolute;left:4926;top:3350;width:177;height:570" filled="true" fillcolor="#3365ff" stroked="false">
              <v:fill type="solid"/>
            </v:rect>
            <v:rect style="position:absolute;left:4926;top:2764;width:177;height:586" filled="true" fillcolor="#9a3365" stroked="false">
              <v:fill type="solid"/>
            </v:rect>
            <v:rect style="position:absolute;left:4926;top:2594;width:177;height:171" filled="true" fillcolor="#9acc00" stroked="false">
              <v:fill type="solid"/>
            </v:rect>
            <v:line style="position:absolute" from="1396,3913" to="1572,3913" stroked="true" strokeweight=".78003pt" strokecolor="#9a3365">
              <v:stroke dashstyle="solid"/>
            </v:line>
            <v:shape style="position:absolute;left:1267;top:1022;width:4012;height:2898" coordorigin="1267,1022" coordsize="4012,2898" path="m5231,1022l5231,3920m5231,3920l5279,3920m5231,3596l5279,3596m5231,3274l5279,3274m5231,2950l5279,2950m5231,2626l5279,2626m5231,2317l5279,2317m5231,1993l5279,1993m5231,1670l5279,1670m5231,1346l5279,1346m5231,1022l5279,1022m1267,3920l5231,3920e" filled="false" stroked="true" strokeweight=".06pt" strokecolor="#000000">
              <v:path arrowok="t"/>
              <v:stroke dashstyle="solid"/>
            </v:shape>
            <v:rect style="position:absolute;left:1604;top:1330;width:113;height:108" filled="true" fillcolor="#9acc00" stroked="false">
              <v:fill type="solid"/>
            </v:rect>
            <v:rect style="position:absolute;left:1604;top:1623;width:113;height:108" filled="true" fillcolor="#9a3365" stroked="false">
              <v:fill type="solid"/>
            </v:rect>
            <v:rect style="position:absolute;left:1604;top:1916;width:113;height:108" filled="true" fillcolor="#3365ff" stroked="false">
              <v:fill type="solid"/>
            </v:rect>
            <v:shape style="position:absolute;left:1267;top:1021;width:4012;height:2900" type="#_x0000_t202" filled="false" stroked="false">
              <v:textbox inset="0,0,0,0">
                <w:txbxContent>
                  <w:p>
                    <w:pPr>
                      <w:spacing w:line="240" w:lineRule="auto" w:before="10"/>
                      <w:rPr>
                        <w:sz w:val="20"/>
                      </w:rPr>
                    </w:pPr>
                  </w:p>
                  <w:p>
                    <w:pPr>
                      <w:spacing w:before="0"/>
                      <w:ind w:left="498" w:right="0" w:firstLine="0"/>
                      <w:jc w:val="left"/>
                      <w:rPr>
                        <w:sz w:val="17"/>
                      </w:rPr>
                    </w:pPr>
                    <w:r>
                      <w:rPr>
                        <w:w w:val="105"/>
                        <w:sz w:val="17"/>
                      </w:rPr>
                      <w:t>CDO^2</w:t>
                    </w:r>
                  </w:p>
                  <w:p>
                    <w:pPr>
                      <w:spacing w:line="360" w:lineRule="auto" w:before="97"/>
                      <w:ind w:left="498" w:right="2066" w:firstLine="0"/>
                      <w:jc w:val="left"/>
                      <w:rPr>
                        <w:sz w:val="17"/>
                      </w:rPr>
                    </w:pPr>
                    <w:r>
                      <w:rPr>
                        <w:w w:val="105"/>
                        <w:sz w:val="17"/>
                      </w:rPr>
                      <w:t>Mezz ABS CDO HG ABS CDO</w:t>
                    </w:r>
                  </w:p>
                </w:txbxContent>
              </v:textbox>
              <w10:wrap type="none"/>
            </v:shape>
            <w10:wrap type="none"/>
          </v:group>
        </w:pict>
      </w:r>
      <w:r>
        <w:rPr>
          <w:b/>
          <w:sz w:val="22"/>
        </w:rPr>
        <w:t>Chart 1: ABS CDO issuance</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6"/>
        <w:rPr>
          <w:b/>
          <w:sz w:val="30"/>
        </w:rPr>
      </w:pPr>
    </w:p>
    <w:p>
      <w:pPr>
        <w:spacing w:before="1"/>
        <w:ind w:left="227" w:right="0" w:firstLine="0"/>
        <w:jc w:val="left"/>
        <w:rPr>
          <w:sz w:val="16"/>
        </w:rPr>
      </w:pPr>
      <w:r>
        <w:rPr/>
        <w:pict>
          <v:shape style="position:absolute;margin-left:68.186119pt;margin-top:-26.721743pt;width:11.4pt;height:20.55pt;mso-position-horizontal-relative:page;mso-position-vertical-relative:paragraph;z-index:251675648" type="#_x0000_t202" filled="false" stroked="false">
            <v:textbox inset="0,0,0,0" style="layout-flow:vertical;mso-layout-flow-alt:bottom-to-top">
              <w:txbxContent>
                <w:p>
                  <w:pPr>
                    <w:spacing w:before="12"/>
                    <w:ind w:left="20" w:right="0" w:firstLine="0"/>
                    <w:jc w:val="left"/>
                    <w:rPr>
                      <w:sz w:val="17"/>
                    </w:rPr>
                  </w:pPr>
                  <w:r>
                    <w:rPr>
                      <w:w w:val="105"/>
                      <w:sz w:val="17"/>
                    </w:rPr>
                    <w:t>1999</w:t>
                  </w:r>
                </w:p>
              </w:txbxContent>
            </v:textbox>
            <w10:wrap type="none"/>
          </v:shape>
        </w:pict>
      </w:r>
      <w:r>
        <w:rPr/>
        <w:pict>
          <v:shape style="position:absolute;margin-left:89.906479pt;margin-top:-26.721743pt;width:11.4pt;height:20.55pt;mso-position-horizontal-relative:page;mso-position-vertical-relative:paragraph;z-index:251676672" type="#_x0000_t202" filled="false" stroked="false">
            <v:textbox inset="0,0,0,0" style="layout-flow:vertical;mso-layout-flow-alt:bottom-to-top">
              <w:txbxContent>
                <w:p>
                  <w:pPr>
                    <w:spacing w:before="12"/>
                    <w:ind w:left="20" w:right="0" w:firstLine="0"/>
                    <w:jc w:val="left"/>
                    <w:rPr>
                      <w:sz w:val="17"/>
                    </w:rPr>
                  </w:pPr>
                  <w:r>
                    <w:rPr>
                      <w:w w:val="105"/>
                      <w:sz w:val="17"/>
                    </w:rPr>
                    <w:t>2000</w:t>
                  </w:r>
                </w:p>
              </w:txbxContent>
            </v:textbox>
            <w10:wrap type="none"/>
          </v:shape>
        </w:pict>
      </w:r>
      <w:r>
        <w:rPr/>
        <w:pict>
          <v:shape style="position:absolute;margin-left:112.346535pt;margin-top:-26.721743pt;width:11.4pt;height:20.55pt;mso-position-horizontal-relative:page;mso-position-vertical-relative:paragraph;z-index:251677696" type="#_x0000_t202" filled="false" stroked="false">
            <v:textbox inset="0,0,0,0" style="layout-flow:vertical;mso-layout-flow-alt:bottom-to-top">
              <w:txbxContent>
                <w:p>
                  <w:pPr>
                    <w:spacing w:before="12"/>
                    <w:ind w:left="20" w:right="0" w:firstLine="0"/>
                    <w:jc w:val="left"/>
                    <w:rPr>
                      <w:sz w:val="17"/>
                    </w:rPr>
                  </w:pPr>
                  <w:r>
                    <w:rPr>
                      <w:w w:val="105"/>
                      <w:sz w:val="17"/>
                    </w:rPr>
                    <w:t>2001</w:t>
                  </w:r>
                </w:p>
              </w:txbxContent>
            </v:textbox>
            <w10:wrap type="none"/>
          </v:shape>
        </w:pict>
      </w:r>
      <w:r>
        <w:rPr/>
        <w:pict>
          <v:shape style="position:absolute;margin-left:134.006714pt;margin-top:-26.721743pt;width:11.4pt;height:20.55pt;mso-position-horizontal-relative:page;mso-position-vertical-relative:paragraph;z-index:251678720" type="#_x0000_t202" filled="false" stroked="false">
            <v:textbox inset="0,0,0,0" style="layout-flow:vertical;mso-layout-flow-alt:bottom-to-top">
              <w:txbxContent>
                <w:p>
                  <w:pPr>
                    <w:spacing w:before="12"/>
                    <w:ind w:left="20" w:right="0" w:firstLine="0"/>
                    <w:jc w:val="left"/>
                    <w:rPr>
                      <w:sz w:val="17"/>
                    </w:rPr>
                  </w:pPr>
                  <w:r>
                    <w:rPr>
                      <w:w w:val="105"/>
                      <w:sz w:val="17"/>
                    </w:rPr>
                    <w:t>2002</w:t>
                  </w:r>
                </w:p>
              </w:txbxContent>
            </v:textbox>
            <w10:wrap type="none"/>
          </v:shape>
        </w:pict>
      </w:r>
      <w:r>
        <w:rPr/>
        <w:pict>
          <v:shape style="position:absolute;margin-left:156.446762pt;margin-top:-26.721743pt;width:11.4pt;height:20.55pt;mso-position-horizontal-relative:page;mso-position-vertical-relative:paragraph;z-index:251679744" type="#_x0000_t202" filled="false" stroked="false">
            <v:textbox inset="0,0,0,0" style="layout-flow:vertical;mso-layout-flow-alt:bottom-to-top">
              <w:txbxContent>
                <w:p>
                  <w:pPr>
                    <w:spacing w:before="12"/>
                    <w:ind w:left="20" w:right="0" w:firstLine="0"/>
                    <w:jc w:val="left"/>
                    <w:rPr>
                      <w:sz w:val="17"/>
                    </w:rPr>
                  </w:pPr>
                  <w:r>
                    <w:rPr>
                      <w:w w:val="105"/>
                      <w:sz w:val="17"/>
                    </w:rPr>
                    <w:t>2003</w:t>
                  </w:r>
                </w:p>
              </w:txbxContent>
            </v:textbox>
            <w10:wrap type="none"/>
          </v:shape>
        </w:pict>
      </w:r>
      <w:r>
        <w:rPr/>
        <w:pict>
          <v:shape style="position:absolute;margin-left:178.106934pt;margin-top:-26.721743pt;width:11.4pt;height:20.55pt;mso-position-horizontal-relative:page;mso-position-vertical-relative:paragraph;z-index:251680768" type="#_x0000_t202" filled="false" stroked="false">
            <v:textbox inset="0,0,0,0" style="layout-flow:vertical;mso-layout-flow-alt:bottom-to-top">
              <w:txbxContent>
                <w:p>
                  <w:pPr>
                    <w:spacing w:before="12"/>
                    <w:ind w:left="20" w:right="0" w:firstLine="0"/>
                    <w:jc w:val="left"/>
                    <w:rPr>
                      <w:sz w:val="17"/>
                    </w:rPr>
                  </w:pPr>
                  <w:r>
                    <w:rPr>
                      <w:w w:val="105"/>
                      <w:sz w:val="17"/>
                    </w:rPr>
                    <w:t>2004</w:t>
                  </w:r>
                </w:p>
              </w:txbxContent>
            </v:textbox>
            <w10:wrap type="none"/>
          </v:shape>
        </w:pict>
      </w:r>
      <w:r>
        <w:rPr>
          <w:sz w:val="16"/>
        </w:rPr>
        <w:t>Source: Citi</w:t>
      </w:r>
    </w:p>
    <w:p>
      <w:pPr>
        <w:pStyle w:val="BodyText"/>
        <w:rPr>
          <w:sz w:val="18"/>
        </w:rPr>
      </w:pPr>
      <w:r>
        <w:rPr/>
        <w:br w:type="column"/>
      </w:r>
      <w:r>
        <w:rPr>
          <w:sz w:val="18"/>
        </w:rPr>
      </w:r>
    </w:p>
    <w:p>
      <w:pPr>
        <w:pStyle w:val="BodyText"/>
        <w:rPr>
          <w:sz w:val="18"/>
        </w:rPr>
      </w:pPr>
    </w:p>
    <w:p>
      <w:pPr>
        <w:pStyle w:val="BodyText"/>
        <w:spacing w:before="2"/>
      </w:pPr>
    </w:p>
    <w:p>
      <w:pPr>
        <w:spacing w:before="0"/>
        <w:ind w:left="0" w:right="93" w:firstLine="0"/>
        <w:jc w:val="right"/>
        <w:rPr>
          <w:sz w:val="17"/>
        </w:rPr>
      </w:pPr>
      <w:r>
        <w:rPr>
          <w:w w:val="105"/>
          <w:sz w:val="17"/>
        </w:rPr>
        <w:t>$ billion</w:t>
      </w:r>
    </w:p>
    <w:p>
      <w:pPr>
        <w:spacing w:before="20"/>
        <w:ind w:left="0" w:right="38" w:firstLine="0"/>
        <w:jc w:val="right"/>
        <w:rPr>
          <w:sz w:val="17"/>
        </w:rPr>
      </w:pPr>
      <w:r>
        <w:rPr>
          <w:spacing w:val="7"/>
          <w:sz w:val="17"/>
        </w:rPr>
        <w:t>225</w:t>
      </w:r>
    </w:p>
    <w:p>
      <w:pPr>
        <w:spacing w:before="129"/>
        <w:ind w:left="0" w:right="38" w:firstLine="0"/>
        <w:jc w:val="right"/>
        <w:rPr>
          <w:sz w:val="17"/>
        </w:rPr>
      </w:pPr>
      <w:r>
        <w:rPr>
          <w:spacing w:val="7"/>
          <w:sz w:val="17"/>
        </w:rPr>
        <w:t>200</w:t>
      </w:r>
    </w:p>
    <w:p>
      <w:pPr>
        <w:spacing w:before="127"/>
        <w:ind w:left="0" w:right="38" w:firstLine="0"/>
        <w:jc w:val="right"/>
        <w:rPr>
          <w:sz w:val="17"/>
        </w:rPr>
      </w:pPr>
      <w:r>
        <w:rPr>
          <w:spacing w:val="7"/>
          <w:sz w:val="17"/>
        </w:rPr>
        <w:t>175</w:t>
      </w:r>
    </w:p>
    <w:p>
      <w:pPr>
        <w:spacing w:before="129"/>
        <w:ind w:left="0" w:right="38" w:firstLine="0"/>
        <w:jc w:val="right"/>
        <w:rPr>
          <w:sz w:val="17"/>
        </w:rPr>
      </w:pPr>
      <w:r>
        <w:rPr>
          <w:spacing w:val="7"/>
          <w:sz w:val="17"/>
        </w:rPr>
        <w:t>150</w:t>
      </w:r>
    </w:p>
    <w:p>
      <w:pPr>
        <w:spacing w:before="128"/>
        <w:ind w:left="0" w:right="38" w:firstLine="0"/>
        <w:jc w:val="right"/>
        <w:rPr>
          <w:sz w:val="17"/>
        </w:rPr>
      </w:pPr>
      <w:r>
        <w:rPr>
          <w:spacing w:val="7"/>
          <w:sz w:val="17"/>
        </w:rPr>
        <w:t>125</w:t>
      </w:r>
    </w:p>
    <w:p>
      <w:pPr>
        <w:spacing w:before="113"/>
        <w:ind w:left="0" w:right="38" w:firstLine="0"/>
        <w:jc w:val="right"/>
        <w:rPr>
          <w:sz w:val="17"/>
        </w:rPr>
      </w:pPr>
      <w:r>
        <w:rPr>
          <w:spacing w:val="7"/>
          <w:sz w:val="17"/>
        </w:rPr>
        <w:t>100</w:t>
      </w:r>
    </w:p>
    <w:p>
      <w:pPr>
        <w:spacing w:before="127"/>
        <w:ind w:left="0" w:right="135" w:firstLine="0"/>
        <w:jc w:val="right"/>
        <w:rPr>
          <w:sz w:val="17"/>
        </w:rPr>
      </w:pPr>
      <w:r>
        <w:rPr>
          <w:spacing w:val="7"/>
          <w:sz w:val="17"/>
        </w:rPr>
        <w:t>75</w:t>
      </w:r>
    </w:p>
    <w:p>
      <w:pPr>
        <w:spacing w:before="129"/>
        <w:ind w:left="0" w:right="135" w:firstLine="0"/>
        <w:jc w:val="right"/>
        <w:rPr>
          <w:sz w:val="17"/>
        </w:rPr>
      </w:pPr>
      <w:r>
        <w:rPr>
          <w:spacing w:val="7"/>
          <w:sz w:val="17"/>
        </w:rPr>
        <w:t>50</w:t>
      </w:r>
    </w:p>
    <w:p>
      <w:pPr>
        <w:spacing w:before="128"/>
        <w:ind w:left="0" w:right="135" w:firstLine="0"/>
        <w:jc w:val="right"/>
        <w:rPr>
          <w:sz w:val="17"/>
        </w:rPr>
      </w:pPr>
      <w:r>
        <w:rPr>
          <w:spacing w:val="7"/>
          <w:sz w:val="17"/>
        </w:rPr>
        <w:t>25</w:t>
      </w:r>
    </w:p>
    <w:p>
      <w:pPr>
        <w:spacing w:before="129"/>
        <w:ind w:left="597" w:right="0" w:firstLine="0"/>
        <w:jc w:val="left"/>
        <w:rPr>
          <w:sz w:val="17"/>
        </w:rPr>
      </w:pPr>
      <w:r>
        <w:rPr/>
        <w:pict>
          <v:shape style="position:absolute;margin-left:199.827286pt;margin-top:17.345066pt;width:11.4pt;height:20.55pt;mso-position-horizontal-relative:page;mso-position-vertical-relative:paragraph;z-index:251681792" type="#_x0000_t202" filled="false" stroked="false">
            <v:textbox inset="0,0,0,0" style="layout-flow:vertical;mso-layout-flow-alt:bottom-to-top">
              <w:txbxContent>
                <w:p>
                  <w:pPr>
                    <w:spacing w:before="12"/>
                    <w:ind w:left="20" w:right="0" w:firstLine="0"/>
                    <w:jc w:val="left"/>
                    <w:rPr>
                      <w:sz w:val="17"/>
                    </w:rPr>
                  </w:pPr>
                  <w:r>
                    <w:rPr>
                      <w:w w:val="105"/>
                      <w:sz w:val="17"/>
                    </w:rPr>
                    <w:t>2005</w:t>
                  </w:r>
                </w:p>
              </w:txbxContent>
            </v:textbox>
            <w10:wrap type="none"/>
          </v:shape>
        </w:pict>
      </w:r>
      <w:r>
        <w:rPr/>
        <w:pict>
          <v:shape style="position:absolute;margin-left:222.267349pt;margin-top:17.345066pt;width:11.4pt;height:20.55pt;mso-position-horizontal-relative:page;mso-position-vertical-relative:paragraph;z-index:251682816" type="#_x0000_t202" filled="false" stroked="false">
            <v:textbox inset="0,0,0,0" style="layout-flow:vertical;mso-layout-flow-alt:bottom-to-top">
              <w:txbxContent>
                <w:p>
                  <w:pPr>
                    <w:spacing w:before="12"/>
                    <w:ind w:left="20" w:right="0" w:firstLine="0"/>
                    <w:jc w:val="left"/>
                    <w:rPr>
                      <w:sz w:val="17"/>
                    </w:rPr>
                  </w:pPr>
                  <w:r>
                    <w:rPr>
                      <w:w w:val="105"/>
                      <w:sz w:val="17"/>
                    </w:rPr>
                    <w:t>2006</w:t>
                  </w:r>
                </w:p>
              </w:txbxContent>
            </v:textbox>
            <w10:wrap type="none"/>
          </v:shape>
        </w:pict>
      </w:r>
      <w:r>
        <w:rPr/>
        <w:pict>
          <v:shape style="position:absolute;margin-left:243.927521pt;margin-top:17.345066pt;width:11.4pt;height:20.55pt;mso-position-horizontal-relative:page;mso-position-vertical-relative:paragraph;z-index:251683840" type="#_x0000_t202" filled="false" stroked="false">
            <v:textbox inset="0,0,0,0" style="layout-flow:vertical;mso-layout-flow-alt:bottom-to-top">
              <w:txbxContent>
                <w:p>
                  <w:pPr>
                    <w:spacing w:before="12"/>
                    <w:ind w:left="20" w:right="0" w:firstLine="0"/>
                    <w:jc w:val="left"/>
                    <w:rPr>
                      <w:sz w:val="17"/>
                    </w:rPr>
                  </w:pPr>
                  <w:r>
                    <w:rPr>
                      <w:w w:val="105"/>
                      <w:sz w:val="17"/>
                    </w:rPr>
                    <w:t>2007</w:t>
                  </w:r>
                </w:p>
              </w:txbxContent>
            </v:textbox>
            <w10:wrap type="none"/>
          </v:shape>
        </w:pict>
      </w:r>
      <w:r>
        <w:rPr>
          <w:w w:val="104"/>
          <w:sz w:val="17"/>
        </w:rPr>
        <w:t>0</w:t>
      </w:r>
    </w:p>
    <w:p>
      <w:pPr>
        <w:spacing w:before="91"/>
        <w:ind w:left="228" w:right="654" w:hanging="1"/>
        <w:jc w:val="both"/>
        <w:rPr>
          <w:b/>
          <w:sz w:val="22"/>
        </w:rPr>
      </w:pPr>
      <w:r>
        <w:rPr/>
        <w:br w:type="column"/>
      </w:r>
      <w:r>
        <w:rPr>
          <w:b/>
          <w:sz w:val="22"/>
        </w:rPr>
        <w:t>Chart 2: Prices of US sub-prime mortgage credit default swaps</w:t>
      </w:r>
      <w:r>
        <w:rPr>
          <w:b/>
          <w:sz w:val="22"/>
          <w:vertAlign w:val="superscript"/>
        </w:rPr>
        <w:t>(a)</w:t>
      </w:r>
    </w:p>
    <w:p>
      <w:pPr>
        <w:spacing w:before="104"/>
        <w:ind w:left="0" w:right="739" w:firstLine="0"/>
        <w:jc w:val="right"/>
        <w:rPr>
          <w:sz w:val="17"/>
        </w:rPr>
      </w:pPr>
      <w:r>
        <w:rPr>
          <w:w w:val="105"/>
          <w:sz w:val="17"/>
        </w:rPr>
        <w:t>US$</w:t>
      </w:r>
    </w:p>
    <w:p>
      <w:pPr>
        <w:spacing w:before="44"/>
        <w:ind w:left="4560" w:right="0" w:firstLine="0"/>
        <w:jc w:val="left"/>
        <w:rPr>
          <w:sz w:val="17"/>
        </w:rPr>
      </w:pPr>
      <w:r>
        <w:rPr/>
        <w:pict>
          <v:group style="position:absolute;margin-left:325.649994pt;margin-top:7.883096pt;width:198.1pt;height:139.050pt;mso-position-horizontal-relative:page;mso-position-vertical-relative:paragraph;z-index:251670528" coordorigin="6513,158" coordsize="3962,2781">
            <v:shape style="position:absolute;left:6513;top:158;width:3962;height:2780" coordorigin="6514,158" coordsize="3962,2780" path="m10424,158l10424,2937m10424,2937l10475,2937m10424,2682l10475,2682m10424,2426l10475,2426m10424,2186l10475,2186m10424,1931l10475,1931m10424,1675l10475,1675m10424,1419l10475,1419m10424,1165l10475,1165m10424,909l10475,909m10424,669l10475,669m10424,414l10475,414m10424,158l10475,158m6514,2937l10424,2937m6514,2937l6514,2889m7475,2937l7475,2889m8453,2937l8453,2889m9430,2937l9430,2889m10408,2937l10408,2889e" filled="false" stroked="true" strokeweight=".06pt" strokecolor="#000000">
              <v:path arrowok="t"/>
              <v:stroke dashstyle="solid"/>
            </v:shape>
            <v:shape style="position:absolute;left:6514;top:405;width:3901;height:2125" type="#_x0000_t75" stroked="false">
              <v:imagedata r:id="rId9" o:title=""/>
            </v:shape>
            <v:line style="position:absolute" from="6666,2617" to="7070,2617" stroked="true" strokeweight=".798163pt" strokecolor="#cc9aff">
              <v:stroke dashstyle="solid"/>
            </v:line>
            <v:shape style="position:absolute;left:7120;top:1595;width:430;height:1106" type="#_x0000_t202" filled="false" stroked="false">
              <v:textbox inset="0,0,0,0">
                <w:txbxContent>
                  <w:p>
                    <w:pPr>
                      <w:spacing w:line="278" w:lineRule="auto" w:before="0"/>
                      <w:ind w:left="0" w:right="18" w:firstLine="0"/>
                      <w:jc w:val="left"/>
                      <w:rPr>
                        <w:sz w:val="17"/>
                      </w:rPr>
                    </w:pPr>
                    <w:r>
                      <w:rPr>
                        <w:w w:val="110"/>
                        <w:sz w:val="17"/>
                      </w:rPr>
                      <w:t>AAA AA A </w:t>
                    </w:r>
                    <w:r>
                      <w:rPr>
                        <w:spacing w:val="-5"/>
                        <w:w w:val="110"/>
                        <w:sz w:val="17"/>
                      </w:rPr>
                      <w:t>BBB </w:t>
                    </w:r>
                    <w:r>
                      <w:rPr>
                        <w:spacing w:val="-7"/>
                        <w:w w:val="110"/>
                        <w:sz w:val="17"/>
                      </w:rPr>
                      <w:t>BBB-</w:t>
                    </w:r>
                  </w:p>
                </w:txbxContent>
              </v:textbox>
              <w10:wrap type="none"/>
            </v:shape>
            <w10:wrap type="none"/>
          </v:group>
        </w:pict>
      </w:r>
      <w:r>
        <w:rPr>
          <w:spacing w:val="7"/>
          <w:w w:val="110"/>
          <w:sz w:val="17"/>
        </w:rPr>
        <w:t>110</w:t>
      </w:r>
    </w:p>
    <w:p>
      <w:pPr>
        <w:spacing w:before="60"/>
        <w:ind w:left="4560" w:right="0" w:firstLine="0"/>
        <w:jc w:val="left"/>
        <w:rPr>
          <w:sz w:val="17"/>
        </w:rPr>
      </w:pPr>
      <w:r>
        <w:rPr>
          <w:spacing w:val="7"/>
          <w:w w:val="110"/>
          <w:sz w:val="17"/>
        </w:rPr>
        <w:t>100</w:t>
      </w:r>
    </w:p>
    <w:p>
      <w:pPr>
        <w:spacing w:before="60"/>
        <w:ind w:left="4560" w:right="0" w:firstLine="0"/>
        <w:jc w:val="left"/>
        <w:rPr>
          <w:sz w:val="17"/>
        </w:rPr>
      </w:pPr>
      <w:r>
        <w:rPr>
          <w:spacing w:val="7"/>
          <w:w w:val="110"/>
          <w:sz w:val="17"/>
        </w:rPr>
        <w:t>90</w:t>
      </w:r>
    </w:p>
    <w:p>
      <w:pPr>
        <w:spacing w:before="45"/>
        <w:ind w:left="4560" w:right="0" w:firstLine="0"/>
        <w:jc w:val="left"/>
        <w:rPr>
          <w:sz w:val="17"/>
        </w:rPr>
      </w:pPr>
      <w:r>
        <w:rPr>
          <w:spacing w:val="7"/>
          <w:w w:val="110"/>
          <w:sz w:val="17"/>
        </w:rPr>
        <w:t>80</w:t>
      </w:r>
    </w:p>
    <w:p>
      <w:pPr>
        <w:spacing w:before="60"/>
        <w:ind w:left="4560" w:right="0" w:firstLine="0"/>
        <w:jc w:val="left"/>
        <w:rPr>
          <w:sz w:val="17"/>
        </w:rPr>
      </w:pPr>
      <w:r>
        <w:rPr>
          <w:spacing w:val="7"/>
          <w:w w:val="110"/>
          <w:sz w:val="17"/>
        </w:rPr>
        <w:t>70</w:t>
      </w:r>
    </w:p>
    <w:p>
      <w:pPr>
        <w:spacing w:before="60"/>
        <w:ind w:left="4560" w:right="0" w:firstLine="0"/>
        <w:jc w:val="left"/>
        <w:rPr>
          <w:sz w:val="17"/>
        </w:rPr>
      </w:pPr>
      <w:r>
        <w:rPr>
          <w:spacing w:val="7"/>
          <w:w w:val="110"/>
          <w:sz w:val="17"/>
        </w:rPr>
        <w:t>60</w:t>
      </w:r>
    </w:p>
    <w:p>
      <w:pPr>
        <w:spacing w:before="60"/>
        <w:ind w:left="4560" w:right="0" w:firstLine="0"/>
        <w:jc w:val="left"/>
        <w:rPr>
          <w:sz w:val="17"/>
        </w:rPr>
      </w:pPr>
      <w:r>
        <w:rPr>
          <w:spacing w:val="7"/>
          <w:w w:val="110"/>
          <w:sz w:val="17"/>
        </w:rPr>
        <w:t>50</w:t>
      </w:r>
    </w:p>
    <w:p>
      <w:pPr>
        <w:spacing w:before="60"/>
        <w:ind w:left="4560" w:right="0" w:firstLine="0"/>
        <w:jc w:val="left"/>
        <w:rPr>
          <w:sz w:val="17"/>
        </w:rPr>
      </w:pPr>
      <w:r>
        <w:rPr>
          <w:spacing w:val="7"/>
          <w:w w:val="110"/>
          <w:sz w:val="17"/>
        </w:rPr>
        <w:t>40</w:t>
      </w:r>
    </w:p>
    <w:p>
      <w:pPr>
        <w:spacing w:before="60"/>
        <w:ind w:left="4560" w:right="0" w:firstLine="0"/>
        <w:jc w:val="left"/>
        <w:rPr>
          <w:sz w:val="17"/>
        </w:rPr>
      </w:pPr>
      <w:r>
        <w:rPr>
          <w:spacing w:val="7"/>
          <w:w w:val="110"/>
          <w:sz w:val="17"/>
        </w:rPr>
        <w:t>30</w:t>
      </w:r>
    </w:p>
    <w:p>
      <w:pPr>
        <w:spacing w:before="43"/>
        <w:ind w:left="4560" w:right="0" w:firstLine="0"/>
        <w:jc w:val="left"/>
        <w:rPr>
          <w:sz w:val="17"/>
        </w:rPr>
      </w:pPr>
      <w:r>
        <w:rPr>
          <w:spacing w:val="7"/>
          <w:w w:val="110"/>
          <w:sz w:val="17"/>
        </w:rPr>
        <w:t>20</w:t>
      </w:r>
    </w:p>
    <w:p>
      <w:pPr>
        <w:spacing w:before="61"/>
        <w:ind w:left="4560" w:right="0" w:firstLine="0"/>
        <w:jc w:val="left"/>
        <w:rPr>
          <w:sz w:val="17"/>
        </w:rPr>
      </w:pPr>
      <w:r>
        <w:rPr>
          <w:spacing w:val="7"/>
          <w:w w:val="110"/>
          <w:sz w:val="17"/>
        </w:rPr>
        <w:t>10</w:t>
      </w:r>
    </w:p>
    <w:p>
      <w:pPr>
        <w:spacing w:before="60"/>
        <w:ind w:left="4560" w:right="0" w:firstLine="0"/>
        <w:jc w:val="left"/>
        <w:rPr>
          <w:sz w:val="17"/>
        </w:rPr>
      </w:pPr>
      <w:r>
        <w:rPr>
          <w:w w:val="109"/>
          <w:sz w:val="17"/>
        </w:rPr>
        <w:t>0</w:t>
      </w:r>
    </w:p>
    <w:p>
      <w:pPr>
        <w:tabs>
          <w:tab w:pos="1323" w:val="left" w:leader="none"/>
          <w:tab w:pos="2351" w:val="left" w:leader="none"/>
          <w:tab w:pos="3295" w:val="left" w:leader="none"/>
          <w:tab w:pos="4306" w:val="left" w:leader="none"/>
          <w:tab w:pos="4585" w:val="right" w:leader="none"/>
        </w:tabs>
        <w:spacing w:line="295" w:lineRule="auto" w:before="60"/>
        <w:ind w:left="362" w:right="872" w:firstLine="33"/>
        <w:jc w:val="both"/>
        <w:rPr>
          <w:sz w:val="17"/>
        </w:rPr>
      </w:pPr>
      <w:r>
        <w:rPr>
          <w:w w:val="110"/>
          <w:sz w:val="17"/>
        </w:rPr>
        <w:t>Jan</w:t>
        <w:tab/>
      </w:r>
      <w:r>
        <w:rPr>
          <w:spacing w:val="3"/>
          <w:w w:val="110"/>
          <w:sz w:val="17"/>
        </w:rPr>
        <w:t>Apr</w:t>
        <w:tab/>
      </w:r>
      <w:r>
        <w:rPr>
          <w:spacing w:val="-5"/>
          <w:w w:val="110"/>
          <w:sz w:val="17"/>
        </w:rPr>
        <w:t>Jul</w:t>
        <w:tab/>
      </w:r>
      <w:r>
        <w:rPr>
          <w:w w:val="110"/>
          <w:sz w:val="17"/>
        </w:rPr>
        <w:t>Oct</w:t>
        <w:tab/>
        <w:t>Jan </w:t>
      </w:r>
      <w:r>
        <w:rPr>
          <w:spacing w:val="7"/>
          <w:w w:val="110"/>
          <w:sz w:val="17"/>
        </w:rPr>
        <w:t>2007</w:t>
        <w:tab/>
        <w:tab/>
        <w:tab/>
        <w:tab/>
        <w:tab/>
      </w:r>
      <w:r>
        <w:rPr>
          <w:spacing w:val="-29"/>
          <w:w w:val="110"/>
          <w:sz w:val="17"/>
        </w:rPr>
        <w:t>2008</w:t>
      </w:r>
    </w:p>
    <w:p>
      <w:pPr>
        <w:spacing w:before="103"/>
        <w:ind w:left="228" w:right="0" w:firstLine="0"/>
        <w:jc w:val="both"/>
        <w:rPr>
          <w:sz w:val="16"/>
        </w:rPr>
      </w:pPr>
      <w:r>
        <w:rPr>
          <w:sz w:val="16"/>
        </w:rPr>
        <w:t>Source: Bank calculations.</w:t>
      </w:r>
    </w:p>
    <w:p>
      <w:pPr>
        <w:spacing w:before="1"/>
        <w:ind w:left="228" w:right="444" w:firstLine="0"/>
        <w:jc w:val="both"/>
        <w:rPr>
          <w:sz w:val="16"/>
        </w:rPr>
      </w:pPr>
      <w:r>
        <w:rPr>
          <w:sz w:val="16"/>
        </w:rPr>
        <w:t>(a) ABX.HE 2006 H2. Each index references 20 home equity loan (HEL) ABS of indicated rating issued in 2006 H1. Sub-prime loans form the vast majority of the collateral backing HEL ABS.</w:t>
      </w:r>
    </w:p>
    <w:p>
      <w:pPr>
        <w:spacing w:after="0"/>
        <w:jc w:val="both"/>
        <w:rPr>
          <w:sz w:val="16"/>
        </w:rPr>
        <w:sectPr>
          <w:type w:val="continuous"/>
          <w:pgSz w:w="11900" w:h="16840"/>
          <w:pgMar w:top="1180" w:bottom="280" w:left="960" w:right="440"/>
          <w:cols w:num="3" w:equalWidth="0">
            <w:col w:w="2931" w:space="872"/>
            <w:col w:w="926" w:space="311"/>
            <w:col w:w="5460"/>
          </w:cols>
        </w:sectPr>
      </w:pPr>
    </w:p>
    <w:p>
      <w:pPr>
        <w:spacing w:before="12"/>
        <w:ind w:left="227" w:right="17" w:firstLine="0"/>
        <w:jc w:val="left"/>
        <w:rPr>
          <w:b/>
          <w:sz w:val="22"/>
        </w:rPr>
      </w:pPr>
      <w:r>
        <w:rPr>
          <w:b/>
          <w:sz w:val="22"/>
        </w:rPr>
        <w:t>Chart 3: 3-month LIBOR spreads over expected policy rates</w:t>
      </w:r>
    </w:p>
    <w:p>
      <w:pPr>
        <w:spacing w:before="12"/>
        <w:ind w:left="227" w:right="0" w:firstLine="0"/>
        <w:jc w:val="left"/>
        <w:rPr>
          <w:b/>
          <w:sz w:val="22"/>
        </w:rPr>
      </w:pPr>
      <w:r>
        <w:rPr/>
        <w:br w:type="column"/>
      </w:r>
      <w:r>
        <w:rPr>
          <w:b/>
          <w:sz w:val="22"/>
        </w:rPr>
        <w:t>Chart 4: RMBS issuance by all UK resident issuers</w:t>
      </w:r>
    </w:p>
    <w:p>
      <w:pPr>
        <w:spacing w:after="0"/>
        <w:jc w:val="left"/>
        <w:rPr>
          <w:sz w:val="22"/>
        </w:rPr>
        <w:sectPr>
          <w:type w:val="continuous"/>
          <w:pgSz w:w="11900" w:h="16840"/>
          <w:pgMar w:top="1180" w:bottom="280" w:left="960" w:right="440"/>
          <w:cols w:num="2" w:equalWidth="0">
            <w:col w:w="4799" w:space="241"/>
            <w:col w:w="5460"/>
          </w:cols>
        </w:sectPr>
      </w:pPr>
    </w:p>
    <w:p>
      <w:pPr>
        <w:spacing w:before="115"/>
        <w:ind w:left="0" w:right="2" w:firstLine="0"/>
        <w:jc w:val="right"/>
        <w:rPr>
          <w:sz w:val="16"/>
        </w:rPr>
      </w:pPr>
      <w:r>
        <w:rPr>
          <w:spacing w:val="-3"/>
          <w:w w:val="105"/>
          <w:sz w:val="16"/>
        </w:rPr>
        <w:t>Basis</w:t>
      </w:r>
      <w:r>
        <w:rPr>
          <w:spacing w:val="-11"/>
          <w:w w:val="105"/>
          <w:sz w:val="16"/>
        </w:rPr>
        <w:t> </w:t>
      </w:r>
      <w:r>
        <w:rPr>
          <w:spacing w:val="5"/>
          <w:w w:val="105"/>
          <w:sz w:val="16"/>
        </w:rPr>
        <w:t>points</w:t>
      </w:r>
    </w:p>
    <w:p>
      <w:pPr>
        <w:spacing w:before="71"/>
        <w:ind w:left="0" w:right="0" w:firstLine="0"/>
        <w:jc w:val="right"/>
        <w:rPr>
          <w:sz w:val="16"/>
        </w:rPr>
      </w:pPr>
      <w:r>
        <w:rPr/>
        <w:pict>
          <v:group style="position:absolute;margin-left:71.760498pt;margin-top:5.192211pt;width:178.75pt;height:147.25pt;mso-position-horizontal-relative:page;mso-position-vertical-relative:paragraph;z-index:251673600" coordorigin="1435,104" coordsize="3575,2945">
            <v:shape style="position:absolute;left:1442;top:179;width:3568;height:2868" coordorigin="1442,180" coordsize="3568,2868" path="m4964,180l4964,3048m4964,3048l5010,3048m4964,2568l5010,2568m4964,2086l5010,2086m4964,1621l5010,1621m4964,1140l5010,1140m4964,660l5010,660m4964,180l5010,180m1442,3048l4964,3048m3541,3048l3541,3002m4604,3048l4604,3002e" filled="false" stroked="true" strokeweight=".06pt" strokecolor="#000000">
              <v:path arrowok="t"/>
              <v:stroke dashstyle="solid"/>
            </v:shape>
            <v:shape style="position:absolute;left:1435;top:352;width:3342;height:2696" type="#_x0000_t75" stroked="false">
              <v:imagedata r:id="rId10" o:title=""/>
            </v:shape>
            <v:shape style="position:absolute;left:4364;top:225;width:15;height:120" coordorigin="4364,225" coordsize="15,120" path="m4379,314l4364,314,4364,345,4379,345,4379,314m4379,225l4364,225,4364,254,4379,254,4379,225e" filled="true" fillcolor="#000000" stroked="false">
              <v:path arrowok="t"/>
              <v:fill type="solid"/>
            </v:shape>
            <v:shape style="position:absolute;left:4124;top:103;width:210;height:184" type="#_x0000_t202" filled="false" stroked="false">
              <v:textbox inset="0,0,0,0">
                <w:txbxContent>
                  <w:p>
                    <w:pPr>
                      <w:spacing w:line="182" w:lineRule="exact" w:before="0"/>
                      <w:ind w:left="0" w:right="0" w:firstLine="0"/>
                      <w:jc w:val="left"/>
                      <w:rPr>
                        <w:sz w:val="16"/>
                      </w:rPr>
                    </w:pPr>
                    <w:r>
                      <w:rPr>
                        <w:w w:val="105"/>
                        <w:sz w:val="16"/>
                      </w:rPr>
                      <w:t>(b)</w:t>
                    </w:r>
                  </w:p>
                </w:txbxContent>
              </v:textbox>
              <w10:wrap type="none"/>
            </v:shape>
            <v:shape style="position:absolute;left:1608;top:479;width:645;height:753" type="#_x0000_t202" filled="false" stroked="false">
              <v:textbox inset="0,0,0,0">
                <w:txbxContent>
                  <w:p>
                    <w:pPr>
                      <w:spacing w:line="182" w:lineRule="exact" w:before="0"/>
                      <w:ind w:left="0" w:right="0" w:firstLine="0"/>
                      <w:jc w:val="left"/>
                      <w:rPr>
                        <w:sz w:val="16"/>
                      </w:rPr>
                    </w:pPr>
                    <w:r>
                      <w:rPr>
                        <w:color w:val="3365FF"/>
                        <w:w w:val="105"/>
                        <w:sz w:val="16"/>
                      </w:rPr>
                      <w:t>Sterling</w:t>
                    </w:r>
                  </w:p>
                  <w:p>
                    <w:pPr>
                      <w:spacing w:line="280" w:lineRule="atLeast" w:before="5"/>
                      <w:ind w:left="0" w:right="0" w:firstLine="0"/>
                      <w:jc w:val="left"/>
                      <w:rPr>
                        <w:sz w:val="16"/>
                      </w:rPr>
                    </w:pPr>
                    <w:r>
                      <w:rPr>
                        <w:color w:val="9A3365"/>
                        <w:w w:val="105"/>
                        <w:sz w:val="16"/>
                      </w:rPr>
                      <w:t>US </w:t>
                    </w:r>
                    <w:r>
                      <w:rPr>
                        <w:color w:val="9A3365"/>
                        <w:spacing w:val="-4"/>
                        <w:w w:val="105"/>
                        <w:sz w:val="16"/>
                      </w:rPr>
                      <w:t>dollar </w:t>
                    </w:r>
                    <w:r>
                      <w:rPr>
                        <w:color w:val="9ACC00"/>
                        <w:w w:val="105"/>
                        <w:sz w:val="16"/>
                      </w:rPr>
                      <w:t>Euro</w:t>
                    </w:r>
                  </w:p>
                </w:txbxContent>
              </v:textbox>
              <w10:wrap type="none"/>
            </v:shape>
            <w10:wrap type="none"/>
          </v:group>
        </w:pict>
      </w:r>
      <w:r>
        <w:rPr>
          <w:spacing w:val="4"/>
          <w:sz w:val="16"/>
        </w:rPr>
        <w:t>120</w:t>
      </w:r>
    </w:p>
    <w:p>
      <w:pPr>
        <w:pStyle w:val="BodyText"/>
        <w:spacing w:before="9"/>
        <w:rPr>
          <w:sz w:val="25"/>
        </w:rPr>
      </w:pPr>
    </w:p>
    <w:p>
      <w:pPr>
        <w:spacing w:before="1"/>
        <w:ind w:left="0" w:right="0" w:firstLine="0"/>
        <w:jc w:val="right"/>
        <w:rPr>
          <w:sz w:val="16"/>
        </w:rPr>
      </w:pPr>
      <w:r>
        <w:rPr>
          <w:spacing w:val="4"/>
          <w:sz w:val="16"/>
        </w:rPr>
        <w:t>100</w:t>
      </w:r>
    </w:p>
    <w:p>
      <w:pPr>
        <w:pStyle w:val="BodyText"/>
        <w:spacing w:before="8"/>
        <w:rPr>
          <w:sz w:val="25"/>
        </w:rPr>
      </w:pPr>
    </w:p>
    <w:p>
      <w:pPr>
        <w:spacing w:before="0"/>
        <w:ind w:left="0" w:right="83" w:firstLine="0"/>
        <w:jc w:val="right"/>
        <w:rPr>
          <w:sz w:val="16"/>
        </w:rPr>
      </w:pPr>
      <w:r>
        <w:rPr>
          <w:spacing w:val="5"/>
          <w:sz w:val="16"/>
        </w:rPr>
        <w:t>80</w:t>
      </w:r>
    </w:p>
    <w:p>
      <w:pPr>
        <w:pStyle w:val="BodyText"/>
        <w:spacing w:before="10"/>
        <w:rPr>
          <w:sz w:val="25"/>
        </w:rPr>
      </w:pPr>
    </w:p>
    <w:p>
      <w:pPr>
        <w:spacing w:before="0"/>
        <w:ind w:left="0" w:right="83" w:firstLine="0"/>
        <w:jc w:val="right"/>
        <w:rPr>
          <w:sz w:val="16"/>
        </w:rPr>
      </w:pPr>
      <w:r>
        <w:rPr>
          <w:spacing w:val="5"/>
          <w:sz w:val="16"/>
        </w:rPr>
        <w:t>60</w:t>
      </w:r>
    </w:p>
    <w:p>
      <w:pPr>
        <w:pStyle w:val="BodyText"/>
        <w:spacing w:before="5"/>
      </w:pPr>
    </w:p>
    <w:p>
      <w:pPr>
        <w:spacing w:before="1"/>
        <w:ind w:left="0" w:right="83" w:firstLine="0"/>
        <w:jc w:val="right"/>
        <w:rPr>
          <w:sz w:val="16"/>
        </w:rPr>
      </w:pPr>
      <w:r>
        <w:rPr>
          <w:spacing w:val="5"/>
          <w:sz w:val="16"/>
        </w:rPr>
        <w:t>40</w:t>
      </w:r>
    </w:p>
    <w:p>
      <w:pPr>
        <w:pStyle w:val="BodyText"/>
        <w:spacing w:before="9"/>
        <w:rPr>
          <w:sz w:val="25"/>
        </w:rPr>
      </w:pPr>
    </w:p>
    <w:p>
      <w:pPr>
        <w:spacing w:before="0"/>
        <w:ind w:left="0" w:right="83" w:firstLine="0"/>
        <w:jc w:val="right"/>
        <w:rPr>
          <w:sz w:val="16"/>
        </w:rPr>
      </w:pPr>
      <w:r>
        <w:rPr>
          <w:spacing w:val="5"/>
          <w:sz w:val="16"/>
        </w:rPr>
        <w:t>20</w:t>
      </w:r>
    </w:p>
    <w:p>
      <w:pPr>
        <w:spacing w:line="280" w:lineRule="auto" w:before="136"/>
        <w:ind w:left="3492" w:right="587" w:firstLine="1496"/>
        <w:jc w:val="right"/>
        <w:rPr>
          <w:sz w:val="18"/>
        </w:rPr>
      </w:pPr>
      <w:r>
        <w:rPr/>
        <w:br w:type="column"/>
      </w:r>
      <w:r>
        <w:rPr>
          <w:w w:val="105"/>
          <w:sz w:val="18"/>
        </w:rPr>
        <w:t>£</w:t>
      </w:r>
      <w:r>
        <w:rPr>
          <w:spacing w:val="13"/>
          <w:w w:val="105"/>
          <w:sz w:val="18"/>
        </w:rPr>
        <w:t> </w:t>
      </w:r>
      <w:r>
        <w:rPr>
          <w:spacing w:val="2"/>
          <w:w w:val="105"/>
          <w:sz w:val="18"/>
        </w:rPr>
        <w:t>blns</w:t>
      </w:r>
      <w:r>
        <w:rPr>
          <w:spacing w:val="6"/>
          <w:w w:val="107"/>
          <w:sz w:val="18"/>
        </w:rPr>
        <w:t> </w:t>
      </w:r>
      <w:r>
        <w:rPr>
          <w:w w:val="105"/>
          <w:sz w:val="18"/>
        </w:rPr>
        <w:t>(three month  </w:t>
      </w:r>
      <w:r>
        <w:rPr>
          <w:spacing w:val="-4"/>
          <w:w w:val="105"/>
          <w:sz w:val="18"/>
        </w:rPr>
        <w:t>rolling</w:t>
      </w:r>
      <w:r>
        <w:rPr>
          <w:spacing w:val="12"/>
          <w:w w:val="105"/>
          <w:sz w:val="18"/>
        </w:rPr>
        <w:t> </w:t>
      </w:r>
      <w:r>
        <w:rPr>
          <w:w w:val="105"/>
          <w:sz w:val="18"/>
        </w:rPr>
        <w:t>sum)</w:t>
      </w:r>
    </w:p>
    <w:p>
      <w:pPr>
        <w:spacing w:line="206" w:lineRule="exact" w:before="0"/>
        <w:ind w:left="0" w:right="577" w:firstLine="0"/>
        <w:jc w:val="right"/>
        <w:rPr>
          <w:sz w:val="18"/>
        </w:rPr>
      </w:pPr>
      <w:r>
        <w:rPr/>
        <w:pict>
          <v:group style="position:absolute;margin-left:321.690002pt;margin-top:5.03541pt;width:208.95pt;height:121.1pt;mso-position-horizontal-relative:page;mso-position-vertical-relative:paragraph;z-index:251674624" coordorigin="6434,101" coordsize="4179,2422">
            <v:shape style="position:absolute;left:6434;top:101;width:4179;height:2421" coordorigin="6434,101" coordsize="4179,2421" path="m10554,101l10554,2522m10554,2522l10613,2522m10554,2123l10613,2123m10554,1711l10613,1711m10554,1312l10613,1312m10554,913l10613,913m10554,501l10613,501m10554,101l10613,101m6434,2522l10554,2522m6434,2522l6434,2464m6953,2522l6953,2464m7472,2522l7472,2464m7975,2522l7975,2464m8495,2522l8495,2464m9013,2522l9013,2464m9532,2522l9532,2464m10036,2522l10036,2464m10554,2522l10554,2464e" filled="false" stroked="true" strokeweight=".06pt" strokecolor="#000000">
              <v:path arrowok="t"/>
              <v:stroke dashstyle="solid"/>
            </v:shape>
            <v:shape style="position:absolute;left:6407;top:15011;width:1481;height:320" coordorigin="6408,15011" coordsize="1481,320" path="m6539,2422l6583,2422m6583,2422l6628,2393m6628,2393l6672,2464m6672,2464l6716,2294m6716,2294l6761,2350m6761,2350l6805,2279m6805,2279l6850,2379m6850,2379l6880,2180m6880,2180l6924,2250m6924,2250l6968,2323m6968,2323l7013,2493m7013,2493l7057,2422m7057,2422l7102,2393m7102,2393l7146,2323m7146,2323l7190,2408m7190,2408l7235,2265m7235,2265l7265,2350m7265,2350l7309,2279m7309,2279l7354,2393m7354,2393l7398,2279m7398,2279l7442,2350m7442,2350l7487,2408m7487,2408l7531,2493m7531,2493l7576,2379m7576,2379l7620,2365m7620,2365l7664,2365m7664,2365l7694,2279m7694,2279l7739,2265m7739,2265l7783,2279m7783,2279l7828,2365m7828,2365l7872,2393m7872,2393l7916,2250m7916,2250l7961,2350m7961,2350l8005,2250m8005,2250l8050,2393e" filled="false" stroked="true" strokeweight="1.452297pt" strokecolor="#000080">
              <v:path arrowok="t"/>
              <v:stroke dashstyle="solid"/>
            </v:shape>
            <v:line style="position:absolute" from="8065,2036" to="8065,2408" stroked="true" strokeweight="2.981242pt" strokecolor="#000080">
              <v:stroke dashstyle="solid"/>
            </v:line>
            <v:shape style="position:absolute;left:7917;top:15214;width:1989;height:1772" coordorigin="7918,15215" coordsize="1989,1772" path="m8080,2051l8124,2136m8124,2136l8168,1981m8168,1981l8213,2165m8213,2165l8257,2165m8257,2165l8302,2294m8302,2294l8346,2223m8346,2223l8390,2223m8390,2223l8435,2066m8435,2066l8479,2279m8479,2279l8509,2136m8509,2136l8554,2250m8554,2250l8598,1952m8598,1952l8642,1966m8642,1966l8687,1781m8687,1781l8731,1995m8731,1995l8776,1966m8776,1966l8820,2194m8820,2194l8864,2094m8864,2094l8909,2066m8909,2066l8939,1995m8939,1995l8983,2136m8983,2136l9028,2180m9028,2180l9072,2151m9072,2151l9116,1923m9116,1923l9161,2009m9161,2009l9205,1966m9205,1966l9250,2066m9250,2066l9294,2123m9294,2123l9324,2209m9324,2209l9368,2151m9368,2151l9413,2051m9413,2051l9457,1995m9457,1995l9502,1866,9546,1738m9546,1738l9590,1823m9590,1823l9635,1866m9635,1866l9679,2094m9679,2094l9724,1881m9724,1881l9754,1852m9754,1852l9798,1781,9842,1710m9842,1710l9887,1553m9887,1553l9931,1269m9931,1269l9976,557m9976,557l10020,728m10020,728l10064,871m10064,871l10109,1881e" filled="false" stroked="true" strokeweight="1.452297pt" strokecolor="#000080">
              <v:path arrowok="t"/>
              <v:stroke dashstyle="solid"/>
            </v:shape>
            <v:line style="position:absolute" from="10124,1397" to="10124,1896" stroked="true" strokeweight="2.981435pt" strokecolor="#000080">
              <v:stroke dashstyle="solid"/>
            </v:line>
            <v:line style="position:absolute" from="10139,1412" to="10183,1539" stroked="true" strokeweight="1.475268pt" strokecolor="#000080">
              <v:stroke dashstyle="solid"/>
            </v:line>
            <v:line style="position:absolute" from="10205,1040" to="10205,1554" stroked="true" strokeweight="3.701616pt" strokecolor="#000080">
              <v:stroke dashstyle="solid"/>
            </v:line>
            <v:shape style="position:absolute;left:10022;top:15070;width:305;height:1409" coordorigin="10023,15070" coordsize="305,1409" path="m10228,1055l10272,1070m10272,1070l10316,1113m10316,1113l10361,1368m10361,1368l10405,2180m10405,2180l10450,2279m10450,2279l10494,2435m10494,2435l10538,2294e" filled="false" stroked="true" strokeweight="1.452297pt" strokecolor="#000080">
              <v:path arrowok="t"/>
              <v:stroke dashstyle="solid"/>
            </v:shape>
            <w10:wrap type="none"/>
          </v:group>
        </w:pict>
      </w:r>
      <w:r>
        <w:rPr>
          <w:spacing w:val="-9"/>
          <w:w w:val="105"/>
          <w:sz w:val="18"/>
        </w:rPr>
        <w:t>60</w:t>
      </w:r>
    </w:p>
    <w:p>
      <w:pPr>
        <w:pStyle w:val="BodyText"/>
        <w:spacing w:before="8"/>
        <w:rPr>
          <w:sz w:val="16"/>
        </w:rPr>
      </w:pPr>
    </w:p>
    <w:p>
      <w:pPr>
        <w:spacing w:before="0"/>
        <w:ind w:left="0" w:right="577" w:firstLine="0"/>
        <w:jc w:val="right"/>
        <w:rPr>
          <w:sz w:val="18"/>
        </w:rPr>
      </w:pPr>
      <w:r>
        <w:rPr>
          <w:spacing w:val="-9"/>
          <w:w w:val="105"/>
          <w:sz w:val="18"/>
        </w:rPr>
        <w:t>50</w:t>
      </w:r>
    </w:p>
    <w:p>
      <w:pPr>
        <w:pStyle w:val="BodyText"/>
        <w:spacing w:before="10"/>
        <w:rPr>
          <w:sz w:val="17"/>
        </w:rPr>
      </w:pPr>
    </w:p>
    <w:p>
      <w:pPr>
        <w:spacing w:before="0"/>
        <w:ind w:left="0" w:right="577" w:firstLine="0"/>
        <w:jc w:val="right"/>
        <w:rPr>
          <w:sz w:val="18"/>
        </w:rPr>
      </w:pPr>
      <w:r>
        <w:rPr>
          <w:spacing w:val="-9"/>
          <w:w w:val="105"/>
          <w:sz w:val="18"/>
        </w:rPr>
        <w:t>40</w:t>
      </w:r>
    </w:p>
    <w:p>
      <w:pPr>
        <w:pStyle w:val="BodyText"/>
        <w:spacing w:before="7"/>
        <w:rPr>
          <w:sz w:val="16"/>
        </w:rPr>
      </w:pPr>
    </w:p>
    <w:p>
      <w:pPr>
        <w:spacing w:before="1"/>
        <w:ind w:left="0" w:right="577" w:firstLine="0"/>
        <w:jc w:val="right"/>
        <w:rPr>
          <w:sz w:val="18"/>
        </w:rPr>
      </w:pPr>
      <w:r>
        <w:rPr>
          <w:spacing w:val="-9"/>
          <w:w w:val="105"/>
          <w:sz w:val="18"/>
        </w:rPr>
        <w:t>30</w:t>
      </w:r>
    </w:p>
    <w:p>
      <w:pPr>
        <w:pStyle w:val="BodyText"/>
        <w:spacing w:before="7"/>
        <w:rPr>
          <w:sz w:val="16"/>
        </w:rPr>
      </w:pPr>
    </w:p>
    <w:p>
      <w:pPr>
        <w:spacing w:before="0"/>
        <w:ind w:left="0" w:right="577" w:firstLine="0"/>
        <w:jc w:val="right"/>
        <w:rPr>
          <w:sz w:val="18"/>
        </w:rPr>
      </w:pPr>
      <w:r>
        <w:rPr>
          <w:spacing w:val="-9"/>
          <w:w w:val="105"/>
          <w:sz w:val="18"/>
        </w:rPr>
        <w:t>20</w:t>
      </w:r>
    </w:p>
    <w:p>
      <w:pPr>
        <w:pStyle w:val="BodyText"/>
        <w:spacing w:before="10"/>
        <w:rPr>
          <w:sz w:val="17"/>
        </w:rPr>
      </w:pPr>
    </w:p>
    <w:p>
      <w:pPr>
        <w:spacing w:before="0"/>
        <w:ind w:left="0" w:right="577" w:firstLine="0"/>
        <w:jc w:val="right"/>
        <w:rPr>
          <w:sz w:val="18"/>
        </w:rPr>
      </w:pPr>
      <w:r>
        <w:rPr>
          <w:spacing w:val="-9"/>
          <w:w w:val="105"/>
          <w:sz w:val="18"/>
        </w:rPr>
        <w:t>10</w:t>
      </w:r>
    </w:p>
    <w:p>
      <w:pPr>
        <w:pStyle w:val="BodyText"/>
        <w:spacing w:before="8"/>
        <w:rPr>
          <w:sz w:val="16"/>
        </w:rPr>
      </w:pPr>
    </w:p>
    <w:p>
      <w:pPr>
        <w:spacing w:line="201" w:lineRule="exact" w:before="0"/>
        <w:ind w:left="0" w:right="658" w:firstLine="0"/>
        <w:jc w:val="right"/>
        <w:rPr>
          <w:sz w:val="18"/>
        </w:rPr>
      </w:pPr>
      <w:r>
        <w:rPr>
          <w:w w:val="107"/>
          <w:sz w:val="18"/>
        </w:rPr>
        <w:t>0</w:t>
      </w:r>
    </w:p>
    <w:p>
      <w:pPr>
        <w:spacing w:after="0" w:line="201" w:lineRule="exact"/>
        <w:jc w:val="right"/>
        <w:rPr>
          <w:sz w:val="18"/>
        </w:rPr>
        <w:sectPr>
          <w:type w:val="continuous"/>
          <w:pgSz w:w="11900" w:h="16840"/>
          <w:pgMar w:top="1180" w:bottom="280" w:left="960" w:right="440"/>
          <w:cols w:num="2" w:equalWidth="0">
            <w:col w:w="4388" w:space="40"/>
            <w:col w:w="6072"/>
          </w:cols>
        </w:sectPr>
      </w:pPr>
    </w:p>
    <w:p>
      <w:pPr>
        <w:spacing w:line="182" w:lineRule="exact" w:before="0"/>
        <w:ind w:left="0" w:right="38" w:firstLine="0"/>
        <w:jc w:val="right"/>
        <w:rPr>
          <w:sz w:val="16"/>
        </w:rPr>
      </w:pPr>
      <w:r>
        <w:rPr>
          <w:w w:val="103"/>
          <w:sz w:val="16"/>
        </w:rPr>
        <w:t>0</w:t>
      </w:r>
    </w:p>
    <w:p>
      <w:pPr>
        <w:tabs>
          <w:tab w:pos="1442" w:val="left" w:leader="none"/>
          <w:tab w:pos="2462" w:val="left" w:leader="none"/>
          <w:tab w:pos="3538" w:val="left" w:leader="none"/>
        </w:tabs>
        <w:spacing w:before="57"/>
        <w:ind w:left="347" w:right="0" w:firstLine="0"/>
        <w:jc w:val="left"/>
        <w:rPr>
          <w:sz w:val="16"/>
        </w:rPr>
      </w:pPr>
      <w:r>
        <w:rPr>
          <w:w w:val="105"/>
          <w:sz w:val="16"/>
        </w:rPr>
        <w:t>Apr</w:t>
        <w:tab/>
      </w:r>
      <w:r>
        <w:rPr>
          <w:spacing w:val="-5"/>
          <w:w w:val="105"/>
          <w:sz w:val="16"/>
        </w:rPr>
        <w:t>Jul</w:t>
        <w:tab/>
      </w:r>
      <w:r>
        <w:rPr>
          <w:w w:val="105"/>
          <w:sz w:val="16"/>
        </w:rPr>
        <w:t>Oct</w:t>
        <w:tab/>
        <w:t>Jan</w:t>
      </w:r>
    </w:p>
    <w:p>
      <w:pPr>
        <w:tabs>
          <w:tab w:pos="3538" w:val="left" w:leader="none"/>
        </w:tabs>
        <w:spacing w:before="25"/>
        <w:ind w:left="408" w:right="0" w:firstLine="0"/>
        <w:jc w:val="left"/>
        <w:rPr>
          <w:sz w:val="16"/>
        </w:rPr>
      </w:pPr>
      <w:r>
        <w:rPr>
          <w:spacing w:val="4"/>
          <w:w w:val="105"/>
          <w:sz w:val="16"/>
        </w:rPr>
        <w:t>2007</w:t>
        <w:tab/>
      </w:r>
      <w:r>
        <w:rPr>
          <w:spacing w:val="5"/>
          <w:w w:val="105"/>
          <w:sz w:val="16"/>
        </w:rPr>
        <w:t>2008</w:t>
      </w:r>
    </w:p>
    <w:p>
      <w:pPr>
        <w:spacing w:before="89"/>
        <w:ind w:left="227" w:right="0" w:firstLine="0"/>
        <w:jc w:val="left"/>
        <w:rPr>
          <w:sz w:val="16"/>
        </w:rPr>
      </w:pPr>
      <w:r>
        <w:rPr>
          <w:sz w:val="16"/>
        </w:rPr>
        <w:t>Source: Bloomberg.</w:t>
      </w:r>
    </w:p>
    <w:p>
      <w:pPr>
        <w:tabs>
          <w:tab w:pos="879" w:val="left" w:leader="none"/>
          <w:tab w:pos="1397" w:val="left" w:leader="none"/>
          <w:tab w:pos="1917" w:val="left" w:leader="none"/>
          <w:tab w:pos="2420" w:val="left" w:leader="none"/>
          <w:tab w:pos="2938" w:val="left" w:leader="none"/>
          <w:tab w:pos="3458" w:val="left" w:leader="none"/>
          <w:tab w:pos="3976" w:val="left" w:leader="none"/>
        </w:tabs>
        <w:spacing w:before="68"/>
        <w:ind w:left="361" w:right="0" w:firstLine="0"/>
        <w:jc w:val="left"/>
        <w:rPr>
          <w:sz w:val="18"/>
        </w:rPr>
      </w:pPr>
      <w:r>
        <w:rPr/>
        <w:br w:type="column"/>
      </w:r>
      <w:r>
        <w:rPr>
          <w:spacing w:val="-4"/>
          <w:w w:val="105"/>
          <w:sz w:val="18"/>
        </w:rPr>
        <w:t>00</w:t>
        <w:tab/>
        <w:t>01</w:t>
        <w:tab/>
        <w:t>02</w:t>
        <w:tab/>
        <w:t>03</w:t>
        <w:tab/>
        <w:t>04</w:t>
        <w:tab/>
        <w:t>05</w:t>
        <w:tab/>
        <w:t>06</w:t>
        <w:tab/>
      </w:r>
      <w:r>
        <w:rPr>
          <w:spacing w:val="-8"/>
          <w:w w:val="105"/>
          <w:sz w:val="18"/>
        </w:rPr>
        <w:t>07</w:t>
      </w:r>
    </w:p>
    <w:p>
      <w:pPr>
        <w:pStyle w:val="BodyText"/>
        <w:rPr>
          <w:sz w:val="20"/>
        </w:rPr>
      </w:pPr>
    </w:p>
    <w:p>
      <w:pPr>
        <w:pStyle w:val="BodyText"/>
        <w:spacing w:before="10"/>
        <w:rPr>
          <w:sz w:val="18"/>
        </w:rPr>
      </w:pPr>
    </w:p>
    <w:p>
      <w:pPr>
        <w:spacing w:before="0"/>
        <w:ind w:left="227" w:right="0" w:firstLine="0"/>
        <w:jc w:val="left"/>
        <w:rPr>
          <w:sz w:val="16"/>
        </w:rPr>
      </w:pPr>
      <w:r>
        <w:rPr>
          <w:sz w:val="16"/>
        </w:rPr>
        <w:t>Source: Dealogic. Data to end-December 2007</w:t>
      </w:r>
    </w:p>
    <w:p>
      <w:pPr>
        <w:spacing w:after="0"/>
        <w:jc w:val="left"/>
        <w:rPr>
          <w:sz w:val="16"/>
        </w:rPr>
        <w:sectPr>
          <w:type w:val="continuous"/>
          <w:pgSz w:w="11900" w:h="16840"/>
          <w:pgMar w:top="1180" w:bottom="280" w:left="960" w:right="440"/>
          <w:cols w:num="2" w:equalWidth="0">
            <w:col w:w="4248" w:space="792"/>
            <w:col w:w="5460"/>
          </w:cols>
        </w:sectPr>
      </w:pPr>
    </w:p>
    <w:p>
      <w:pPr>
        <w:pStyle w:val="ListParagraph"/>
        <w:numPr>
          <w:ilvl w:val="0"/>
          <w:numId w:val="2"/>
        </w:numPr>
        <w:tabs>
          <w:tab w:pos="444" w:val="left" w:leader="none"/>
        </w:tabs>
        <w:spacing w:line="240" w:lineRule="auto" w:before="0" w:after="0"/>
        <w:ind w:left="227" w:right="5741" w:firstLine="0"/>
        <w:jc w:val="left"/>
        <w:rPr>
          <w:sz w:val="16"/>
        </w:rPr>
      </w:pPr>
      <w:r>
        <w:rPr>
          <w:sz w:val="16"/>
        </w:rPr>
        <w:t>3-month LIBOR spreads over 3-month overnight index swap (OIS) rates.</w:t>
      </w:r>
    </w:p>
    <w:p>
      <w:pPr>
        <w:pStyle w:val="ListParagraph"/>
        <w:numPr>
          <w:ilvl w:val="0"/>
          <w:numId w:val="2"/>
        </w:numPr>
        <w:tabs>
          <w:tab w:pos="454" w:val="left" w:leader="none"/>
        </w:tabs>
        <w:spacing w:line="240" w:lineRule="auto" w:before="0" w:after="0"/>
        <w:ind w:left="453" w:right="0" w:hanging="227"/>
        <w:jc w:val="left"/>
        <w:rPr>
          <w:sz w:val="16"/>
        </w:rPr>
      </w:pPr>
      <w:r>
        <w:rPr>
          <w:sz w:val="16"/>
        </w:rPr>
        <w:t>Coordinated central bank measures announced (12</w:t>
      </w:r>
      <w:r>
        <w:rPr>
          <w:sz w:val="16"/>
          <w:vertAlign w:val="superscript"/>
        </w:rPr>
        <w:t>th</w:t>
      </w:r>
      <w:r>
        <w:rPr>
          <w:sz w:val="16"/>
          <w:vertAlign w:val="baseline"/>
        </w:rPr>
        <w:t> Dec</w:t>
      </w:r>
      <w:r>
        <w:rPr>
          <w:spacing w:val="-3"/>
          <w:sz w:val="16"/>
          <w:vertAlign w:val="baseline"/>
        </w:rPr>
        <w:t> </w:t>
      </w:r>
      <w:r>
        <w:rPr>
          <w:sz w:val="16"/>
          <w:vertAlign w:val="baseline"/>
        </w:rPr>
        <w:t>2007).</w:t>
      </w:r>
    </w:p>
    <w:p>
      <w:pPr>
        <w:spacing w:after="0" w:line="240" w:lineRule="auto"/>
        <w:jc w:val="left"/>
        <w:rPr>
          <w:sz w:val="16"/>
        </w:rPr>
        <w:sectPr>
          <w:type w:val="continuous"/>
          <w:pgSz w:w="11900" w:h="16840"/>
          <w:pgMar w:top="1180" w:bottom="280" w:left="960" w:right="440"/>
        </w:sectPr>
      </w:pPr>
    </w:p>
    <w:p>
      <w:pPr>
        <w:pStyle w:val="BodyText"/>
        <w:spacing w:before="1"/>
        <w:rPr>
          <w:sz w:val="10"/>
        </w:rPr>
      </w:pPr>
      <w:r>
        <w:rPr/>
        <w:pict>
          <v:group style="position:absolute;margin-left:80.339996pt;margin-top:141.990005pt;width:206.3pt;height:138.1pt;mso-position-horizontal-relative:page;mso-position-vertical-relative:page;z-index:-253028352" coordorigin="1607,2840" coordsize="4126,2762">
            <v:shape style="position:absolute;left:1652;top:2840;width:4080;height:2760" coordorigin="1652,2840" coordsize="4080,2760" path="m5687,2840l5687,5600m5687,5600l5732,5600m5687,5210l5732,5210m5687,4805l5732,4805m5687,4415l5732,4415m5687,4026l5732,4026m5687,3636l5732,3636m5687,3230l5732,3230m5687,2840l5732,2840m1652,5600l5687,5600m1652,5600l1652,5555m2297,5600l2297,5555m2957,5600l2957,5555m3602,5600l3602,5555m4247,5600l4247,5555m4907,5600l4907,5555m5552,5600l5552,5555e" filled="false" stroked="true" strokeweight=".06pt" strokecolor="#000000">
              <v:path arrowok="t"/>
              <v:stroke dashstyle="solid"/>
            </v:shape>
            <v:shape style="position:absolute;left:1636;top:3500;width:376;height:1065" coordorigin="1637,3500" coordsize="376,1065" path="m1682,4505l1652,4490,1637,4550,1667,4565,1682,4505m1742,4340l1712,4325,1697,4370,1727,4385,1742,4340m1802,4160l1772,4145,1742,4205,1772,4220,1802,4160m1847,4010l1817,3996,1802,4056,1832,4070,1847,4010m1892,3830l1862,3816,1847,3876,1877,3890,1892,3830m1952,3680l1922,3666,1892,3726,1922,3740,1952,3680m2012,3516l1982,3500,1967,3560,1997,3576,2012,3516e" filled="true" fillcolor="#000080" stroked="false">
              <v:path arrowok="t"/>
              <v:fill type="solid"/>
            </v:shape>
            <v:shape style="position:absolute;left:2042;top:3276;width:135;height:180" type="#_x0000_t75" stroked="false">
              <v:imagedata r:id="rId11" o:title=""/>
            </v:shape>
            <v:shape style="position:absolute;left:2206;top:3110;width:150;height:180" type="#_x0000_t75" stroked="false">
              <v:imagedata r:id="rId12" o:title=""/>
            </v:shape>
            <v:shape style="position:absolute;left:2372;top:3350;width:120;height:226" coordorigin="2372,3350" coordsize="120,226" path="m2432,3426l2402,3366,2372,3350,2402,3410,2432,3426m2492,3576l2477,3530,2447,3516,2462,3560,2492,3576e" filled="true" fillcolor="#000080" stroked="false">
              <v:path arrowok="t"/>
              <v:fill type="solid"/>
            </v:shape>
            <v:shape style="position:absolute;left:2476;top:3560;width:960;height:1170" coordorigin="2477,3560" coordsize="960,1170" path="m2477,3560l2597,3756m2597,3756l2717,4010m2717,4010l2837,4085m2837,4085l2957,4145m2957,4145l3077,4295m3077,4295l3197,4460m3197,4460l3317,4595m3317,4595l3437,4730e" filled="false" stroked="true" strokeweight="1.499pt" strokecolor="#000080">
              <v:path arrowok="t"/>
              <v:stroke dashstyle="solid"/>
            </v:shape>
            <v:shape style="position:absolute;left:3421;top:4737;width:270;height:2" coordorigin="3422,4738" coordsize="270,0" path="m3422,4738l3572,4738m3542,4738l3692,4738e" filled="false" stroked="true" strokeweight="2.219pt" strokecolor="#000080">
              <v:path arrowok="t"/>
              <v:stroke dashstyle="solid"/>
            </v:shape>
            <v:shape style="position:absolute;left:3676;top:4730;width:1530;height:525" coordorigin="3677,4730" coordsize="1530,525" path="m3677,4730l3782,4805m3782,4805l3902,4940m3902,4940l4022,5015m4022,5015l4142,5015m4142,5015l4262,5060m4262,5060l4382,5090m4382,5090l4502,5135m4502,5135l4622,5195m4622,5195l4742,5210m4742,5210l4862,5255m4982,5255l5087,5240m5087,5240l5207,5195e" filled="false" stroked="true" strokeweight="1.499pt" strokecolor="#000080">
              <v:path arrowok="t"/>
              <v:stroke dashstyle="solid"/>
            </v:shape>
            <v:line style="position:absolute" from="5192,5188" to="5342,5188" stroked="true" strokeweight="2.219pt" strokecolor="#000080">
              <v:stroke dashstyle="solid"/>
            </v:line>
            <v:shape style="position:absolute;left:5326;top:5164;width:240;height:30" coordorigin="5327,5165" coordsize="240,30" path="m5327,5180l5447,5165m5447,5165l5567,5195e" filled="false" stroked="true" strokeweight="1.499pt" strokecolor="#000080">
              <v:path arrowok="t"/>
              <v:stroke dashstyle="solid"/>
            </v:shape>
            <v:line style="position:absolute" from="5552,5188" to="5702,5188" stroked="true" strokeweight="2.219pt" strokecolor="#000080">
              <v:stroke dashstyle="solid"/>
            </v:line>
            <v:shape style="position:absolute;left:1606;top:2840;width:46;height:2760" coordorigin="1607,2840" coordsize="46,2760" path="m1652,2840l1652,5600m1607,5600l1652,5600m1607,5300l1652,5300m1607,4985l1652,4985m1607,4685l1652,4685m1607,4370l1652,4370m1607,4070l1652,4070m1607,3756l1652,3756m1607,3456l1652,3456m1607,3140l1652,3140m1607,2840l1652,2840e" filled="false" stroked="true" strokeweight=".06pt" strokecolor="#000000">
              <v:path arrowok="t"/>
              <v:stroke dashstyle="solid"/>
            </v:shape>
            <v:shape style="position:absolute;left:1636;top:3230;width:856;height:1560" coordorigin="1637,3230" coordsize="856,1560" path="m1682,4730l1652,4715,1637,4775,1667,4790,1682,4730m1712,4550l1682,4550,1682,4610,1712,4610,1712,4550m1757,4370l1727,4355,1712,4415,1742,4430,1757,4370m1802,4190l1772,4175,1757,4235,1787,4250,1802,4190m1832,4040l1802,4026,1787,4085,1817,4100,1832,4040m1862,3860l1832,3846,1817,3906,1847,3920,1862,3860m1892,3680l1862,3666,1847,3726,1877,3740,1892,3680m1922,3530l1892,3516,1882,3546,1877,3546,1877,3560,1907,3576,1922,3530m1982,3366l1952,3350,1937,3396,1967,3410,1982,3366m2042,3246l2027,3241,2027,3230,1997,3230,1982,3260,2027,3276,2042,3246m2177,3320l2147,3260,2117,3246,2147,3306,2177,3320m2252,3486l2222,3426,2192,3410,2222,3470,2252,3486m2357,3590l2327,3546,2282,3530,2312,3576,2357,3590m2417,3710l2402,3650,2372,3636,2387,3696,2417,3710m2492,3860l2477,3816,2447,3800,2462,3846,2492,3860e" filled="true" fillcolor="#008000" stroked="false">
              <v:path arrowok="t"/>
              <v:fill type="solid"/>
            </v:shape>
            <v:shape style="position:absolute;left:2476;top:3830;width:1080;height:840" coordorigin="2477,3830" coordsize="1080,840" path="m2477,3830l2597,4070m2597,4070l2717,4145m2837,4145l2957,4160m2957,4160l3077,4205m3077,4205l3197,4370m3197,4370l3317,4580m3317,4580l3437,4670m3437,4670l3557,4655e" filled="false" stroked="true" strokeweight="1.499pt" strokecolor="#008000">
              <v:path arrowok="t"/>
              <v:stroke dashstyle="solid"/>
            </v:shape>
            <v:line style="position:absolute" from="3542,4648" to="3692,4648" stroked="true" strokeweight="2.219pt" strokecolor="#008000">
              <v:stroke dashstyle="solid"/>
            </v:line>
            <v:shape style="position:absolute;left:3676;top:4640;width:2010;height:750" coordorigin="3677,4640" coordsize="2010,750" path="m3677,4640l3782,4670m3782,4670l3902,4760m3902,4760l4022,4895m4022,4895l4142,4970m4142,4970l4262,5015m4262,5015l4382,5105,4502,5195m4502,5195l4622,5270m4622,5270l4742,5345m4742,5345l4862,5375m4862,5375l4982,5390m5087,5390l5207,5285m5207,5285l5327,5195m5327,5195l5447,5120m5447,5120l5567,5000m5567,5000l5687,4925e" filled="false" stroked="true" strokeweight="1.499pt" strokecolor="#008000">
              <v:path arrowok="t"/>
              <v:stroke dashstyle="solid"/>
            </v:shape>
            <w10:wrap type="none"/>
          </v:group>
        </w:pict>
      </w:r>
      <w:r>
        <w:rPr/>
        <w:pict>
          <v:group style="position:absolute;margin-left:319.980011pt;margin-top:124.32pt;width:185.1pt;height:155.9pt;mso-position-horizontal-relative:page;mso-position-vertical-relative:page;z-index:-253027328" coordorigin="6400,2486" coordsize="3702,3118">
            <v:line style="position:absolute" from="6529,3767" to="6788,3767" stroked="true" strokeweight="4.439922pt" strokecolor="#8080ff">
              <v:stroke dashstyle="solid"/>
            </v:line>
            <v:rect style="position:absolute;left:6529;top:3722;width:260;height:89" filled="false" stroked="true" strokeweight=".734786pt" strokecolor="#000000">
              <v:stroke dashstyle="solid"/>
            </v:rect>
            <v:rect style="position:absolute;left:7431;top:3722;width:261;height:948" filled="true" fillcolor="#8080ff" stroked="false">
              <v:fill type="solid"/>
            </v:rect>
            <v:rect style="position:absolute;left:7431;top:3722;width:261;height:948" filled="false" stroked="true" strokeweight=".688363pt" strokecolor="#000000">
              <v:stroke dashstyle="solid"/>
            </v:rect>
            <v:line style="position:absolute" from="8350,3693" to="8610,3693" stroked="true" strokeweight="2.940009pt" strokecolor="#8080ff">
              <v:stroke dashstyle="solid"/>
            </v:line>
            <v:rect style="position:absolute;left:8349;top:3663;width:261;height:59" filled="false" stroked="true" strokeweight=".737967pt" strokecolor="#000000">
              <v:stroke dashstyle="solid"/>
            </v:rect>
            <v:shape style="position:absolute;left:6433;top:2804;width:3669;height:2800" coordorigin="6433,2804" coordsize="3669,2800" path="m10061,2804l10061,5560m10061,5560l10102,5560m10061,5249l10102,5249m10061,4952l10102,4952m10061,4642l10102,4642m10061,4330l10102,4330m10061,4034l10102,4034m10061,3722l10102,3722m10061,3412l10102,3412m10061,3115l10102,3115m10061,2804l10102,2804m6433,5560l10061,5560m6433,5604l6433,5560m6884,5604l6884,5560m7337,5604l7337,5560m7788,5604l7788,5560m8254,5604l8254,5560m8705,5604l8705,5560m9157,5604l9157,5560m9608,5604l9608,5560m10061,5604l10061,5560e" filled="false" stroked="true" strokeweight=".06pt" strokecolor="#000000">
              <v:path arrowok="t"/>
              <v:stroke dashstyle="solid"/>
            </v:shape>
            <v:shape style="position:absolute;left:6623;top:3056;width:83;height:89" coordorigin="6624,3056" coordsize="83,89" path="m6666,3145l6624,3101,6666,3056,6707,3101,6666,3145xe" filled="true" fillcolor="#ff0000" stroked="false">
              <v:path arrowok="t"/>
              <v:fill type="solid"/>
            </v:shape>
            <v:shape style="position:absolute;left:6623;top:3056;width:83;height:89" coordorigin="6624,3056" coordsize="83,89" path="m6666,3056l6707,3101,6666,3145,6624,3101,6666,3056xe" filled="false" stroked="true" strokeweight=".710591pt" strokecolor="#ff0000">
              <v:path arrowok="t"/>
              <v:stroke dashstyle="solid"/>
            </v:shape>
            <v:shape style="position:absolute;left:7076;top:3262;width:82;height:90" coordorigin="7076,3263" coordsize="82,90" path="m7117,3353l7076,3308,7117,3263,7158,3308,7117,3353xe" filled="true" fillcolor="#ff0000" stroked="false">
              <v:path arrowok="t"/>
              <v:fill type="solid"/>
            </v:shape>
            <v:shape style="position:absolute;left:7076;top:3262;width:82;height:90" coordorigin="7076,3263" coordsize="82,90" path="m7117,3263l7158,3308,7117,3353,7076,3308,7117,3263xe" filled="false" stroked="true" strokeweight=".709808pt" strokecolor="#ff0000">
              <v:path arrowok="t"/>
              <v:stroke dashstyle="solid"/>
            </v:shape>
            <v:shape style="position:absolute;left:7527;top:3500;width:83;height:89" coordorigin="7528,3500" coordsize="83,89" path="m7570,3589l7528,3545,7570,3500,7610,3545,7570,3589xe" filled="true" fillcolor="#ff0000" stroked="false">
              <v:path arrowok="t"/>
              <v:fill type="solid"/>
            </v:shape>
            <v:shape style="position:absolute;left:7527;top:3500;width:83;height:89" coordorigin="7528,3500" coordsize="83,89" path="m7570,3500l7610,3545,7570,3589,7528,3545,7570,3500xe" filled="false" stroked="true" strokeweight=".710591pt" strokecolor="#ff0000">
              <v:path arrowok="t"/>
              <v:stroke dashstyle="solid"/>
            </v:shape>
            <v:shape style="position:absolute;left:7980;top:4448;width:82;height:89" coordorigin="7980,4448" coordsize="82,89" path="m8021,4537l7980,4493,8021,4448,8062,4493,8021,4537xe" filled="true" fillcolor="#ff0000" stroked="false">
              <v:path arrowok="t"/>
              <v:fill type="solid"/>
            </v:shape>
            <v:shape style="position:absolute;left:7980;top:4448;width:82;height:89" coordorigin="7980,4448" coordsize="82,89" path="m8021,4448l8062,4493,8021,4537,7980,4493,8021,4448xe" filled="false" stroked="true" strokeweight=".710185pt" strokecolor="#ff0000">
              <v:path arrowok="t"/>
              <v:stroke dashstyle="solid"/>
            </v:shape>
            <v:shape style="position:absolute;left:8431;top:3649;width:83;height:89" coordorigin="8431,3649" coordsize="83,89" path="m8472,3738l8431,3694,8472,3649,8514,3694,8472,3738xe" filled="true" fillcolor="#ff0000" stroked="false">
              <v:path arrowok="t"/>
              <v:fill type="solid"/>
            </v:shape>
            <v:shape style="position:absolute;left:8431;top:3649;width:83;height:89" coordorigin="8431,3649" coordsize="83,89" path="m8472,3649l8514,3694,8472,3738,8431,3694,8472,3649xe" filled="false" stroked="true" strokeweight=".710584pt" strokecolor="#ff0000">
              <v:path arrowok="t"/>
              <v:stroke dashstyle="solid"/>
            </v:shape>
            <v:rect style="position:absolute;left:8800;top:3722;width:261;height:623" filled="true" fillcolor="#8080ff" stroked="false">
              <v:fill type="solid"/>
            </v:rect>
            <v:rect style="position:absolute;left:8800;top:3722;width:261;height:623" filled="false" stroked="true" strokeweight=".692789pt" strokecolor="#000000">
              <v:stroke dashstyle="solid"/>
            </v:rect>
            <v:shape style="position:absolute;left:8883;top:3678;width:82;height:89" coordorigin="8884,3678" coordsize="82,89" path="m8924,3767l8884,3722,8924,3678,8965,3722,8924,3767xe" filled="true" fillcolor="#ff0000" stroked="false">
              <v:path arrowok="t"/>
              <v:fill type="solid"/>
            </v:shape>
            <v:shape style="position:absolute;left:8883;top:3678;width:82;height:89" coordorigin="8884,3678" coordsize="82,89" path="m8924,3678l8965,3722,8924,3767,8884,3722,8924,3678xe" filled="false" stroked="true" strokeweight=".710185pt" strokecolor="#ff0000">
              <v:path arrowok="t"/>
              <v:stroke dashstyle="solid"/>
            </v:shape>
            <v:rect style="position:absolute;left:9253;top:3722;width:261;height:1586" filled="true" fillcolor="#8080ff" stroked="false">
              <v:fill type="solid"/>
            </v:rect>
            <v:rect style="position:absolute;left:9253;top:3722;width:261;height:1586" filled="false" stroked="true" strokeweight=".685893pt" strokecolor="#000000">
              <v:stroke dashstyle="solid"/>
            </v:rect>
            <v:shape style="position:absolute;left:9334;top:5189;width:83;height:89" coordorigin="9335,5190" coordsize="83,89" path="m9376,5279l9335,5234,9376,5190,9418,5234,9376,5279xe" filled="true" fillcolor="#ff0000" stroked="false">
              <v:path arrowok="t"/>
              <v:fill type="solid"/>
            </v:shape>
            <v:shape style="position:absolute;left:9334;top:5189;width:83;height:89" coordorigin="9335,5190" coordsize="83,89" path="m9376,5190l9418,5234,9376,5279,9335,5234,9376,5190xe" filled="false" stroked="true" strokeweight=".710584pt" strokecolor="#ff0000">
              <v:path arrowok="t"/>
              <v:stroke dashstyle="solid"/>
            </v:shape>
            <v:shape style="position:absolute;left:9787;top:4774;width:82;height:89" coordorigin="9787,4775" coordsize="82,89" path="m9828,4864l9787,4819,9828,4775,9869,4819,9828,4864xe" filled="true" fillcolor="#ff0000" stroked="false">
              <v:path arrowok="t"/>
              <v:fill type="solid"/>
            </v:shape>
            <v:shape style="position:absolute;left:9787;top:4774;width:82;height:89" coordorigin="9787,4775" coordsize="82,89" path="m9828,4775l9869,4819,9828,4864,9787,4819,9828,4775xe" filled="false" stroked="true" strokeweight=".710185pt" strokecolor="#ff0000">
              <v:path arrowok="t"/>
              <v:stroke dashstyle="solid"/>
            </v:shape>
            <v:shape style="position:absolute;left:6399;top:2486;width:3642;height:3009" coordorigin="6400,2486" coordsize="3642,3009" path="m10042,3716l6400,3716m8248,5495l8248,2486e" filled="false" stroked="true" strokeweight=".684pt" strokecolor="#010101">
              <v:path arrowok="t"/>
              <v:stroke dashstyle="solid"/>
            </v:shape>
            <w10:wrap type="none"/>
          </v:group>
        </w:pict>
      </w:r>
      <w:r>
        <w:rPr/>
        <w:pict>
          <v:group style="position:absolute;margin-left:72.907997pt;margin-top:403.950012pt;width:193.1pt;height:135.4pt;mso-position-horizontal-relative:page;mso-position-vertical-relative:page;z-index:-253026304" coordorigin="1458,8079" coordsize="3862,2708">
            <v:shape style="position:absolute;left:1472;top:8079;width:3848;height:2706" coordorigin="1472,8080" coordsize="3848,2706" path="m5262,8080l5262,10786m5262,10786l5320,10786m5262,10330l5320,10330m5262,9888l5320,9888m5262,9432l5320,9432m5262,8977l5320,8977m5262,8536l5320,8536m5262,8080l5320,8080m1472,10786l5262,10786m1472,10786l1472,10729m2028,10786l2028,10729m2584,10786l2584,10729m3139,10786l3139,10729m3695,10786l3695,10729m4250,10786l4250,10729m4806,10786l4806,10729e" filled="false" stroked="true" strokeweight=".06pt" strokecolor="#000000">
              <v:path arrowok="t"/>
              <v:stroke dashstyle="solid"/>
            </v:shape>
            <v:line style="position:absolute" from="1472,8934" to="1516,9019" stroked="true" strokeweight="1.424pt" strokecolor="#0f0080">
              <v:stroke dashstyle="solid"/>
            </v:line>
            <v:shape style="position:absolute;left:1515;top:8820;width:513;height:228" coordorigin="1516,8820" coordsize="513,228" path="m1516,9019l1558,8934m1558,8934l1615,8990m1615,8990l1657,8990m1657,8990l1700,8920m1700,8920l1744,8934m1744,8934l1800,8948m1800,8948l1843,9048m1843,9048l1885,8948m1885,8948l1928,8920m1928,8920l1985,8820m1985,8820l2028,8834e" filled="false" stroked="true" strokeweight="1.424pt" strokecolor="#0f0080">
              <v:path arrowok="t"/>
              <v:stroke dashstyle="solid"/>
            </v:shape>
            <v:line style="position:absolute" from="2014,8834" to="2313,8834" stroked="true" strokeweight="1.424pt" strokecolor="#0f0080">
              <v:stroke dashstyle="solid"/>
            </v:line>
            <v:shape style="position:absolute;left:2299;top:8620;width:1211;height:243" coordorigin="2299,8621" coordsize="1211,243" path="m2299,8834l2356,8849m2356,8849l2399,8834m2399,8834l2441,8849m2441,8849l2484,8849,2540,8849m2540,8849l2584,8863m2584,8863l2627,8791m2627,8791l2669,8749m2669,8749l2726,8762m2726,8762l2768,8762,2812,8762,2855,8762m2855,8762l2911,8706m2911,8706l2954,8706m2954,8706l2996,8692m2996,8692l3040,8650m3040,8650l3096,8677m3096,8677l3139,8677m3139,8677l3182,8663m3182,8663l3224,8706m3224,8706l3282,8692m3282,8692l3324,8663m3324,8663l3367,8621m3367,8621l3410,8692m3410,8692l3452,8650m3452,8650l3510,8663e" filled="false" stroked="true" strokeweight="1.424pt" strokecolor="#0f0080">
              <v:path arrowok="t"/>
              <v:stroke dashstyle="solid"/>
            </v:shape>
            <v:line style="position:absolute" from="3496,8663" to="3709,8663" stroked="true" strokeweight="1.424pt" strokecolor="#0f0080">
              <v:stroke dashstyle="solid"/>
            </v:line>
            <v:shape style="position:absolute;left:3694;top:8506;width:1524;height:171" coordorigin="3695,8507" coordsize="1524,171" path="m3695,8663l3738,8677m3738,8677l3780,8663m3780,8663l3823,8663m3823,8663l3880,8650m3880,8650l3923,8650m3923,8650l3966,8663m3966,8663l4008,8635m4008,8635l4066,8635m4066,8635l4108,8621m4108,8621l4151,8621m4151,8621l4194,8606m4194,8606l4250,8621m4250,8621l4294,8606m4336,8606l4379,8621m4522,8621l4564,8592m4621,8592l4663,8578m4663,8578l4706,8507m4706,8507l4750,8536m4750,8536l4806,8521m4806,8521l4849,8606m4849,8606l4891,8592m4891,8592l4934,8563m4934,8563l4991,8521m4991,8521l5034,8578m5034,8578l5077,8549m5077,8549l5119,8592m5119,8592l5177,8592m5177,8592l5219,8578e" filled="false" stroked="true" strokeweight="1.424pt" strokecolor="#0f0080">
              <v:path arrowok="t"/>
              <v:stroke dashstyle="solid"/>
            </v:shape>
            <v:line style="position:absolute" from="5219,8578" to="5262,8621" stroked="true" strokeweight="1.424pt" strokecolor="#0f0080">
              <v:stroke dashstyle="solid"/>
            </v:line>
            <v:line style="position:absolute" from="1472,10273" to="1516,10216" stroked="true" strokeweight="1.424pt" strokecolor="#ff00ff">
              <v:stroke dashstyle="solid"/>
            </v:line>
            <v:shape style="position:absolute;left:1515;top:9774;width:3704;height:798" coordorigin="1516,9774" coordsize="3704,798" path="m1516,10216l1558,10045m1558,10045l1615,9988m1615,9988l1657,10045m1657,10045l1700,10130m1700,10130l1744,10472m1744,10472l1800,10302m1800,10302l1843,10315m1843,10315l1885,10302m1885,10302l1928,9946m1928,9946l1985,10244m1985,10244l2028,10259m2028,10259l2071,10159m2071,10159l2113,10273m2113,10273l2171,10159m2171,10159l2213,10174m2213,10174l2256,10188m2256,10188l2299,10572m2299,10572l2356,10302m2356,10302l2399,10188m2399,10188l2441,10159m2441,10159l2484,10045m2484,10045l2540,10159m2540,10159l2584,10273m2584,10273l2627,9988m2627,9988l2669,10002m2669,10002l2726,10216m2726,10216l2768,10159m2768,10159l2812,10074m2812,10074l2855,9774m2855,9774l2911,10031m2911,10031l2954,9774m2954,9774l2996,9931m2996,9931l3040,10159m3040,10159l3096,10102m3096,10102l3139,10116m3139,10116l3182,10145m3182,10145l3224,10002m3224,10002l3282,10145m3282,10145l3324,10060m3324,10060l3367,10259m3367,10259l3410,10230m3410,10230l3452,10273m3452,10273l3510,10216m3510,10216l3552,10259m3552,10259l3595,10201m3595,10201l3638,10174m3638,10174l3695,10130m3695,10130l3738,10116m3738,10116l3780,10273m3780,10273l3823,10315m3823,10315l3880,10230m3880,10230l3923,10230m3923,10230l3966,10159m3966,10159l4008,10273m4008,10273l4066,10216m4066,10216l4108,10130m4108,10130l4151,10259m4151,10259l4194,10330m4194,10330l4250,10230m4250,10230l4294,10244m4294,10244l4336,10302m4336,10302l4379,10216m4379,10216l4435,10387m4435,10387l4478,10373m4478,10373l4522,10315m4522,10315l4564,10444m4564,10444l4621,10501m4621,10501l4663,10429m4663,10429l4706,10472m4706,10472l4750,10387m4750,10387l4806,10516m4806,10516l4849,10487m4849,10487l4891,10315m4891,10315l4934,10416m4934,10416l4991,10315m4991,10315l5034,10458m5034,10458l5077,10472m5077,10472l5119,10444m5119,10444l5177,10174m5177,10174l5219,10060e" filled="false" stroked="true" strokeweight="1.424pt" strokecolor="#ff00ff">
              <v:path arrowok="t"/>
              <v:stroke dashstyle="solid"/>
            </v:shape>
            <v:line style="position:absolute" from="5219,10060" to="5262,9860" stroked="true" strokeweight="1.424pt" strokecolor="#ff00ff">
              <v:stroke dashstyle="solid"/>
            </v:line>
            <v:line style="position:absolute" from="1472,10145" to="1516,10130" stroked="true" strokeweight="1.424pt" strokecolor="#ff6801">
              <v:stroke dashstyle="solid"/>
            </v:line>
            <v:shape style="position:absolute;left:1515;top:9688;width:3704;height:641" coordorigin="1516,9689" coordsize="3704,641" path="m1516,10130l1558,10031m1558,10031l1615,10060m1615,10060l1657,10060m1657,10060l1700,10102m1700,10102l1744,10273m1744,10273l1800,10159m1800,10159l1843,10188m1843,10188l1885,10102m1885,10102l1928,9832m1928,9832l1985,10116m1985,10116l2028,10074m2028,10074l2071,9931m2071,9931l2113,10087m2113,10087l2171,10045m2171,10045l2213,10116m2213,10116l2256,10060m2256,10060l2299,10330m2299,10330l2356,10230m2356,10230l2399,10060m2399,10060l2441,10074m2441,10074l2484,9974m2484,9974l2540,10045m2540,10045l2584,10087m2584,10087l2627,9788m2627,9788l2669,9832m2669,9832l2726,10045m2726,10045l2768,10074m2768,10074l2812,9832m2812,9832l2855,9746m2855,9746l2911,9902m2911,9902l2954,9689m2954,9689l2996,9832m2996,9832l3040,10031m3040,10031l3096,9946m3096,9946l3139,9931m3139,9931l3182,9931m3182,9931l3224,9817m3224,9817l3282,9974m3282,9974l3324,9917m3324,9917l3367,10060m3367,10060l3410,10002m3410,10002l3452,9946m3452,9946l3510,9931m3510,9931l3552,9946m3552,9946l3595,9988m3595,9988l3638,9960m3638,9960l3695,9960m3695,9960l3738,9988m3738,9988l3780,10188m3780,10188l3823,10174m3823,10174l3880,10087m3880,10087l3923,10002m3923,10002l3966,9988m3966,9988l4008,10060m4008,10060l4066,9974m4066,9974l4108,9988m4108,9988l4151,10060m4151,10060l4194,10087m4194,10087l4250,10016m4250,10016l4294,10031m4294,10031l4336,10060m4336,10060l4379,9974m4379,9974l4435,10130m4435,10130l4478,10159m4478,10159l4522,10074m4522,10074l4564,10116m4564,10116l4621,10116,4663,10116m4663,10116l4706,10087m4706,10087l4750,10045m4750,10045l4806,10159m4806,10159l4849,10230m4849,10230l4891,9974m4891,9974l4934,10201m4934,10201l4991,10074m4991,10074l5034,10159m5034,10159l5077,10273m5077,10273l5119,10188m5119,10188l5177,9846m5177,9846l5219,9960e" filled="false" stroked="true" strokeweight="1.424pt" strokecolor="#ff6801">
              <v:path arrowok="t"/>
              <v:stroke dashstyle="solid"/>
            </v:shape>
            <v:line style="position:absolute" from="5219,9960" to="5262,9760" stroked="true" strokeweight="1.424pt" strokecolor="#ff6801">
              <v:stroke dashstyle="solid"/>
            </v:line>
            <v:line style="position:absolute" from="1472,9518" to="1516,9475" stroked="true" strokeweight="1.424pt" strokecolor="#008000">
              <v:stroke dashstyle="solid"/>
            </v:line>
            <v:shape style="position:absolute;left:1515;top:9261;width:3704;height:656" coordorigin="1516,9262" coordsize="3704,656" path="m1516,9475l1558,9490m1558,9490l1615,9518m1615,9518l1657,9461m1657,9461l1700,9461m1700,9461l1744,9475m1744,9475l1800,9575m1800,9575l1843,9461m1843,9461l1885,9533m1885,9533l1928,9432m1928,9432l1985,9446m1985,9446l2028,9432m2028,9432l2071,9404m2071,9404l2113,9404m2113,9404l2171,9390m2171,9390l2213,9404m2213,9404l2256,9404,2299,9404m2299,9404l2356,9361m2356,9361l2399,9332m2484,9332l2540,9318m2540,9318l2584,9318m2584,9318l2627,9276m2627,9276l2669,9262m2669,9262l2726,9290m2726,9290l2768,9276m2768,9276l2812,9318m2812,9318l2855,9276m2855,9276l2911,9262m2911,9262l2954,9276m2954,9276l2996,9318m2996,9318l3040,9290m3040,9290l3096,9318m3096,9318l3139,9318m3139,9318l3182,9404m3182,9404l3224,9419m3224,9419l3282,9461m3282,9461l3324,9332m3324,9332l3367,9404m3367,9404l3410,9746m3410,9746l3452,9718m3452,9718l3510,9732m3510,9732l3552,9718m3552,9718l3595,9718,3638,9718m3638,9718l3695,9732m3695,9732l3738,9718m3738,9718l3780,9732m3780,9732l3823,9774m3823,9774l3880,9774m3880,9774l3923,9788m3923,9788l3966,9760m3966,9760l4008,9746m4008,9746l4066,9746,4108,9746m4108,9746l4151,9689m4151,9689l4194,9674m4194,9674l4250,9674m4250,9674l4294,9703m4294,9703l4336,9703m4336,9703l4379,9689m4379,9689l4435,9760m4435,9760l4478,9746m4478,9746l4522,9846m4522,9846l4564,9760m4564,9760l4621,9803m4621,9803l4663,9788m4663,9788l4706,9832m4706,9832l4750,9917m4750,9917l4806,9874m4806,9874l4849,9860m4849,9860l4891,9832m4891,9832l4934,9832m4934,9832l4991,9817m4991,9817l5034,9888m5034,9888l5077,9817m5077,9817l5119,9874m5119,9874l5177,9760m5177,9760l5219,9732e" filled="false" stroked="true" strokeweight="1.424pt" strokecolor="#008000">
              <v:path arrowok="t"/>
              <v:stroke dashstyle="solid"/>
            </v:shape>
            <v:line style="position:absolute" from="5219,9732" to="5262,9674" stroked="true" strokeweight="1.424pt" strokecolor="#008000">
              <v:stroke dashstyle="solid"/>
            </v:line>
            <v:line style="position:absolute" from="1472,10330" to="1516,10330" stroked="true" strokeweight=".712pt" strokecolor="#000000">
              <v:stroke dashstyle="solid"/>
            </v:line>
            <v:line style="position:absolute" from="1508,10330" to="5226,10330" stroked="true" strokeweight=".712pt" strokecolor="#000000">
              <v:stroke dashstyle="solid"/>
            </v:line>
            <v:line style="position:absolute" from="5219,10330" to="5262,10330" stroked="true" strokeweight=".712pt" strokecolor="#000000">
              <v:stroke dashstyle="solid"/>
            </v:line>
            <w10:wrap type="none"/>
          </v:group>
        </w:pict>
      </w:r>
      <w:r>
        <w:rPr/>
        <w:pict>
          <v:group style="position:absolute;margin-left:315.869995pt;margin-top:410.309998pt;width:217.5pt;height:124.5pt;mso-position-horizontal-relative:page;mso-position-vertical-relative:page;z-index:-253025280" coordorigin="6317,8206" coordsize="4350,2490">
            <v:rect style="position:absolute;left:6348;top:9691;width:150;height:1005" filled="true" fillcolor="#ff00ff" stroked="false">
              <v:fill type="solid"/>
            </v:rect>
            <v:line style="position:absolute" from="6565,8657" to="6565,10696" stroked="true" strokeweight="6.72pt" strokecolor="#000080">
              <v:stroke dashstyle="solid"/>
            </v:line>
            <v:rect style="position:absolute;left:6706;top:9436;width:150;height:1259" filled="true" fillcolor="#ff00ff" stroked="false">
              <v:fill type="solid"/>
            </v:rect>
            <v:rect style="position:absolute;left:6856;top:8821;width:136;height:1875" filled="true" fillcolor="#000080" stroked="false">
              <v:fill type="solid"/>
            </v:rect>
            <v:rect style="position:absolute;left:7066;top:9436;width:150;height:1259" filled="true" fillcolor="#ff00ff" stroked="false">
              <v:fill type="solid"/>
            </v:rect>
            <v:rect style="position:absolute;left:7216;top:8611;width:136;height:2085" filled="true" fillcolor="#000080" stroked="false">
              <v:fill type="solid"/>
            </v:rect>
            <v:rect style="position:absolute;left:7426;top:9376;width:136;height:1319" filled="true" fillcolor="#ff00ff" stroked="false">
              <v:fill type="solid"/>
            </v:rect>
            <v:line style="position:absolute" from="7630,8521" to="7630,10696" stroked="true" strokeweight="6.72pt" strokecolor="#000080">
              <v:stroke dashstyle="solid"/>
            </v:line>
            <v:rect style="position:absolute;left:7772;top:9241;width:150;height:1455" filled="true" fillcolor="#ff00ff" stroked="false">
              <v:fill type="solid"/>
            </v:rect>
            <v:line style="position:absolute" from="7990,8431" to="7990,10696" stroked="true" strokeweight="6.72pt" strokecolor="#000080">
              <v:stroke dashstyle="solid"/>
            </v:line>
            <v:rect style="position:absolute;left:8132;top:9226;width:150;height:1469" filled="true" fillcolor="#ff00ff" stroked="false">
              <v:fill type="solid"/>
            </v:rect>
            <v:line style="position:absolute" from="8350,8927" to="8350,10696" stroked="true" strokeweight="6.72pt" strokecolor="#000080">
              <v:stroke dashstyle="solid"/>
            </v:line>
            <v:rect style="position:absolute;left:8492;top:9136;width:150;height:1559" filled="true" fillcolor="#ff00ff" stroked="false">
              <v:fill type="solid"/>
            </v:rect>
            <v:line style="position:absolute" from="8710,9077" to="8710,10696" stroked="true" strokeweight="6.72pt" strokecolor="#000080">
              <v:stroke dashstyle="solid"/>
            </v:line>
            <v:rect style="position:absolute;left:8852;top:9301;width:150;height:1395" filled="true" fillcolor="#ff00ff" stroked="false">
              <v:fill type="solid"/>
            </v:rect>
            <v:line style="position:absolute" from="9070,9421" to="9070,10696" stroked="true" strokeweight="6.72pt" strokecolor="#000080">
              <v:stroke dashstyle="solid"/>
            </v:line>
            <v:rect style="position:absolute;left:9212;top:9436;width:150;height:1259" filled="true" fillcolor="#ff00ff" stroked="false">
              <v:fill type="solid"/>
            </v:rect>
            <v:line style="position:absolute" from="9430,9751" to="9430,10696" stroked="true" strokeweight="6.72pt" strokecolor="#000080">
              <v:stroke dashstyle="solid"/>
            </v:line>
            <v:line style="position:absolute" from="9640,9377" to="9640,10696" stroked="true" strokeweight="6.72pt" strokecolor="#ff00ff">
              <v:stroke dashstyle="solid"/>
            </v:line>
            <v:rect style="position:absolute;left:9706;top:9931;width:136;height:765" filled="true" fillcolor="#000080" stroked="false">
              <v:fill type="solid"/>
            </v:rect>
            <v:rect style="position:absolute;left:9916;top:9391;width:150;height:1305" filled="true" fillcolor="#ff00ff" stroked="false">
              <v:fill type="solid"/>
            </v:rect>
            <v:rect style="position:absolute;left:10066;top:9945;width:136;height:750" filled="true" fillcolor="#000080" stroked="false">
              <v:fill type="solid"/>
            </v:rect>
            <v:rect style="position:absolute;left:10276;top:9436;width:150;height:1259" filled="true" fillcolor="#ff00ff" stroked="false">
              <v:fill type="solid"/>
            </v:rect>
            <v:rect style="position:absolute;left:10426;top:10051;width:136;height:645" filled="true" fillcolor="#000080" stroked="false">
              <v:fill type="solid"/>
            </v:rect>
            <v:shape style="position:absolute;left:6318;top:8206;width:4349;height:2489" coordorigin="6318,8207" coordsize="4349,2489" path="m10607,8207l10607,10696m10607,10696l10667,10696m10607,10441l10667,10441m10607,10201l10667,10201m10607,9946l10667,9946m10607,9706l10667,9706m10607,9451l10667,9451m10607,9197l10667,9197m10607,8957l10667,8957m10607,8701l10667,8701m10607,8461l10667,8461m10607,8207l10667,8207m6318,10696l10607,10696m6318,10696l6318,10636m7037,10696l7037,10636m7742,10696l7742,10636m8462,10696l8462,10636m9182,10696l9182,10636m9887,10696l9887,10636m10607,10696l10607,10636e" filled="false" stroked="true" strokeweight=".06pt" strokecolor="#000000">
              <v:path arrowok="t"/>
              <v:stroke dashstyle="solid"/>
            </v:shape>
            <v:line style="position:absolute" from="8324,8244" to="8684,8244" stroked="true" strokeweight="1.5pt" strokecolor="#0f0080">
              <v:stroke dashstyle="solid"/>
            </v:line>
            <v:line style="position:absolute" from="8324,8544" to="8684,8544" stroked="true" strokeweight="1.5pt" strokecolor="#ff00ff">
              <v:stroke dashstyle="solid"/>
            </v:line>
            <w10:wrap type="none"/>
          </v:group>
        </w:pict>
      </w:r>
      <w:r>
        <w:rPr/>
        <w:pict>
          <v:shape style="position:absolute;margin-left:537.299988pt;margin-top:140.520004pt;width:6pt;height:40.3pt;mso-position-horizontal-relative:page;mso-position-vertical-relative:page;z-index:-253024256" coordorigin="10746,2810" coordsize="120,806" path="m10813,2930l10798,2930,10802,3608,10802,3612,10806,3616,10814,3616,10818,3612,10818,3608,10813,2930xm10805,2810l10746,2930,10798,2930,10798,2906,10801,2903,10852,2903,10805,2810xm10810,2903l10801,2903,10798,2906,10798,2930,10813,2930,10813,2905,10810,2903xm10852,2903l10810,2903,10813,2905,10813,2930,10866,2929,10852,2903xe" filled="true" fillcolor="#010101" stroked="false">
            <v:path arrowok="t"/>
            <v:fill type="solid"/>
            <w10:wrap type="none"/>
          </v:shape>
        </w:pict>
      </w:r>
      <w:r>
        <w:rPr/>
        <w:pict>
          <v:shape style="position:absolute;margin-left:537pt;margin-top:194.399994pt;width:6pt;height:48.45pt;mso-position-horizontal-relative:page;mso-position-vertical-relative:page;z-index:-253023232" coordorigin="10740,3888" coordsize="120,969" path="m10793,4736l10740,4736,10800,4856,10846,4764,10796,4764,10793,4760,10793,4736xm10804,3888l10796,3888,10793,3892,10793,4760,10796,4764,10804,4764,10807,4760,10807,3892,10804,3888xm10860,4736l10807,4736,10807,4760,10804,4764,10846,4764,10860,4736xe" filled="true" fillcolor="#010101" stroked="false">
            <v:path arrowok="t"/>
            <v:fill type="solid"/>
            <w10:wrap type="none"/>
          </v:shape>
        </w:pict>
      </w:r>
      <w:r>
        <w:rPr/>
        <w:pict>
          <v:group style="position:absolute;margin-left:337.605011pt;margin-top:305.684998pt;width:10.3pt;height:20.8pt;mso-position-horizontal-relative:page;mso-position-vertical-relative:page;z-index:-253022208" coordorigin="6752,6114" coordsize="206,416">
            <v:shape style="position:absolute;left:6768;top:6121;width:183;height:179" type="#_x0000_t75" stroked="false">
              <v:imagedata r:id="rId13" o:title=""/>
            </v:shape>
            <v:shape style="position:absolute;left:6752;top:6113;width:206;height:416" type="#_x0000_t75" stroked="false">
              <v:imagedata r:id="rId14" o:title=""/>
            </v:shape>
            <w10:wrap type="none"/>
          </v:group>
        </w:pic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40"/>
        <w:gridCol w:w="5230"/>
      </w:tblGrid>
      <w:tr>
        <w:trPr>
          <w:trHeight w:val="506" w:hRule="atLeast"/>
        </w:trPr>
        <w:tc>
          <w:tcPr>
            <w:tcW w:w="5040" w:type="dxa"/>
          </w:tcPr>
          <w:p>
            <w:pPr>
              <w:pStyle w:val="TableParagraph"/>
              <w:spacing w:line="251" w:lineRule="exact"/>
              <w:ind w:left="107"/>
              <w:rPr>
                <w:b/>
                <w:sz w:val="22"/>
              </w:rPr>
            </w:pPr>
            <w:r>
              <w:rPr>
                <w:b/>
                <w:sz w:val="22"/>
              </w:rPr>
              <w:t>Chart 5: Mortgage arrears and possessions rates</w:t>
            </w:r>
          </w:p>
        </w:tc>
        <w:tc>
          <w:tcPr>
            <w:tcW w:w="5230" w:type="dxa"/>
          </w:tcPr>
          <w:p>
            <w:pPr>
              <w:pStyle w:val="TableParagraph"/>
              <w:spacing w:line="254" w:lineRule="exact"/>
              <w:ind w:left="107" w:right="475" w:hanging="2"/>
              <w:rPr>
                <w:b/>
                <w:sz w:val="22"/>
              </w:rPr>
            </w:pPr>
            <w:r>
              <w:rPr>
                <w:b/>
                <w:sz w:val="22"/>
              </w:rPr>
              <w:t>Chart 6: Household secured and corporate credit availability</w:t>
            </w:r>
          </w:p>
        </w:tc>
      </w:tr>
      <w:tr>
        <w:trPr>
          <w:trHeight w:val="3837" w:hRule="atLeast"/>
        </w:trPr>
        <w:tc>
          <w:tcPr>
            <w:tcW w:w="5040" w:type="dxa"/>
          </w:tcPr>
          <w:p>
            <w:pPr>
              <w:pStyle w:val="TableParagraph"/>
              <w:tabs>
                <w:tab w:pos="1757" w:val="left" w:leader="none"/>
              </w:tabs>
              <w:spacing w:before="130"/>
              <w:ind w:left="227"/>
              <w:rPr>
                <w:sz w:val="16"/>
              </w:rPr>
            </w:pPr>
            <w:r>
              <w:rPr>
                <w:w w:val="110"/>
                <w:sz w:val="16"/>
              </w:rPr>
              <w:t>Percent</w:t>
              <w:tab/>
              <w:t>Percentage </w:t>
            </w:r>
            <w:r>
              <w:rPr>
                <w:spacing w:val="-3"/>
                <w:w w:val="110"/>
                <w:sz w:val="16"/>
              </w:rPr>
              <w:t>greater </w:t>
            </w:r>
            <w:r>
              <w:rPr>
                <w:w w:val="110"/>
                <w:sz w:val="16"/>
              </w:rPr>
              <w:t>than 3 months </w:t>
            </w:r>
            <w:r>
              <w:rPr>
                <w:spacing w:val="-3"/>
                <w:w w:val="110"/>
                <w:sz w:val="16"/>
              </w:rPr>
              <w:t>in</w:t>
            </w:r>
            <w:r>
              <w:rPr>
                <w:spacing w:val="12"/>
                <w:w w:val="110"/>
                <w:sz w:val="16"/>
              </w:rPr>
              <w:t> </w:t>
            </w:r>
            <w:r>
              <w:rPr>
                <w:w w:val="110"/>
                <w:sz w:val="16"/>
              </w:rPr>
              <w:t>arrears</w:t>
            </w:r>
          </w:p>
          <w:p>
            <w:pPr>
              <w:pStyle w:val="TableParagraph"/>
              <w:spacing w:before="3"/>
              <w:rPr>
                <w:sz w:val="15"/>
              </w:rPr>
            </w:pPr>
          </w:p>
          <w:p>
            <w:pPr>
              <w:pStyle w:val="TableParagraph"/>
              <w:tabs>
                <w:tab w:pos="4727" w:val="left" w:leader="none"/>
              </w:tabs>
              <w:spacing w:before="1"/>
              <w:ind w:left="227"/>
              <w:rPr>
                <w:sz w:val="16"/>
              </w:rPr>
            </w:pPr>
            <w:r>
              <w:rPr>
                <w:w w:val="110"/>
                <w:sz w:val="16"/>
              </w:rPr>
              <w:t>0.9</w:t>
              <w:tab/>
              <w:t>7</w:t>
            </w:r>
          </w:p>
          <w:p>
            <w:pPr>
              <w:pStyle w:val="TableParagraph"/>
              <w:tabs>
                <w:tab w:pos="4727" w:val="left" w:leader="none"/>
              </w:tabs>
              <w:spacing w:before="116"/>
              <w:ind w:left="227"/>
              <w:rPr>
                <w:sz w:val="16"/>
              </w:rPr>
            </w:pPr>
            <w:r>
              <w:rPr>
                <w:w w:val="110"/>
                <w:sz w:val="16"/>
              </w:rPr>
              <w:t>0.8</w:t>
              <w:tab/>
            </w:r>
            <w:r>
              <w:rPr>
                <w:w w:val="110"/>
                <w:position w:val="-8"/>
                <w:sz w:val="16"/>
              </w:rPr>
              <w:t>6</w:t>
            </w:r>
          </w:p>
          <w:p>
            <w:pPr>
              <w:pStyle w:val="TableParagraph"/>
              <w:spacing w:line="182" w:lineRule="exact" w:before="41"/>
              <w:ind w:left="227"/>
              <w:rPr>
                <w:sz w:val="16"/>
              </w:rPr>
            </w:pPr>
            <w:r>
              <w:rPr>
                <w:w w:val="110"/>
                <w:sz w:val="16"/>
              </w:rPr>
              <w:t>0.7</w:t>
            </w:r>
          </w:p>
          <w:p>
            <w:pPr>
              <w:pStyle w:val="TableParagraph"/>
              <w:tabs>
                <w:tab w:pos="4727" w:val="left" w:leader="none"/>
              </w:tabs>
              <w:spacing w:line="302" w:lineRule="exact"/>
              <w:ind w:left="227"/>
              <w:rPr>
                <w:sz w:val="16"/>
              </w:rPr>
            </w:pPr>
            <w:r>
              <w:rPr>
                <w:w w:val="110"/>
                <w:sz w:val="16"/>
              </w:rPr>
              <w:t>0.6</w:t>
              <w:tab/>
            </w:r>
            <w:r>
              <w:rPr>
                <w:w w:val="110"/>
                <w:position w:val="12"/>
                <w:sz w:val="16"/>
              </w:rPr>
              <w:t>5</w:t>
            </w:r>
          </w:p>
          <w:p>
            <w:pPr>
              <w:pStyle w:val="TableParagraph"/>
              <w:tabs>
                <w:tab w:pos="1636" w:val="left" w:leader="none"/>
                <w:tab w:pos="4727" w:val="left" w:leader="none"/>
              </w:tabs>
              <w:spacing w:before="91"/>
              <w:ind w:left="227"/>
              <w:rPr>
                <w:sz w:val="16"/>
              </w:rPr>
            </w:pPr>
            <w:r>
              <w:rPr>
                <w:w w:val="110"/>
                <w:sz w:val="16"/>
              </w:rPr>
              <w:t>0.5</w:t>
              <w:tab/>
            </w:r>
            <w:r>
              <w:rPr>
                <w:w w:val="110"/>
                <w:sz w:val="16"/>
                <w:u w:val="thick" w:color="008000"/>
              </w:rPr>
              <w:t> </w:t>
            </w:r>
            <w:r>
              <w:rPr>
                <w:w w:val="110"/>
                <w:sz w:val="16"/>
              </w:rPr>
              <w:tab/>
            </w:r>
            <w:r>
              <w:rPr>
                <w:w w:val="110"/>
                <w:position w:val="4"/>
                <w:sz w:val="16"/>
              </w:rPr>
              <w:t>4</w:t>
            </w:r>
          </w:p>
          <w:p>
            <w:pPr>
              <w:pStyle w:val="TableParagraph"/>
              <w:tabs>
                <w:tab w:pos="4727" w:val="left" w:leader="none"/>
              </w:tabs>
              <w:spacing w:line="179" w:lineRule="exact" w:before="116"/>
              <w:ind w:left="227"/>
              <w:rPr>
                <w:sz w:val="16"/>
              </w:rPr>
            </w:pPr>
            <w:r>
              <w:rPr>
                <w:w w:val="110"/>
                <w:sz w:val="16"/>
              </w:rPr>
              <w:t>0.4</w:t>
              <w:tab/>
            </w:r>
            <w:r>
              <w:rPr>
                <w:w w:val="110"/>
                <w:position w:val="-3"/>
                <w:sz w:val="16"/>
              </w:rPr>
              <w:t>3</w:t>
            </w:r>
          </w:p>
          <w:p>
            <w:pPr>
              <w:pStyle w:val="TableParagraph"/>
              <w:spacing w:line="137" w:lineRule="exact"/>
              <w:ind w:left="2927"/>
              <w:rPr>
                <w:sz w:val="16"/>
              </w:rPr>
            </w:pPr>
            <w:r>
              <w:rPr>
                <w:color w:val="008000"/>
                <w:w w:val="110"/>
                <w:sz w:val="16"/>
              </w:rPr>
              <w:t>Possessions (LHS)</w:t>
            </w:r>
          </w:p>
          <w:p>
            <w:pPr>
              <w:pStyle w:val="TableParagraph"/>
              <w:tabs>
                <w:tab w:pos="4727" w:val="left" w:leader="none"/>
              </w:tabs>
              <w:spacing w:line="235" w:lineRule="auto"/>
              <w:ind w:left="227"/>
              <w:rPr>
                <w:sz w:val="16"/>
              </w:rPr>
            </w:pPr>
            <w:r>
              <w:rPr>
                <w:w w:val="110"/>
                <w:sz w:val="16"/>
              </w:rPr>
              <w:t>0.3</w:t>
              <w:tab/>
            </w:r>
            <w:r>
              <w:rPr>
                <w:w w:val="110"/>
                <w:position w:val="-11"/>
                <w:sz w:val="16"/>
              </w:rPr>
              <w:t>2</w:t>
            </w:r>
          </w:p>
          <w:p>
            <w:pPr>
              <w:pStyle w:val="TableParagraph"/>
              <w:spacing w:line="157" w:lineRule="exact"/>
              <w:ind w:left="227"/>
              <w:rPr>
                <w:sz w:val="16"/>
              </w:rPr>
            </w:pPr>
            <w:r>
              <w:rPr>
                <w:w w:val="110"/>
                <w:sz w:val="16"/>
              </w:rPr>
              <w:t>0.2</w:t>
            </w:r>
          </w:p>
          <w:p>
            <w:pPr>
              <w:pStyle w:val="TableParagraph"/>
              <w:tabs>
                <w:tab w:pos="3782" w:val="left" w:leader="none"/>
              </w:tabs>
              <w:spacing w:line="113" w:lineRule="exact"/>
              <w:ind w:left="1367"/>
              <w:rPr>
                <w:sz w:val="16"/>
              </w:rPr>
            </w:pPr>
            <w:r>
              <w:rPr>
                <w:color w:val="0F0080"/>
                <w:w w:val="110"/>
                <w:sz w:val="16"/>
              </w:rPr>
              <w:t>Arrears</w:t>
            </w:r>
            <w:r>
              <w:rPr>
                <w:color w:val="0F0080"/>
                <w:spacing w:val="-17"/>
                <w:w w:val="110"/>
                <w:sz w:val="16"/>
              </w:rPr>
              <w:t> </w:t>
            </w:r>
            <w:r>
              <w:rPr>
                <w:color w:val="0F0080"/>
                <w:spacing w:val="-9"/>
                <w:w w:val="110"/>
                <w:sz w:val="16"/>
              </w:rPr>
              <w:t>(RHS)</w:t>
            </w:r>
            <w:r>
              <w:rPr>
                <w:color w:val="0F0080"/>
                <w:spacing w:val="-9"/>
                <w:sz w:val="16"/>
              </w:rPr>
              <w:tab/>
            </w:r>
            <w:r>
              <w:rPr>
                <w:color w:val="0F0080"/>
                <w:spacing w:val="-9"/>
                <w:w w:val="110"/>
                <w:sz w:val="16"/>
                <w:u w:val="thick" w:color="000080"/>
              </w:rPr>
              <w:t> </w:t>
            </w:r>
            <w:r>
              <w:rPr>
                <w:color w:val="0F0080"/>
                <w:spacing w:val="-9"/>
                <w:sz w:val="16"/>
                <w:u w:val="thick" w:color="000080"/>
              </w:rPr>
              <w:t> </w:t>
            </w:r>
            <w:r>
              <w:rPr>
                <w:color w:val="0F0080"/>
                <w:spacing w:val="-5"/>
                <w:sz w:val="16"/>
                <w:u w:val="thick" w:color="000080"/>
              </w:rPr>
              <w:t> </w:t>
            </w:r>
            <w:r>
              <w:rPr>
                <w:color w:val="0F0080"/>
                <w:w w:val="110"/>
                <w:sz w:val="16"/>
                <w:u w:val="thick" w:color="000080"/>
              </w:rPr>
              <w:t> </w:t>
            </w:r>
            <w:r>
              <w:rPr>
                <w:color w:val="0F0080"/>
                <w:spacing w:val="-20"/>
                <w:sz w:val="16"/>
                <w:u w:val="thick" w:color="000080"/>
              </w:rPr>
              <w:t> </w:t>
            </w:r>
          </w:p>
          <w:p>
            <w:pPr>
              <w:pStyle w:val="TableParagraph"/>
              <w:tabs>
                <w:tab w:pos="4727" w:val="left" w:leader="none"/>
              </w:tabs>
              <w:spacing w:line="227" w:lineRule="exact"/>
              <w:ind w:left="227"/>
              <w:rPr>
                <w:sz w:val="16"/>
              </w:rPr>
            </w:pPr>
            <w:r>
              <w:rPr>
                <w:w w:val="110"/>
                <w:sz w:val="16"/>
              </w:rPr>
              <w:t>0.1</w:t>
              <w:tab/>
            </w:r>
            <w:r>
              <w:rPr>
                <w:w w:val="110"/>
                <w:position w:val="9"/>
                <w:sz w:val="16"/>
              </w:rPr>
              <w:t>1</w:t>
            </w:r>
          </w:p>
          <w:p>
            <w:pPr>
              <w:pStyle w:val="TableParagraph"/>
              <w:tabs>
                <w:tab w:pos="4727" w:val="left" w:leader="none"/>
              </w:tabs>
              <w:spacing w:before="114"/>
              <w:ind w:left="363"/>
              <w:rPr>
                <w:sz w:val="16"/>
              </w:rPr>
            </w:pPr>
            <w:r>
              <w:rPr>
                <w:w w:val="110"/>
                <w:sz w:val="16"/>
              </w:rPr>
              <w:t>0</w:t>
              <w:tab/>
              <w:t>0</w:t>
            </w:r>
          </w:p>
          <w:p>
            <w:pPr>
              <w:pStyle w:val="TableParagraph"/>
              <w:tabs>
                <w:tab w:pos="1037" w:val="left" w:leader="none"/>
                <w:tab w:pos="1697" w:val="left" w:leader="none"/>
                <w:tab w:pos="2342" w:val="left" w:leader="none"/>
                <w:tab w:pos="2987" w:val="left" w:leader="none"/>
                <w:tab w:pos="3647" w:val="left" w:leader="none"/>
                <w:tab w:pos="4292" w:val="left" w:leader="none"/>
              </w:tabs>
              <w:spacing w:before="56"/>
              <w:ind w:left="393"/>
              <w:rPr>
                <w:sz w:val="16"/>
              </w:rPr>
            </w:pPr>
            <w:r>
              <w:rPr>
                <w:w w:val="110"/>
                <w:sz w:val="16"/>
              </w:rPr>
              <w:t>1990</w:t>
              <w:tab/>
              <w:t>1993</w:t>
              <w:tab/>
              <w:t>1995</w:t>
              <w:tab/>
              <w:t>1998</w:t>
              <w:tab/>
              <w:t>2001</w:t>
              <w:tab/>
              <w:t>2004</w:t>
              <w:tab/>
              <w:t>2006</w:t>
            </w:r>
          </w:p>
        </w:tc>
        <w:tc>
          <w:tcPr>
            <w:tcW w:w="5230" w:type="dxa"/>
          </w:tcPr>
          <w:p>
            <w:pPr>
              <w:pStyle w:val="TableParagraph"/>
              <w:spacing w:before="78"/>
              <w:ind w:right="424"/>
              <w:jc w:val="right"/>
              <w:rPr>
                <w:sz w:val="16"/>
              </w:rPr>
            </w:pPr>
            <w:r>
              <w:rPr>
                <w:spacing w:val="-4"/>
                <w:position w:val="1"/>
                <w:sz w:val="16"/>
              </w:rPr>
              <w:t>Net  </w:t>
            </w:r>
            <w:r>
              <w:rPr>
                <w:position w:val="1"/>
                <w:sz w:val="16"/>
              </w:rPr>
              <w:t>percentage </w:t>
            </w:r>
            <w:r>
              <w:rPr>
                <w:spacing w:val="-5"/>
                <w:position w:val="1"/>
                <w:sz w:val="16"/>
              </w:rPr>
              <w:t>balances</w:t>
            </w:r>
            <w:r>
              <w:rPr>
                <w:spacing w:val="-5"/>
                <w:position w:val="6"/>
                <w:sz w:val="10"/>
              </w:rPr>
              <w:t>(a)      </w:t>
            </w:r>
            <w:r>
              <w:rPr>
                <w:spacing w:val="2"/>
                <w:position w:val="6"/>
                <w:sz w:val="10"/>
              </w:rPr>
              <w:t> </w:t>
            </w:r>
            <w:r>
              <w:rPr>
                <w:sz w:val="16"/>
              </w:rPr>
              <w:t>Easier</w:t>
            </w:r>
          </w:p>
          <w:p>
            <w:pPr>
              <w:pStyle w:val="TableParagraph"/>
              <w:spacing w:line="171" w:lineRule="exact" w:before="3"/>
              <w:ind w:right="442"/>
              <w:jc w:val="right"/>
              <w:rPr>
                <w:sz w:val="16"/>
              </w:rPr>
            </w:pPr>
            <w:r>
              <w:rPr>
                <w:spacing w:val="-1"/>
                <w:sz w:val="16"/>
              </w:rPr>
              <w:t>credit</w:t>
            </w:r>
          </w:p>
          <w:p>
            <w:pPr>
              <w:pStyle w:val="TableParagraph"/>
              <w:tabs>
                <w:tab w:pos="4214" w:val="right" w:leader="none"/>
              </w:tabs>
              <w:spacing w:line="191" w:lineRule="exact"/>
              <w:ind w:left="1120"/>
              <w:rPr>
                <w:sz w:val="16"/>
              </w:rPr>
            </w:pPr>
            <w:r>
              <w:rPr>
                <w:spacing w:val="-4"/>
                <w:position w:val="2"/>
                <w:sz w:val="16"/>
              </w:rPr>
              <w:t>Household</w:t>
              <w:tab/>
            </w:r>
            <w:r>
              <w:rPr>
                <w:sz w:val="16"/>
              </w:rPr>
              <w:t>30</w:t>
            </w:r>
          </w:p>
          <w:p>
            <w:pPr>
              <w:pStyle w:val="TableParagraph"/>
              <w:tabs>
                <w:tab w:pos="2626" w:val="left" w:leader="none"/>
                <w:tab w:pos="4214" w:val="right" w:leader="none"/>
              </w:tabs>
              <w:spacing w:before="4"/>
              <w:ind w:left="1216"/>
              <w:rPr>
                <w:sz w:val="16"/>
              </w:rPr>
            </w:pPr>
            <w:r>
              <w:rPr>
                <w:spacing w:val="-7"/>
                <w:sz w:val="16"/>
              </w:rPr>
              <w:t>Secured</w:t>
              <w:tab/>
            </w:r>
            <w:r>
              <w:rPr>
                <w:position w:val="2"/>
                <w:sz w:val="16"/>
              </w:rPr>
              <w:t>Corporate</w:t>
              <w:tab/>
            </w:r>
            <w:r>
              <w:rPr>
                <w:position w:val="-9"/>
                <w:sz w:val="16"/>
              </w:rPr>
              <w:t>20</w:t>
            </w:r>
          </w:p>
          <w:p>
            <w:pPr>
              <w:pStyle w:val="TableParagraph"/>
              <w:spacing w:before="116"/>
              <w:ind w:left="4051"/>
              <w:rPr>
                <w:sz w:val="16"/>
              </w:rPr>
            </w:pPr>
            <w:r>
              <w:rPr>
                <w:sz w:val="16"/>
              </w:rPr>
              <w:t>10</w:t>
            </w:r>
          </w:p>
          <w:p>
            <w:pPr>
              <w:pStyle w:val="TableParagraph"/>
              <w:spacing w:before="126"/>
              <w:ind w:left="4051"/>
              <w:rPr>
                <w:sz w:val="16"/>
              </w:rPr>
            </w:pPr>
            <w:r>
              <w:rPr>
                <w:w w:val="101"/>
                <w:sz w:val="16"/>
              </w:rPr>
              <w:t>0</w:t>
            </w:r>
          </w:p>
          <w:p>
            <w:pPr>
              <w:pStyle w:val="TableParagraph"/>
              <w:spacing w:before="128"/>
              <w:ind w:left="4051"/>
              <w:rPr>
                <w:sz w:val="16"/>
              </w:rPr>
            </w:pPr>
            <w:r>
              <w:rPr>
                <w:sz w:val="16"/>
              </w:rPr>
              <w:t>-10</w:t>
            </w:r>
          </w:p>
          <w:p>
            <w:pPr>
              <w:pStyle w:val="TableParagraph"/>
              <w:spacing w:before="113"/>
              <w:ind w:left="4051"/>
              <w:rPr>
                <w:sz w:val="16"/>
              </w:rPr>
            </w:pPr>
            <w:r>
              <w:rPr>
                <w:sz w:val="16"/>
              </w:rPr>
              <w:t>-20</w:t>
            </w:r>
          </w:p>
          <w:p>
            <w:pPr>
              <w:pStyle w:val="TableParagraph"/>
              <w:spacing w:before="127"/>
              <w:ind w:left="4051"/>
              <w:rPr>
                <w:sz w:val="16"/>
              </w:rPr>
            </w:pPr>
            <w:r>
              <w:rPr>
                <w:sz w:val="16"/>
              </w:rPr>
              <w:t>-30</w:t>
            </w:r>
          </w:p>
          <w:p>
            <w:pPr>
              <w:pStyle w:val="TableParagraph"/>
              <w:spacing w:before="126"/>
              <w:ind w:left="4051"/>
              <w:rPr>
                <w:sz w:val="16"/>
              </w:rPr>
            </w:pPr>
            <w:r>
              <w:rPr>
                <w:sz w:val="16"/>
              </w:rPr>
              <w:t>-40</w:t>
            </w:r>
          </w:p>
          <w:p>
            <w:pPr>
              <w:pStyle w:val="TableParagraph"/>
              <w:spacing w:line="153" w:lineRule="auto" w:before="27"/>
              <w:ind w:left="4051"/>
              <w:rPr>
                <w:sz w:val="16"/>
              </w:rPr>
            </w:pPr>
            <w:r>
              <w:rPr>
                <w:position w:val="-9"/>
                <w:sz w:val="16"/>
              </w:rPr>
              <w:t>-50 </w:t>
            </w:r>
            <w:r>
              <w:rPr>
                <w:sz w:val="16"/>
              </w:rPr>
              <w:t>Tighter</w:t>
            </w:r>
          </w:p>
          <w:p>
            <w:pPr>
              <w:pStyle w:val="TableParagraph"/>
              <w:spacing w:line="136" w:lineRule="exact"/>
              <w:ind w:left="4407"/>
              <w:rPr>
                <w:sz w:val="16"/>
              </w:rPr>
            </w:pPr>
            <w:r>
              <w:rPr>
                <w:sz w:val="16"/>
              </w:rPr>
              <w:t>credit</w:t>
            </w:r>
          </w:p>
          <w:p>
            <w:pPr>
              <w:pStyle w:val="TableParagraph"/>
              <w:spacing w:before="43"/>
              <w:ind w:left="4051"/>
              <w:rPr>
                <w:sz w:val="16"/>
              </w:rPr>
            </w:pPr>
            <w:r>
              <w:rPr>
                <w:sz w:val="16"/>
              </w:rPr>
              <w:t>-60</w:t>
            </w:r>
          </w:p>
          <w:p>
            <w:pPr>
              <w:pStyle w:val="TableParagraph"/>
              <w:tabs>
                <w:tab w:pos="902" w:val="left" w:leader="none"/>
                <w:tab w:pos="1353" w:val="left" w:leader="none"/>
                <w:tab w:pos="1805" w:val="left" w:leader="none"/>
                <w:tab w:pos="2256" w:val="left" w:leader="none"/>
                <w:tab w:pos="2709" w:val="left" w:leader="none"/>
                <w:tab w:pos="3160" w:val="left" w:leader="none"/>
                <w:tab w:pos="3612" w:val="left" w:leader="none"/>
              </w:tabs>
              <w:spacing w:before="54"/>
              <w:ind w:left="449"/>
              <w:rPr>
                <w:sz w:val="16"/>
              </w:rPr>
            </w:pPr>
            <w:r>
              <w:rPr>
                <w:spacing w:val="-4"/>
                <w:sz w:val="16"/>
              </w:rPr>
              <w:t>Q2</w:t>
              <w:tab/>
              <w:t>Q3</w:t>
              <w:tab/>
              <w:t>Q4</w:t>
              <w:tab/>
              <w:t>Q1</w:t>
              <w:tab/>
              <w:t>Q2</w:t>
              <w:tab/>
              <w:t>Q3</w:t>
              <w:tab/>
              <w:t>Q4</w:t>
              <w:tab/>
            </w:r>
            <w:r>
              <w:rPr>
                <w:spacing w:val="-8"/>
                <w:sz w:val="16"/>
              </w:rPr>
              <w:t>Q1</w:t>
            </w:r>
          </w:p>
        </w:tc>
      </w:tr>
      <w:tr>
        <w:trPr>
          <w:trHeight w:val="1035" w:hRule="atLeast"/>
        </w:trPr>
        <w:tc>
          <w:tcPr>
            <w:tcW w:w="5040" w:type="dxa"/>
          </w:tcPr>
          <w:p>
            <w:pPr>
              <w:pStyle w:val="TableParagraph"/>
              <w:spacing w:line="180" w:lineRule="exact"/>
              <w:ind w:left="107"/>
              <w:rPr>
                <w:sz w:val="16"/>
              </w:rPr>
            </w:pPr>
            <w:r>
              <w:rPr>
                <w:sz w:val="16"/>
              </w:rPr>
              <w:t>Source: CML</w:t>
            </w:r>
          </w:p>
          <w:p>
            <w:pPr>
              <w:pStyle w:val="TableParagraph"/>
              <w:spacing w:before="1"/>
              <w:ind w:left="107"/>
              <w:rPr>
                <w:sz w:val="16"/>
              </w:rPr>
            </w:pPr>
            <w:r>
              <w:rPr>
                <w:sz w:val="16"/>
              </w:rPr>
              <w:t>Back cast data before 1994</w:t>
            </w:r>
          </w:p>
        </w:tc>
        <w:tc>
          <w:tcPr>
            <w:tcW w:w="5230" w:type="dxa"/>
          </w:tcPr>
          <w:p>
            <w:pPr>
              <w:pStyle w:val="TableParagraph"/>
              <w:spacing w:line="328" w:lineRule="auto" w:before="42"/>
              <w:ind w:left="867" w:right="2018" w:hanging="2"/>
              <w:rPr>
                <w:sz w:val="16"/>
              </w:rPr>
            </w:pPr>
            <w:r>
              <w:rPr>
                <w:sz w:val="16"/>
              </w:rPr>
              <w:t>Reported change, past three months Expected change, next three months</w:t>
            </w:r>
          </w:p>
          <w:p>
            <w:pPr>
              <w:pStyle w:val="TableParagraph"/>
              <w:spacing w:before="116"/>
              <w:ind w:left="107"/>
              <w:rPr>
                <w:sz w:val="16"/>
              </w:rPr>
            </w:pPr>
            <w:r>
              <w:rPr>
                <w:sz w:val="16"/>
              </w:rPr>
              <w:t>Source: Bank of England Credit Conditions Survey</w:t>
            </w:r>
          </w:p>
        </w:tc>
      </w:tr>
      <w:tr>
        <w:trPr>
          <w:trHeight w:val="506" w:hRule="atLeast"/>
        </w:trPr>
        <w:tc>
          <w:tcPr>
            <w:tcW w:w="5040" w:type="dxa"/>
          </w:tcPr>
          <w:p>
            <w:pPr>
              <w:pStyle w:val="TableParagraph"/>
              <w:spacing w:line="251" w:lineRule="exact"/>
              <w:ind w:left="107"/>
              <w:rPr>
                <w:b/>
                <w:sz w:val="22"/>
              </w:rPr>
            </w:pPr>
            <w:r>
              <w:rPr>
                <w:b/>
                <w:sz w:val="22"/>
              </w:rPr>
              <w:t>Chart 7: Quoted mortgage spreads</w:t>
            </w:r>
          </w:p>
        </w:tc>
        <w:tc>
          <w:tcPr>
            <w:tcW w:w="5230" w:type="dxa"/>
          </w:tcPr>
          <w:p>
            <w:pPr>
              <w:pStyle w:val="TableParagraph"/>
              <w:spacing w:line="251" w:lineRule="exact"/>
              <w:ind w:left="107"/>
              <w:rPr>
                <w:b/>
                <w:sz w:val="22"/>
              </w:rPr>
            </w:pPr>
            <w:r>
              <w:rPr>
                <w:b/>
                <w:sz w:val="22"/>
              </w:rPr>
              <w:t>Chart 8: Mortgage product availability</w:t>
            </w:r>
          </w:p>
        </w:tc>
      </w:tr>
      <w:tr>
        <w:trPr>
          <w:trHeight w:val="3839" w:hRule="atLeast"/>
        </w:trPr>
        <w:tc>
          <w:tcPr>
            <w:tcW w:w="5040" w:type="dxa"/>
          </w:tcPr>
          <w:p>
            <w:pPr>
              <w:pStyle w:val="TableParagraph"/>
              <w:spacing w:line="189" w:lineRule="exact" w:before="153"/>
              <w:ind w:left="1845"/>
              <w:rPr>
                <w:sz w:val="18"/>
              </w:rPr>
            </w:pPr>
            <w:r>
              <w:rPr>
                <w:sz w:val="18"/>
              </w:rPr>
              <w:t>Basis point spread to funding rate</w:t>
            </w:r>
            <w:r>
              <w:rPr>
                <w:sz w:val="18"/>
                <w:vertAlign w:val="superscript"/>
              </w:rPr>
              <w:t>(a)</w:t>
            </w:r>
          </w:p>
          <w:p>
            <w:pPr>
              <w:pStyle w:val="TableParagraph"/>
              <w:spacing w:line="189" w:lineRule="exact"/>
              <w:ind w:left="4324"/>
              <w:rPr>
                <w:sz w:val="18"/>
              </w:rPr>
            </w:pPr>
            <w:r>
              <w:rPr>
                <w:spacing w:val="-5"/>
                <w:w w:val="105"/>
                <w:sz w:val="18"/>
              </w:rPr>
              <w:t>250</w:t>
            </w:r>
          </w:p>
          <w:p>
            <w:pPr>
              <w:pStyle w:val="TableParagraph"/>
              <w:tabs>
                <w:tab w:pos="3213" w:val="left" w:leader="none"/>
                <w:tab w:pos="3540" w:val="left" w:leader="none"/>
                <w:tab w:pos="4588" w:val="right" w:leader="none"/>
              </w:tabs>
              <w:spacing w:before="164"/>
              <w:ind w:left="2543"/>
              <w:rPr>
                <w:sz w:val="18"/>
              </w:rPr>
            </w:pPr>
            <w:r>
              <w:rPr>
                <w:color w:val="0F0080"/>
                <w:spacing w:val="-8"/>
                <w:w w:val="105"/>
                <w:sz w:val="18"/>
              </w:rPr>
              <w:t>SVR</w:t>
              <w:tab/>
            </w:r>
            <w:r>
              <w:rPr>
                <w:color w:val="0F0080"/>
                <w:spacing w:val="-8"/>
                <w:w w:val="105"/>
                <w:sz w:val="18"/>
                <w:u w:val="thick" w:color="0F0080"/>
              </w:rPr>
              <w:tab/>
            </w:r>
            <w:r>
              <w:rPr>
                <w:color w:val="0F0080"/>
                <w:spacing w:val="-8"/>
                <w:w w:val="105"/>
                <w:sz w:val="18"/>
              </w:rPr>
              <w:tab/>
            </w:r>
            <w:r>
              <w:rPr>
                <w:spacing w:val="-5"/>
                <w:w w:val="105"/>
                <w:position w:val="-8"/>
                <w:sz w:val="18"/>
              </w:rPr>
              <w:t>200</w:t>
            </w:r>
          </w:p>
          <w:p>
            <w:pPr>
              <w:pStyle w:val="TableParagraph"/>
              <w:spacing w:before="230"/>
              <w:ind w:left="4324"/>
              <w:rPr>
                <w:sz w:val="18"/>
              </w:rPr>
            </w:pPr>
            <w:r>
              <w:rPr>
                <w:spacing w:val="-5"/>
                <w:w w:val="105"/>
                <w:sz w:val="18"/>
              </w:rPr>
              <w:t>150</w:t>
            </w:r>
          </w:p>
          <w:p>
            <w:pPr>
              <w:pStyle w:val="TableParagraph"/>
              <w:tabs>
                <w:tab w:pos="2415" w:val="left" w:leader="none"/>
              </w:tabs>
              <w:spacing w:line="198" w:lineRule="exact" w:before="63"/>
              <w:ind w:left="1318"/>
              <w:rPr>
                <w:sz w:val="18"/>
              </w:rPr>
            </w:pPr>
            <w:r>
              <w:rPr>
                <w:color w:val="008000"/>
                <w:w w:val="102"/>
                <w:sz w:val="18"/>
                <w:u w:val="thick" w:color="008000"/>
              </w:rPr>
              <w:t> </w:t>
            </w:r>
            <w:r>
              <w:rPr>
                <w:color w:val="008000"/>
                <w:spacing w:val="-7"/>
                <w:sz w:val="18"/>
                <w:u w:val="thick" w:color="008000"/>
              </w:rPr>
              <w:t> </w:t>
            </w:r>
            <w:r>
              <w:rPr>
                <w:color w:val="008000"/>
                <w:sz w:val="18"/>
              </w:rPr>
              <w:tab/>
            </w:r>
            <w:r>
              <w:rPr>
                <w:color w:val="008000"/>
                <w:w w:val="105"/>
                <w:sz w:val="18"/>
              </w:rPr>
              <w:t>Bank Rate</w:t>
            </w:r>
            <w:r>
              <w:rPr>
                <w:color w:val="008000"/>
                <w:spacing w:val="-16"/>
                <w:w w:val="105"/>
                <w:sz w:val="18"/>
              </w:rPr>
              <w:t> </w:t>
            </w:r>
            <w:r>
              <w:rPr>
                <w:color w:val="008000"/>
                <w:w w:val="105"/>
                <w:sz w:val="18"/>
              </w:rPr>
              <w:t>Tracker</w:t>
            </w:r>
          </w:p>
          <w:p>
            <w:pPr>
              <w:pStyle w:val="TableParagraph"/>
              <w:tabs>
                <w:tab w:pos="4588" w:val="right" w:leader="none"/>
              </w:tabs>
              <w:spacing w:line="308" w:lineRule="exact"/>
              <w:ind w:left="1432"/>
              <w:rPr>
                <w:sz w:val="18"/>
              </w:rPr>
            </w:pPr>
            <w:r>
              <w:rPr>
                <w:color w:val="FF6801"/>
                <w:w w:val="105"/>
                <w:sz w:val="18"/>
              </w:rPr>
              <w:t>5</w:t>
            </w:r>
            <w:r>
              <w:rPr>
                <w:color w:val="FF6801"/>
                <w:spacing w:val="-13"/>
                <w:w w:val="105"/>
                <w:sz w:val="18"/>
              </w:rPr>
              <w:t> </w:t>
            </w:r>
            <w:r>
              <w:rPr>
                <w:color w:val="FF6801"/>
                <w:spacing w:val="3"/>
                <w:w w:val="105"/>
                <w:sz w:val="18"/>
              </w:rPr>
              <w:t>yr</w:t>
            </w:r>
            <w:r>
              <w:rPr>
                <w:color w:val="FF6801"/>
                <w:spacing w:val="-10"/>
                <w:w w:val="105"/>
                <w:sz w:val="18"/>
              </w:rPr>
              <w:t> </w:t>
            </w:r>
            <w:r>
              <w:rPr>
                <w:color w:val="FF6801"/>
                <w:spacing w:val="-7"/>
                <w:w w:val="105"/>
                <w:sz w:val="18"/>
              </w:rPr>
              <w:t>fixed</w:t>
              <w:tab/>
            </w:r>
            <w:r>
              <w:rPr>
                <w:spacing w:val="-5"/>
                <w:w w:val="105"/>
                <w:position w:val="11"/>
                <w:sz w:val="18"/>
              </w:rPr>
              <w:t>100</w:t>
            </w:r>
          </w:p>
          <w:p>
            <w:pPr>
              <w:pStyle w:val="TableParagraph"/>
              <w:spacing w:before="135"/>
              <w:ind w:left="4324"/>
              <w:rPr>
                <w:sz w:val="18"/>
              </w:rPr>
            </w:pPr>
            <w:r>
              <w:rPr>
                <w:w w:val="105"/>
                <w:sz w:val="18"/>
              </w:rPr>
              <w:t>50</w:t>
            </w:r>
          </w:p>
          <w:p>
            <w:pPr>
              <w:pStyle w:val="TableParagraph"/>
              <w:spacing w:before="4"/>
              <w:rPr>
                <w:sz w:val="20"/>
              </w:rPr>
            </w:pPr>
          </w:p>
          <w:p>
            <w:pPr>
              <w:pStyle w:val="TableParagraph"/>
              <w:spacing w:line="203" w:lineRule="exact"/>
              <w:ind w:left="4324"/>
              <w:rPr>
                <w:sz w:val="18"/>
              </w:rPr>
            </w:pPr>
            <w:r>
              <w:rPr>
                <w:w w:val="102"/>
                <w:sz w:val="18"/>
              </w:rPr>
              <w:t>0</w:t>
            </w:r>
          </w:p>
          <w:p>
            <w:pPr>
              <w:pStyle w:val="TableParagraph"/>
              <w:spacing w:line="203" w:lineRule="exact"/>
              <w:ind w:left="2458"/>
              <w:rPr>
                <w:sz w:val="18"/>
              </w:rPr>
            </w:pPr>
            <w:r>
              <w:rPr>
                <w:color w:val="FF01FF"/>
                <w:w w:val="105"/>
                <w:sz w:val="18"/>
              </w:rPr>
              <w:t>2 yr fixed</w:t>
            </w:r>
          </w:p>
          <w:p>
            <w:pPr>
              <w:pStyle w:val="TableParagraph"/>
              <w:spacing w:before="50"/>
              <w:ind w:left="4324"/>
              <w:rPr>
                <w:sz w:val="18"/>
              </w:rPr>
            </w:pPr>
            <w:r>
              <w:rPr>
                <w:w w:val="105"/>
                <w:sz w:val="18"/>
              </w:rPr>
              <w:t>-50</w:t>
            </w:r>
          </w:p>
          <w:p>
            <w:pPr>
              <w:pStyle w:val="TableParagraph"/>
              <w:tabs>
                <w:tab w:pos="777" w:val="left" w:leader="none"/>
                <w:tab w:pos="1332" w:val="left" w:leader="none"/>
                <w:tab w:pos="1888" w:val="left" w:leader="none"/>
                <w:tab w:pos="2444" w:val="left" w:leader="none"/>
                <w:tab w:pos="2999" w:val="left" w:leader="none"/>
                <w:tab w:pos="3555" w:val="left" w:leader="none"/>
              </w:tabs>
              <w:spacing w:before="63"/>
              <w:ind w:left="221"/>
              <w:rPr>
                <w:sz w:val="18"/>
              </w:rPr>
            </w:pPr>
            <w:r>
              <w:rPr>
                <w:spacing w:val="-6"/>
                <w:w w:val="105"/>
                <w:sz w:val="18"/>
              </w:rPr>
              <w:t>2001</w:t>
              <w:tab/>
              <w:t>2002</w:t>
              <w:tab/>
              <w:t>2003</w:t>
              <w:tab/>
              <w:t>2004</w:t>
              <w:tab/>
              <w:t>2005</w:t>
              <w:tab/>
              <w:t>2006</w:t>
              <w:tab/>
            </w:r>
            <w:r>
              <w:rPr>
                <w:spacing w:val="-8"/>
                <w:w w:val="105"/>
                <w:sz w:val="18"/>
              </w:rPr>
              <w:t>2007</w:t>
            </w:r>
          </w:p>
        </w:tc>
        <w:tc>
          <w:tcPr>
            <w:tcW w:w="5230" w:type="dxa"/>
          </w:tcPr>
          <w:p>
            <w:pPr>
              <w:pStyle w:val="TableParagraph"/>
              <w:tabs>
                <w:tab w:pos="4817" w:val="right" w:leader="none"/>
              </w:tabs>
              <w:spacing w:line="354" w:lineRule="exact" w:before="10"/>
              <w:ind w:left="2609" w:right="400" w:firstLine="918"/>
              <w:rPr>
                <w:sz w:val="19"/>
              </w:rPr>
            </w:pPr>
            <w:r>
              <w:rPr>
                <w:spacing w:val="5"/>
                <w:w w:val="105"/>
                <w:sz w:val="19"/>
              </w:rPr>
              <w:t>Thousands </w:t>
            </w:r>
            <w:r>
              <w:rPr>
                <w:spacing w:val="-8"/>
                <w:w w:val="105"/>
                <w:sz w:val="19"/>
              </w:rPr>
              <w:t>Credit</w:t>
            </w:r>
            <w:r>
              <w:rPr>
                <w:spacing w:val="-1"/>
                <w:w w:val="105"/>
                <w:sz w:val="19"/>
              </w:rPr>
              <w:t> </w:t>
            </w:r>
            <w:r>
              <w:rPr>
                <w:spacing w:val="-10"/>
                <w:w w:val="105"/>
                <w:sz w:val="19"/>
              </w:rPr>
              <w:t>impaired</w:t>
              <w:tab/>
            </w:r>
            <w:r>
              <w:rPr>
                <w:spacing w:val="-8"/>
                <w:w w:val="105"/>
                <w:position w:val="2"/>
                <w:sz w:val="19"/>
              </w:rPr>
              <w:t>10</w:t>
            </w:r>
          </w:p>
          <w:p>
            <w:pPr>
              <w:pStyle w:val="TableParagraph"/>
              <w:tabs>
                <w:tab w:pos="4735" w:val="right" w:leader="none"/>
              </w:tabs>
              <w:spacing w:line="246" w:lineRule="exact"/>
              <w:ind w:left="2609"/>
              <w:rPr>
                <w:sz w:val="19"/>
              </w:rPr>
            </w:pPr>
            <w:r>
              <w:rPr>
                <w:spacing w:val="-13"/>
                <w:w w:val="105"/>
                <w:sz w:val="19"/>
              </w:rPr>
              <w:t>Prime</w:t>
              <w:tab/>
            </w:r>
            <w:r>
              <w:rPr>
                <w:w w:val="105"/>
                <w:position w:val="7"/>
                <w:sz w:val="19"/>
              </w:rPr>
              <w:t>9</w:t>
            </w:r>
          </w:p>
          <w:p>
            <w:pPr>
              <w:pStyle w:val="TableParagraph"/>
              <w:spacing w:line="194" w:lineRule="exact"/>
              <w:ind w:right="482"/>
              <w:jc w:val="right"/>
              <w:rPr>
                <w:sz w:val="19"/>
              </w:rPr>
            </w:pPr>
            <w:r>
              <w:rPr>
                <w:w w:val="102"/>
                <w:sz w:val="19"/>
              </w:rPr>
              <w:t>8</w:t>
            </w:r>
          </w:p>
          <w:p>
            <w:pPr>
              <w:pStyle w:val="TableParagraph"/>
              <w:spacing w:before="37"/>
              <w:ind w:right="482"/>
              <w:jc w:val="right"/>
              <w:rPr>
                <w:sz w:val="19"/>
              </w:rPr>
            </w:pPr>
            <w:r>
              <w:rPr>
                <w:w w:val="102"/>
                <w:sz w:val="19"/>
              </w:rPr>
              <w:t>7</w:t>
            </w:r>
          </w:p>
          <w:p>
            <w:pPr>
              <w:pStyle w:val="TableParagraph"/>
              <w:spacing w:before="22"/>
              <w:ind w:right="482"/>
              <w:jc w:val="right"/>
              <w:rPr>
                <w:sz w:val="19"/>
              </w:rPr>
            </w:pPr>
            <w:r>
              <w:rPr>
                <w:w w:val="102"/>
                <w:sz w:val="19"/>
              </w:rPr>
              <w:t>6</w:t>
            </w:r>
          </w:p>
          <w:p>
            <w:pPr>
              <w:pStyle w:val="TableParagraph"/>
              <w:spacing w:before="36"/>
              <w:ind w:right="482"/>
              <w:jc w:val="right"/>
              <w:rPr>
                <w:sz w:val="19"/>
              </w:rPr>
            </w:pPr>
            <w:r>
              <w:rPr>
                <w:w w:val="102"/>
                <w:sz w:val="19"/>
              </w:rPr>
              <w:t>5</w:t>
            </w:r>
          </w:p>
          <w:p>
            <w:pPr>
              <w:pStyle w:val="TableParagraph"/>
              <w:spacing w:before="37"/>
              <w:ind w:right="482"/>
              <w:jc w:val="right"/>
              <w:rPr>
                <w:sz w:val="19"/>
              </w:rPr>
            </w:pPr>
            <w:r>
              <w:rPr>
                <w:w w:val="102"/>
                <w:sz w:val="19"/>
              </w:rPr>
              <w:t>4</w:t>
            </w:r>
          </w:p>
          <w:p>
            <w:pPr>
              <w:pStyle w:val="TableParagraph"/>
              <w:spacing w:before="20"/>
              <w:ind w:right="482"/>
              <w:jc w:val="right"/>
              <w:rPr>
                <w:sz w:val="19"/>
              </w:rPr>
            </w:pPr>
            <w:r>
              <w:rPr>
                <w:w w:val="102"/>
                <w:sz w:val="19"/>
              </w:rPr>
              <w:t>3</w:t>
            </w:r>
          </w:p>
          <w:p>
            <w:pPr>
              <w:pStyle w:val="TableParagraph"/>
              <w:spacing w:before="37"/>
              <w:ind w:right="482"/>
              <w:jc w:val="right"/>
              <w:rPr>
                <w:sz w:val="19"/>
              </w:rPr>
            </w:pPr>
            <w:r>
              <w:rPr>
                <w:w w:val="102"/>
                <w:sz w:val="19"/>
              </w:rPr>
              <w:t>2</w:t>
            </w:r>
          </w:p>
          <w:p>
            <w:pPr>
              <w:pStyle w:val="TableParagraph"/>
              <w:spacing w:before="22"/>
              <w:ind w:right="482"/>
              <w:jc w:val="right"/>
              <w:rPr>
                <w:sz w:val="19"/>
              </w:rPr>
            </w:pPr>
            <w:r>
              <w:rPr>
                <w:w w:val="102"/>
                <w:sz w:val="19"/>
              </w:rPr>
              <w:t>1</w:t>
            </w:r>
          </w:p>
          <w:p>
            <w:pPr>
              <w:pStyle w:val="TableParagraph"/>
              <w:spacing w:before="36"/>
              <w:ind w:right="482"/>
              <w:jc w:val="right"/>
              <w:rPr>
                <w:sz w:val="19"/>
              </w:rPr>
            </w:pPr>
            <w:r>
              <w:rPr>
                <w:w w:val="102"/>
                <w:sz w:val="19"/>
              </w:rPr>
              <w:t>0</w:t>
            </w:r>
          </w:p>
          <w:p>
            <w:pPr>
              <w:pStyle w:val="TableParagraph"/>
              <w:spacing w:before="67"/>
              <w:ind w:right="752"/>
              <w:jc w:val="right"/>
              <w:rPr>
                <w:sz w:val="19"/>
              </w:rPr>
            </w:pPr>
            <w:r>
              <w:rPr>
                <w:w w:val="105"/>
                <w:sz w:val="19"/>
              </w:rPr>
              <w:t>Feb</w:t>
            </w:r>
            <w:r>
              <w:rPr>
                <w:spacing w:val="5"/>
                <w:w w:val="105"/>
                <w:sz w:val="19"/>
              </w:rPr>
              <w:t> </w:t>
            </w:r>
            <w:r>
              <w:rPr>
                <w:spacing w:val="3"/>
                <w:w w:val="105"/>
                <w:sz w:val="19"/>
              </w:rPr>
              <w:t>Mar</w:t>
            </w:r>
            <w:r>
              <w:rPr>
                <w:spacing w:val="-16"/>
                <w:w w:val="105"/>
                <w:sz w:val="19"/>
              </w:rPr>
              <w:t> </w:t>
            </w:r>
            <w:r>
              <w:rPr>
                <w:spacing w:val="3"/>
                <w:w w:val="105"/>
                <w:sz w:val="19"/>
              </w:rPr>
              <w:t>AprMay</w:t>
            </w:r>
            <w:r>
              <w:rPr>
                <w:spacing w:val="-18"/>
                <w:w w:val="105"/>
                <w:sz w:val="19"/>
              </w:rPr>
              <w:t> </w:t>
            </w:r>
            <w:r>
              <w:rPr>
                <w:spacing w:val="2"/>
                <w:w w:val="105"/>
                <w:sz w:val="19"/>
              </w:rPr>
              <w:t>Jun</w:t>
            </w:r>
            <w:r>
              <w:rPr>
                <w:spacing w:val="43"/>
                <w:w w:val="105"/>
                <w:sz w:val="19"/>
              </w:rPr>
              <w:t> </w:t>
            </w:r>
            <w:r>
              <w:rPr>
                <w:spacing w:val="2"/>
                <w:w w:val="105"/>
                <w:sz w:val="19"/>
              </w:rPr>
              <w:t>Jul</w:t>
            </w:r>
            <w:r>
              <w:rPr>
                <w:spacing w:val="-8"/>
                <w:w w:val="105"/>
                <w:sz w:val="19"/>
              </w:rPr>
              <w:t> </w:t>
            </w:r>
            <w:r>
              <w:rPr>
                <w:spacing w:val="5"/>
                <w:w w:val="105"/>
                <w:sz w:val="19"/>
              </w:rPr>
              <w:t>Aug</w:t>
            </w:r>
            <w:r>
              <w:rPr>
                <w:spacing w:val="-20"/>
                <w:w w:val="105"/>
                <w:sz w:val="19"/>
              </w:rPr>
              <w:t> </w:t>
            </w:r>
            <w:r>
              <w:rPr>
                <w:w w:val="105"/>
                <w:sz w:val="19"/>
              </w:rPr>
              <w:t>Sep</w:t>
            </w:r>
            <w:r>
              <w:rPr>
                <w:spacing w:val="19"/>
                <w:w w:val="105"/>
                <w:sz w:val="19"/>
              </w:rPr>
              <w:t> </w:t>
            </w:r>
            <w:r>
              <w:rPr>
                <w:w w:val="105"/>
                <w:sz w:val="19"/>
              </w:rPr>
              <w:t>Oct</w:t>
            </w:r>
            <w:r>
              <w:rPr>
                <w:spacing w:val="-20"/>
                <w:w w:val="105"/>
                <w:sz w:val="19"/>
              </w:rPr>
              <w:t> </w:t>
            </w:r>
            <w:r>
              <w:rPr>
                <w:w w:val="105"/>
                <w:sz w:val="19"/>
              </w:rPr>
              <w:t>Nov</w:t>
            </w:r>
            <w:r>
              <w:rPr>
                <w:spacing w:val="-19"/>
                <w:w w:val="105"/>
                <w:sz w:val="19"/>
              </w:rPr>
              <w:t> </w:t>
            </w:r>
            <w:r>
              <w:rPr>
                <w:w w:val="105"/>
                <w:sz w:val="19"/>
              </w:rPr>
              <w:t>Dec</w:t>
            </w:r>
            <w:r>
              <w:rPr>
                <w:spacing w:val="-9"/>
                <w:w w:val="105"/>
                <w:sz w:val="19"/>
              </w:rPr>
              <w:t> </w:t>
            </w:r>
            <w:r>
              <w:rPr>
                <w:spacing w:val="-3"/>
                <w:w w:val="105"/>
                <w:sz w:val="19"/>
              </w:rPr>
              <w:t>End</w:t>
            </w:r>
          </w:p>
          <w:p>
            <w:pPr>
              <w:pStyle w:val="TableParagraph"/>
              <w:spacing w:before="36"/>
              <w:ind w:right="749"/>
              <w:jc w:val="right"/>
              <w:rPr>
                <w:sz w:val="19"/>
              </w:rPr>
            </w:pPr>
            <w:r>
              <w:rPr>
                <w:spacing w:val="-2"/>
                <w:sz w:val="19"/>
              </w:rPr>
              <w:t>Dec</w:t>
            </w:r>
          </w:p>
        </w:tc>
      </w:tr>
      <w:tr>
        <w:trPr>
          <w:trHeight w:val="736" w:hRule="atLeast"/>
        </w:trPr>
        <w:tc>
          <w:tcPr>
            <w:tcW w:w="5040" w:type="dxa"/>
          </w:tcPr>
          <w:p>
            <w:pPr>
              <w:pStyle w:val="TableParagraph"/>
              <w:spacing w:line="180" w:lineRule="exact"/>
              <w:ind w:left="107"/>
              <w:jc w:val="both"/>
              <w:rPr>
                <w:sz w:val="16"/>
              </w:rPr>
            </w:pPr>
            <w:r>
              <w:rPr>
                <w:sz w:val="16"/>
              </w:rPr>
              <w:t>Source: Bank of England.</w:t>
            </w:r>
          </w:p>
          <w:p>
            <w:pPr>
              <w:pStyle w:val="TableParagraph"/>
              <w:spacing w:line="184" w:lineRule="exact" w:before="3"/>
              <w:ind w:left="107" w:right="440"/>
              <w:jc w:val="both"/>
              <w:rPr>
                <w:sz w:val="16"/>
              </w:rPr>
            </w:pPr>
            <w:r>
              <w:rPr>
                <w:sz w:val="16"/>
              </w:rPr>
              <w:t>(a) SVR mortgages spread over one month lag of Bank Rate; Tracker mortgages spread over Bank Rate; 2 yr, and 5 yr fixed rate mortgages spread over one month lag of 2 and 5 year swap rates.</w:t>
            </w:r>
          </w:p>
        </w:tc>
        <w:tc>
          <w:tcPr>
            <w:tcW w:w="5230" w:type="dxa"/>
          </w:tcPr>
          <w:p>
            <w:pPr>
              <w:pStyle w:val="TableParagraph"/>
              <w:spacing w:line="180" w:lineRule="exact"/>
              <w:ind w:left="107"/>
              <w:rPr>
                <w:sz w:val="16"/>
              </w:rPr>
            </w:pPr>
            <w:r>
              <w:rPr>
                <w:sz w:val="16"/>
              </w:rPr>
              <w:t>Source: MoneyFacts.</w:t>
            </w:r>
          </w:p>
        </w:tc>
      </w:tr>
    </w:tbl>
    <w:p>
      <w:pPr>
        <w:spacing w:after="0" w:line="180" w:lineRule="exact"/>
        <w:rPr>
          <w:sz w:val="16"/>
        </w:rPr>
        <w:sectPr>
          <w:pgSz w:w="11900" w:h="16840"/>
          <w:pgMar w:header="0" w:footer="882" w:top="1600" w:bottom="1080" w:left="960" w:right="440"/>
        </w:sectPr>
      </w:pPr>
    </w:p>
    <w:p>
      <w:pPr>
        <w:pStyle w:val="BodyText"/>
        <w:spacing w:before="1"/>
        <w:rPr>
          <w:sz w:val="10"/>
        </w:rPr>
      </w:pPr>
      <w:r>
        <w:rPr/>
        <w:drawing>
          <wp:anchor distT="0" distB="0" distL="0" distR="0" allowOverlap="1" layoutInCell="1" locked="0" behindDoc="1" simplePos="0" relativeHeight="250295296">
            <wp:simplePos x="0" y="0"/>
            <wp:positionH relativeFrom="page">
              <wp:posOffset>935361</wp:posOffset>
            </wp:positionH>
            <wp:positionV relativeFrom="page">
              <wp:posOffset>1565528</wp:posOffset>
            </wp:positionV>
            <wp:extent cx="2560941" cy="1895475"/>
            <wp:effectExtent l="0" t="0" r="0" b="0"/>
            <wp:wrapNone/>
            <wp:docPr id="3" name="image8.png"/>
            <wp:cNvGraphicFramePr>
              <a:graphicFrameLocks noChangeAspect="1"/>
            </wp:cNvGraphicFramePr>
            <a:graphic>
              <a:graphicData uri="http://schemas.openxmlformats.org/drawingml/2006/picture">
                <pic:pic>
                  <pic:nvPicPr>
                    <pic:cNvPr id="4" name="image8.png"/>
                    <pic:cNvPicPr/>
                  </pic:nvPicPr>
                  <pic:blipFill>
                    <a:blip r:embed="rId15" cstate="print"/>
                    <a:stretch>
                      <a:fillRect/>
                    </a:stretch>
                  </pic:blipFill>
                  <pic:spPr>
                    <a:xfrm>
                      <a:off x="0" y="0"/>
                      <a:ext cx="2560941" cy="1895475"/>
                    </a:xfrm>
                    <a:prstGeom prst="rect">
                      <a:avLst/>
                    </a:prstGeom>
                  </pic:spPr>
                </pic:pic>
              </a:graphicData>
            </a:graphic>
          </wp:anchor>
        </w:drawing>
      </w:r>
      <w:r>
        <w:rPr/>
        <w:drawing>
          <wp:anchor distT="0" distB="0" distL="0" distR="0" allowOverlap="1" layoutInCell="1" locked="0" behindDoc="1" simplePos="0" relativeHeight="250296320">
            <wp:simplePos x="0" y="0"/>
            <wp:positionH relativeFrom="page">
              <wp:posOffset>4102748</wp:posOffset>
            </wp:positionH>
            <wp:positionV relativeFrom="page">
              <wp:posOffset>1634108</wp:posOffset>
            </wp:positionV>
            <wp:extent cx="2267031" cy="1681162"/>
            <wp:effectExtent l="0" t="0" r="0" b="0"/>
            <wp:wrapNone/>
            <wp:docPr id="5" name="image9.png"/>
            <wp:cNvGraphicFramePr>
              <a:graphicFrameLocks noChangeAspect="1"/>
            </wp:cNvGraphicFramePr>
            <a:graphic>
              <a:graphicData uri="http://schemas.openxmlformats.org/drawingml/2006/picture">
                <pic:pic>
                  <pic:nvPicPr>
                    <pic:cNvPr id="6" name="image9.png"/>
                    <pic:cNvPicPr/>
                  </pic:nvPicPr>
                  <pic:blipFill>
                    <a:blip r:embed="rId16" cstate="print"/>
                    <a:stretch>
                      <a:fillRect/>
                    </a:stretch>
                  </pic:blipFill>
                  <pic:spPr>
                    <a:xfrm>
                      <a:off x="0" y="0"/>
                      <a:ext cx="2267031" cy="1681162"/>
                    </a:xfrm>
                    <a:prstGeom prst="rect">
                      <a:avLst/>
                    </a:prstGeom>
                  </pic:spPr>
                </pic:pic>
              </a:graphicData>
            </a:graphic>
          </wp:anchor>
        </w:drawing>
      </w:r>
      <w:r>
        <w:rPr/>
        <w:drawing>
          <wp:anchor distT="0" distB="0" distL="0" distR="0" allowOverlap="1" layoutInCell="1" locked="0" behindDoc="1" simplePos="0" relativeHeight="250297344">
            <wp:simplePos x="0" y="0"/>
            <wp:positionH relativeFrom="page">
              <wp:posOffset>1144524</wp:posOffset>
            </wp:positionH>
            <wp:positionV relativeFrom="page">
              <wp:posOffset>4816983</wp:posOffset>
            </wp:positionV>
            <wp:extent cx="2275059" cy="1676400"/>
            <wp:effectExtent l="0" t="0" r="0" b="0"/>
            <wp:wrapNone/>
            <wp:docPr id="7" name="image10.png"/>
            <wp:cNvGraphicFramePr>
              <a:graphicFrameLocks noChangeAspect="1"/>
            </wp:cNvGraphicFramePr>
            <a:graphic>
              <a:graphicData uri="http://schemas.openxmlformats.org/drawingml/2006/picture">
                <pic:pic>
                  <pic:nvPicPr>
                    <pic:cNvPr id="8" name="image10.png"/>
                    <pic:cNvPicPr/>
                  </pic:nvPicPr>
                  <pic:blipFill>
                    <a:blip r:embed="rId17" cstate="print"/>
                    <a:stretch>
                      <a:fillRect/>
                    </a:stretch>
                  </pic:blipFill>
                  <pic:spPr>
                    <a:xfrm>
                      <a:off x="0" y="0"/>
                      <a:ext cx="2275059" cy="1676400"/>
                    </a:xfrm>
                    <a:prstGeom prst="rect">
                      <a:avLst/>
                    </a:prstGeom>
                  </pic:spPr>
                </pic:pic>
              </a:graphicData>
            </a:graphic>
          </wp:anchor>
        </w:drawing>
      </w:r>
      <w:r>
        <w:rPr/>
        <w:drawing>
          <wp:anchor distT="0" distB="0" distL="0" distR="0" allowOverlap="1" layoutInCell="1" locked="0" behindDoc="1" simplePos="0" relativeHeight="250298368">
            <wp:simplePos x="0" y="0"/>
            <wp:positionH relativeFrom="page">
              <wp:posOffset>4182998</wp:posOffset>
            </wp:positionH>
            <wp:positionV relativeFrom="page">
              <wp:posOffset>4720971</wp:posOffset>
            </wp:positionV>
            <wp:extent cx="2493568" cy="1781175"/>
            <wp:effectExtent l="0" t="0" r="0" b="0"/>
            <wp:wrapNone/>
            <wp:docPr id="9" name="image11.png"/>
            <wp:cNvGraphicFramePr>
              <a:graphicFrameLocks noChangeAspect="1"/>
            </wp:cNvGraphicFramePr>
            <a:graphic>
              <a:graphicData uri="http://schemas.openxmlformats.org/drawingml/2006/picture">
                <pic:pic>
                  <pic:nvPicPr>
                    <pic:cNvPr id="10" name="image11.png"/>
                    <pic:cNvPicPr/>
                  </pic:nvPicPr>
                  <pic:blipFill>
                    <a:blip r:embed="rId18" cstate="print"/>
                    <a:stretch>
                      <a:fillRect/>
                    </a:stretch>
                  </pic:blipFill>
                  <pic:spPr>
                    <a:xfrm>
                      <a:off x="0" y="0"/>
                      <a:ext cx="2493568" cy="1781175"/>
                    </a:xfrm>
                    <a:prstGeom prst="rect">
                      <a:avLst/>
                    </a:prstGeom>
                  </pic:spPr>
                </pic:pic>
              </a:graphicData>
            </a:graphic>
          </wp:anchor>
        </w:drawing>
      </w: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2"/>
        <w:gridCol w:w="517"/>
        <w:gridCol w:w="517"/>
        <w:gridCol w:w="510"/>
        <w:gridCol w:w="510"/>
        <w:gridCol w:w="510"/>
        <w:gridCol w:w="510"/>
        <w:gridCol w:w="600"/>
        <w:gridCol w:w="703"/>
        <w:gridCol w:w="4292"/>
        <w:gridCol w:w="937"/>
      </w:tblGrid>
      <w:tr>
        <w:trPr>
          <w:trHeight w:val="506" w:hRule="atLeast"/>
        </w:trPr>
        <w:tc>
          <w:tcPr>
            <w:tcW w:w="5039" w:type="dxa"/>
            <w:gridSpan w:val="9"/>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7"/>
              <w:rPr>
                <w:b/>
                <w:sz w:val="22"/>
              </w:rPr>
            </w:pPr>
            <w:r>
              <w:rPr>
                <w:b/>
                <w:sz w:val="22"/>
              </w:rPr>
              <w:t>Chart 9: Household saving ratio</w:t>
            </w:r>
          </w:p>
        </w:tc>
        <w:tc>
          <w:tcPr>
            <w:tcW w:w="5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8" w:right="643" w:hanging="1"/>
              <w:rPr>
                <w:b/>
                <w:sz w:val="22"/>
              </w:rPr>
            </w:pPr>
            <w:r>
              <w:rPr>
                <w:b/>
                <w:sz w:val="22"/>
              </w:rPr>
              <w:t>Chart 10: Correlation between growth in house prices and consumption</w:t>
            </w:r>
          </w:p>
        </w:tc>
      </w:tr>
      <w:tr>
        <w:trPr>
          <w:trHeight w:val="391" w:hRule="atLeast"/>
        </w:trPr>
        <w:tc>
          <w:tcPr>
            <w:tcW w:w="662" w:type="dxa"/>
            <w:tcBorders>
              <w:top w:val="single" w:sz="4" w:space="0" w:color="000000"/>
              <w:left w:val="single" w:sz="4" w:space="0" w:color="000000"/>
            </w:tcBorders>
          </w:tcPr>
          <w:p>
            <w:pPr>
              <w:pStyle w:val="TableParagraph"/>
              <w:rPr>
                <w:sz w:val="18"/>
              </w:rPr>
            </w:pPr>
          </w:p>
        </w:tc>
        <w:tc>
          <w:tcPr>
            <w:tcW w:w="517" w:type="dxa"/>
            <w:tcBorders>
              <w:top w:val="single" w:sz="4" w:space="0" w:color="000000"/>
            </w:tcBorders>
          </w:tcPr>
          <w:p>
            <w:pPr>
              <w:pStyle w:val="TableParagraph"/>
              <w:rPr>
                <w:sz w:val="18"/>
              </w:rPr>
            </w:pPr>
          </w:p>
        </w:tc>
        <w:tc>
          <w:tcPr>
            <w:tcW w:w="517" w:type="dxa"/>
            <w:tcBorders>
              <w:top w:val="single" w:sz="4" w:space="0" w:color="000000"/>
            </w:tcBorders>
          </w:tcPr>
          <w:p>
            <w:pPr>
              <w:pStyle w:val="TableParagraph"/>
              <w:rPr>
                <w:sz w:val="18"/>
              </w:rPr>
            </w:pPr>
          </w:p>
        </w:tc>
        <w:tc>
          <w:tcPr>
            <w:tcW w:w="510" w:type="dxa"/>
            <w:tcBorders>
              <w:top w:val="single" w:sz="4" w:space="0" w:color="000000"/>
            </w:tcBorders>
          </w:tcPr>
          <w:p>
            <w:pPr>
              <w:pStyle w:val="TableParagraph"/>
              <w:rPr>
                <w:sz w:val="18"/>
              </w:rPr>
            </w:pPr>
          </w:p>
        </w:tc>
        <w:tc>
          <w:tcPr>
            <w:tcW w:w="510" w:type="dxa"/>
            <w:tcBorders>
              <w:top w:val="single" w:sz="4" w:space="0" w:color="000000"/>
            </w:tcBorders>
          </w:tcPr>
          <w:p>
            <w:pPr>
              <w:pStyle w:val="TableParagraph"/>
              <w:rPr>
                <w:sz w:val="18"/>
              </w:rPr>
            </w:pPr>
          </w:p>
        </w:tc>
        <w:tc>
          <w:tcPr>
            <w:tcW w:w="510" w:type="dxa"/>
            <w:tcBorders>
              <w:top w:val="single" w:sz="4" w:space="0" w:color="000000"/>
            </w:tcBorders>
          </w:tcPr>
          <w:p>
            <w:pPr>
              <w:pStyle w:val="TableParagraph"/>
              <w:rPr>
                <w:sz w:val="18"/>
              </w:rPr>
            </w:pPr>
          </w:p>
        </w:tc>
        <w:tc>
          <w:tcPr>
            <w:tcW w:w="510" w:type="dxa"/>
            <w:tcBorders>
              <w:top w:val="single" w:sz="4" w:space="0" w:color="000000"/>
            </w:tcBorders>
          </w:tcPr>
          <w:p>
            <w:pPr>
              <w:pStyle w:val="TableParagraph"/>
              <w:rPr>
                <w:sz w:val="18"/>
              </w:rPr>
            </w:pPr>
          </w:p>
        </w:tc>
        <w:tc>
          <w:tcPr>
            <w:tcW w:w="600" w:type="dxa"/>
            <w:tcBorders>
              <w:top w:val="single" w:sz="4" w:space="0" w:color="000000"/>
            </w:tcBorders>
          </w:tcPr>
          <w:p>
            <w:pPr>
              <w:pStyle w:val="TableParagraph"/>
              <w:rPr>
                <w:sz w:val="18"/>
              </w:rPr>
            </w:pPr>
          </w:p>
        </w:tc>
        <w:tc>
          <w:tcPr>
            <w:tcW w:w="703" w:type="dxa"/>
            <w:tcBorders>
              <w:top w:val="single" w:sz="4" w:space="0" w:color="000000"/>
              <w:right w:val="single" w:sz="4" w:space="0" w:color="000000"/>
            </w:tcBorders>
          </w:tcPr>
          <w:p>
            <w:pPr>
              <w:pStyle w:val="TableParagraph"/>
              <w:spacing w:before="116"/>
              <w:ind w:left="171"/>
              <w:rPr>
                <w:sz w:val="16"/>
              </w:rPr>
            </w:pPr>
            <w:r>
              <w:rPr>
                <w:w w:val="110"/>
                <w:sz w:val="16"/>
              </w:rPr>
              <w:t>16%</w:t>
            </w:r>
          </w:p>
        </w:tc>
        <w:tc>
          <w:tcPr>
            <w:tcW w:w="5229" w:type="dxa"/>
            <w:gridSpan w:val="2"/>
            <w:vMerge w:val="restart"/>
            <w:tcBorders>
              <w:top w:val="single" w:sz="4" w:space="0" w:color="000000"/>
              <w:left w:val="single" w:sz="4" w:space="0" w:color="000000"/>
              <w:bottom w:val="single" w:sz="4" w:space="0" w:color="000000"/>
              <w:right w:val="single" w:sz="4" w:space="0" w:color="000000"/>
            </w:tcBorders>
          </w:tcPr>
          <w:p>
            <w:pPr>
              <w:pStyle w:val="TableParagraph"/>
              <w:spacing w:line="199" w:lineRule="auto" w:before="140"/>
              <w:ind w:left="652" w:right="1046" w:firstLine="39"/>
              <w:rPr>
                <w:sz w:val="14"/>
              </w:rPr>
            </w:pPr>
            <w:r>
              <w:rPr>
                <w:w w:val="105"/>
                <w:sz w:val="14"/>
              </w:rPr>
              <w:t>Rolling </w:t>
            </w:r>
            <w:r>
              <w:rPr>
                <w:spacing w:val="2"/>
                <w:w w:val="105"/>
                <w:sz w:val="14"/>
              </w:rPr>
              <w:t>ten-year </w:t>
            </w:r>
            <w:r>
              <w:rPr>
                <w:w w:val="105"/>
                <w:sz w:val="14"/>
              </w:rPr>
              <w:t>correlation coefficient </w:t>
            </w:r>
            <w:r>
              <w:rPr>
                <w:spacing w:val="-3"/>
                <w:w w:val="105"/>
                <w:sz w:val="14"/>
              </w:rPr>
              <w:t>between </w:t>
            </w:r>
            <w:r>
              <w:rPr>
                <w:w w:val="105"/>
                <w:sz w:val="14"/>
              </w:rPr>
              <w:t>real annual house price inflation and consumption growth   </w:t>
            </w:r>
            <w:r>
              <w:rPr>
                <w:spacing w:val="20"/>
                <w:w w:val="105"/>
                <w:sz w:val="14"/>
              </w:rPr>
              <w:t> </w:t>
            </w:r>
            <w:r>
              <w:rPr>
                <w:w w:val="105"/>
                <w:position w:val="8"/>
                <w:sz w:val="14"/>
              </w:rPr>
              <w:t>1.0</w:t>
            </w:r>
          </w:p>
          <w:p>
            <w:pPr>
              <w:pStyle w:val="TableParagraph"/>
              <w:spacing w:before="17"/>
              <w:ind w:left="3981"/>
              <w:rPr>
                <w:sz w:val="14"/>
              </w:rPr>
            </w:pPr>
            <w:r>
              <w:rPr>
                <w:w w:val="105"/>
                <w:sz w:val="14"/>
              </w:rPr>
              <w:t>0.9</w:t>
            </w:r>
          </w:p>
          <w:p>
            <w:pPr>
              <w:pStyle w:val="TableParagraph"/>
              <w:spacing w:before="104"/>
              <w:ind w:left="3981"/>
              <w:rPr>
                <w:sz w:val="14"/>
              </w:rPr>
            </w:pPr>
            <w:r>
              <w:rPr>
                <w:w w:val="105"/>
                <w:sz w:val="14"/>
              </w:rPr>
              <w:t>0.8</w:t>
            </w:r>
          </w:p>
          <w:p>
            <w:pPr>
              <w:pStyle w:val="TableParagraph"/>
              <w:spacing w:before="105"/>
              <w:ind w:left="3981"/>
              <w:rPr>
                <w:sz w:val="14"/>
              </w:rPr>
            </w:pPr>
            <w:r>
              <w:rPr>
                <w:w w:val="105"/>
                <w:sz w:val="14"/>
              </w:rPr>
              <w:t>0.7</w:t>
            </w:r>
          </w:p>
          <w:p>
            <w:pPr>
              <w:pStyle w:val="TableParagraph"/>
              <w:spacing w:before="106"/>
              <w:ind w:left="3981"/>
              <w:rPr>
                <w:sz w:val="14"/>
              </w:rPr>
            </w:pPr>
            <w:r>
              <w:rPr>
                <w:w w:val="105"/>
                <w:sz w:val="14"/>
              </w:rPr>
              <w:t>0.6</w:t>
            </w:r>
          </w:p>
          <w:p>
            <w:pPr>
              <w:pStyle w:val="TableParagraph"/>
              <w:spacing w:before="92"/>
              <w:ind w:left="3981"/>
              <w:rPr>
                <w:sz w:val="14"/>
              </w:rPr>
            </w:pPr>
            <w:r>
              <w:rPr>
                <w:w w:val="105"/>
                <w:sz w:val="14"/>
              </w:rPr>
              <w:t>0.5</w:t>
            </w:r>
          </w:p>
          <w:p>
            <w:pPr>
              <w:pStyle w:val="TableParagraph"/>
              <w:spacing w:before="105"/>
              <w:ind w:left="3981"/>
              <w:rPr>
                <w:sz w:val="14"/>
              </w:rPr>
            </w:pPr>
            <w:r>
              <w:rPr>
                <w:w w:val="105"/>
                <w:sz w:val="14"/>
              </w:rPr>
              <w:t>0.4</w:t>
            </w:r>
          </w:p>
          <w:p>
            <w:pPr>
              <w:pStyle w:val="TableParagraph"/>
              <w:spacing w:before="106"/>
              <w:ind w:left="3981"/>
              <w:rPr>
                <w:sz w:val="14"/>
              </w:rPr>
            </w:pPr>
            <w:r>
              <w:rPr>
                <w:w w:val="105"/>
                <w:sz w:val="14"/>
              </w:rPr>
              <w:t>0.3</w:t>
            </w:r>
          </w:p>
          <w:p>
            <w:pPr>
              <w:pStyle w:val="TableParagraph"/>
              <w:spacing w:before="105"/>
              <w:ind w:left="3981"/>
              <w:rPr>
                <w:sz w:val="14"/>
              </w:rPr>
            </w:pPr>
            <w:r>
              <w:rPr>
                <w:w w:val="105"/>
                <w:sz w:val="14"/>
              </w:rPr>
              <w:t>0.2</w:t>
            </w:r>
          </w:p>
          <w:p>
            <w:pPr>
              <w:pStyle w:val="TableParagraph"/>
              <w:spacing w:before="104"/>
              <w:ind w:left="3981"/>
              <w:rPr>
                <w:sz w:val="14"/>
              </w:rPr>
            </w:pPr>
            <w:r>
              <w:rPr>
                <w:w w:val="105"/>
                <w:sz w:val="14"/>
              </w:rPr>
              <w:t>0.1</w:t>
            </w:r>
          </w:p>
          <w:p>
            <w:pPr>
              <w:pStyle w:val="TableParagraph"/>
              <w:spacing w:before="106"/>
              <w:ind w:left="3981"/>
              <w:rPr>
                <w:sz w:val="14"/>
              </w:rPr>
            </w:pPr>
            <w:r>
              <w:rPr>
                <w:w w:val="105"/>
                <w:sz w:val="14"/>
              </w:rPr>
              <w:t>0.0</w:t>
            </w:r>
          </w:p>
          <w:p>
            <w:pPr>
              <w:pStyle w:val="TableParagraph"/>
              <w:spacing w:before="53"/>
              <w:ind w:left="199"/>
              <w:rPr>
                <w:sz w:val="14"/>
              </w:rPr>
            </w:pPr>
            <w:r>
              <w:rPr>
                <w:w w:val="105"/>
                <w:sz w:val="14"/>
              </w:rPr>
              <w:t>1966 1971 1976 1981 1986 1991 1996 2001 2006</w:t>
            </w:r>
          </w:p>
        </w:tc>
      </w:tr>
      <w:tr>
        <w:trPr>
          <w:trHeight w:val="364" w:hRule="atLeast"/>
        </w:trPr>
        <w:tc>
          <w:tcPr>
            <w:tcW w:w="662" w:type="dxa"/>
            <w:tcBorders>
              <w:left w:val="single" w:sz="4" w:space="0" w:color="000000"/>
            </w:tcBorders>
          </w:tcPr>
          <w:p>
            <w:pPr>
              <w:pStyle w:val="TableParagraph"/>
              <w:rPr>
                <w:sz w:val="18"/>
              </w:rPr>
            </w:pPr>
          </w:p>
        </w:tc>
        <w:tc>
          <w:tcPr>
            <w:tcW w:w="517" w:type="dxa"/>
          </w:tcPr>
          <w:p>
            <w:pPr>
              <w:pStyle w:val="TableParagraph"/>
              <w:rPr>
                <w:sz w:val="18"/>
              </w:rPr>
            </w:pPr>
          </w:p>
        </w:tc>
        <w:tc>
          <w:tcPr>
            <w:tcW w:w="517" w:type="dxa"/>
          </w:tcPr>
          <w:p>
            <w:pPr>
              <w:pStyle w:val="TableParagraph"/>
              <w:rPr>
                <w:sz w:val="18"/>
              </w:rPr>
            </w:pPr>
          </w:p>
        </w:tc>
        <w:tc>
          <w:tcPr>
            <w:tcW w:w="510" w:type="dxa"/>
          </w:tcPr>
          <w:p>
            <w:pPr>
              <w:pStyle w:val="TableParagraph"/>
              <w:rPr>
                <w:sz w:val="18"/>
              </w:rPr>
            </w:pPr>
          </w:p>
        </w:tc>
        <w:tc>
          <w:tcPr>
            <w:tcW w:w="510" w:type="dxa"/>
          </w:tcPr>
          <w:p>
            <w:pPr>
              <w:pStyle w:val="TableParagraph"/>
              <w:rPr>
                <w:sz w:val="18"/>
              </w:rPr>
            </w:pPr>
          </w:p>
        </w:tc>
        <w:tc>
          <w:tcPr>
            <w:tcW w:w="510" w:type="dxa"/>
          </w:tcPr>
          <w:p>
            <w:pPr>
              <w:pStyle w:val="TableParagraph"/>
              <w:rPr>
                <w:sz w:val="18"/>
              </w:rPr>
            </w:pPr>
          </w:p>
        </w:tc>
        <w:tc>
          <w:tcPr>
            <w:tcW w:w="510" w:type="dxa"/>
          </w:tcPr>
          <w:p>
            <w:pPr>
              <w:pStyle w:val="TableParagraph"/>
              <w:rPr>
                <w:sz w:val="18"/>
              </w:rPr>
            </w:pPr>
          </w:p>
        </w:tc>
        <w:tc>
          <w:tcPr>
            <w:tcW w:w="600" w:type="dxa"/>
          </w:tcPr>
          <w:p>
            <w:pPr>
              <w:pStyle w:val="TableParagraph"/>
              <w:rPr>
                <w:sz w:val="18"/>
              </w:rPr>
            </w:pPr>
          </w:p>
        </w:tc>
        <w:tc>
          <w:tcPr>
            <w:tcW w:w="703" w:type="dxa"/>
            <w:tcBorders>
              <w:right w:val="single" w:sz="4" w:space="0" w:color="000000"/>
            </w:tcBorders>
          </w:tcPr>
          <w:p>
            <w:pPr>
              <w:pStyle w:val="TableParagraph"/>
              <w:spacing w:before="88"/>
              <w:ind w:left="171"/>
              <w:rPr>
                <w:sz w:val="16"/>
              </w:rPr>
            </w:pPr>
            <w:r>
              <w:rPr>
                <w:w w:val="110"/>
                <w:sz w:val="16"/>
              </w:rPr>
              <w:t>14%</w:t>
            </w:r>
          </w:p>
        </w:tc>
        <w:tc>
          <w:tcPr>
            <w:tcW w:w="5229" w:type="dxa"/>
            <w:gridSpan w:val="2"/>
            <w:vMerge/>
            <w:tcBorders>
              <w:top w:val="nil"/>
              <w:left w:val="single" w:sz="4" w:space="0" w:color="000000"/>
              <w:bottom w:val="single" w:sz="4" w:space="0" w:color="000000"/>
              <w:right w:val="single" w:sz="4" w:space="0" w:color="000000"/>
            </w:tcBorders>
          </w:tcPr>
          <w:p>
            <w:pPr>
              <w:rPr>
                <w:sz w:val="2"/>
                <w:szCs w:val="2"/>
              </w:rPr>
            </w:pPr>
          </w:p>
        </w:tc>
      </w:tr>
      <w:tr>
        <w:trPr>
          <w:trHeight w:val="364" w:hRule="atLeast"/>
        </w:trPr>
        <w:tc>
          <w:tcPr>
            <w:tcW w:w="662" w:type="dxa"/>
            <w:tcBorders>
              <w:left w:val="single" w:sz="4" w:space="0" w:color="000000"/>
            </w:tcBorders>
          </w:tcPr>
          <w:p>
            <w:pPr>
              <w:pStyle w:val="TableParagraph"/>
              <w:rPr>
                <w:sz w:val="18"/>
              </w:rPr>
            </w:pPr>
          </w:p>
        </w:tc>
        <w:tc>
          <w:tcPr>
            <w:tcW w:w="517" w:type="dxa"/>
          </w:tcPr>
          <w:p>
            <w:pPr>
              <w:pStyle w:val="TableParagraph"/>
              <w:rPr>
                <w:sz w:val="18"/>
              </w:rPr>
            </w:pPr>
          </w:p>
        </w:tc>
        <w:tc>
          <w:tcPr>
            <w:tcW w:w="517" w:type="dxa"/>
          </w:tcPr>
          <w:p>
            <w:pPr>
              <w:pStyle w:val="TableParagraph"/>
              <w:rPr>
                <w:sz w:val="18"/>
              </w:rPr>
            </w:pPr>
          </w:p>
        </w:tc>
        <w:tc>
          <w:tcPr>
            <w:tcW w:w="510" w:type="dxa"/>
          </w:tcPr>
          <w:p>
            <w:pPr>
              <w:pStyle w:val="TableParagraph"/>
              <w:rPr>
                <w:sz w:val="18"/>
              </w:rPr>
            </w:pPr>
          </w:p>
        </w:tc>
        <w:tc>
          <w:tcPr>
            <w:tcW w:w="510" w:type="dxa"/>
          </w:tcPr>
          <w:p>
            <w:pPr>
              <w:pStyle w:val="TableParagraph"/>
              <w:rPr>
                <w:sz w:val="18"/>
              </w:rPr>
            </w:pPr>
          </w:p>
        </w:tc>
        <w:tc>
          <w:tcPr>
            <w:tcW w:w="510" w:type="dxa"/>
          </w:tcPr>
          <w:p>
            <w:pPr>
              <w:pStyle w:val="TableParagraph"/>
              <w:rPr>
                <w:sz w:val="18"/>
              </w:rPr>
            </w:pPr>
          </w:p>
        </w:tc>
        <w:tc>
          <w:tcPr>
            <w:tcW w:w="510" w:type="dxa"/>
          </w:tcPr>
          <w:p>
            <w:pPr>
              <w:pStyle w:val="TableParagraph"/>
              <w:rPr>
                <w:sz w:val="18"/>
              </w:rPr>
            </w:pPr>
          </w:p>
        </w:tc>
        <w:tc>
          <w:tcPr>
            <w:tcW w:w="600" w:type="dxa"/>
          </w:tcPr>
          <w:p>
            <w:pPr>
              <w:pStyle w:val="TableParagraph"/>
              <w:rPr>
                <w:sz w:val="18"/>
              </w:rPr>
            </w:pPr>
          </w:p>
        </w:tc>
        <w:tc>
          <w:tcPr>
            <w:tcW w:w="703" w:type="dxa"/>
            <w:tcBorders>
              <w:right w:val="single" w:sz="4" w:space="0" w:color="000000"/>
            </w:tcBorders>
          </w:tcPr>
          <w:p>
            <w:pPr>
              <w:pStyle w:val="TableParagraph"/>
              <w:spacing w:before="89"/>
              <w:ind w:left="171"/>
              <w:rPr>
                <w:sz w:val="16"/>
              </w:rPr>
            </w:pPr>
            <w:r>
              <w:rPr>
                <w:w w:val="110"/>
                <w:sz w:val="16"/>
              </w:rPr>
              <w:t>12%</w:t>
            </w:r>
          </w:p>
        </w:tc>
        <w:tc>
          <w:tcPr>
            <w:tcW w:w="5229" w:type="dxa"/>
            <w:gridSpan w:val="2"/>
            <w:vMerge/>
            <w:tcBorders>
              <w:top w:val="nil"/>
              <w:left w:val="single" w:sz="4" w:space="0" w:color="000000"/>
              <w:bottom w:val="single" w:sz="4" w:space="0" w:color="000000"/>
              <w:right w:val="single" w:sz="4" w:space="0" w:color="000000"/>
            </w:tcBorders>
          </w:tcPr>
          <w:p>
            <w:pPr>
              <w:rPr>
                <w:sz w:val="2"/>
                <w:szCs w:val="2"/>
              </w:rPr>
            </w:pPr>
          </w:p>
        </w:tc>
      </w:tr>
      <w:tr>
        <w:trPr>
          <w:trHeight w:val="364" w:hRule="atLeast"/>
        </w:trPr>
        <w:tc>
          <w:tcPr>
            <w:tcW w:w="662" w:type="dxa"/>
            <w:tcBorders>
              <w:left w:val="single" w:sz="4" w:space="0" w:color="000000"/>
            </w:tcBorders>
          </w:tcPr>
          <w:p>
            <w:pPr>
              <w:pStyle w:val="TableParagraph"/>
              <w:rPr>
                <w:sz w:val="18"/>
              </w:rPr>
            </w:pPr>
          </w:p>
        </w:tc>
        <w:tc>
          <w:tcPr>
            <w:tcW w:w="517" w:type="dxa"/>
          </w:tcPr>
          <w:p>
            <w:pPr>
              <w:pStyle w:val="TableParagraph"/>
              <w:rPr>
                <w:sz w:val="18"/>
              </w:rPr>
            </w:pPr>
          </w:p>
        </w:tc>
        <w:tc>
          <w:tcPr>
            <w:tcW w:w="517" w:type="dxa"/>
          </w:tcPr>
          <w:p>
            <w:pPr>
              <w:pStyle w:val="TableParagraph"/>
              <w:rPr>
                <w:sz w:val="18"/>
              </w:rPr>
            </w:pPr>
          </w:p>
        </w:tc>
        <w:tc>
          <w:tcPr>
            <w:tcW w:w="510" w:type="dxa"/>
          </w:tcPr>
          <w:p>
            <w:pPr>
              <w:pStyle w:val="TableParagraph"/>
              <w:rPr>
                <w:sz w:val="18"/>
              </w:rPr>
            </w:pPr>
          </w:p>
        </w:tc>
        <w:tc>
          <w:tcPr>
            <w:tcW w:w="510" w:type="dxa"/>
          </w:tcPr>
          <w:p>
            <w:pPr>
              <w:pStyle w:val="TableParagraph"/>
              <w:rPr>
                <w:sz w:val="18"/>
              </w:rPr>
            </w:pPr>
          </w:p>
        </w:tc>
        <w:tc>
          <w:tcPr>
            <w:tcW w:w="510" w:type="dxa"/>
          </w:tcPr>
          <w:p>
            <w:pPr>
              <w:pStyle w:val="TableParagraph"/>
              <w:rPr>
                <w:sz w:val="18"/>
              </w:rPr>
            </w:pPr>
          </w:p>
        </w:tc>
        <w:tc>
          <w:tcPr>
            <w:tcW w:w="510" w:type="dxa"/>
          </w:tcPr>
          <w:p>
            <w:pPr>
              <w:pStyle w:val="TableParagraph"/>
              <w:rPr>
                <w:sz w:val="18"/>
              </w:rPr>
            </w:pPr>
          </w:p>
        </w:tc>
        <w:tc>
          <w:tcPr>
            <w:tcW w:w="600" w:type="dxa"/>
          </w:tcPr>
          <w:p>
            <w:pPr>
              <w:pStyle w:val="TableParagraph"/>
              <w:rPr>
                <w:sz w:val="18"/>
              </w:rPr>
            </w:pPr>
          </w:p>
        </w:tc>
        <w:tc>
          <w:tcPr>
            <w:tcW w:w="703" w:type="dxa"/>
            <w:tcBorders>
              <w:right w:val="single" w:sz="4" w:space="0" w:color="000000"/>
            </w:tcBorders>
          </w:tcPr>
          <w:p>
            <w:pPr>
              <w:pStyle w:val="TableParagraph"/>
              <w:spacing w:before="88"/>
              <w:ind w:left="171"/>
              <w:rPr>
                <w:sz w:val="16"/>
              </w:rPr>
            </w:pPr>
            <w:r>
              <w:rPr>
                <w:w w:val="110"/>
                <w:sz w:val="16"/>
              </w:rPr>
              <w:t>10%</w:t>
            </w:r>
          </w:p>
        </w:tc>
        <w:tc>
          <w:tcPr>
            <w:tcW w:w="5229" w:type="dxa"/>
            <w:gridSpan w:val="2"/>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662" w:type="dxa"/>
            <w:tcBorders>
              <w:left w:val="single" w:sz="4" w:space="0" w:color="000000"/>
            </w:tcBorders>
          </w:tcPr>
          <w:p>
            <w:pPr>
              <w:pStyle w:val="TableParagraph"/>
              <w:rPr>
                <w:sz w:val="18"/>
              </w:rPr>
            </w:pPr>
          </w:p>
        </w:tc>
        <w:tc>
          <w:tcPr>
            <w:tcW w:w="517" w:type="dxa"/>
          </w:tcPr>
          <w:p>
            <w:pPr>
              <w:pStyle w:val="TableParagraph"/>
              <w:rPr>
                <w:sz w:val="18"/>
              </w:rPr>
            </w:pPr>
          </w:p>
        </w:tc>
        <w:tc>
          <w:tcPr>
            <w:tcW w:w="517" w:type="dxa"/>
          </w:tcPr>
          <w:p>
            <w:pPr>
              <w:pStyle w:val="TableParagraph"/>
              <w:rPr>
                <w:sz w:val="18"/>
              </w:rPr>
            </w:pPr>
          </w:p>
        </w:tc>
        <w:tc>
          <w:tcPr>
            <w:tcW w:w="510" w:type="dxa"/>
          </w:tcPr>
          <w:p>
            <w:pPr>
              <w:pStyle w:val="TableParagraph"/>
              <w:rPr>
                <w:sz w:val="18"/>
              </w:rPr>
            </w:pPr>
          </w:p>
        </w:tc>
        <w:tc>
          <w:tcPr>
            <w:tcW w:w="510" w:type="dxa"/>
          </w:tcPr>
          <w:p>
            <w:pPr>
              <w:pStyle w:val="TableParagraph"/>
              <w:rPr>
                <w:sz w:val="18"/>
              </w:rPr>
            </w:pPr>
          </w:p>
        </w:tc>
        <w:tc>
          <w:tcPr>
            <w:tcW w:w="510" w:type="dxa"/>
          </w:tcPr>
          <w:p>
            <w:pPr>
              <w:pStyle w:val="TableParagraph"/>
              <w:rPr>
                <w:sz w:val="18"/>
              </w:rPr>
            </w:pPr>
          </w:p>
        </w:tc>
        <w:tc>
          <w:tcPr>
            <w:tcW w:w="510" w:type="dxa"/>
          </w:tcPr>
          <w:p>
            <w:pPr>
              <w:pStyle w:val="TableParagraph"/>
              <w:rPr>
                <w:sz w:val="18"/>
              </w:rPr>
            </w:pPr>
          </w:p>
        </w:tc>
        <w:tc>
          <w:tcPr>
            <w:tcW w:w="600" w:type="dxa"/>
          </w:tcPr>
          <w:p>
            <w:pPr>
              <w:pStyle w:val="TableParagraph"/>
              <w:rPr>
                <w:sz w:val="18"/>
              </w:rPr>
            </w:pPr>
          </w:p>
        </w:tc>
        <w:tc>
          <w:tcPr>
            <w:tcW w:w="703" w:type="dxa"/>
            <w:tcBorders>
              <w:right w:val="single" w:sz="4" w:space="0" w:color="000000"/>
            </w:tcBorders>
          </w:tcPr>
          <w:p>
            <w:pPr>
              <w:pStyle w:val="TableParagraph"/>
              <w:spacing w:before="89"/>
              <w:ind w:left="171"/>
              <w:rPr>
                <w:sz w:val="16"/>
              </w:rPr>
            </w:pPr>
            <w:r>
              <w:rPr>
                <w:w w:val="110"/>
                <w:sz w:val="16"/>
              </w:rPr>
              <w:t>8%</w:t>
            </w:r>
          </w:p>
        </w:tc>
        <w:tc>
          <w:tcPr>
            <w:tcW w:w="5229" w:type="dxa"/>
            <w:gridSpan w:val="2"/>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662" w:type="dxa"/>
            <w:tcBorders>
              <w:left w:val="single" w:sz="4" w:space="0" w:color="000000"/>
            </w:tcBorders>
          </w:tcPr>
          <w:p>
            <w:pPr>
              <w:pStyle w:val="TableParagraph"/>
              <w:rPr>
                <w:sz w:val="18"/>
              </w:rPr>
            </w:pPr>
          </w:p>
        </w:tc>
        <w:tc>
          <w:tcPr>
            <w:tcW w:w="517" w:type="dxa"/>
          </w:tcPr>
          <w:p>
            <w:pPr>
              <w:pStyle w:val="TableParagraph"/>
              <w:rPr>
                <w:sz w:val="18"/>
              </w:rPr>
            </w:pPr>
          </w:p>
        </w:tc>
        <w:tc>
          <w:tcPr>
            <w:tcW w:w="517" w:type="dxa"/>
          </w:tcPr>
          <w:p>
            <w:pPr>
              <w:pStyle w:val="TableParagraph"/>
              <w:rPr>
                <w:sz w:val="18"/>
              </w:rPr>
            </w:pPr>
          </w:p>
        </w:tc>
        <w:tc>
          <w:tcPr>
            <w:tcW w:w="510" w:type="dxa"/>
          </w:tcPr>
          <w:p>
            <w:pPr>
              <w:pStyle w:val="TableParagraph"/>
              <w:rPr>
                <w:sz w:val="18"/>
              </w:rPr>
            </w:pPr>
          </w:p>
        </w:tc>
        <w:tc>
          <w:tcPr>
            <w:tcW w:w="510" w:type="dxa"/>
          </w:tcPr>
          <w:p>
            <w:pPr>
              <w:pStyle w:val="TableParagraph"/>
              <w:rPr>
                <w:sz w:val="18"/>
              </w:rPr>
            </w:pPr>
          </w:p>
        </w:tc>
        <w:tc>
          <w:tcPr>
            <w:tcW w:w="510" w:type="dxa"/>
          </w:tcPr>
          <w:p>
            <w:pPr>
              <w:pStyle w:val="TableParagraph"/>
              <w:rPr>
                <w:sz w:val="18"/>
              </w:rPr>
            </w:pPr>
          </w:p>
        </w:tc>
        <w:tc>
          <w:tcPr>
            <w:tcW w:w="510" w:type="dxa"/>
          </w:tcPr>
          <w:p>
            <w:pPr>
              <w:pStyle w:val="TableParagraph"/>
              <w:rPr>
                <w:sz w:val="18"/>
              </w:rPr>
            </w:pPr>
          </w:p>
        </w:tc>
        <w:tc>
          <w:tcPr>
            <w:tcW w:w="600" w:type="dxa"/>
          </w:tcPr>
          <w:p>
            <w:pPr>
              <w:pStyle w:val="TableParagraph"/>
              <w:rPr>
                <w:sz w:val="18"/>
              </w:rPr>
            </w:pPr>
          </w:p>
        </w:tc>
        <w:tc>
          <w:tcPr>
            <w:tcW w:w="703" w:type="dxa"/>
            <w:tcBorders>
              <w:right w:val="single" w:sz="4" w:space="0" w:color="000000"/>
            </w:tcBorders>
          </w:tcPr>
          <w:p>
            <w:pPr>
              <w:pStyle w:val="TableParagraph"/>
              <w:spacing w:before="80"/>
              <w:ind w:left="171"/>
              <w:rPr>
                <w:sz w:val="16"/>
              </w:rPr>
            </w:pPr>
            <w:r>
              <w:rPr>
                <w:w w:val="110"/>
                <w:sz w:val="16"/>
              </w:rPr>
              <w:t>6%</w:t>
            </w:r>
          </w:p>
        </w:tc>
        <w:tc>
          <w:tcPr>
            <w:tcW w:w="5229" w:type="dxa"/>
            <w:gridSpan w:val="2"/>
            <w:vMerge/>
            <w:tcBorders>
              <w:top w:val="nil"/>
              <w:left w:val="single" w:sz="4" w:space="0" w:color="000000"/>
              <w:bottom w:val="single" w:sz="4" w:space="0" w:color="000000"/>
              <w:right w:val="single" w:sz="4" w:space="0" w:color="000000"/>
            </w:tcBorders>
          </w:tcPr>
          <w:p>
            <w:pPr>
              <w:rPr>
                <w:sz w:val="2"/>
                <w:szCs w:val="2"/>
              </w:rPr>
            </w:pPr>
          </w:p>
        </w:tc>
      </w:tr>
      <w:tr>
        <w:trPr>
          <w:trHeight w:val="364" w:hRule="atLeast"/>
        </w:trPr>
        <w:tc>
          <w:tcPr>
            <w:tcW w:w="662" w:type="dxa"/>
            <w:tcBorders>
              <w:left w:val="single" w:sz="4" w:space="0" w:color="000000"/>
            </w:tcBorders>
          </w:tcPr>
          <w:p>
            <w:pPr>
              <w:pStyle w:val="TableParagraph"/>
              <w:rPr>
                <w:sz w:val="18"/>
              </w:rPr>
            </w:pPr>
          </w:p>
        </w:tc>
        <w:tc>
          <w:tcPr>
            <w:tcW w:w="517" w:type="dxa"/>
          </w:tcPr>
          <w:p>
            <w:pPr>
              <w:pStyle w:val="TableParagraph"/>
              <w:rPr>
                <w:sz w:val="18"/>
              </w:rPr>
            </w:pPr>
          </w:p>
        </w:tc>
        <w:tc>
          <w:tcPr>
            <w:tcW w:w="517" w:type="dxa"/>
          </w:tcPr>
          <w:p>
            <w:pPr>
              <w:pStyle w:val="TableParagraph"/>
              <w:rPr>
                <w:sz w:val="18"/>
              </w:rPr>
            </w:pPr>
          </w:p>
        </w:tc>
        <w:tc>
          <w:tcPr>
            <w:tcW w:w="510" w:type="dxa"/>
          </w:tcPr>
          <w:p>
            <w:pPr>
              <w:pStyle w:val="TableParagraph"/>
              <w:rPr>
                <w:sz w:val="18"/>
              </w:rPr>
            </w:pPr>
          </w:p>
        </w:tc>
        <w:tc>
          <w:tcPr>
            <w:tcW w:w="510" w:type="dxa"/>
          </w:tcPr>
          <w:p>
            <w:pPr>
              <w:pStyle w:val="TableParagraph"/>
              <w:rPr>
                <w:sz w:val="18"/>
              </w:rPr>
            </w:pPr>
          </w:p>
        </w:tc>
        <w:tc>
          <w:tcPr>
            <w:tcW w:w="510" w:type="dxa"/>
          </w:tcPr>
          <w:p>
            <w:pPr>
              <w:pStyle w:val="TableParagraph"/>
              <w:rPr>
                <w:sz w:val="18"/>
              </w:rPr>
            </w:pPr>
          </w:p>
        </w:tc>
        <w:tc>
          <w:tcPr>
            <w:tcW w:w="510" w:type="dxa"/>
          </w:tcPr>
          <w:p>
            <w:pPr>
              <w:pStyle w:val="TableParagraph"/>
              <w:rPr>
                <w:sz w:val="18"/>
              </w:rPr>
            </w:pPr>
          </w:p>
        </w:tc>
        <w:tc>
          <w:tcPr>
            <w:tcW w:w="600" w:type="dxa"/>
          </w:tcPr>
          <w:p>
            <w:pPr>
              <w:pStyle w:val="TableParagraph"/>
              <w:rPr>
                <w:sz w:val="18"/>
              </w:rPr>
            </w:pPr>
          </w:p>
        </w:tc>
        <w:tc>
          <w:tcPr>
            <w:tcW w:w="703" w:type="dxa"/>
            <w:tcBorders>
              <w:right w:val="single" w:sz="4" w:space="0" w:color="000000"/>
            </w:tcBorders>
          </w:tcPr>
          <w:p>
            <w:pPr>
              <w:pStyle w:val="TableParagraph"/>
              <w:spacing w:before="89"/>
              <w:ind w:left="171"/>
              <w:rPr>
                <w:sz w:val="16"/>
              </w:rPr>
            </w:pPr>
            <w:r>
              <w:rPr>
                <w:w w:val="110"/>
                <w:sz w:val="16"/>
              </w:rPr>
              <w:t>4%</w:t>
            </w:r>
          </w:p>
        </w:tc>
        <w:tc>
          <w:tcPr>
            <w:tcW w:w="5229" w:type="dxa"/>
            <w:gridSpan w:val="2"/>
            <w:vMerge/>
            <w:tcBorders>
              <w:top w:val="nil"/>
              <w:left w:val="single" w:sz="4" w:space="0" w:color="000000"/>
              <w:bottom w:val="single" w:sz="4" w:space="0" w:color="000000"/>
              <w:right w:val="single" w:sz="4" w:space="0" w:color="000000"/>
            </w:tcBorders>
          </w:tcPr>
          <w:p>
            <w:pPr>
              <w:rPr>
                <w:sz w:val="2"/>
                <w:szCs w:val="2"/>
              </w:rPr>
            </w:pPr>
          </w:p>
        </w:tc>
      </w:tr>
      <w:tr>
        <w:trPr>
          <w:trHeight w:val="364" w:hRule="atLeast"/>
        </w:trPr>
        <w:tc>
          <w:tcPr>
            <w:tcW w:w="662" w:type="dxa"/>
            <w:tcBorders>
              <w:left w:val="single" w:sz="4" w:space="0" w:color="000000"/>
            </w:tcBorders>
          </w:tcPr>
          <w:p>
            <w:pPr>
              <w:pStyle w:val="TableParagraph"/>
              <w:rPr>
                <w:sz w:val="18"/>
              </w:rPr>
            </w:pPr>
          </w:p>
        </w:tc>
        <w:tc>
          <w:tcPr>
            <w:tcW w:w="517" w:type="dxa"/>
          </w:tcPr>
          <w:p>
            <w:pPr>
              <w:pStyle w:val="TableParagraph"/>
              <w:rPr>
                <w:sz w:val="18"/>
              </w:rPr>
            </w:pPr>
          </w:p>
        </w:tc>
        <w:tc>
          <w:tcPr>
            <w:tcW w:w="517" w:type="dxa"/>
          </w:tcPr>
          <w:p>
            <w:pPr>
              <w:pStyle w:val="TableParagraph"/>
              <w:rPr>
                <w:sz w:val="18"/>
              </w:rPr>
            </w:pPr>
          </w:p>
        </w:tc>
        <w:tc>
          <w:tcPr>
            <w:tcW w:w="510" w:type="dxa"/>
          </w:tcPr>
          <w:p>
            <w:pPr>
              <w:pStyle w:val="TableParagraph"/>
              <w:rPr>
                <w:sz w:val="18"/>
              </w:rPr>
            </w:pPr>
          </w:p>
        </w:tc>
        <w:tc>
          <w:tcPr>
            <w:tcW w:w="510" w:type="dxa"/>
          </w:tcPr>
          <w:p>
            <w:pPr>
              <w:pStyle w:val="TableParagraph"/>
              <w:rPr>
                <w:sz w:val="18"/>
              </w:rPr>
            </w:pPr>
          </w:p>
        </w:tc>
        <w:tc>
          <w:tcPr>
            <w:tcW w:w="510" w:type="dxa"/>
          </w:tcPr>
          <w:p>
            <w:pPr>
              <w:pStyle w:val="TableParagraph"/>
              <w:rPr>
                <w:sz w:val="18"/>
              </w:rPr>
            </w:pPr>
          </w:p>
        </w:tc>
        <w:tc>
          <w:tcPr>
            <w:tcW w:w="510" w:type="dxa"/>
          </w:tcPr>
          <w:p>
            <w:pPr>
              <w:pStyle w:val="TableParagraph"/>
              <w:rPr>
                <w:sz w:val="18"/>
              </w:rPr>
            </w:pPr>
          </w:p>
        </w:tc>
        <w:tc>
          <w:tcPr>
            <w:tcW w:w="600" w:type="dxa"/>
          </w:tcPr>
          <w:p>
            <w:pPr>
              <w:pStyle w:val="TableParagraph"/>
              <w:rPr>
                <w:sz w:val="18"/>
              </w:rPr>
            </w:pPr>
          </w:p>
        </w:tc>
        <w:tc>
          <w:tcPr>
            <w:tcW w:w="703" w:type="dxa"/>
            <w:tcBorders>
              <w:right w:val="single" w:sz="4" w:space="0" w:color="000000"/>
            </w:tcBorders>
          </w:tcPr>
          <w:p>
            <w:pPr>
              <w:pStyle w:val="TableParagraph"/>
              <w:spacing w:before="88"/>
              <w:ind w:left="171"/>
              <w:rPr>
                <w:sz w:val="16"/>
              </w:rPr>
            </w:pPr>
            <w:r>
              <w:rPr>
                <w:w w:val="110"/>
                <w:sz w:val="16"/>
              </w:rPr>
              <w:t>2%</w:t>
            </w:r>
          </w:p>
        </w:tc>
        <w:tc>
          <w:tcPr>
            <w:tcW w:w="5229" w:type="dxa"/>
            <w:gridSpan w:val="2"/>
            <w:vMerge/>
            <w:tcBorders>
              <w:top w:val="nil"/>
              <w:left w:val="single" w:sz="4" w:space="0" w:color="000000"/>
              <w:bottom w:val="single" w:sz="4" w:space="0" w:color="000000"/>
              <w:right w:val="single" w:sz="4" w:space="0" w:color="000000"/>
            </w:tcBorders>
          </w:tcPr>
          <w:p>
            <w:pPr>
              <w:rPr>
                <w:sz w:val="2"/>
                <w:szCs w:val="2"/>
              </w:rPr>
            </w:pPr>
          </w:p>
        </w:tc>
      </w:tr>
      <w:tr>
        <w:trPr>
          <w:trHeight w:val="297" w:hRule="atLeast"/>
        </w:trPr>
        <w:tc>
          <w:tcPr>
            <w:tcW w:w="662" w:type="dxa"/>
            <w:tcBorders>
              <w:left w:val="single" w:sz="4" w:space="0" w:color="000000"/>
            </w:tcBorders>
          </w:tcPr>
          <w:p>
            <w:pPr>
              <w:pStyle w:val="TableParagraph"/>
              <w:rPr>
                <w:sz w:val="18"/>
              </w:rPr>
            </w:pPr>
          </w:p>
        </w:tc>
        <w:tc>
          <w:tcPr>
            <w:tcW w:w="517" w:type="dxa"/>
          </w:tcPr>
          <w:p>
            <w:pPr>
              <w:pStyle w:val="TableParagraph"/>
              <w:rPr>
                <w:sz w:val="18"/>
              </w:rPr>
            </w:pPr>
          </w:p>
        </w:tc>
        <w:tc>
          <w:tcPr>
            <w:tcW w:w="517" w:type="dxa"/>
          </w:tcPr>
          <w:p>
            <w:pPr>
              <w:pStyle w:val="TableParagraph"/>
              <w:rPr>
                <w:sz w:val="18"/>
              </w:rPr>
            </w:pPr>
          </w:p>
        </w:tc>
        <w:tc>
          <w:tcPr>
            <w:tcW w:w="510" w:type="dxa"/>
          </w:tcPr>
          <w:p>
            <w:pPr>
              <w:pStyle w:val="TableParagraph"/>
              <w:rPr>
                <w:sz w:val="18"/>
              </w:rPr>
            </w:pPr>
          </w:p>
        </w:tc>
        <w:tc>
          <w:tcPr>
            <w:tcW w:w="510" w:type="dxa"/>
          </w:tcPr>
          <w:p>
            <w:pPr>
              <w:pStyle w:val="TableParagraph"/>
              <w:rPr>
                <w:sz w:val="18"/>
              </w:rPr>
            </w:pPr>
          </w:p>
        </w:tc>
        <w:tc>
          <w:tcPr>
            <w:tcW w:w="510" w:type="dxa"/>
          </w:tcPr>
          <w:p>
            <w:pPr>
              <w:pStyle w:val="TableParagraph"/>
              <w:rPr>
                <w:sz w:val="18"/>
              </w:rPr>
            </w:pPr>
          </w:p>
        </w:tc>
        <w:tc>
          <w:tcPr>
            <w:tcW w:w="510" w:type="dxa"/>
          </w:tcPr>
          <w:p>
            <w:pPr>
              <w:pStyle w:val="TableParagraph"/>
              <w:rPr>
                <w:sz w:val="18"/>
              </w:rPr>
            </w:pPr>
          </w:p>
        </w:tc>
        <w:tc>
          <w:tcPr>
            <w:tcW w:w="600" w:type="dxa"/>
          </w:tcPr>
          <w:p>
            <w:pPr>
              <w:pStyle w:val="TableParagraph"/>
              <w:rPr>
                <w:sz w:val="18"/>
              </w:rPr>
            </w:pPr>
          </w:p>
        </w:tc>
        <w:tc>
          <w:tcPr>
            <w:tcW w:w="703" w:type="dxa"/>
            <w:tcBorders>
              <w:right w:val="single" w:sz="4" w:space="0" w:color="000000"/>
            </w:tcBorders>
          </w:tcPr>
          <w:p>
            <w:pPr>
              <w:pStyle w:val="TableParagraph"/>
              <w:spacing w:before="89"/>
              <w:ind w:left="171"/>
              <w:rPr>
                <w:sz w:val="16"/>
              </w:rPr>
            </w:pPr>
            <w:r>
              <w:rPr>
                <w:w w:val="110"/>
                <w:sz w:val="16"/>
              </w:rPr>
              <w:t>0%</w:t>
            </w:r>
          </w:p>
        </w:tc>
        <w:tc>
          <w:tcPr>
            <w:tcW w:w="5229" w:type="dxa"/>
            <w:gridSpan w:val="2"/>
            <w:vMerge/>
            <w:tcBorders>
              <w:top w:val="nil"/>
              <w:left w:val="single" w:sz="4" w:space="0" w:color="000000"/>
              <w:bottom w:val="single" w:sz="4" w:space="0" w:color="000000"/>
              <w:right w:val="single" w:sz="4" w:space="0" w:color="000000"/>
            </w:tcBorders>
          </w:tcPr>
          <w:p>
            <w:pPr>
              <w:rPr>
                <w:sz w:val="2"/>
                <w:szCs w:val="2"/>
              </w:rPr>
            </w:pPr>
          </w:p>
        </w:tc>
      </w:tr>
      <w:tr>
        <w:trPr>
          <w:trHeight w:val="518" w:hRule="atLeast"/>
        </w:trPr>
        <w:tc>
          <w:tcPr>
            <w:tcW w:w="662" w:type="dxa"/>
            <w:tcBorders>
              <w:left w:val="single" w:sz="4" w:space="0" w:color="000000"/>
              <w:bottom w:val="single" w:sz="4" w:space="0" w:color="000000"/>
            </w:tcBorders>
          </w:tcPr>
          <w:p>
            <w:pPr>
              <w:pStyle w:val="TableParagraph"/>
              <w:spacing w:before="21"/>
              <w:ind w:left="227"/>
              <w:rPr>
                <w:sz w:val="16"/>
              </w:rPr>
            </w:pPr>
            <w:r>
              <w:rPr>
                <w:w w:val="110"/>
                <w:sz w:val="16"/>
              </w:rPr>
              <w:t>1970</w:t>
            </w:r>
          </w:p>
        </w:tc>
        <w:tc>
          <w:tcPr>
            <w:tcW w:w="517" w:type="dxa"/>
            <w:tcBorders>
              <w:bottom w:val="single" w:sz="4" w:space="0" w:color="000000"/>
            </w:tcBorders>
          </w:tcPr>
          <w:p>
            <w:pPr>
              <w:pStyle w:val="TableParagraph"/>
              <w:spacing w:before="21"/>
              <w:ind w:left="80"/>
              <w:rPr>
                <w:sz w:val="16"/>
              </w:rPr>
            </w:pPr>
            <w:r>
              <w:rPr>
                <w:w w:val="110"/>
                <w:sz w:val="16"/>
              </w:rPr>
              <w:t>1975</w:t>
            </w:r>
          </w:p>
        </w:tc>
        <w:tc>
          <w:tcPr>
            <w:tcW w:w="517" w:type="dxa"/>
            <w:tcBorders>
              <w:bottom w:val="single" w:sz="4" w:space="0" w:color="000000"/>
            </w:tcBorders>
          </w:tcPr>
          <w:p>
            <w:pPr>
              <w:pStyle w:val="TableParagraph"/>
              <w:spacing w:before="21"/>
              <w:ind w:left="88"/>
              <w:rPr>
                <w:sz w:val="16"/>
              </w:rPr>
            </w:pPr>
            <w:r>
              <w:rPr>
                <w:w w:val="110"/>
                <w:sz w:val="16"/>
              </w:rPr>
              <w:t>1980</w:t>
            </w:r>
          </w:p>
        </w:tc>
        <w:tc>
          <w:tcPr>
            <w:tcW w:w="510" w:type="dxa"/>
            <w:tcBorders>
              <w:bottom w:val="single" w:sz="4" w:space="0" w:color="000000"/>
            </w:tcBorders>
          </w:tcPr>
          <w:p>
            <w:pPr>
              <w:pStyle w:val="TableParagraph"/>
              <w:spacing w:before="21"/>
              <w:ind w:left="81"/>
              <w:rPr>
                <w:sz w:val="16"/>
              </w:rPr>
            </w:pPr>
            <w:r>
              <w:rPr>
                <w:w w:val="110"/>
                <w:sz w:val="16"/>
              </w:rPr>
              <w:t>1985</w:t>
            </w:r>
          </w:p>
        </w:tc>
        <w:tc>
          <w:tcPr>
            <w:tcW w:w="510" w:type="dxa"/>
            <w:tcBorders>
              <w:bottom w:val="single" w:sz="4" w:space="0" w:color="000000"/>
            </w:tcBorders>
          </w:tcPr>
          <w:p>
            <w:pPr>
              <w:pStyle w:val="TableParagraph"/>
              <w:spacing w:before="21"/>
              <w:ind w:left="81"/>
              <w:rPr>
                <w:sz w:val="16"/>
              </w:rPr>
            </w:pPr>
            <w:r>
              <w:rPr>
                <w:w w:val="110"/>
                <w:sz w:val="16"/>
              </w:rPr>
              <w:t>1990</w:t>
            </w:r>
          </w:p>
        </w:tc>
        <w:tc>
          <w:tcPr>
            <w:tcW w:w="510" w:type="dxa"/>
            <w:tcBorders>
              <w:bottom w:val="single" w:sz="4" w:space="0" w:color="000000"/>
            </w:tcBorders>
          </w:tcPr>
          <w:p>
            <w:pPr>
              <w:pStyle w:val="TableParagraph"/>
              <w:spacing w:before="21"/>
              <w:ind w:left="81"/>
              <w:rPr>
                <w:sz w:val="16"/>
              </w:rPr>
            </w:pPr>
            <w:r>
              <w:rPr>
                <w:w w:val="110"/>
                <w:sz w:val="16"/>
              </w:rPr>
              <w:t>1995</w:t>
            </w:r>
          </w:p>
        </w:tc>
        <w:tc>
          <w:tcPr>
            <w:tcW w:w="510" w:type="dxa"/>
            <w:tcBorders>
              <w:bottom w:val="single" w:sz="4" w:space="0" w:color="000000"/>
            </w:tcBorders>
          </w:tcPr>
          <w:p>
            <w:pPr>
              <w:pStyle w:val="TableParagraph"/>
              <w:spacing w:before="21"/>
              <w:ind w:left="81"/>
              <w:rPr>
                <w:sz w:val="16"/>
              </w:rPr>
            </w:pPr>
            <w:r>
              <w:rPr>
                <w:w w:val="110"/>
                <w:sz w:val="16"/>
              </w:rPr>
              <w:t>2000</w:t>
            </w:r>
          </w:p>
        </w:tc>
        <w:tc>
          <w:tcPr>
            <w:tcW w:w="600" w:type="dxa"/>
            <w:tcBorders>
              <w:bottom w:val="single" w:sz="4" w:space="0" w:color="000000"/>
            </w:tcBorders>
          </w:tcPr>
          <w:p>
            <w:pPr>
              <w:pStyle w:val="TableParagraph"/>
              <w:spacing w:before="21"/>
              <w:ind w:left="81"/>
              <w:rPr>
                <w:sz w:val="16"/>
              </w:rPr>
            </w:pPr>
            <w:r>
              <w:rPr>
                <w:w w:val="110"/>
                <w:sz w:val="16"/>
              </w:rPr>
              <w:t>2005</w:t>
            </w:r>
          </w:p>
        </w:tc>
        <w:tc>
          <w:tcPr>
            <w:tcW w:w="703" w:type="dxa"/>
            <w:tcBorders>
              <w:bottom w:val="single" w:sz="4" w:space="0" w:color="000000"/>
              <w:right w:val="single" w:sz="4" w:space="0" w:color="000000"/>
            </w:tcBorders>
          </w:tcPr>
          <w:p>
            <w:pPr>
              <w:pStyle w:val="TableParagraph"/>
              <w:rPr>
                <w:sz w:val="18"/>
              </w:rPr>
            </w:pPr>
          </w:p>
        </w:tc>
        <w:tc>
          <w:tcPr>
            <w:tcW w:w="5229" w:type="dxa"/>
            <w:gridSpan w:val="2"/>
            <w:vMerge/>
            <w:tcBorders>
              <w:top w:val="nil"/>
              <w:left w:val="single" w:sz="4" w:space="0" w:color="000000"/>
              <w:bottom w:val="single" w:sz="4" w:space="0" w:color="000000"/>
              <w:right w:val="single" w:sz="4" w:space="0" w:color="000000"/>
            </w:tcBorders>
          </w:tcPr>
          <w:p>
            <w:pPr>
              <w:rPr>
                <w:sz w:val="2"/>
                <w:szCs w:val="2"/>
              </w:rPr>
            </w:pPr>
          </w:p>
        </w:tc>
      </w:tr>
      <w:tr>
        <w:trPr>
          <w:trHeight w:val="460" w:hRule="atLeast"/>
        </w:trPr>
        <w:tc>
          <w:tcPr>
            <w:tcW w:w="5039" w:type="dxa"/>
            <w:gridSpan w:val="9"/>
            <w:tcBorders>
              <w:top w:val="single" w:sz="4" w:space="0" w:color="000000"/>
              <w:left w:val="single" w:sz="4" w:space="0" w:color="000000"/>
              <w:bottom w:val="single" w:sz="4" w:space="0" w:color="000000"/>
              <w:right w:val="single" w:sz="4" w:space="0" w:color="000000"/>
            </w:tcBorders>
          </w:tcPr>
          <w:p>
            <w:pPr>
              <w:pStyle w:val="TableParagraph"/>
              <w:spacing w:line="180" w:lineRule="exact"/>
              <w:ind w:left="107"/>
              <w:rPr>
                <w:sz w:val="16"/>
              </w:rPr>
            </w:pPr>
            <w:r>
              <w:rPr>
                <w:sz w:val="16"/>
              </w:rPr>
              <w:t>Source: ONS</w:t>
            </w:r>
          </w:p>
        </w:tc>
        <w:tc>
          <w:tcPr>
            <w:tcW w:w="5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180" w:lineRule="exact"/>
              <w:ind w:left="108"/>
              <w:rPr>
                <w:sz w:val="16"/>
              </w:rPr>
            </w:pPr>
            <w:r>
              <w:rPr>
                <w:sz w:val="16"/>
              </w:rPr>
              <w:t>Source: Bank calculations.</w:t>
            </w:r>
          </w:p>
        </w:tc>
      </w:tr>
      <w:tr>
        <w:trPr>
          <w:trHeight w:val="505" w:hRule="atLeast"/>
        </w:trPr>
        <w:tc>
          <w:tcPr>
            <w:tcW w:w="5039" w:type="dxa"/>
            <w:gridSpan w:val="9"/>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7"/>
              <w:rPr>
                <w:b/>
                <w:sz w:val="22"/>
              </w:rPr>
            </w:pPr>
            <w:r>
              <w:rPr>
                <w:b/>
                <w:sz w:val="22"/>
              </w:rPr>
              <w:t>Chart 11: Commodity prices</w:t>
            </w:r>
          </w:p>
        </w:tc>
        <w:tc>
          <w:tcPr>
            <w:tcW w:w="5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8"/>
              <w:rPr>
                <w:b/>
                <w:sz w:val="22"/>
              </w:rPr>
            </w:pPr>
            <w:r>
              <w:rPr>
                <w:b/>
                <w:sz w:val="22"/>
              </w:rPr>
              <w:t>Chart 12: General public inflation expectations</w:t>
            </w:r>
          </w:p>
        </w:tc>
      </w:tr>
      <w:tr>
        <w:trPr>
          <w:trHeight w:val="501" w:hRule="atLeast"/>
        </w:trPr>
        <w:tc>
          <w:tcPr>
            <w:tcW w:w="5039" w:type="dxa"/>
            <w:gridSpan w:val="9"/>
            <w:vMerge w:val="restart"/>
            <w:tcBorders>
              <w:top w:val="single" w:sz="4" w:space="0" w:color="000000"/>
              <w:left w:val="single" w:sz="4" w:space="0" w:color="000000"/>
              <w:bottom w:val="single" w:sz="4" w:space="0" w:color="000000"/>
              <w:right w:val="single" w:sz="4" w:space="0" w:color="000000"/>
            </w:tcBorders>
          </w:tcPr>
          <w:p>
            <w:pPr>
              <w:pStyle w:val="TableParagraph"/>
              <w:tabs>
                <w:tab w:pos="3346" w:val="left" w:leader="none"/>
              </w:tabs>
              <w:spacing w:before="131"/>
              <w:ind w:left="16"/>
              <w:jc w:val="center"/>
              <w:rPr>
                <w:sz w:val="19"/>
              </w:rPr>
            </w:pPr>
            <w:r>
              <w:rPr>
                <w:spacing w:val="-8"/>
                <w:w w:val="110"/>
                <w:sz w:val="19"/>
              </w:rPr>
              <w:t>US </w:t>
            </w:r>
            <w:r>
              <w:rPr>
                <w:spacing w:val="-7"/>
                <w:w w:val="110"/>
                <w:sz w:val="19"/>
              </w:rPr>
              <w:t>dollars </w:t>
            </w:r>
            <w:r>
              <w:rPr>
                <w:w w:val="110"/>
                <w:sz w:val="19"/>
              </w:rPr>
              <w:t>per</w:t>
            </w:r>
            <w:r>
              <w:rPr>
                <w:spacing w:val="-15"/>
                <w:w w:val="110"/>
                <w:sz w:val="19"/>
              </w:rPr>
              <w:t> </w:t>
            </w:r>
            <w:r>
              <w:rPr>
                <w:spacing w:val="-5"/>
                <w:w w:val="110"/>
                <w:sz w:val="19"/>
              </w:rPr>
              <w:t>barrel</w:t>
              <w:tab/>
            </w:r>
            <w:r>
              <w:rPr>
                <w:spacing w:val="-8"/>
                <w:w w:val="110"/>
                <w:sz w:val="19"/>
              </w:rPr>
              <w:t>Index,</w:t>
            </w:r>
            <w:r>
              <w:rPr>
                <w:spacing w:val="-14"/>
                <w:w w:val="110"/>
                <w:sz w:val="19"/>
              </w:rPr>
              <w:t> </w:t>
            </w:r>
            <w:r>
              <w:rPr>
                <w:spacing w:val="-15"/>
                <w:w w:val="110"/>
                <w:sz w:val="19"/>
              </w:rPr>
              <w:t>2000=100</w:t>
            </w:r>
          </w:p>
          <w:p>
            <w:pPr>
              <w:pStyle w:val="TableParagraph"/>
              <w:tabs>
                <w:tab w:pos="856" w:val="left" w:leader="none"/>
                <w:tab w:pos="1216" w:val="left" w:leader="none"/>
                <w:tab w:pos="4667" w:val="right" w:leader="none"/>
              </w:tabs>
              <w:spacing w:before="47"/>
              <w:ind w:left="363"/>
              <w:rPr>
                <w:sz w:val="19"/>
              </w:rPr>
            </w:pPr>
            <w:r>
              <w:rPr>
                <w:spacing w:val="-10"/>
                <w:w w:val="110"/>
                <w:position w:val="5"/>
                <w:sz w:val="19"/>
              </w:rPr>
              <w:t>120</w:t>
              <w:tab/>
            </w:r>
            <w:r>
              <w:rPr>
                <w:spacing w:val="-10"/>
                <w:w w:val="110"/>
                <w:position w:val="5"/>
                <w:sz w:val="19"/>
                <w:u w:val="thick" w:color="808080"/>
              </w:rPr>
              <w:t> </w:t>
              <w:tab/>
            </w:r>
            <w:r>
              <w:rPr>
                <w:spacing w:val="-7"/>
                <w:w w:val="110"/>
                <w:sz w:val="19"/>
              </w:rPr>
              <w:t>Economist </w:t>
            </w:r>
            <w:r>
              <w:rPr>
                <w:spacing w:val="-3"/>
                <w:w w:val="110"/>
                <w:sz w:val="19"/>
              </w:rPr>
              <w:t>food</w:t>
            </w:r>
            <w:r>
              <w:rPr>
                <w:spacing w:val="-6"/>
                <w:w w:val="110"/>
                <w:sz w:val="19"/>
              </w:rPr>
              <w:t> </w:t>
            </w:r>
            <w:r>
              <w:rPr>
                <w:spacing w:val="-4"/>
                <w:w w:val="110"/>
                <w:sz w:val="19"/>
              </w:rPr>
              <w:t>index</w:t>
            </w:r>
            <w:r>
              <w:rPr>
                <w:spacing w:val="-38"/>
                <w:w w:val="110"/>
                <w:sz w:val="19"/>
              </w:rPr>
              <w:t> </w:t>
            </w:r>
            <w:r>
              <w:rPr>
                <w:spacing w:val="-3"/>
                <w:w w:val="110"/>
                <w:sz w:val="19"/>
              </w:rPr>
              <w:t>(rhs)</w:t>
              <w:tab/>
            </w:r>
            <w:r>
              <w:rPr>
                <w:spacing w:val="-15"/>
                <w:w w:val="110"/>
                <w:position w:val="5"/>
                <w:sz w:val="19"/>
              </w:rPr>
              <w:t>350</w:t>
            </w:r>
          </w:p>
          <w:p>
            <w:pPr>
              <w:pStyle w:val="TableParagraph"/>
              <w:tabs>
                <w:tab w:pos="1262" w:val="left" w:leader="none"/>
                <w:tab w:pos="4667" w:val="right" w:leader="none"/>
              </w:tabs>
              <w:spacing w:before="91"/>
              <w:ind w:left="363"/>
              <w:rPr>
                <w:sz w:val="19"/>
              </w:rPr>
            </w:pPr>
            <w:r>
              <w:rPr>
                <w:spacing w:val="-10"/>
                <w:w w:val="110"/>
                <w:position w:val="-5"/>
                <w:sz w:val="19"/>
              </w:rPr>
              <w:t>100</w:t>
              <w:tab/>
            </w:r>
            <w:r>
              <w:rPr>
                <w:spacing w:val="-7"/>
                <w:w w:val="110"/>
                <w:position w:val="2"/>
                <w:sz w:val="19"/>
              </w:rPr>
              <w:t>Economist </w:t>
            </w:r>
            <w:r>
              <w:rPr>
                <w:spacing w:val="-8"/>
                <w:w w:val="110"/>
                <w:position w:val="2"/>
                <w:sz w:val="19"/>
              </w:rPr>
              <w:t>metals</w:t>
            </w:r>
            <w:r>
              <w:rPr>
                <w:w w:val="110"/>
                <w:position w:val="2"/>
                <w:sz w:val="19"/>
              </w:rPr>
              <w:t> index(rhs)</w:t>
              <w:tab/>
            </w:r>
            <w:r>
              <w:rPr>
                <w:spacing w:val="-15"/>
                <w:w w:val="110"/>
                <w:sz w:val="19"/>
              </w:rPr>
              <w:t>300</w:t>
            </w:r>
          </w:p>
          <w:p>
            <w:pPr>
              <w:pStyle w:val="TableParagraph"/>
              <w:tabs>
                <w:tab w:pos="4667" w:val="right" w:leader="none"/>
              </w:tabs>
              <w:spacing w:line="153" w:lineRule="auto" w:before="59"/>
              <w:ind w:left="1262"/>
              <w:rPr>
                <w:sz w:val="19"/>
              </w:rPr>
            </w:pPr>
            <w:r>
              <w:rPr>
                <w:spacing w:val="-7"/>
                <w:w w:val="110"/>
                <w:sz w:val="19"/>
              </w:rPr>
              <w:t>Brent </w:t>
            </w:r>
            <w:r>
              <w:rPr>
                <w:spacing w:val="-5"/>
                <w:w w:val="110"/>
                <w:sz w:val="19"/>
              </w:rPr>
              <w:t>oil </w:t>
            </w:r>
            <w:r>
              <w:rPr>
                <w:w w:val="110"/>
                <w:sz w:val="19"/>
              </w:rPr>
              <w:t>spot</w:t>
            </w:r>
            <w:r>
              <w:rPr>
                <w:spacing w:val="-20"/>
                <w:w w:val="110"/>
                <w:sz w:val="19"/>
              </w:rPr>
              <w:t> </w:t>
            </w:r>
            <w:r>
              <w:rPr>
                <w:spacing w:val="-5"/>
                <w:w w:val="110"/>
                <w:sz w:val="19"/>
              </w:rPr>
              <w:t>prices</w:t>
            </w:r>
            <w:r>
              <w:rPr>
                <w:spacing w:val="1"/>
                <w:w w:val="110"/>
                <w:sz w:val="19"/>
              </w:rPr>
              <w:t> </w:t>
            </w:r>
            <w:r>
              <w:rPr>
                <w:spacing w:val="-4"/>
                <w:w w:val="110"/>
                <w:sz w:val="19"/>
              </w:rPr>
              <w:t>(lhs)</w:t>
              <w:tab/>
            </w:r>
            <w:r>
              <w:rPr>
                <w:spacing w:val="-15"/>
                <w:w w:val="110"/>
                <w:position w:val="-6"/>
                <w:sz w:val="19"/>
              </w:rPr>
              <w:t>250</w:t>
            </w:r>
          </w:p>
          <w:p>
            <w:pPr>
              <w:pStyle w:val="TableParagraph"/>
              <w:spacing w:line="179" w:lineRule="exact"/>
              <w:ind w:left="452"/>
              <w:rPr>
                <w:sz w:val="19"/>
              </w:rPr>
            </w:pPr>
            <w:r>
              <w:rPr>
                <w:w w:val="110"/>
                <w:sz w:val="19"/>
              </w:rPr>
              <w:t>80</w:t>
            </w:r>
          </w:p>
          <w:p>
            <w:pPr>
              <w:pStyle w:val="TableParagraph"/>
              <w:spacing w:line="206" w:lineRule="exact" w:before="22"/>
              <w:ind w:left="4397"/>
              <w:rPr>
                <w:sz w:val="19"/>
              </w:rPr>
            </w:pPr>
            <w:r>
              <w:rPr>
                <w:w w:val="110"/>
                <w:sz w:val="19"/>
              </w:rPr>
              <w:t>200</w:t>
            </w:r>
          </w:p>
          <w:p>
            <w:pPr>
              <w:pStyle w:val="TableParagraph"/>
              <w:spacing w:line="194" w:lineRule="exact"/>
              <w:ind w:left="452"/>
              <w:rPr>
                <w:sz w:val="19"/>
              </w:rPr>
            </w:pPr>
            <w:r>
              <w:rPr>
                <w:w w:val="110"/>
                <w:sz w:val="19"/>
              </w:rPr>
              <w:t>60</w:t>
            </w:r>
          </w:p>
          <w:p>
            <w:pPr>
              <w:pStyle w:val="TableParagraph"/>
              <w:spacing w:line="206" w:lineRule="exact"/>
              <w:ind w:left="4397"/>
              <w:rPr>
                <w:sz w:val="19"/>
              </w:rPr>
            </w:pPr>
            <w:r>
              <w:rPr>
                <w:spacing w:val="-15"/>
                <w:w w:val="110"/>
                <w:sz w:val="19"/>
              </w:rPr>
              <w:t>150</w:t>
            </w:r>
          </w:p>
          <w:p>
            <w:pPr>
              <w:pStyle w:val="TableParagraph"/>
              <w:tabs>
                <w:tab w:pos="4397" w:val="left" w:leader="none"/>
              </w:tabs>
              <w:spacing w:before="17"/>
              <w:ind w:left="452"/>
              <w:rPr>
                <w:sz w:val="19"/>
              </w:rPr>
            </w:pPr>
            <w:r>
              <w:rPr>
                <w:spacing w:val="-8"/>
                <w:w w:val="110"/>
                <w:position w:val="14"/>
                <w:sz w:val="19"/>
              </w:rPr>
              <w:t>40</w:t>
              <w:tab/>
            </w:r>
            <w:r>
              <w:rPr>
                <w:spacing w:val="-15"/>
                <w:w w:val="110"/>
                <w:sz w:val="19"/>
              </w:rPr>
              <w:t>100</w:t>
            </w:r>
          </w:p>
          <w:p>
            <w:pPr>
              <w:pStyle w:val="TableParagraph"/>
              <w:tabs>
                <w:tab w:pos="4397" w:val="left" w:leader="none"/>
              </w:tabs>
              <w:spacing w:before="96"/>
              <w:ind w:left="452"/>
              <w:rPr>
                <w:sz w:val="19"/>
              </w:rPr>
            </w:pPr>
            <w:r>
              <w:rPr>
                <w:spacing w:val="-8"/>
                <w:w w:val="110"/>
                <w:sz w:val="19"/>
              </w:rPr>
              <w:t>20</w:t>
              <w:tab/>
            </w:r>
            <w:r>
              <w:rPr>
                <w:spacing w:val="-15"/>
                <w:w w:val="110"/>
                <w:position w:val="-5"/>
                <w:sz w:val="19"/>
              </w:rPr>
              <w:t>50</w:t>
            </w:r>
          </w:p>
          <w:p>
            <w:pPr>
              <w:pStyle w:val="TableParagraph"/>
              <w:tabs>
                <w:tab w:pos="3871" w:val="left" w:leader="none"/>
              </w:tabs>
              <w:spacing w:before="157"/>
              <w:ind w:left="15"/>
              <w:jc w:val="center"/>
              <w:rPr>
                <w:sz w:val="19"/>
              </w:rPr>
            </w:pPr>
            <w:r>
              <w:rPr>
                <w:w w:val="110"/>
                <w:sz w:val="19"/>
              </w:rPr>
              <w:t>0</w:t>
              <w:tab/>
              <w:t>0</w:t>
            </w:r>
          </w:p>
          <w:p>
            <w:pPr>
              <w:pStyle w:val="TableParagraph"/>
              <w:spacing w:before="66"/>
              <w:ind w:left="1"/>
              <w:jc w:val="center"/>
              <w:rPr>
                <w:sz w:val="19"/>
              </w:rPr>
            </w:pPr>
            <w:r>
              <w:rPr>
                <w:w w:val="110"/>
                <w:sz w:val="19"/>
              </w:rPr>
              <w:t>2000 2001 2002 2003 2004 2005 2006 2007 2008</w:t>
            </w:r>
          </w:p>
        </w:tc>
        <w:tc>
          <w:tcPr>
            <w:tcW w:w="4292" w:type="dxa"/>
            <w:tcBorders>
              <w:top w:val="single" w:sz="4" w:space="0" w:color="000000"/>
              <w:left w:val="single" w:sz="4" w:space="0" w:color="000000"/>
            </w:tcBorders>
          </w:tcPr>
          <w:p>
            <w:pPr>
              <w:pStyle w:val="TableParagraph"/>
              <w:rPr>
                <w:sz w:val="18"/>
              </w:rPr>
            </w:pPr>
          </w:p>
        </w:tc>
        <w:tc>
          <w:tcPr>
            <w:tcW w:w="937" w:type="dxa"/>
            <w:tcBorders>
              <w:top w:val="single" w:sz="4" w:space="0" w:color="000000"/>
              <w:right w:val="single" w:sz="4" w:space="0" w:color="000000"/>
            </w:tcBorders>
          </w:tcPr>
          <w:p>
            <w:pPr>
              <w:pStyle w:val="TableParagraph"/>
              <w:spacing w:before="3"/>
              <w:rPr>
                <w:sz w:val="22"/>
              </w:rPr>
            </w:pPr>
          </w:p>
          <w:p>
            <w:pPr>
              <w:pStyle w:val="TableParagraph"/>
              <w:ind w:left="201"/>
              <w:rPr>
                <w:b/>
                <w:sz w:val="16"/>
              </w:rPr>
            </w:pPr>
            <w:r>
              <w:rPr>
                <w:b/>
                <w:w w:val="110"/>
                <w:sz w:val="16"/>
              </w:rPr>
              <w:t>3.2</w:t>
            </w:r>
          </w:p>
        </w:tc>
      </w:tr>
      <w:tr>
        <w:trPr>
          <w:trHeight w:val="357" w:hRule="atLeast"/>
        </w:trPr>
        <w:tc>
          <w:tcPr>
            <w:tcW w:w="5039" w:type="dxa"/>
            <w:gridSpan w:val="9"/>
            <w:vMerge/>
            <w:tcBorders>
              <w:top w:val="nil"/>
              <w:left w:val="single" w:sz="4" w:space="0" w:color="000000"/>
              <w:bottom w:val="single" w:sz="4" w:space="0" w:color="000000"/>
              <w:right w:val="single" w:sz="4" w:space="0" w:color="000000"/>
            </w:tcBorders>
          </w:tcPr>
          <w:p>
            <w:pPr>
              <w:rPr>
                <w:sz w:val="2"/>
                <w:szCs w:val="2"/>
              </w:rPr>
            </w:pPr>
          </w:p>
        </w:tc>
        <w:tc>
          <w:tcPr>
            <w:tcW w:w="4292" w:type="dxa"/>
            <w:tcBorders>
              <w:left w:val="single" w:sz="4" w:space="0" w:color="000000"/>
            </w:tcBorders>
          </w:tcPr>
          <w:p>
            <w:pPr>
              <w:pStyle w:val="TableParagraph"/>
              <w:spacing w:before="58"/>
              <w:ind w:left="2508"/>
              <w:rPr>
                <w:b/>
                <w:sz w:val="16"/>
              </w:rPr>
            </w:pPr>
            <w:r>
              <w:rPr>
                <w:b/>
                <w:color w:val="0F0080"/>
                <w:w w:val="110"/>
                <w:sz w:val="16"/>
              </w:rPr>
              <w:t>Bank/NOP</w:t>
            </w:r>
          </w:p>
        </w:tc>
        <w:tc>
          <w:tcPr>
            <w:tcW w:w="937" w:type="dxa"/>
            <w:tcBorders>
              <w:right w:val="single" w:sz="4" w:space="0" w:color="000000"/>
            </w:tcBorders>
          </w:tcPr>
          <w:p>
            <w:pPr>
              <w:pStyle w:val="TableParagraph"/>
              <w:spacing w:before="88"/>
              <w:ind w:left="201"/>
              <w:rPr>
                <w:b/>
                <w:sz w:val="16"/>
              </w:rPr>
            </w:pPr>
            <w:r>
              <w:rPr>
                <w:b/>
                <w:w w:val="110"/>
                <w:sz w:val="16"/>
              </w:rPr>
              <w:t>3.0</w:t>
            </w:r>
          </w:p>
        </w:tc>
      </w:tr>
      <w:tr>
        <w:trPr>
          <w:trHeight w:val="342" w:hRule="atLeast"/>
        </w:trPr>
        <w:tc>
          <w:tcPr>
            <w:tcW w:w="5039" w:type="dxa"/>
            <w:gridSpan w:val="9"/>
            <w:vMerge/>
            <w:tcBorders>
              <w:top w:val="nil"/>
              <w:left w:val="single" w:sz="4" w:space="0" w:color="000000"/>
              <w:bottom w:val="single" w:sz="4" w:space="0" w:color="000000"/>
              <w:right w:val="single" w:sz="4" w:space="0" w:color="000000"/>
            </w:tcBorders>
          </w:tcPr>
          <w:p>
            <w:pPr>
              <w:rPr>
                <w:sz w:val="2"/>
                <w:szCs w:val="2"/>
              </w:rPr>
            </w:pPr>
          </w:p>
        </w:tc>
        <w:tc>
          <w:tcPr>
            <w:tcW w:w="4292" w:type="dxa"/>
            <w:tcBorders>
              <w:left w:val="single" w:sz="4" w:space="0" w:color="000000"/>
            </w:tcBorders>
          </w:tcPr>
          <w:p>
            <w:pPr>
              <w:pStyle w:val="TableParagraph"/>
              <w:rPr>
                <w:sz w:val="18"/>
              </w:rPr>
            </w:pPr>
          </w:p>
        </w:tc>
        <w:tc>
          <w:tcPr>
            <w:tcW w:w="937" w:type="dxa"/>
            <w:tcBorders>
              <w:right w:val="single" w:sz="4" w:space="0" w:color="000000"/>
            </w:tcBorders>
          </w:tcPr>
          <w:p>
            <w:pPr>
              <w:pStyle w:val="TableParagraph"/>
              <w:spacing w:before="81"/>
              <w:ind w:left="201"/>
              <w:rPr>
                <w:b/>
                <w:sz w:val="16"/>
              </w:rPr>
            </w:pPr>
            <w:r>
              <w:rPr>
                <w:b/>
                <w:w w:val="110"/>
                <w:sz w:val="16"/>
              </w:rPr>
              <w:t>2.8</w:t>
            </w:r>
          </w:p>
        </w:tc>
      </w:tr>
      <w:tr>
        <w:trPr>
          <w:trHeight w:val="342" w:hRule="atLeast"/>
        </w:trPr>
        <w:tc>
          <w:tcPr>
            <w:tcW w:w="5039" w:type="dxa"/>
            <w:gridSpan w:val="9"/>
            <w:vMerge/>
            <w:tcBorders>
              <w:top w:val="nil"/>
              <w:left w:val="single" w:sz="4" w:space="0" w:color="000000"/>
              <w:bottom w:val="single" w:sz="4" w:space="0" w:color="000000"/>
              <w:right w:val="single" w:sz="4" w:space="0" w:color="000000"/>
            </w:tcBorders>
          </w:tcPr>
          <w:p>
            <w:pPr>
              <w:rPr>
                <w:sz w:val="2"/>
                <w:szCs w:val="2"/>
              </w:rPr>
            </w:pPr>
          </w:p>
        </w:tc>
        <w:tc>
          <w:tcPr>
            <w:tcW w:w="4292" w:type="dxa"/>
            <w:tcBorders>
              <w:left w:val="single" w:sz="4" w:space="0" w:color="000000"/>
            </w:tcBorders>
          </w:tcPr>
          <w:p>
            <w:pPr>
              <w:pStyle w:val="TableParagraph"/>
              <w:rPr>
                <w:sz w:val="18"/>
              </w:rPr>
            </w:pPr>
          </w:p>
        </w:tc>
        <w:tc>
          <w:tcPr>
            <w:tcW w:w="937" w:type="dxa"/>
            <w:tcBorders>
              <w:right w:val="single" w:sz="4" w:space="0" w:color="000000"/>
            </w:tcBorders>
          </w:tcPr>
          <w:p>
            <w:pPr>
              <w:pStyle w:val="TableParagraph"/>
              <w:spacing w:before="73"/>
              <w:ind w:left="201"/>
              <w:rPr>
                <w:b/>
                <w:sz w:val="16"/>
              </w:rPr>
            </w:pPr>
            <w:r>
              <w:rPr>
                <w:b/>
                <w:w w:val="110"/>
                <w:sz w:val="16"/>
              </w:rPr>
              <w:t>2.6</w:t>
            </w:r>
          </w:p>
        </w:tc>
      </w:tr>
      <w:tr>
        <w:trPr>
          <w:trHeight w:val="342" w:hRule="atLeast"/>
        </w:trPr>
        <w:tc>
          <w:tcPr>
            <w:tcW w:w="5039" w:type="dxa"/>
            <w:gridSpan w:val="9"/>
            <w:vMerge/>
            <w:tcBorders>
              <w:top w:val="nil"/>
              <w:left w:val="single" w:sz="4" w:space="0" w:color="000000"/>
              <w:bottom w:val="single" w:sz="4" w:space="0" w:color="000000"/>
              <w:right w:val="single" w:sz="4" w:space="0" w:color="000000"/>
            </w:tcBorders>
          </w:tcPr>
          <w:p>
            <w:pPr>
              <w:rPr>
                <w:sz w:val="2"/>
                <w:szCs w:val="2"/>
              </w:rPr>
            </w:pPr>
          </w:p>
        </w:tc>
        <w:tc>
          <w:tcPr>
            <w:tcW w:w="4292" w:type="dxa"/>
            <w:tcBorders>
              <w:left w:val="single" w:sz="4" w:space="0" w:color="000000"/>
            </w:tcBorders>
          </w:tcPr>
          <w:p>
            <w:pPr>
              <w:pStyle w:val="TableParagraph"/>
              <w:rPr>
                <w:sz w:val="18"/>
              </w:rPr>
            </w:pPr>
          </w:p>
        </w:tc>
        <w:tc>
          <w:tcPr>
            <w:tcW w:w="937" w:type="dxa"/>
            <w:tcBorders>
              <w:right w:val="single" w:sz="4" w:space="0" w:color="000000"/>
            </w:tcBorders>
          </w:tcPr>
          <w:p>
            <w:pPr>
              <w:pStyle w:val="TableParagraph"/>
              <w:spacing w:before="81"/>
              <w:ind w:left="201"/>
              <w:rPr>
                <w:b/>
                <w:sz w:val="16"/>
              </w:rPr>
            </w:pPr>
            <w:r>
              <w:rPr>
                <w:b/>
                <w:w w:val="110"/>
                <w:sz w:val="16"/>
              </w:rPr>
              <w:t>2.4</w:t>
            </w:r>
          </w:p>
        </w:tc>
      </w:tr>
      <w:tr>
        <w:trPr>
          <w:trHeight w:val="334" w:hRule="atLeast"/>
        </w:trPr>
        <w:tc>
          <w:tcPr>
            <w:tcW w:w="5039" w:type="dxa"/>
            <w:gridSpan w:val="9"/>
            <w:vMerge/>
            <w:tcBorders>
              <w:top w:val="nil"/>
              <w:left w:val="single" w:sz="4" w:space="0" w:color="000000"/>
              <w:bottom w:val="single" w:sz="4" w:space="0" w:color="000000"/>
              <w:right w:val="single" w:sz="4" w:space="0" w:color="000000"/>
            </w:tcBorders>
          </w:tcPr>
          <w:p>
            <w:pPr>
              <w:rPr>
                <w:sz w:val="2"/>
                <w:szCs w:val="2"/>
              </w:rPr>
            </w:pPr>
          </w:p>
        </w:tc>
        <w:tc>
          <w:tcPr>
            <w:tcW w:w="4292" w:type="dxa"/>
            <w:tcBorders>
              <w:left w:val="single" w:sz="4" w:space="0" w:color="000000"/>
            </w:tcBorders>
          </w:tcPr>
          <w:p>
            <w:pPr>
              <w:pStyle w:val="TableParagraph"/>
              <w:rPr>
                <w:sz w:val="18"/>
              </w:rPr>
            </w:pPr>
          </w:p>
        </w:tc>
        <w:tc>
          <w:tcPr>
            <w:tcW w:w="937" w:type="dxa"/>
            <w:tcBorders>
              <w:right w:val="single" w:sz="4" w:space="0" w:color="000000"/>
            </w:tcBorders>
          </w:tcPr>
          <w:p>
            <w:pPr>
              <w:pStyle w:val="TableParagraph"/>
              <w:spacing w:before="74"/>
              <w:ind w:left="201"/>
              <w:rPr>
                <w:b/>
                <w:sz w:val="16"/>
              </w:rPr>
            </w:pPr>
            <w:r>
              <w:rPr>
                <w:b/>
                <w:w w:val="110"/>
                <w:sz w:val="16"/>
              </w:rPr>
              <w:t>2.2</w:t>
            </w:r>
          </w:p>
        </w:tc>
      </w:tr>
      <w:tr>
        <w:trPr>
          <w:trHeight w:val="342" w:hRule="atLeast"/>
        </w:trPr>
        <w:tc>
          <w:tcPr>
            <w:tcW w:w="5039" w:type="dxa"/>
            <w:gridSpan w:val="9"/>
            <w:vMerge/>
            <w:tcBorders>
              <w:top w:val="nil"/>
              <w:left w:val="single" w:sz="4" w:space="0" w:color="000000"/>
              <w:bottom w:val="single" w:sz="4" w:space="0" w:color="000000"/>
              <w:right w:val="single" w:sz="4" w:space="0" w:color="000000"/>
            </w:tcBorders>
          </w:tcPr>
          <w:p>
            <w:pPr>
              <w:rPr>
                <w:sz w:val="2"/>
                <w:szCs w:val="2"/>
              </w:rPr>
            </w:pPr>
          </w:p>
        </w:tc>
        <w:tc>
          <w:tcPr>
            <w:tcW w:w="4292" w:type="dxa"/>
            <w:tcBorders>
              <w:left w:val="single" w:sz="4" w:space="0" w:color="000000"/>
            </w:tcBorders>
          </w:tcPr>
          <w:p>
            <w:pPr>
              <w:pStyle w:val="TableParagraph"/>
              <w:rPr>
                <w:sz w:val="18"/>
              </w:rPr>
            </w:pPr>
          </w:p>
        </w:tc>
        <w:tc>
          <w:tcPr>
            <w:tcW w:w="937" w:type="dxa"/>
            <w:tcBorders>
              <w:right w:val="single" w:sz="4" w:space="0" w:color="000000"/>
            </w:tcBorders>
          </w:tcPr>
          <w:p>
            <w:pPr>
              <w:pStyle w:val="TableParagraph"/>
              <w:spacing w:before="73"/>
              <w:ind w:left="201"/>
              <w:rPr>
                <w:b/>
                <w:sz w:val="16"/>
              </w:rPr>
            </w:pPr>
            <w:r>
              <w:rPr>
                <w:b/>
                <w:w w:val="110"/>
                <w:sz w:val="16"/>
              </w:rPr>
              <w:t>2.0</w:t>
            </w:r>
          </w:p>
        </w:tc>
      </w:tr>
      <w:tr>
        <w:trPr>
          <w:trHeight w:val="342" w:hRule="atLeast"/>
        </w:trPr>
        <w:tc>
          <w:tcPr>
            <w:tcW w:w="5039" w:type="dxa"/>
            <w:gridSpan w:val="9"/>
            <w:vMerge/>
            <w:tcBorders>
              <w:top w:val="nil"/>
              <w:left w:val="single" w:sz="4" w:space="0" w:color="000000"/>
              <w:bottom w:val="single" w:sz="4" w:space="0" w:color="000000"/>
              <w:right w:val="single" w:sz="4" w:space="0" w:color="000000"/>
            </w:tcBorders>
          </w:tcPr>
          <w:p>
            <w:pPr>
              <w:rPr>
                <w:sz w:val="2"/>
                <w:szCs w:val="2"/>
              </w:rPr>
            </w:pPr>
          </w:p>
        </w:tc>
        <w:tc>
          <w:tcPr>
            <w:tcW w:w="4292" w:type="dxa"/>
            <w:tcBorders>
              <w:left w:val="single" w:sz="4" w:space="0" w:color="000000"/>
            </w:tcBorders>
          </w:tcPr>
          <w:p>
            <w:pPr>
              <w:pStyle w:val="TableParagraph"/>
              <w:rPr>
                <w:sz w:val="18"/>
              </w:rPr>
            </w:pPr>
          </w:p>
        </w:tc>
        <w:tc>
          <w:tcPr>
            <w:tcW w:w="937" w:type="dxa"/>
            <w:tcBorders>
              <w:right w:val="single" w:sz="4" w:space="0" w:color="000000"/>
            </w:tcBorders>
          </w:tcPr>
          <w:p>
            <w:pPr>
              <w:pStyle w:val="TableParagraph"/>
              <w:spacing w:before="81"/>
              <w:ind w:left="201"/>
              <w:rPr>
                <w:b/>
                <w:sz w:val="16"/>
              </w:rPr>
            </w:pPr>
            <w:r>
              <w:rPr>
                <w:b/>
                <w:w w:val="110"/>
                <w:sz w:val="16"/>
              </w:rPr>
              <w:t>1.8</w:t>
            </w:r>
          </w:p>
        </w:tc>
      </w:tr>
      <w:tr>
        <w:trPr>
          <w:trHeight w:val="274" w:hRule="atLeast"/>
        </w:trPr>
        <w:tc>
          <w:tcPr>
            <w:tcW w:w="5039" w:type="dxa"/>
            <w:gridSpan w:val="9"/>
            <w:vMerge/>
            <w:tcBorders>
              <w:top w:val="nil"/>
              <w:left w:val="single" w:sz="4" w:space="0" w:color="000000"/>
              <w:bottom w:val="single" w:sz="4" w:space="0" w:color="000000"/>
              <w:right w:val="single" w:sz="4" w:space="0" w:color="000000"/>
            </w:tcBorders>
          </w:tcPr>
          <w:p>
            <w:pPr>
              <w:rPr>
                <w:sz w:val="2"/>
                <w:szCs w:val="2"/>
              </w:rPr>
            </w:pPr>
          </w:p>
        </w:tc>
        <w:tc>
          <w:tcPr>
            <w:tcW w:w="4292" w:type="dxa"/>
            <w:tcBorders>
              <w:left w:val="single" w:sz="4" w:space="0" w:color="000000"/>
            </w:tcBorders>
          </w:tcPr>
          <w:p>
            <w:pPr>
              <w:pStyle w:val="TableParagraph"/>
              <w:rPr>
                <w:sz w:val="18"/>
              </w:rPr>
            </w:pPr>
          </w:p>
        </w:tc>
        <w:tc>
          <w:tcPr>
            <w:tcW w:w="937" w:type="dxa"/>
            <w:tcBorders>
              <w:right w:val="single" w:sz="4" w:space="0" w:color="000000"/>
            </w:tcBorders>
          </w:tcPr>
          <w:p>
            <w:pPr>
              <w:pStyle w:val="TableParagraph"/>
              <w:spacing w:line="181" w:lineRule="exact" w:before="74"/>
              <w:ind w:left="201"/>
              <w:rPr>
                <w:b/>
                <w:sz w:val="16"/>
              </w:rPr>
            </w:pPr>
            <w:r>
              <w:rPr>
                <w:b/>
                <w:w w:val="110"/>
                <w:sz w:val="16"/>
              </w:rPr>
              <w:t>1.6</w:t>
            </w:r>
          </w:p>
        </w:tc>
      </w:tr>
      <w:tr>
        <w:trPr>
          <w:trHeight w:val="207" w:hRule="atLeast"/>
        </w:trPr>
        <w:tc>
          <w:tcPr>
            <w:tcW w:w="5039" w:type="dxa"/>
            <w:gridSpan w:val="9"/>
            <w:vMerge/>
            <w:tcBorders>
              <w:top w:val="nil"/>
              <w:left w:val="single" w:sz="4" w:space="0" w:color="000000"/>
              <w:bottom w:val="single" w:sz="4" w:space="0" w:color="000000"/>
              <w:right w:val="single" w:sz="4" w:space="0" w:color="000000"/>
            </w:tcBorders>
          </w:tcPr>
          <w:p>
            <w:pPr>
              <w:rPr>
                <w:sz w:val="2"/>
                <w:szCs w:val="2"/>
              </w:rPr>
            </w:pPr>
          </w:p>
        </w:tc>
        <w:tc>
          <w:tcPr>
            <w:tcW w:w="4292" w:type="dxa"/>
            <w:tcBorders>
              <w:left w:val="single" w:sz="4" w:space="0" w:color="000000"/>
            </w:tcBorders>
          </w:tcPr>
          <w:p>
            <w:pPr>
              <w:pStyle w:val="TableParagraph"/>
              <w:spacing w:line="174" w:lineRule="exact" w:before="13"/>
              <w:ind w:left="318"/>
              <w:rPr>
                <w:b/>
                <w:sz w:val="16"/>
              </w:rPr>
            </w:pPr>
            <w:r>
              <w:rPr>
                <w:b/>
                <w:w w:val="110"/>
                <w:sz w:val="16"/>
              </w:rPr>
              <w:t>Feb- Feb- Feb- Feb- Feb- Feb- Feb- Feb-</w:t>
            </w:r>
          </w:p>
        </w:tc>
        <w:tc>
          <w:tcPr>
            <w:tcW w:w="937" w:type="dxa"/>
            <w:tcBorders>
              <w:right w:val="single" w:sz="4" w:space="0" w:color="000000"/>
            </w:tcBorders>
          </w:tcPr>
          <w:p>
            <w:pPr>
              <w:pStyle w:val="TableParagraph"/>
              <w:rPr>
                <w:sz w:val="14"/>
              </w:rPr>
            </w:pPr>
          </w:p>
        </w:tc>
      </w:tr>
      <w:tr>
        <w:trPr>
          <w:trHeight w:val="366" w:hRule="atLeast"/>
        </w:trPr>
        <w:tc>
          <w:tcPr>
            <w:tcW w:w="5039" w:type="dxa"/>
            <w:gridSpan w:val="9"/>
            <w:vMerge/>
            <w:tcBorders>
              <w:top w:val="nil"/>
              <w:left w:val="single" w:sz="4" w:space="0" w:color="000000"/>
              <w:bottom w:val="single" w:sz="4" w:space="0" w:color="000000"/>
              <w:right w:val="single" w:sz="4" w:space="0" w:color="000000"/>
            </w:tcBorders>
          </w:tcPr>
          <w:p>
            <w:pPr>
              <w:rPr>
                <w:sz w:val="2"/>
                <w:szCs w:val="2"/>
              </w:rPr>
            </w:pPr>
          </w:p>
        </w:tc>
        <w:tc>
          <w:tcPr>
            <w:tcW w:w="4292" w:type="dxa"/>
            <w:tcBorders>
              <w:left w:val="single" w:sz="4" w:space="0" w:color="000000"/>
              <w:bottom w:val="single" w:sz="4" w:space="0" w:color="000000"/>
            </w:tcBorders>
          </w:tcPr>
          <w:p>
            <w:pPr>
              <w:pStyle w:val="TableParagraph"/>
              <w:tabs>
                <w:tab w:pos="888" w:val="left" w:leader="none"/>
                <w:tab w:pos="1383" w:val="left" w:leader="none"/>
                <w:tab w:pos="1878" w:val="left" w:leader="none"/>
                <w:tab w:pos="2358" w:val="left" w:leader="none"/>
                <w:tab w:pos="2853" w:val="left" w:leader="none"/>
                <w:tab w:pos="3348" w:val="left" w:leader="none"/>
                <w:tab w:pos="3843" w:val="left" w:leader="none"/>
              </w:tabs>
              <w:spacing w:before="6"/>
              <w:ind w:left="393"/>
              <w:rPr>
                <w:b/>
                <w:sz w:val="16"/>
              </w:rPr>
            </w:pPr>
            <w:r>
              <w:rPr>
                <w:b/>
                <w:w w:val="110"/>
                <w:sz w:val="16"/>
              </w:rPr>
              <w:t>00</w:t>
              <w:tab/>
              <w:t>01</w:t>
              <w:tab/>
              <w:t>02</w:t>
              <w:tab/>
              <w:t>03</w:t>
              <w:tab/>
              <w:t>04</w:t>
              <w:tab/>
              <w:t>05</w:t>
              <w:tab/>
              <w:t>06</w:t>
              <w:tab/>
              <w:t>07</w:t>
            </w:r>
          </w:p>
        </w:tc>
        <w:tc>
          <w:tcPr>
            <w:tcW w:w="937" w:type="dxa"/>
            <w:tcBorders>
              <w:bottom w:val="single" w:sz="4" w:space="0" w:color="000000"/>
              <w:right w:val="single" w:sz="4" w:space="0" w:color="000000"/>
            </w:tcBorders>
          </w:tcPr>
          <w:p>
            <w:pPr>
              <w:pStyle w:val="TableParagraph"/>
              <w:rPr>
                <w:sz w:val="18"/>
              </w:rPr>
            </w:pPr>
          </w:p>
        </w:tc>
      </w:tr>
      <w:tr>
        <w:trPr>
          <w:trHeight w:val="367" w:hRule="atLeast"/>
        </w:trPr>
        <w:tc>
          <w:tcPr>
            <w:tcW w:w="5039" w:type="dxa"/>
            <w:gridSpan w:val="9"/>
            <w:tcBorders>
              <w:top w:val="single" w:sz="4" w:space="0" w:color="000000"/>
              <w:left w:val="single" w:sz="4" w:space="0" w:color="000000"/>
              <w:bottom w:val="single" w:sz="4" w:space="0" w:color="000000"/>
              <w:right w:val="single" w:sz="4" w:space="0" w:color="000000"/>
            </w:tcBorders>
          </w:tcPr>
          <w:p>
            <w:pPr>
              <w:pStyle w:val="TableParagraph"/>
              <w:spacing w:line="180" w:lineRule="exact"/>
              <w:ind w:left="107"/>
              <w:rPr>
                <w:sz w:val="16"/>
              </w:rPr>
            </w:pPr>
            <w:r>
              <w:rPr>
                <w:sz w:val="16"/>
              </w:rPr>
              <w:t>Source: datastream and bank calculations</w:t>
            </w:r>
          </w:p>
        </w:tc>
        <w:tc>
          <w:tcPr>
            <w:tcW w:w="5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180" w:lineRule="exact"/>
              <w:ind w:left="108"/>
              <w:rPr>
                <w:sz w:val="16"/>
              </w:rPr>
            </w:pPr>
            <w:r>
              <w:rPr>
                <w:sz w:val="16"/>
              </w:rPr>
              <w:t>Source: Bank of England/NOP public attitudes to inflation survey.</w:t>
            </w:r>
          </w:p>
        </w:tc>
      </w:tr>
    </w:tbl>
    <w:sectPr>
      <w:pgSz w:w="11900" w:h="16840"/>
      <w:pgMar w:header="0" w:footer="882" w:top="1600" w:bottom="1080" w:left="96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type id="_x0000_t202" o:spt="202" coordsize="21600,21600" path="m,l,21600r21600,l21600,xe">
          <v:stroke joinstyle="miter"/>
          <v:path gradientshapeok="t" o:connecttype="rect"/>
        </v:shapetype>
        <v:shape style="position:absolute;margin-left:490.26001pt;margin-top:782.886353pt;width:18pt;height:15.3pt;mso-position-horizontal-relative:page;mso-position-vertical-relative:page;z-index:-253054976" type="#_x0000_t202" filled="false" stroked="false">
          <v:textbox inset="0,0,0,0">
            <w:txbxContent>
              <w:p>
                <w:pPr>
                  <w:pStyle w:val="BodyText"/>
                  <w:spacing w:before="10"/>
                  <w:ind w:left="60"/>
                </w:pPr>
                <w:r>
                  <w:rPr/>
                  <w:fldChar w:fldCharType="begin"/>
                </w:r>
                <w:r>
                  <w:rPr/>
                  <w:instrText> PAGE </w:instrText>
                </w:r>
                <w:r>
                  <w:rPr/>
                  <w:fldChar w:fldCharType="separate"/>
                </w:r>
                <w:r>
                  <w:rPr/>
                  <w:t>11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228" w:hanging="216"/>
        <w:jc w:val="left"/>
      </w:pPr>
      <w:rPr>
        <w:rFonts w:hint="default" w:ascii="Times New Roman" w:hAnsi="Times New Roman" w:eastAsia="Times New Roman" w:cs="Times New Roman"/>
        <w:spacing w:val="-1"/>
        <w:w w:val="99"/>
        <w:sz w:val="16"/>
        <w:szCs w:val="16"/>
      </w:rPr>
    </w:lvl>
    <w:lvl w:ilvl="1">
      <w:start w:val="0"/>
      <w:numFmt w:val="bullet"/>
      <w:lvlText w:val="•"/>
      <w:lvlJc w:val="left"/>
      <w:pPr>
        <w:ind w:left="1248" w:hanging="216"/>
      </w:pPr>
      <w:rPr>
        <w:rFonts w:hint="default"/>
      </w:rPr>
    </w:lvl>
    <w:lvl w:ilvl="2">
      <w:start w:val="0"/>
      <w:numFmt w:val="bullet"/>
      <w:lvlText w:val="•"/>
      <w:lvlJc w:val="left"/>
      <w:pPr>
        <w:ind w:left="2276" w:hanging="216"/>
      </w:pPr>
      <w:rPr>
        <w:rFonts w:hint="default"/>
      </w:rPr>
    </w:lvl>
    <w:lvl w:ilvl="3">
      <w:start w:val="0"/>
      <w:numFmt w:val="bullet"/>
      <w:lvlText w:val="•"/>
      <w:lvlJc w:val="left"/>
      <w:pPr>
        <w:ind w:left="3304" w:hanging="216"/>
      </w:pPr>
      <w:rPr>
        <w:rFonts w:hint="default"/>
      </w:rPr>
    </w:lvl>
    <w:lvl w:ilvl="4">
      <w:start w:val="0"/>
      <w:numFmt w:val="bullet"/>
      <w:lvlText w:val="•"/>
      <w:lvlJc w:val="left"/>
      <w:pPr>
        <w:ind w:left="4332" w:hanging="216"/>
      </w:pPr>
      <w:rPr>
        <w:rFonts w:hint="default"/>
      </w:rPr>
    </w:lvl>
    <w:lvl w:ilvl="5">
      <w:start w:val="0"/>
      <w:numFmt w:val="bullet"/>
      <w:lvlText w:val="•"/>
      <w:lvlJc w:val="left"/>
      <w:pPr>
        <w:ind w:left="5360" w:hanging="216"/>
      </w:pPr>
      <w:rPr>
        <w:rFonts w:hint="default"/>
      </w:rPr>
    </w:lvl>
    <w:lvl w:ilvl="6">
      <w:start w:val="0"/>
      <w:numFmt w:val="bullet"/>
      <w:lvlText w:val="•"/>
      <w:lvlJc w:val="left"/>
      <w:pPr>
        <w:ind w:left="6388" w:hanging="216"/>
      </w:pPr>
      <w:rPr>
        <w:rFonts w:hint="default"/>
      </w:rPr>
    </w:lvl>
    <w:lvl w:ilvl="7">
      <w:start w:val="0"/>
      <w:numFmt w:val="bullet"/>
      <w:lvlText w:val="•"/>
      <w:lvlJc w:val="left"/>
      <w:pPr>
        <w:ind w:left="7416" w:hanging="216"/>
      </w:pPr>
      <w:rPr>
        <w:rFonts w:hint="default"/>
      </w:rPr>
    </w:lvl>
    <w:lvl w:ilvl="8">
      <w:start w:val="0"/>
      <w:numFmt w:val="bullet"/>
      <w:lvlText w:val="•"/>
      <w:lvlJc w:val="left"/>
      <w:pPr>
        <w:ind w:left="8444" w:hanging="216"/>
      </w:pPr>
      <w:rPr>
        <w:rFonts w:hint="default"/>
      </w:rPr>
    </w:lvl>
  </w:abstractNum>
  <w:abstractNum w:abstractNumId="0">
    <w:multiLevelType w:val="hybridMultilevel"/>
    <w:lvl w:ilvl="0">
      <w:start w:val="0"/>
      <w:numFmt w:val="bullet"/>
      <w:lvlText w:val=""/>
      <w:lvlJc w:val="left"/>
      <w:pPr>
        <w:ind w:left="2274" w:hanging="363"/>
      </w:pPr>
      <w:rPr>
        <w:rFonts w:hint="default" w:ascii="Symbol" w:hAnsi="Symbol" w:eastAsia="Symbol" w:cs="Symbol"/>
        <w:w w:val="100"/>
        <w:sz w:val="24"/>
        <w:szCs w:val="24"/>
      </w:rPr>
    </w:lvl>
    <w:lvl w:ilvl="1">
      <w:start w:val="0"/>
      <w:numFmt w:val="bullet"/>
      <w:lvlText w:val="•"/>
      <w:lvlJc w:val="left"/>
      <w:pPr>
        <w:ind w:left="3102" w:hanging="363"/>
      </w:pPr>
      <w:rPr>
        <w:rFonts w:hint="default"/>
      </w:rPr>
    </w:lvl>
    <w:lvl w:ilvl="2">
      <w:start w:val="0"/>
      <w:numFmt w:val="bullet"/>
      <w:lvlText w:val="•"/>
      <w:lvlJc w:val="left"/>
      <w:pPr>
        <w:ind w:left="3924" w:hanging="363"/>
      </w:pPr>
      <w:rPr>
        <w:rFonts w:hint="default"/>
      </w:rPr>
    </w:lvl>
    <w:lvl w:ilvl="3">
      <w:start w:val="0"/>
      <w:numFmt w:val="bullet"/>
      <w:lvlText w:val="•"/>
      <w:lvlJc w:val="left"/>
      <w:pPr>
        <w:ind w:left="4746" w:hanging="363"/>
      </w:pPr>
      <w:rPr>
        <w:rFonts w:hint="default"/>
      </w:rPr>
    </w:lvl>
    <w:lvl w:ilvl="4">
      <w:start w:val="0"/>
      <w:numFmt w:val="bullet"/>
      <w:lvlText w:val="•"/>
      <w:lvlJc w:val="left"/>
      <w:pPr>
        <w:ind w:left="5568" w:hanging="363"/>
      </w:pPr>
      <w:rPr>
        <w:rFonts w:hint="default"/>
      </w:rPr>
    </w:lvl>
    <w:lvl w:ilvl="5">
      <w:start w:val="0"/>
      <w:numFmt w:val="bullet"/>
      <w:lvlText w:val="•"/>
      <w:lvlJc w:val="left"/>
      <w:pPr>
        <w:ind w:left="6390" w:hanging="363"/>
      </w:pPr>
      <w:rPr>
        <w:rFonts w:hint="default"/>
      </w:rPr>
    </w:lvl>
    <w:lvl w:ilvl="6">
      <w:start w:val="0"/>
      <w:numFmt w:val="bullet"/>
      <w:lvlText w:val="•"/>
      <w:lvlJc w:val="left"/>
      <w:pPr>
        <w:ind w:left="7212" w:hanging="363"/>
      </w:pPr>
      <w:rPr>
        <w:rFonts w:hint="default"/>
      </w:rPr>
    </w:lvl>
    <w:lvl w:ilvl="7">
      <w:start w:val="0"/>
      <w:numFmt w:val="bullet"/>
      <w:lvlText w:val="•"/>
      <w:lvlJc w:val="left"/>
      <w:pPr>
        <w:ind w:left="8034" w:hanging="363"/>
      </w:pPr>
      <w:rPr>
        <w:rFonts w:hint="default"/>
      </w:rPr>
    </w:lvl>
    <w:lvl w:ilvl="8">
      <w:start w:val="0"/>
      <w:numFmt w:val="bullet"/>
      <w:lvlText w:val="•"/>
      <w:lvlJc w:val="left"/>
      <w:pPr>
        <w:ind w:left="8856" w:hanging="363"/>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84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2273" w:hanging="357"/>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hyperlink" Target="http://externalboeweb/publications/other/monetary/creditconditions.htm"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Sir John Gieve, 17 January 2008 - the impact of the financial market disruption on the UK economy</dc:subject>
  <dc:title>Speech by Sir John Gieve, 17 January 2008 - the impact of the financial market disruption on the UK economy</dc:title>
  <dcterms:created xsi:type="dcterms:W3CDTF">2020-06-02T18:43:56Z</dcterms:created>
  <dcterms:modified xsi:type="dcterms:W3CDTF">2020-06-02T18:43:56Z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2008-01-21T00:00:00Z</vt:filetime>
  </property>
  <property fmtid="{D5CDD505-2E9C-101B-9397-08002B2CF9AE}" pid="3" name="Creator">
    <vt:lpwstr>PScript5.dll Version 5.2</vt:lpwstr>
  </property>
  <property fmtid="{D5CDD505-2E9C-101B-9397-08002B2CF9AE}" pid="4" name="LastSaved">
    <vt:filetime>2020-06-02T00:00:00Z</vt:filetime>
  </property>
</Properties>
</file>