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673" w:right="0" w:firstLine="0"/>
        <w:jc w:val="left"/>
        <w:rPr>
          <w:b/>
          <w:sz w:val="32"/>
        </w:rPr>
      </w:pPr>
      <w:r>
        <w:rPr>
          <w:b/>
          <w:color w:val="6A709F"/>
          <w:sz w:val="32"/>
        </w:rPr>
        <w:t>The Outlook for Jobs and Pay</w:t>
      </w:r>
    </w:p>
    <w:p>
      <w:pPr>
        <w:spacing w:before="281"/>
        <w:ind w:left="673" w:right="0" w:firstLine="0"/>
        <w:jc w:val="left"/>
        <w:rPr>
          <w:sz w:val="24"/>
        </w:rPr>
      </w:pPr>
      <w:r>
        <w:rPr>
          <w:sz w:val="24"/>
        </w:rPr>
        <w:t>Speech given by</w:t>
      </w:r>
    </w:p>
    <w:p>
      <w:pPr>
        <w:spacing w:before="137"/>
        <w:ind w:left="673"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673" w:right="2219" w:firstLine="0"/>
        <w:jc w:val="left"/>
        <w:rPr>
          <w:sz w:val="24"/>
        </w:rPr>
      </w:pPr>
      <w:r>
        <w:rPr>
          <w:sz w:val="24"/>
        </w:rPr>
        <w:t>The Launch of Financial Intermediary and Broker Association at BAFTA, London 17 January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673" w:right="1781"/>
      </w:pPr>
      <w:r>
        <w:rPr/>
        <w:t>I would like to thank Will Abel, Thomas Belsham, Ben Broadbent, Matthew Corder, Clare Macallan, Rebecca Maule, Chris Redl, Silvana Tenreyro, Alex Tuckett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460" w:right="0"/>
        </w:sectPr>
      </w:pPr>
    </w:p>
    <w:p>
      <w:pPr>
        <w:pStyle w:val="BodyText"/>
        <w:spacing w:line="360" w:lineRule="auto" w:before="79"/>
        <w:ind w:left="673" w:right="1188"/>
      </w:pPr>
      <w:r>
        <w:rPr/>
        <w:t>I want to make four main points in this speech. First, in my view, the labour market currently seems likely to tighten more this year than the external consensus expects, with further declines in unemployment and under-employment. Second, recent data support the view that the equilibrium jobless rate is lower than it used to be. Even so, the elevated level of labour shortages across a wide range of industries suggests there is no longer significant labour market slack. Third, the tightening labour market and rising recruitment difficulties probably will lift pay growth this year a bit above the recent subdued trends. Fourth, the economic outlook may change significantly – either way – as and when there is greater clarity over the UK’s economic relations with the EU and any transition to that end-state.</w:t>
      </w:r>
    </w:p>
    <w:p>
      <w:pPr>
        <w:pStyle w:val="BodyText"/>
        <w:spacing w:before="10"/>
        <w:rPr>
          <w:sz w:val="29"/>
        </w:rPr>
      </w:pPr>
    </w:p>
    <w:p>
      <w:pPr>
        <w:pStyle w:val="BodyText"/>
        <w:ind w:left="673"/>
      </w:pPr>
      <w:r>
        <w:rPr/>
        <w:t>*******</w:t>
      </w:r>
    </w:p>
    <w:p>
      <w:pPr>
        <w:pStyle w:val="BodyText"/>
        <w:rPr>
          <w:sz w:val="22"/>
        </w:rPr>
      </w:pPr>
    </w:p>
    <w:p>
      <w:pPr>
        <w:pStyle w:val="BodyText"/>
        <w:spacing w:before="1"/>
        <w:rPr>
          <w:sz w:val="18"/>
        </w:rPr>
      </w:pPr>
    </w:p>
    <w:p>
      <w:pPr>
        <w:pStyle w:val="BodyText"/>
        <w:spacing w:line="360" w:lineRule="auto"/>
        <w:ind w:left="673" w:right="1474"/>
      </w:pPr>
      <w:r>
        <w:rPr/>
        <w:t>Unemployment has fallen steadily for over six years, with the jobless rate down from the peak of 8.5% in 2011 to just 4.3% late last year, the lowest since 1975. Under-employment, which initially fell more slowly than unemployment, also has fallen markedly in recent years (see figure 1)</w:t>
      </w:r>
      <w:r>
        <w:rPr>
          <w:vertAlign w:val="superscript"/>
        </w:rPr>
        <w:t>1</w:t>
      </w:r>
      <w:r>
        <w:rPr>
          <w:vertAlign w:val="baseline"/>
        </w:rPr>
        <w:t>.</w:t>
      </w:r>
    </w:p>
    <w:p>
      <w:pPr>
        <w:pStyle w:val="BodyText"/>
        <w:spacing w:before="1"/>
        <w:rPr>
          <w:sz w:val="30"/>
        </w:rPr>
      </w:pPr>
    </w:p>
    <w:p>
      <w:pPr>
        <w:pStyle w:val="BodyText"/>
        <w:spacing w:line="360" w:lineRule="auto"/>
        <w:ind w:left="673" w:right="1385"/>
      </w:pPr>
      <w:r>
        <w:rPr/>
        <w:t>The view of the external consensus</w:t>
      </w:r>
      <w:r>
        <w:rPr>
          <w:vertAlign w:val="superscript"/>
        </w:rPr>
        <w:t>2</w:t>
      </w:r>
      <w:r>
        <w:rPr>
          <w:vertAlign w:val="baseline"/>
        </w:rPr>
        <w:t> is that this decline in unemployment is now probably over, and that unemployment is likely to stabilise or rise slightly this year. But my hunch is that the labour market will probably tighten further this year, with the jobless rate dropping to -- and perhaps even below -- 4% during 2018, alongside further declines in under-employment.</w:t>
      </w:r>
    </w:p>
    <w:p>
      <w:pPr>
        <w:pStyle w:val="BodyText"/>
        <w:spacing w:before="9"/>
        <w:rPr>
          <w:sz w:val="29"/>
        </w:rPr>
      </w:pPr>
    </w:p>
    <w:p>
      <w:pPr>
        <w:pStyle w:val="BodyText"/>
        <w:spacing w:line="360" w:lineRule="auto" w:before="1"/>
        <w:ind w:left="673" w:right="1160"/>
      </w:pPr>
      <w:r>
        <w:rPr/>
        <w:t>This difference in outlook partly reflects my view that the economy and labour demand are likely to hold up a bit better than many expect, and partly reflects the prospect that workforce growth – and hence potential growth – may be weaker than generally expected.</w:t>
      </w:r>
    </w:p>
    <w:p>
      <w:pPr>
        <w:pStyle w:val="BodyText"/>
        <w:rPr>
          <w:sz w:val="30"/>
        </w:rPr>
      </w:pPr>
    </w:p>
    <w:p>
      <w:pPr>
        <w:pStyle w:val="BodyText"/>
        <w:spacing w:line="360" w:lineRule="auto"/>
        <w:ind w:left="673" w:right="1160"/>
      </w:pPr>
      <w:r>
        <w:rPr/>
        <w:t>To be sure, recent data show a slight drop in employment over the last three months. However, wider labour market trends do not look weak in my view. For example, surveys suggest that firms’ hiring intentions are slightly above average (see figure 2), while the level of job vacancies is around a record high. The employment data are quite volatile from quarter to quarter, and the recent dip may just be a correction from the unusually strong gains in prior months.</w:t>
      </w:r>
    </w:p>
    <w:p>
      <w:pPr>
        <w:pStyle w:val="BodyText"/>
        <w:spacing w:before="1"/>
        <w:rPr>
          <w:sz w:val="30"/>
        </w:rPr>
      </w:pPr>
    </w:p>
    <w:p>
      <w:pPr>
        <w:pStyle w:val="BodyText"/>
        <w:spacing w:line="360" w:lineRule="auto" w:before="1"/>
        <w:ind w:left="673" w:right="1318"/>
      </w:pPr>
      <w:r>
        <w:rPr/>
        <w:t>More broadly, business surveys suggest that the economy will probably continue to grow at 1½% -2% near term (see figure 3), similar to the last year or two</w:t>
      </w:r>
      <w:r>
        <w:rPr>
          <w:vertAlign w:val="superscript"/>
        </w:rPr>
        <w:t>3</w:t>
      </w:r>
      <w:r>
        <w:rPr>
          <w:vertAlign w:val="baseline"/>
        </w:rPr>
        <w:t>, and a little above the external consensus</w:t>
      </w:r>
      <w:r>
        <w:rPr>
          <w:vertAlign w:val="superscript"/>
        </w:rPr>
        <w:t>4</w:t>
      </w:r>
      <w:r>
        <w:rPr>
          <w:vertAlign w:val="baseline"/>
        </w:rPr>
        <w:t>. Within that outlook, consumer spending is likely to remain fairly sluggish, balanced by buoyant exports and a modest gain in investment.</w:t>
      </w:r>
    </w:p>
    <w:p>
      <w:pPr>
        <w:pStyle w:val="BodyText"/>
      </w:pPr>
    </w:p>
    <w:p>
      <w:pPr>
        <w:pStyle w:val="BodyText"/>
        <w:spacing w:before="3"/>
        <w:rPr>
          <w:sz w:val="15"/>
        </w:rPr>
      </w:pPr>
      <w:r>
        <w:rPr/>
        <w:pict>
          <v:shape style="position:absolute;margin-left:56.664001pt;margin-top:10.990694pt;width:144.050pt;height:.1pt;mso-position-horizontal-relative:page;mso-position-vertical-relative:paragraph;z-index:-251657216;mso-wrap-distance-left:0;mso-wrap-distance-right:0" coordorigin="1133,220" coordsize="2881,0" path="m1133,220l4014,220e" filled="false" stroked="true" strokeweight=".47998pt" strokecolor="#000000">
            <v:path arrowok="t"/>
            <v:stroke dashstyle="solid"/>
            <w10:wrap type="topAndBottom"/>
          </v:shape>
        </w:pict>
      </w:r>
    </w:p>
    <w:p>
      <w:pPr>
        <w:spacing w:before="27"/>
        <w:ind w:left="673" w:right="1188" w:firstLine="0"/>
        <w:jc w:val="left"/>
        <w:rPr>
          <w:sz w:val="16"/>
        </w:rPr>
      </w:pPr>
      <w:r>
        <w:rPr>
          <w:position w:val="8"/>
          <w:sz w:val="10"/>
        </w:rPr>
        <w:t>1 </w:t>
      </w:r>
      <w:r>
        <w:rPr>
          <w:sz w:val="16"/>
        </w:rPr>
        <w:t>Under employment also has fallen markedly on the ONS measure, which counts people that would like to work more hours and those who would like to work fewer hours.</w:t>
      </w:r>
    </w:p>
    <w:p>
      <w:pPr>
        <w:spacing w:line="182" w:lineRule="exact" w:before="6"/>
        <w:ind w:left="673" w:right="1211" w:firstLine="0"/>
        <w:jc w:val="left"/>
        <w:rPr>
          <w:sz w:val="16"/>
        </w:rPr>
      </w:pPr>
      <w:r>
        <w:rPr>
          <w:position w:val="8"/>
          <w:sz w:val="10"/>
        </w:rPr>
        <w:t>2 </w:t>
      </w:r>
      <w:r>
        <w:rPr>
          <w:sz w:val="16"/>
        </w:rPr>
        <w:t>See Consensus Economics, January 2018 survey, and also “Forecasts for the UK economy”, HM Treasury, December 2017. The IMF and OECD have published similar forecasts.</w:t>
      </w:r>
    </w:p>
    <w:p>
      <w:pPr>
        <w:spacing w:line="171" w:lineRule="exact" w:before="0"/>
        <w:ind w:left="673" w:right="0" w:firstLine="0"/>
        <w:jc w:val="left"/>
        <w:rPr>
          <w:sz w:val="16"/>
        </w:rPr>
      </w:pPr>
      <w:r>
        <w:rPr>
          <w:position w:val="8"/>
          <w:sz w:val="10"/>
        </w:rPr>
        <w:t>3 </w:t>
      </w:r>
      <w:r>
        <w:rPr>
          <w:sz w:val="16"/>
        </w:rPr>
        <w:t>I suspect we may eventually find that recent ONS GDP growth data are, as often happens, revised up a bit.</w:t>
      </w:r>
    </w:p>
    <w:p>
      <w:pPr>
        <w:spacing w:line="196" w:lineRule="exact" w:before="0"/>
        <w:ind w:left="673" w:right="0" w:firstLine="0"/>
        <w:jc w:val="left"/>
        <w:rPr>
          <w:sz w:val="16"/>
        </w:rPr>
      </w:pPr>
      <w:r>
        <w:rPr>
          <w:position w:val="8"/>
          <w:sz w:val="10"/>
        </w:rPr>
        <w:t>4 </w:t>
      </w:r>
      <w:r>
        <w:rPr>
          <w:sz w:val="16"/>
        </w:rPr>
        <w:t>Consensus Economics report that the external consensus, as of January 2018, is for 1.4% GDP growth in 2018.</w:t>
      </w:r>
    </w:p>
    <w:p>
      <w:pPr>
        <w:spacing w:after="0" w:line="196" w:lineRule="exact"/>
        <w:jc w:val="left"/>
        <w:rPr>
          <w:sz w:val="16"/>
        </w:rPr>
        <w:sectPr>
          <w:footerReference w:type="default" r:id="rId7"/>
          <w:pgSz w:w="11910" w:h="16840"/>
          <w:pgMar w:footer="1338" w:header="0" w:top="1520" w:bottom="1520" w:left="460" w:right="0"/>
        </w:sectPr>
      </w:pPr>
    </w:p>
    <w:p>
      <w:pPr>
        <w:pStyle w:val="BodyText"/>
        <w:spacing w:before="79"/>
        <w:ind w:left="673"/>
      </w:pPr>
      <w:r>
        <w:rPr/>
        <w:t>There are headwinds to growth. For example, households and businesses – both inside and outside the UK</w:t>
      </w:r>
    </w:p>
    <w:p>
      <w:pPr>
        <w:pStyle w:val="BodyText"/>
        <w:spacing w:line="360" w:lineRule="auto" w:before="113"/>
        <w:ind w:left="673" w:right="1160"/>
      </w:pPr>
      <w:r>
        <w:rPr/>
        <w:t>– expect that Brexit will damage the economy over coming years (see figures 4, 5 and 6). These expectations are probably already having some impact on activity, especially investment and housing. These expectations have also squeezed consumers’ real incomes, through the inflation triggered by the</w:t>
      </w:r>
    </w:p>
    <w:p>
      <w:pPr>
        <w:pStyle w:val="BodyText"/>
        <w:spacing w:line="357" w:lineRule="auto" w:before="2"/>
        <w:ind w:left="673" w:right="1160"/>
      </w:pPr>
      <w:r>
        <w:rPr/>
        <w:t>Brexit-related depreciation of sterling. Even though inflation has probably peaked, the adjustment to that real income squeeze will probably still restrain spending in 2018.</w:t>
      </w:r>
    </w:p>
    <w:p>
      <w:pPr>
        <w:pStyle w:val="BodyText"/>
        <w:spacing w:before="4"/>
        <w:rPr>
          <w:sz w:val="30"/>
        </w:rPr>
      </w:pPr>
    </w:p>
    <w:p>
      <w:pPr>
        <w:pStyle w:val="BodyText"/>
        <w:ind w:left="673"/>
      </w:pPr>
      <w:r>
        <w:rPr/>
        <w:t>Nevertheless, the economy also continues to be supported by several major positives.</w:t>
      </w:r>
    </w:p>
    <w:p>
      <w:pPr>
        <w:pStyle w:val="BodyText"/>
        <w:rPr>
          <w:sz w:val="22"/>
        </w:rPr>
      </w:pPr>
    </w:p>
    <w:p>
      <w:pPr>
        <w:pStyle w:val="BodyText"/>
        <w:spacing w:before="10"/>
        <w:rPr>
          <w:sz w:val="17"/>
        </w:rPr>
      </w:pPr>
    </w:p>
    <w:p>
      <w:pPr>
        <w:pStyle w:val="BodyText"/>
        <w:spacing w:line="360" w:lineRule="auto"/>
        <w:ind w:left="673" w:right="1140"/>
      </w:pPr>
      <w:r>
        <w:rPr/>
        <w:t>First, global growth is buoyant, with broad-based expansion across the US, EU and Asia, and marked upturns in world trade and investment. All this, plus the extra boost from sterling’s depreciation since 2015, is supporting exports, business confidence and asset prices in the UK.</w:t>
      </w:r>
    </w:p>
    <w:p>
      <w:pPr>
        <w:pStyle w:val="BodyText"/>
        <w:spacing w:before="1"/>
        <w:rPr>
          <w:sz w:val="30"/>
        </w:rPr>
      </w:pPr>
    </w:p>
    <w:p>
      <w:pPr>
        <w:pStyle w:val="BodyText"/>
        <w:spacing w:line="360" w:lineRule="auto"/>
        <w:ind w:left="673" w:right="1474"/>
      </w:pPr>
      <w:r>
        <w:rPr/>
        <w:t>Second, overall corporate and household balance sheets in the UK have improved significantly in recent years, with lower debt levels (relative to income) and higher holdings of liquid assets. Banks are better capitalised and hence more resilient. Money and credit are growing steadily, more or less in line with nominal GDP.</w:t>
      </w:r>
    </w:p>
    <w:p>
      <w:pPr>
        <w:pStyle w:val="BodyText"/>
        <w:spacing w:before="1"/>
        <w:rPr>
          <w:sz w:val="30"/>
        </w:rPr>
      </w:pPr>
    </w:p>
    <w:p>
      <w:pPr>
        <w:pStyle w:val="BodyText"/>
        <w:spacing w:line="360" w:lineRule="auto"/>
        <w:ind w:left="673" w:right="1188"/>
      </w:pPr>
      <w:r>
        <w:rPr/>
        <w:t>Third, background drivers are in place for a cyclical upturn in business investment, with the high return on capital, low cost of capital, and high capacity use. Even with Brexit uncertainties, business surveys suggest that investment intentions are around average.</w:t>
      </w:r>
    </w:p>
    <w:p>
      <w:pPr>
        <w:pStyle w:val="BodyText"/>
        <w:rPr>
          <w:sz w:val="30"/>
        </w:rPr>
      </w:pPr>
    </w:p>
    <w:p>
      <w:pPr>
        <w:pStyle w:val="BodyText"/>
        <w:spacing w:line="360" w:lineRule="auto"/>
        <w:ind w:left="673" w:right="1540"/>
      </w:pPr>
      <w:r>
        <w:rPr/>
        <w:t>Fourth, fiscal headwinds are likely to be more gradual than previously envisaged, following the late-2017 Autumn Budget.</w:t>
      </w:r>
    </w:p>
    <w:p>
      <w:pPr>
        <w:pStyle w:val="BodyText"/>
        <w:rPr>
          <w:sz w:val="30"/>
        </w:rPr>
      </w:pPr>
    </w:p>
    <w:p>
      <w:pPr>
        <w:pStyle w:val="BodyText"/>
        <w:spacing w:line="360" w:lineRule="auto"/>
        <w:ind w:left="673" w:right="1160"/>
      </w:pPr>
      <w:r>
        <w:rPr/>
        <w:t>Fifth, monetary conditions remain supportive, with low interest rates and reasonable credit availability. There is little sign that the recent 25bp hike has triggered an outsized reaction from households, businesses and financial markets. Consumer confidence and business activity are little changed, the yield curve remains relatively flat and, with the decline in lending spreads over recent years, fixed mortgage rates remain lower than 2-3 years ago (see figure 7). As a result, many people that currently have a fixed rate mortgage would probably not face a rise in borrowing costs if they now had to replace that mortgage with a new loan</w:t>
      </w:r>
      <w:r>
        <w:rPr>
          <w:vertAlign w:val="superscript"/>
        </w:rPr>
        <w:t>5</w:t>
      </w:r>
      <w:r>
        <w:rPr>
          <w:vertAlign w:val="baseline"/>
        </w:rPr>
        <w:t>.</w:t>
      </w:r>
    </w:p>
    <w:p>
      <w:pPr>
        <w:pStyle w:val="BodyText"/>
        <w:spacing w:before="11"/>
        <w:rPr>
          <w:sz w:val="29"/>
        </w:rPr>
      </w:pPr>
    </w:p>
    <w:p>
      <w:pPr>
        <w:pStyle w:val="BodyText"/>
        <w:spacing w:line="360" w:lineRule="auto"/>
        <w:ind w:left="673" w:right="1163"/>
      </w:pPr>
      <w:r>
        <w:rPr/>
        <w:t>Balancing out the positives and negatives, the nearterm outlook for the economy is not great, but nor is it terrible. And even modest growth may well exceed the economy’s diminished rate of potential growth. To put it differently, economic growth of around 1½-2% YoY may (as over the last year) be enough to tighten the labour market significantly further.</w:t>
      </w:r>
    </w:p>
    <w:p>
      <w:pPr>
        <w:pStyle w:val="BodyText"/>
      </w:pPr>
    </w:p>
    <w:p>
      <w:pPr>
        <w:pStyle w:val="BodyText"/>
      </w:pPr>
    </w:p>
    <w:p>
      <w:pPr>
        <w:pStyle w:val="BodyText"/>
        <w:spacing w:before="4"/>
        <w:rPr>
          <w:sz w:val="15"/>
        </w:rPr>
      </w:pPr>
      <w:r>
        <w:rPr/>
        <w:pict>
          <v:shape style="position:absolute;margin-left:56.664001pt;margin-top:11.034062pt;width:144.050pt;height:.1pt;mso-position-horizontal-relative:page;mso-position-vertical-relative:paragraph;z-index:-251656192;mso-wrap-distance-left:0;mso-wrap-distance-right:0" coordorigin="1133,221" coordsize="2881,0" path="m1133,221l4014,221e" filled="false" stroked="true" strokeweight=".48004pt" strokecolor="#000000">
            <v:path arrowok="t"/>
            <v:stroke dashstyle="solid"/>
            <w10:wrap type="topAndBottom"/>
          </v:shape>
        </w:pict>
      </w:r>
    </w:p>
    <w:p>
      <w:pPr>
        <w:spacing w:before="29"/>
        <w:ind w:left="673" w:right="0" w:firstLine="0"/>
        <w:jc w:val="left"/>
        <w:rPr>
          <w:sz w:val="16"/>
        </w:rPr>
      </w:pPr>
      <w:r>
        <w:rPr>
          <w:position w:val="8"/>
          <w:sz w:val="10"/>
        </w:rPr>
        <w:t>5 </w:t>
      </w:r>
      <w:r>
        <w:rPr>
          <w:sz w:val="16"/>
        </w:rPr>
        <w:t>See pages 18-21 of Inflation Report of November 2017.</w:t>
      </w:r>
    </w:p>
    <w:p>
      <w:pPr>
        <w:spacing w:after="0"/>
        <w:jc w:val="left"/>
        <w:rPr>
          <w:sz w:val="16"/>
        </w:rPr>
        <w:sectPr>
          <w:footerReference w:type="default" r:id="rId8"/>
          <w:pgSz w:w="11910" w:h="16840"/>
          <w:pgMar w:footer="1338" w:header="0" w:top="1520" w:bottom="1520" w:left="460" w:right="0"/>
        </w:sectPr>
      </w:pPr>
    </w:p>
    <w:p>
      <w:pPr>
        <w:pStyle w:val="BodyText"/>
        <w:spacing w:line="360" w:lineRule="auto" w:before="79"/>
        <w:ind w:left="673" w:right="1346"/>
      </w:pPr>
      <w:r>
        <w:rPr/>
        <w:t>Most estimates suggest that UK potential growth has slowed from around 2½% per year in the pre-crisis period to about 1½% per year recently</w:t>
      </w:r>
      <w:r>
        <w:rPr>
          <w:vertAlign w:val="superscript"/>
        </w:rPr>
        <w:t>6</w:t>
      </w:r>
      <w:r>
        <w:rPr>
          <w:vertAlign w:val="baseline"/>
        </w:rPr>
        <w:t>. If anything, I suspect that it may now be even lower, due to slower workforce growth.</w:t>
      </w:r>
    </w:p>
    <w:p>
      <w:pPr>
        <w:pStyle w:val="BodyText"/>
        <w:rPr>
          <w:sz w:val="30"/>
        </w:rPr>
      </w:pPr>
    </w:p>
    <w:p>
      <w:pPr>
        <w:pStyle w:val="BodyText"/>
        <w:spacing w:line="360" w:lineRule="auto"/>
        <w:ind w:left="673" w:right="1186"/>
      </w:pPr>
      <w:r>
        <w:rPr/>
        <w:t>The decline in UK potential growth to around 1½% in recent years has reflected lower productivity growth, which averaged just 0.7% per year over 2010-17 versus 1.9% YoY on average in 1997-07</w:t>
      </w:r>
      <w:r>
        <w:rPr>
          <w:vertAlign w:val="superscript"/>
        </w:rPr>
        <w:t>7</w:t>
      </w:r>
      <w:r>
        <w:rPr>
          <w:vertAlign w:val="baseline"/>
        </w:rPr>
        <w:t>. Productivity growth also slowed in the US and euro area. But potential growth in those countries also has been reduced by lower workforce growth, partly reflecting demographics, as well as (in some cases) other factors including hysteresis from persistent high unemployment. By contrast, UK workforce growth has (until recently) remained around ¾% per year, similar to the pre-crisis average and roughly twice the average pace in the euro area (see figure 8).</w:t>
      </w:r>
    </w:p>
    <w:p>
      <w:pPr>
        <w:pStyle w:val="BodyText"/>
        <w:spacing w:before="10"/>
        <w:rPr>
          <w:sz w:val="29"/>
        </w:rPr>
      </w:pPr>
    </w:p>
    <w:p>
      <w:pPr>
        <w:pStyle w:val="BodyText"/>
        <w:spacing w:line="360" w:lineRule="auto"/>
        <w:ind w:left="673" w:right="1160"/>
      </w:pPr>
      <w:r>
        <w:rPr/>
        <w:t>Since 2012, the UK’s relatively high pace of workforce growth has largely been driven by inflows of foreign workers, especially from other EU countries</w:t>
      </w:r>
      <w:r>
        <w:rPr>
          <w:vertAlign w:val="superscript"/>
        </w:rPr>
        <w:t>8</w:t>
      </w:r>
      <w:r>
        <w:rPr>
          <w:vertAlign w:val="baseline"/>
        </w:rPr>
        <w:t>: the aggregate contribution to workforce growth from people born in the UK has been close to zero (see figure 9). The boost to labour supply from inward migration in the UK has been well above the EU average.</w:t>
      </w:r>
    </w:p>
    <w:p>
      <w:pPr>
        <w:pStyle w:val="BodyText"/>
        <w:spacing w:before="1"/>
        <w:rPr>
          <w:sz w:val="30"/>
        </w:rPr>
      </w:pPr>
    </w:p>
    <w:p>
      <w:pPr>
        <w:pStyle w:val="BodyText"/>
        <w:spacing w:line="360" w:lineRule="auto"/>
        <w:ind w:left="673" w:right="1208"/>
      </w:pPr>
      <w:r>
        <w:rPr/>
        <w:t>However, the growth of the foreign-born workforce in the UK has slowed sharply in recent quarters</w:t>
      </w:r>
      <w:r>
        <w:rPr>
          <w:vertAlign w:val="superscript"/>
        </w:rPr>
        <w:t>9</w:t>
      </w:r>
      <w:r>
        <w:rPr>
          <w:vertAlign w:val="baseline"/>
        </w:rPr>
        <w:t>, especially people from other EU countries</w:t>
      </w:r>
      <w:r>
        <w:rPr>
          <w:vertAlign w:val="superscript"/>
        </w:rPr>
        <w:t>10</w:t>
      </w:r>
      <w:r>
        <w:rPr>
          <w:vertAlign w:val="baseline"/>
        </w:rPr>
        <w:t>. Over 2013-16, inflows of people born in other EU countries added 0.5pp per year on average to UK workforce growth: that boost has now fallen to roughly zero. This has played a major role in reducing overall UK workforce growth from 1.0% YoY in 2016 to just 0.4% YoY in late 2017, the latest data</w:t>
      </w:r>
      <w:r>
        <w:rPr>
          <w:vertAlign w:val="superscript"/>
        </w:rPr>
        <w:t>11</w:t>
      </w:r>
      <w:r>
        <w:rPr>
          <w:vertAlign w:val="baseline"/>
        </w:rPr>
        <w:t>.</w:t>
      </w:r>
    </w:p>
    <w:p>
      <w:pPr>
        <w:pStyle w:val="BodyText"/>
        <w:spacing w:before="1"/>
        <w:rPr>
          <w:sz w:val="30"/>
        </w:rPr>
      </w:pPr>
    </w:p>
    <w:p>
      <w:pPr>
        <w:pStyle w:val="BodyText"/>
        <w:spacing w:line="360" w:lineRule="auto"/>
        <w:ind w:left="673" w:right="1164"/>
      </w:pPr>
      <w:r>
        <w:rPr/>
        <w:t>The slowdown in foreign worker inflows seems to reflect reduced labour supply – with citizens of other EU countries less willing to work in the UK -- rather than reduced demand for labour in the UK. Reports from the Bank’s regional agents and business surveys</w:t>
      </w:r>
      <w:r>
        <w:rPr>
          <w:vertAlign w:val="superscript"/>
        </w:rPr>
        <w:t>12</w:t>
      </w:r>
      <w:r>
        <w:rPr>
          <w:vertAlign w:val="baseline"/>
        </w:rPr>
        <w:t> highlight Brexit-related uncertainties, for example over future job opportunities, benefit eligibility and health cover in the UK. Moreover, sterling’s Brexit-related depreciation has reduced incentives to work in the UK – especially for people intending to send money</w:t>
      </w:r>
      <w:r>
        <w:rPr>
          <w:spacing w:val="-25"/>
          <w:vertAlign w:val="baseline"/>
        </w:rPr>
        <w:t> </w:t>
      </w:r>
      <w:r>
        <w:rPr>
          <w:vertAlign w:val="baseline"/>
        </w:rPr>
        <w:t>home</w:t>
      </w:r>
    </w:p>
    <w:p>
      <w:pPr>
        <w:pStyle w:val="BodyText"/>
        <w:spacing w:line="228" w:lineRule="exact"/>
        <w:ind w:left="673"/>
      </w:pPr>
      <w:r>
        <w:rPr/>
        <w:t>-- because the UK’s relative wage levels have fallen in foreign currency terms</w:t>
      </w:r>
      <w:r>
        <w:rPr>
          <w:vertAlign w:val="superscript"/>
        </w:rPr>
        <w:t>13</w:t>
      </w:r>
      <w:r>
        <w:rPr>
          <w:vertAlign w:val="baseline"/>
        </w:rPr>
        <w:t>.</w:t>
      </w:r>
    </w:p>
    <w:p>
      <w:pPr>
        <w:pStyle w:val="BodyText"/>
        <w:spacing w:before="3"/>
        <w:rPr>
          <w:sz w:val="19"/>
        </w:rPr>
      </w:pPr>
      <w:r>
        <w:rPr/>
        <w:pict>
          <v:shape style="position:absolute;margin-left:56.664001pt;margin-top:13.279626pt;width:144.050pt;height:.1pt;mso-position-horizontal-relative:page;mso-position-vertical-relative:paragraph;z-index:-251655168;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6 </w:t>
      </w:r>
      <w:r>
        <w:rPr>
          <w:sz w:val="16"/>
        </w:rPr>
        <w:t>This is the view of the OBR, OECD, IMF and external consensus.</w:t>
      </w:r>
    </w:p>
    <w:p>
      <w:pPr>
        <w:spacing w:line="185" w:lineRule="exact" w:before="0"/>
        <w:ind w:left="673" w:right="0" w:firstLine="0"/>
        <w:jc w:val="left"/>
        <w:rPr>
          <w:sz w:val="16"/>
        </w:rPr>
      </w:pPr>
      <w:r>
        <w:rPr>
          <w:position w:val="8"/>
          <w:sz w:val="10"/>
        </w:rPr>
        <w:t>7 </w:t>
      </w:r>
      <w:r>
        <w:rPr>
          <w:sz w:val="16"/>
        </w:rPr>
        <w:t>See Tenreyro (2018).</w:t>
      </w:r>
    </w:p>
    <w:p>
      <w:pPr>
        <w:spacing w:line="182" w:lineRule="exact" w:before="16"/>
        <w:ind w:left="673" w:right="1222" w:firstLine="0"/>
        <w:jc w:val="left"/>
        <w:rPr>
          <w:sz w:val="16"/>
        </w:rPr>
      </w:pPr>
      <w:r>
        <w:rPr>
          <w:position w:val="8"/>
          <w:sz w:val="10"/>
        </w:rPr>
        <w:t>8 </w:t>
      </w:r>
      <w:r>
        <w:rPr>
          <w:sz w:val="16"/>
        </w:rPr>
        <w:t>For example, from Q4 2012 to Q4 2016, the UK workforce rose by 1.0 million people, or 3.0% (an average of 0.75% per year). Over that period, the number of UK-born people in the workforce fell slightly (down 69K, 0.2%). The number of foreign-born people in the UK</w:t>
      </w:r>
    </w:p>
    <w:p>
      <w:pPr>
        <w:spacing w:before="0"/>
        <w:ind w:left="673" w:right="1668" w:firstLine="0"/>
        <w:jc w:val="left"/>
        <w:rPr>
          <w:sz w:val="16"/>
        </w:rPr>
      </w:pPr>
      <w:r>
        <w:rPr>
          <w:sz w:val="16"/>
        </w:rPr>
        <w:t>workforce rose by 1.1 million, 22%, mostly people born in other EU countries (up 0.7 million, 40%). There was little change in the participation rate of foreign-born people.</w:t>
      </w:r>
    </w:p>
    <w:p>
      <w:pPr>
        <w:spacing w:line="183" w:lineRule="exact" w:before="0"/>
        <w:ind w:left="673" w:right="0" w:firstLine="0"/>
        <w:jc w:val="left"/>
        <w:rPr>
          <w:sz w:val="16"/>
        </w:rPr>
      </w:pPr>
      <w:r>
        <w:rPr>
          <w:position w:val="8"/>
          <w:sz w:val="10"/>
        </w:rPr>
        <w:t>9 </w:t>
      </w:r>
      <w:r>
        <w:rPr>
          <w:sz w:val="16"/>
        </w:rPr>
        <w:t>The foreign-born workforce rose by just 84K YoY in Q3 2017 (adding 0.2% to the UK workforce), less than a third of the average</w:t>
      </w:r>
    </w:p>
    <w:p>
      <w:pPr>
        <w:spacing w:before="0"/>
        <w:ind w:left="673" w:right="1125" w:firstLine="0"/>
        <w:jc w:val="left"/>
        <w:rPr>
          <w:sz w:val="16"/>
        </w:rPr>
      </w:pPr>
      <w:r>
        <w:rPr>
          <w:sz w:val="16"/>
        </w:rPr>
        <w:t>growth in the prior four years. The number of EU-born people in the UK workforce rose by only 8K YoY in Q3 2017 versus 170k per year over prior four years.</w:t>
      </w:r>
    </w:p>
    <w:p>
      <w:pPr>
        <w:spacing w:line="184" w:lineRule="exact" w:before="2"/>
        <w:ind w:left="673" w:right="1377" w:firstLine="0"/>
        <w:jc w:val="left"/>
        <w:rPr>
          <w:sz w:val="16"/>
        </w:rPr>
      </w:pPr>
      <w:r>
        <w:rPr>
          <w:position w:val="8"/>
          <w:sz w:val="10"/>
        </w:rPr>
        <w:t>10 </w:t>
      </w:r>
      <w:r>
        <w:rPr>
          <w:sz w:val="16"/>
        </w:rPr>
        <w:t>The ONS migration data, which extend to Q2 2017, suggest that the reduced net inflow chiefly reflects lower inflows of EU citizens, but there has also been a rise in outflows of EU citizens from the UK.</w:t>
      </w:r>
    </w:p>
    <w:p>
      <w:pPr>
        <w:spacing w:line="180" w:lineRule="exact" w:before="0"/>
        <w:ind w:left="673" w:right="0" w:firstLine="0"/>
        <w:jc w:val="left"/>
        <w:rPr>
          <w:sz w:val="16"/>
        </w:rPr>
      </w:pPr>
      <w:r>
        <w:rPr>
          <w:position w:val="8"/>
          <w:sz w:val="10"/>
        </w:rPr>
        <w:t>11 </w:t>
      </w:r>
      <w:r>
        <w:rPr>
          <w:sz w:val="16"/>
        </w:rPr>
        <w:t>By region, workforce growth remains positive in London and SE England. Across the other UK regions combined, the workforce is</w:t>
      </w:r>
    </w:p>
    <w:p>
      <w:pPr>
        <w:spacing w:line="173" w:lineRule="exact" w:before="1"/>
        <w:ind w:left="673" w:right="0" w:firstLine="0"/>
        <w:jc w:val="left"/>
        <w:rPr>
          <w:sz w:val="16"/>
        </w:rPr>
      </w:pPr>
      <w:r>
        <w:rPr>
          <w:sz w:val="16"/>
        </w:rPr>
        <w:t>down 0.2% YoY.</w:t>
      </w:r>
    </w:p>
    <w:p>
      <w:pPr>
        <w:spacing w:line="184" w:lineRule="exact" w:before="0"/>
        <w:ind w:left="673" w:right="0" w:firstLine="0"/>
        <w:jc w:val="left"/>
        <w:rPr>
          <w:sz w:val="16"/>
        </w:rPr>
      </w:pPr>
      <w:r>
        <w:rPr>
          <w:position w:val="8"/>
          <w:sz w:val="10"/>
        </w:rPr>
        <w:t>12 </w:t>
      </w:r>
      <w:r>
        <w:rPr>
          <w:sz w:val="16"/>
        </w:rPr>
        <w:t>See for example “The Brexit effect on EU nationals”, KPMG, 25 August 2017.</w:t>
      </w:r>
    </w:p>
    <w:p>
      <w:pPr>
        <w:spacing w:line="184" w:lineRule="exact" w:before="14"/>
        <w:ind w:left="673" w:right="1183" w:firstLine="0"/>
        <w:jc w:val="both"/>
        <w:rPr>
          <w:sz w:val="16"/>
        </w:rPr>
      </w:pPr>
      <w:r>
        <w:rPr>
          <w:position w:val="8"/>
          <w:sz w:val="10"/>
        </w:rPr>
        <w:t>13 </w:t>
      </w:r>
      <w:r>
        <w:rPr>
          <w:sz w:val="16"/>
        </w:rPr>
        <w:t>World Bank data put remittances from the UK to other EU countries at $8.8bn in 2016 (35% of total remittances sent from the UK), up from $6.3bn in 2010. In 2016, there were on average 2.3 million EU nationals working in the UK. So, if one assumes that the remittance outflow is entirely driven by EU nationals, then this works out as an average of $3800 per person per year.</w:t>
      </w:r>
    </w:p>
    <w:p>
      <w:pPr>
        <w:spacing w:after="0" w:line="184" w:lineRule="exact"/>
        <w:jc w:val="both"/>
        <w:rPr>
          <w:sz w:val="16"/>
        </w:rPr>
        <w:sectPr>
          <w:footerReference w:type="default" r:id="rId9"/>
          <w:pgSz w:w="11910" w:h="16840"/>
          <w:pgMar w:footer="1338" w:header="0" w:top="1520" w:bottom="1520" w:left="460" w:right="0"/>
        </w:sectPr>
      </w:pPr>
    </w:p>
    <w:p>
      <w:pPr>
        <w:pStyle w:val="BodyText"/>
        <w:spacing w:line="360" w:lineRule="auto" w:before="79"/>
        <w:ind w:left="673" w:right="1208"/>
      </w:pPr>
      <w:r>
        <w:rPr/>
        <w:t>There may also be an impact from stronger growth and reduced slack elsewhere, especially in the countries that until recently saw outflows of workers. For the EU as a whole, unemployment is at a 9-year low, and the share of firms that report output is constrained by labour shortages is at a record high – with very high readings in the A8 countries (see figure 10). Wage growth in the A8 countries has picked up markedly</w:t>
      </w:r>
      <w:r>
        <w:rPr>
          <w:vertAlign w:val="superscript"/>
        </w:rPr>
        <w:t>14</w:t>
      </w:r>
      <w:r>
        <w:rPr>
          <w:vertAlign w:val="baseline"/>
        </w:rPr>
        <w:t>.</w:t>
      </w:r>
    </w:p>
    <w:p>
      <w:pPr>
        <w:pStyle w:val="BodyText"/>
        <w:spacing w:line="357" w:lineRule="auto"/>
        <w:ind w:left="673" w:right="1188"/>
      </w:pPr>
      <w:r>
        <w:rPr/>
        <w:t>Even Germany, which obviously is not leaving the EU, has seen a sharp slowdown in the number of</w:t>
      </w:r>
      <w:r>
        <w:rPr>
          <w:spacing w:val="-28"/>
        </w:rPr>
        <w:t> </w:t>
      </w:r>
      <w:r>
        <w:rPr/>
        <w:t>citizens from other EU countries in its</w:t>
      </w:r>
      <w:r>
        <w:rPr>
          <w:spacing w:val="8"/>
        </w:rPr>
        <w:t> </w:t>
      </w:r>
      <w:r>
        <w:rPr/>
        <w:t>workforce</w:t>
      </w:r>
      <w:r>
        <w:rPr>
          <w:vertAlign w:val="superscript"/>
        </w:rPr>
        <w:t>15</w:t>
      </w:r>
      <w:r>
        <w:rPr>
          <w:vertAlign w:val="baseline"/>
        </w:rPr>
        <w:t>.</w:t>
      </w:r>
    </w:p>
    <w:p>
      <w:pPr>
        <w:pStyle w:val="BodyText"/>
        <w:spacing w:before="4"/>
        <w:rPr>
          <w:sz w:val="30"/>
        </w:rPr>
      </w:pPr>
    </w:p>
    <w:p>
      <w:pPr>
        <w:pStyle w:val="BodyText"/>
        <w:spacing w:line="360" w:lineRule="auto"/>
        <w:ind w:left="673" w:right="1188"/>
      </w:pPr>
      <w:r>
        <w:rPr/>
        <w:t>Prospects for migration flows are uncertain. But </w:t>
      </w:r>
      <w:r>
        <w:rPr>
          <w:spacing w:val="3"/>
        </w:rPr>
        <w:t>my </w:t>
      </w:r>
      <w:r>
        <w:rPr/>
        <w:t>own view is that, given the tightening in labour</w:t>
      </w:r>
      <w:r>
        <w:rPr>
          <w:spacing w:val="-39"/>
        </w:rPr>
        <w:t> </w:t>
      </w:r>
      <w:r>
        <w:rPr/>
        <w:t>markets elsewhere and ongoing Brexit uncertainties, net inflows from EU countries to the UK workforce in coming years will remain much lower than in recent years. I would not be surprised if they turn negative – ie more people leave than arrive -- at some stage.</w:t>
      </w:r>
    </w:p>
    <w:p>
      <w:pPr>
        <w:pStyle w:val="BodyText"/>
        <w:spacing w:before="10"/>
        <w:rPr>
          <w:sz w:val="29"/>
        </w:rPr>
      </w:pPr>
    </w:p>
    <w:p>
      <w:pPr>
        <w:pStyle w:val="BodyText"/>
        <w:spacing w:line="360" w:lineRule="auto" w:before="1"/>
        <w:ind w:left="673" w:right="1222"/>
      </w:pPr>
      <w:r>
        <w:rPr/>
        <w:t>It seems unlikely that the reduction in labour supply growth from lower net inflows of foreign workers will be fully offset by a rise in participation rates. The UK participation rate is already around a record high, and the number of people that are not counted in the workforce but say they would like a job is around a record low</w:t>
      </w:r>
      <w:r>
        <w:rPr>
          <w:vertAlign w:val="superscript"/>
        </w:rPr>
        <w:t>16</w:t>
      </w:r>
      <w:r>
        <w:rPr>
          <w:vertAlign w:val="baseline"/>
        </w:rPr>
        <w:t>.</w:t>
      </w:r>
    </w:p>
    <w:p>
      <w:pPr>
        <w:pStyle w:val="BodyText"/>
        <w:rPr>
          <w:sz w:val="30"/>
        </w:rPr>
      </w:pPr>
    </w:p>
    <w:p>
      <w:pPr>
        <w:pStyle w:val="BodyText"/>
        <w:spacing w:line="360" w:lineRule="auto"/>
        <w:ind w:left="673" w:right="1188"/>
      </w:pPr>
      <w:r>
        <w:rPr/>
        <w:t>With reduced workforce growth, productivity growth would need to pick up substantially to keep potential economic growth at around 1½% YoY. There is little sign of this at present. Productivity did rise markedly in Q3 in QoQ terms -- the flipside of the drop in employment noted earlier. But this followed a couple of very weak quarters for productivity. The YoY pace, at 0.8%, is similar to the subdued trends of recent years.</w:t>
      </w:r>
    </w:p>
    <w:p>
      <w:pPr>
        <w:pStyle w:val="BodyText"/>
        <w:spacing w:before="1"/>
        <w:rPr>
          <w:sz w:val="30"/>
        </w:rPr>
      </w:pPr>
    </w:p>
    <w:p>
      <w:pPr>
        <w:pStyle w:val="BodyText"/>
        <w:spacing w:line="360" w:lineRule="auto"/>
        <w:ind w:left="673" w:right="1915"/>
        <w:jc w:val="both"/>
      </w:pPr>
      <w:r>
        <w:rPr/>
        <w:t>I do not believe that the UK is inevitably locked into persistent low productivity growth. Technological innovation remains high and there is ample scope for UK productivity to catch up to the higher levels elsewhere, for example, the US and Germany.</w:t>
      </w:r>
    </w:p>
    <w:p>
      <w:pPr>
        <w:pStyle w:val="BodyText"/>
        <w:rPr>
          <w:sz w:val="30"/>
        </w:rPr>
      </w:pPr>
    </w:p>
    <w:p>
      <w:pPr>
        <w:pStyle w:val="BodyText"/>
        <w:spacing w:line="360" w:lineRule="auto" w:before="1"/>
        <w:ind w:left="673" w:right="1140"/>
      </w:pPr>
      <w:r>
        <w:rPr/>
        <w:t>However, the route to a sustained pickup in productivity growth probably relies on higher levels of investment and training. At present, there is little sign that these are changing dramatically</w:t>
      </w:r>
      <w:r>
        <w:rPr>
          <w:vertAlign w:val="superscript"/>
        </w:rPr>
        <w:t>17</w:t>
      </w:r>
      <w:r>
        <w:rPr>
          <w:vertAlign w:val="baseline"/>
        </w:rPr>
        <w:t>. Moreover, the drop in inward migration seems to be adversely affecting workforce quality, which may cap future productivity gains. Over 2006-2016, the number of graduates in the UK workforce rose by an average of 4.1% YoY, somewhat above the EU average (3.3% YoY). Roughly one third of that rise in the UK reflected foreign citizens</w:t>
      </w:r>
      <w:r>
        <w:rPr>
          <w:vertAlign w:val="superscript"/>
        </w:rPr>
        <w:t>18</w:t>
      </w:r>
      <w:r>
        <w:rPr>
          <w:vertAlign w:val="baseline"/>
        </w:rPr>
        <w:t>. Now, with reduced foreign worker inflows, the number of graduates in the UK workforce is up just 0.6% YoY (Q3</w:t>
      </w:r>
    </w:p>
    <w:p>
      <w:pPr>
        <w:pStyle w:val="BodyText"/>
      </w:pPr>
    </w:p>
    <w:p>
      <w:pPr>
        <w:pStyle w:val="BodyText"/>
        <w:spacing w:before="1"/>
        <w:rPr>
          <w:sz w:val="11"/>
        </w:rPr>
      </w:pPr>
      <w:r>
        <w:rPr/>
        <w:pict>
          <v:shape style="position:absolute;margin-left:56.664001pt;margin-top:8.622793pt;width:144.050pt;height:.1pt;mso-position-horizontal-relative:page;mso-position-vertical-relative:paragraph;z-index:-251654144;mso-wrap-distance-left:0;mso-wrap-distance-right:0" coordorigin="1133,172" coordsize="2881,0" path="m1133,172l4014,172e" filled="false" stroked="true" strokeweight=".47998pt" strokecolor="#000000">
            <v:path arrowok="t"/>
            <v:stroke dashstyle="solid"/>
            <w10:wrap type="topAndBottom"/>
          </v:shape>
        </w:pict>
      </w:r>
    </w:p>
    <w:p>
      <w:pPr>
        <w:spacing w:before="30"/>
        <w:ind w:left="673" w:right="1188" w:firstLine="0"/>
        <w:jc w:val="left"/>
        <w:rPr>
          <w:sz w:val="16"/>
        </w:rPr>
      </w:pPr>
      <w:r>
        <w:rPr>
          <w:position w:val="8"/>
          <w:sz w:val="10"/>
        </w:rPr>
        <w:t>14 </w:t>
      </w:r>
      <w:r>
        <w:rPr>
          <w:sz w:val="16"/>
        </w:rPr>
        <w:t>Wages and salaries per hour in the A8 countries rose by an average of 7.4% YoY in Q1-Q3 2017 (latest data, GDP weighted across countries) compared to roughly 4% YoY in 2015 and 2016.</w:t>
      </w:r>
    </w:p>
    <w:p>
      <w:pPr>
        <w:spacing w:line="184" w:lineRule="exact" w:before="2"/>
        <w:ind w:left="673" w:right="1368" w:firstLine="0"/>
        <w:jc w:val="left"/>
        <w:rPr>
          <w:sz w:val="16"/>
        </w:rPr>
      </w:pPr>
      <w:r>
        <w:rPr>
          <w:position w:val="8"/>
          <w:sz w:val="10"/>
        </w:rPr>
        <w:t>15 </w:t>
      </w:r>
      <w:r>
        <w:rPr>
          <w:sz w:val="16"/>
        </w:rPr>
        <w:t>The number of non-German EU citizens in Germany’s workforce rose 0.7% YoY in 2017Q3, versus average gains of 10.0% YoY in 2013-16.</w:t>
      </w:r>
    </w:p>
    <w:p>
      <w:pPr>
        <w:spacing w:line="180" w:lineRule="exact" w:before="0"/>
        <w:ind w:left="673" w:right="0" w:firstLine="0"/>
        <w:jc w:val="left"/>
        <w:rPr>
          <w:sz w:val="16"/>
        </w:rPr>
      </w:pPr>
      <w:r>
        <w:rPr>
          <w:position w:val="8"/>
          <w:sz w:val="10"/>
        </w:rPr>
        <w:t>16 </w:t>
      </w:r>
      <w:r>
        <w:rPr>
          <w:sz w:val="16"/>
        </w:rPr>
        <w:t>Moreover, participation rates among people aged 65+ years, which had been rising, have flattened off recently. The UK participation</w:t>
      </w:r>
    </w:p>
    <w:p>
      <w:pPr>
        <w:spacing w:line="173" w:lineRule="exact" w:before="1"/>
        <w:ind w:left="673" w:right="0" w:firstLine="0"/>
        <w:jc w:val="left"/>
        <w:rPr>
          <w:sz w:val="16"/>
        </w:rPr>
      </w:pPr>
      <w:r>
        <w:rPr>
          <w:sz w:val="16"/>
        </w:rPr>
        <w:t>rate among people aged 65-74 years is already the equal second highest among the EU15 countries, exceeded only by Sweden.</w:t>
      </w:r>
    </w:p>
    <w:p>
      <w:pPr>
        <w:spacing w:line="182" w:lineRule="exact" w:before="17"/>
        <w:ind w:left="673" w:right="1188" w:firstLine="0"/>
        <w:jc w:val="left"/>
        <w:rPr>
          <w:sz w:val="16"/>
        </w:rPr>
      </w:pPr>
      <w:r>
        <w:rPr>
          <w:position w:val="8"/>
          <w:sz w:val="10"/>
        </w:rPr>
        <w:t>17 </w:t>
      </w:r>
      <w:r>
        <w:rPr>
          <w:sz w:val="16"/>
        </w:rPr>
        <w:t>The CBI reports that the balance of firms intending to invest more in training is similar to the average of the last five years for both the manufacturing and service sectors.</w:t>
      </w:r>
    </w:p>
    <w:p>
      <w:pPr>
        <w:spacing w:line="184" w:lineRule="exact" w:before="1"/>
        <w:ind w:left="673" w:right="1140" w:firstLine="0"/>
        <w:jc w:val="left"/>
        <w:rPr>
          <w:sz w:val="16"/>
        </w:rPr>
      </w:pPr>
      <w:r>
        <w:rPr>
          <w:position w:val="8"/>
          <w:sz w:val="10"/>
        </w:rPr>
        <w:t>18 </w:t>
      </w:r>
      <w:r>
        <w:rPr>
          <w:sz w:val="16"/>
        </w:rPr>
        <w:t>49% of foreign citizens in the UK workforce (aged 15-64 years) have tertiary education, versus 37% of UK citizens. In 2016, half of the rise in the stock of graduates in the UK workforce reflected foreign citizens.</w:t>
      </w:r>
    </w:p>
    <w:p>
      <w:pPr>
        <w:spacing w:after="0" w:line="184" w:lineRule="exact"/>
        <w:jc w:val="left"/>
        <w:rPr>
          <w:sz w:val="16"/>
        </w:rPr>
        <w:sectPr>
          <w:footerReference w:type="default" r:id="rId10"/>
          <w:pgSz w:w="11910" w:h="16840"/>
          <w:pgMar w:footer="1338" w:header="0" w:top="1520" w:bottom="1520" w:left="460" w:right="0"/>
        </w:sectPr>
      </w:pPr>
    </w:p>
    <w:p>
      <w:pPr>
        <w:pStyle w:val="BodyText"/>
        <w:spacing w:line="357" w:lineRule="auto" w:before="119"/>
        <w:ind w:left="673" w:right="1328"/>
      </w:pPr>
      <w:r>
        <w:rPr/>
        <w:t>2017, latest data), the lowest growth since quarterly data began in 2000</w:t>
      </w:r>
      <w:r>
        <w:rPr>
          <w:vertAlign w:val="superscript"/>
        </w:rPr>
        <w:t>19</w:t>
      </w:r>
      <w:r>
        <w:rPr>
          <w:vertAlign w:val="baseline"/>
        </w:rPr>
        <w:t> and among the lowest of any EU country (see figure 11).</w:t>
      </w:r>
    </w:p>
    <w:p>
      <w:pPr>
        <w:pStyle w:val="BodyText"/>
        <w:spacing w:before="4"/>
        <w:rPr>
          <w:sz w:val="30"/>
        </w:rPr>
      </w:pPr>
    </w:p>
    <w:p>
      <w:pPr>
        <w:pStyle w:val="BodyText"/>
        <w:spacing w:line="360" w:lineRule="auto"/>
        <w:ind w:left="673" w:right="1441"/>
      </w:pPr>
      <w:r>
        <w:rPr/>
        <w:t>All this points to the possibility that UK potential growth may now be below 1½%. For example, the OECD estimates euro area potential growth at around 1%. The UK and euro area have had similarly low rates of productivity growth in recent years. The difference in potential growth reflects the greater boost to the UK workforce from inward migration. Take this away and, unless UK productivity growth rises markedly, UK potential growth would be similar to the meagre euro area pace. I stress that monetary policy can do very little to lift trends in potential growth or productivity growth.</w:t>
      </w:r>
    </w:p>
    <w:p>
      <w:pPr>
        <w:pStyle w:val="BodyText"/>
        <w:spacing w:before="11"/>
        <w:rPr>
          <w:sz w:val="29"/>
        </w:rPr>
      </w:pPr>
    </w:p>
    <w:p>
      <w:pPr>
        <w:pStyle w:val="BodyText"/>
        <w:spacing w:line="360" w:lineRule="auto"/>
        <w:ind w:left="673" w:right="1140"/>
      </w:pPr>
      <w:r>
        <w:rPr/>
        <w:t>Of course, the drop in foreign worker inflows reduces demand in the economy as well as supply. For example, it is likely to already be hitting consumer spending, with an impact roughly proportionate to the drop in workforce growth</w:t>
      </w:r>
      <w:r>
        <w:rPr>
          <w:vertAlign w:val="superscript"/>
        </w:rPr>
        <w:t>20</w:t>
      </w:r>
      <w:r>
        <w:rPr>
          <w:vertAlign w:val="baseline"/>
        </w:rPr>
        <w:t>. However, the adverse effects on overall GDP may not necessarily be as immediate.</w:t>
      </w:r>
    </w:p>
    <w:p>
      <w:pPr>
        <w:pStyle w:val="BodyText"/>
        <w:spacing w:line="360" w:lineRule="auto"/>
        <w:ind w:left="673" w:right="1118"/>
      </w:pPr>
      <w:r>
        <w:rPr/>
        <w:t>The impact on investment may be bigger or smaller, depending on the extent to which foreign workers are a complement or a substitute for the capital stock. And lower workforce growth probably only affects exports through a gradual process of capacity constraints and upward pressures on pay – which will eventually reduce demand for UK exports to match the reduced potential supply – rather than the immediate effects that would be likely for consumer spending. Either way, the signs so far are that the economy as a whole is growing steadily despite this headwind.</w:t>
      </w:r>
    </w:p>
    <w:p>
      <w:pPr>
        <w:pStyle w:val="BodyText"/>
        <w:rPr>
          <w:sz w:val="30"/>
        </w:rPr>
      </w:pPr>
    </w:p>
    <w:p>
      <w:pPr>
        <w:pStyle w:val="BodyText"/>
        <w:spacing w:line="360" w:lineRule="auto"/>
        <w:ind w:left="673" w:right="1296"/>
      </w:pPr>
      <w:r>
        <w:rPr/>
        <w:t>Overall, I suspect that – in line with business surveys – the economy will probably continue to grow steadily at around its recent pace, and as a result the labour market will tighten further.</w:t>
      </w:r>
    </w:p>
    <w:p>
      <w:pPr>
        <w:pStyle w:val="BodyText"/>
        <w:spacing w:before="2"/>
        <w:rPr>
          <w:sz w:val="30"/>
        </w:rPr>
      </w:pPr>
    </w:p>
    <w:p>
      <w:pPr>
        <w:pStyle w:val="BodyText"/>
        <w:ind w:left="673"/>
      </w:pPr>
      <w:r>
        <w:rPr/>
        <w:t>Let me turn to prospects for the growth of labour costs, especially pay.</w:t>
      </w:r>
    </w:p>
    <w:p>
      <w:pPr>
        <w:pStyle w:val="BodyText"/>
        <w:rPr>
          <w:sz w:val="22"/>
        </w:rPr>
      </w:pPr>
    </w:p>
    <w:p>
      <w:pPr>
        <w:pStyle w:val="BodyText"/>
        <w:spacing w:before="10"/>
        <w:rPr>
          <w:sz w:val="17"/>
        </w:rPr>
      </w:pPr>
    </w:p>
    <w:p>
      <w:pPr>
        <w:pStyle w:val="BodyText"/>
        <w:spacing w:line="360" w:lineRule="auto"/>
        <w:ind w:left="673" w:right="1282"/>
      </w:pPr>
      <w:r>
        <w:rPr/>
        <w:t>The economy currently seems to have limited slack. Business surveys, including the BoE Agents, suggest that staff recruitment difficulties have worsened over the last year – especially for skilled and professional staff -- and are similar to pre-crisis peaks (see figure 12). Unemployment is low by historic norms, with short-term unemployment at a record low. The net balance of people wanting to work more hours has fallen close to zero. Consistent with this, inflation among CPI components that are driven chiefly by domestic factors is close to a target-consistent pace, assuming a normal trend in import prices. From this starting</w:t>
      </w:r>
    </w:p>
    <w:p>
      <w:pPr>
        <w:pStyle w:val="BodyText"/>
        <w:spacing w:line="360" w:lineRule="auto"/>
        <w:ind w:left="673" w:right="1188"/>
      </w:pPr>
      <w:r>
        <w:rPr/>
        <w:t>point, my hunch is that further tightening in the labour market is likely to cause underlying pay growth to pick up from about 2¼% recently to about 3% this year and probably a little higher next year.</w:t>
      </w:r>
    </w:p>
    <w:p>
      <w:pPr>
        <w:pStyle w:val="BodyText"/>
        <w:spacing w:before="2"/>
        <w:rPr>
          <w:sz w:val="30"/>
        </w:rPr>
      </w:pPr>
    </w:p>
    <w:p>
      <w:pPr>
        <w:pStyle w:val="BodyText"/>
        <w:spacing w:line="357" w:lineRule="auto"/>
        <w:ind w:left="673" w:right="1262"/>
      </w:pPr>
      <w:r>
        <w:rPr/>
        <w:pict>
          <v:shape style="position:absolute;margin-left:56.664001pt;margin-top:40.819893pt;width:144.050pt;height:.1pt;mso-position-horizontal-relative:page;mso-position-vertical-relative:paragraph;z-index:-251653120;mso-wrap-distance-left:0;mso-wrap-distance-right:0" coordorigin="1133,816" coordsize="2881,0" path="m1133,816l4014,816e" filled="false" stroked="true" strokeweight=".47998pt" strokecolor="#000000">
            <v:path arrowok="t"/>
            <v:stroke dashstyle="solid"/>
            <w10:wrap type="topAndBottom"/>
          </v:shape>
        </w:pict>
      </w:r>
      <w:r>
        <w:rPr/>
        <w:t>Now, I am fully aware that pay growth has repeatedly undershot the forecasts of the MPC and external consensus in recent years. This has led some people to argue that the wage Phillips curve – the theory that</w:t>
      </w:r>
    </w:p>
    <w:p>
      <w:pPr>
        <w:spacing w:line="195" w:lineRule="exact" w:before="30"/>
        <w:ind w:left="673" w:right="0" w:firstLine="0"/>
        <w:jc w:val="left"/>
        <w:rPr>
          <w:sz w:val="16"/>
        </w:rPr>
      </w:pPr>
      <w:r>
        <w:rPr>
          <w:position w:val="8"/>
          <w:sz w:val="10"/>
        </w:rPr>
        <w:t>19 </w:t>
      </w:r>
      <w:r>
        <w:rPr>
          <w:sz w:val="16"/>
        </w:rPr>
        <w:t>Annual data for the UK go back to 1993 and the latest figure is below any annual average for that period.</w:t>
      </w:r>
    </w:p>
    <w:p>
      <w:pPr>
        <w:spacing w:line="184" w:lineRule="exact" w:before="13"/>
        <w:ind w:left="673" w:right="1288" w:firstLine="0"/>
        <w:jc w:val="left"/>
        <w:rPr>
          <w:sz w:val="16"/>
        </w:rPr>
      </w:pPr>
      <w:r>
        <w:rPr>
          <w:position w:val="8"/>
          <w:sz w:val="10"/>
        </w:rPr>
        <w:t>20 </w:t>
      </w:r>
      <w:r>
        <w:rPr>
          <w:sz w:val="16"/>
        </w:rPr>
        <w:t>The effect on consumer spending may be less than the effect on the workforce if foreign workers send significant remittances home. The recycling of such remittances into increased demand for UK exports is likely to be limited given the UK’s modest share in world trade.</w:t>
      </w:r>
    </w:p>
    <w:p>
      <w:pPr>
        <w:spacing w:after="0" w:line="184" w:lineRule="exact"/>
        <w:jc w:val="left"/>
        <w:rPr>
          <w:sz w:val="16"/>
        </w:rPr>
        <w:sectPr>
          <w:footerReference w:type="default" r:id="rId11"/>
          <w:pgSz w:w="11910" w:h="16840"/>
          <w:pgMar w:footer="1338" w:header="0" w:top="1480" w:bottom="1520" w:left="460" w:right="0"/>
        </w:sectPr>
      </w:pPr>
    </w:p>
    <w:p>
      <w:pPr>
        <w:pStyle w:val="BodyText"/>
        <w:spacing w:line="357" w:lineRule="auto" w:before="79"/>
        <w:ind w:left="673" w:right="1241"/>
      </w:pPr>
      <w:r>
        <w:rPr/>
        <w:t>lower unemployment will lift pay growth – is effectively dead or flat, with the result that falling unemployment produces little or no upward effect on pay growth.</w:t>
      </w:r>
    </w:p>
    <w:p>
      <w:pPr>
        <w:pStyle w:val="BodyText"/>
        <w:spacing w:before="4"/>
        <w:rPr>
          <w:sz w:val="30"/>
        </w:rPr>
      </w:pPr>
    </w:p>
    <w:p>
      <w:pPr>
        <w:pStyle w:val="BodyText"/>
        <w:spacing w:line="360" w:lineRule="auto"/>
        <w:ind w:left="673" w:right="1211"/>
      </w:pPr>
      <w:r>
        <w:rPr/>
        <w:t>However, I still think the wage Phillips curve is a useful framework, especially if broadened to include trends in productivity growth and inflation expectations. Various factors have probably shifted the UK Phillips curve down in recent years – implying lower pay growth for a given jobless rate. These factors include wider education attainment, changes to the tax and benefit system, the spread of less secure forms of employment, more widespread under-employment and so forth (see figure 13)</w:t>
      </w:r>
      <w:r>
        <w:rPr>
          <w:vertAlign w:val="superscript"/>
        </w:rPr>
        <w:t>21</w:t>
      </w:r>
      <w:r>
        <w:rPr>
          <w:vertAlign w:val="baseline"/>
        </w:rPr>
        <w:t>.</w:t>
      </w:r>
    </w:p>
    <w:p>
      <w:pPr>
        <w:pStyle w:val="BodyText"/>
        <w:spacing w:before="10"/>
        <w:rPr>
          <w:sz w:val="29"/>
        </w:rPr>
      </w:pPr>
    </w:p>
    <w:p>
      <w:pPr>
        <w:pStyle w:val="BodyText"/>
        <w:spacing w:line="360" w:lineRule="auto"/>
        <w:ind w:left="673" w:right="1135"/>
      </w:pPr>
      <w:r>
        <w:rPr/>
        <w:t>Recognising this, the MPC a year ago cut its estimate of the equilibrium jobless rate (U*) from 5% to 4½%. This would imply that the economy can probably operate with a lower unemployment rate than in the past. As I have said before</w:t>
      </w:r>
      <w:r>
        <w:rPr>
          <w:vertAlign w:val="superscript"/>
        </w:rPr>
        <w:t>22</w:t>
      </w:r>
      <w:r>
        <w:rPr>
          <w:vertAlign w:val="baseline"/>
        </w:rPr>
        <w:t>, I consider it possible that the equilibrium jobless rate is slightly below 4½%. But I doubt it is very much lower. Pay growth in recent years has followed a path broadly consistent with a 4½% U* estimate, given trends in inflation expectations and productivity growth. The same holds for the latest data, for Q3 2017. The wage Phillips curve is also intact at a regional level, although there is tentative evidence that it has flattened a bit in the last few years compared to estimates up to 2011 or 2014, such that wage growth reacts a bit less than previously to any given drop in unemployment (see figure 14)</w:t>
      </w:r>
      <w:r>
        <w:rPr>
          <w:vertAlign w:val="superscript"/>
        </w:rPr>
        <w:t>23</w:t>
      </w:r>
      <w:r>
        <w:rPr>
          <w:vertAlign w:val="baseline"/>
        </w:rPr>
        <w:t>. It appears to me that the Phillips curve has shifted, but not</w:t>
      </w:r>
      <w:r>
        <w:rPr>
          <w:spacing w:val="-8"/>
          <w:vertAlign w:val="baseline"/>
        </w:rPr>
        <w:t> </w:t>
      </w:r>
      <w:r>
        <w:rPr>
          <w:vertAlign w:val="baseline"/>
        </w:rPr>
        <w:t>vanished.</w:t>
      </w:r>
    </w:p>
    <w:p>
      <w:pPr>
        <w:pStyle w:val="BodyText"/>
        <w:spacing w:before="2"/>
        <w:rPr>
          <w:sz w:val="30"/>
        </w:rPr>
      </w:pPr>
    </w:p>
    <w:p>
      <w:pPr>
        <w:pStyle w:val="BodyText"/>
        <w:spacing w:before="1"/>
        <w:ind w:left="673"/>
      </w:pPr>
      <w:r>
        <w:rPr/>
        <w:t>Moreover, pay growth during 2017 probably has not fully reflected the recent labour market tightening.</w:t>
      </w:r>
    </w:p>
    <w:p>
      <w:pPr>
        <w:pStyle w:val="BodyText"/>
        <w:rPr>
          <w:sz w:val="22"/>
        </w:rPr>
      </w:pPr>
    </w:p>
    <w:p>
      <w:pPr>
        <w:pStyle w:val="BodyText"/>
        <w:spacing w:before="10"/>
        <w:rPr>
          <w:sz w:val="17"/>
        </w:rPr>
      </w:pPr>
    </w:p>
    <w:p>
      <w:pPr>
        <w:pStyle w:val="BodyText"/>
        <w:spacing w:line="360" w:lineRule="auto"/>
        <w:ind w:left="673" w:right="1149"/>
      </w:pPr>
      <w:r>
        <w:rPr/>
        <w:t>First, YoY pay growth typically reacts to changes in the jobless rate with a lag of several quarters. As such, pay trends in 2017 probably tell us more about labour market slack in 2016 than in 2017. And these lags may currently be a little longer than usual. For several years, the recession left a hangover of caution and job insecurity, which limited the extent to which people moved job for slightly better pay. In turn, the relatively</w:t>
      </w:r>
      <w:r>
        <w:rPr>
          <w:spacing w:val="-31"/>
        </w:rPr>
        <w:t> </w:t>
      </w:r>
      <w:r>
        <w:rPr/>
        <w:t>low level of job-to-job moves in recent years has probably reduced the extent to which firms feel pressure to raise pay to retain staff. This has led to an unusually wide gap between pay growth for job movers (8.0% YoY on average in 2016-2017, similar to the pre-crisis norm) and for those who stay in the same job (2.6%, well below the pre-crisis norm), see figure 15. Anecdotally, firms report they must pay up for new hires but so far have to an extent been able to limit passing on the higher pay levels to existing staff. In recent quarters, the number of job-to-job moves has returned to something like the pre-crisis norm (see figure 16)</w:t>
      </w:r>
      <w:r>
        <w:rPr>
          <w:vertAlign w:val="superscript"/>
        </w:rPr>
        <w:t>24</w:t>
      </w:r>
      <w:r>
        <w:rPr>
          <w:vertAlign w:val="baseline"/>
        </w:rPr>
        <w:t>. Over time, I would expect the tight labour market and wide gap in pay growth between job movers and job-stayers to encourage more people to move job and pressure firms to pay more to keep</w:t>
      </w:r>
      <w:r>
        <w:rPr>
          <w:spacing w:val="-18"/>
          <w:vertAlign w:val="baseline"/>
        </w:rPr>
        <w:t> </w:t>
      </w:r>
      <w:r>
        <w:rPr>
          <w:vertAlign w:val="baseline"/>
        </w:rPr>
        <w:t>staff.</w:t>
      </w:r>
    </w:p>
    <w:p>
      <w:pPr>
        <w:pStyle w:val="BodyText"/>
      </w:pPr>
    </w:p>
    <w:p>
      <w:pPr>
        <w:pStyle w:val="BodyText"/>
        <w:spacing w:before="4"/>
        <w:rPr>
          <w:sz w:val="29"/>
        </w:rPr>
      </w:pPr>
      <w:r>
        <w:rPr/>
        <w:pict>
          <v:shape style="position:absolute;margin-left:56.664001pt;margin-top:19.07918pt;width:144.050pt;height:.1pt;mso-position-horizontal-relative:page;mso-position-vertical-relative:paragraph;z-index:-251652096;mso-wrap-distance-left:0;mso-wrap-distance-right:0" coordorigin="1133,382" coordsize="2881,0" path="m1133,382l4014,382e" filled="false" stroked="true" strokeweight=".48004pt" strokecolor="#000000">
            <v:path arrowok="t"/>
            <v:stroke dashstyle="solid"/>
            <w10:wrap type="topAndBottom"/>
          </v:shape>
        </w:pict>
      </w:r>
    </w:p>
    <w:p>
      <w:pPr>
        <w:spacing w:line="195" w:lineRule="exact" w:before="30"/>
        <w:ind w:left="673" w:right="0" w:firstLine="0"/>
        <w:jc w:val="left"/>
        <w:rPr>
          <w:sz w:val="16"/>
        </w:rPr>
      </w:pPr>
      <w:r>
        <w:rPr>
          <w:position w:val="8"/>
          <w:sz w:val="10"/>
        </w:rPr>
        <w:t>21 </w:t>
      </w:r>
      <w:r>
        <w:rPr>
          <w:sz w:val="16"/>
        </w:rPr>
        <w:t>See Haldane (2017) and Saunders (2017).</w:t>
      </w:r>
    </w:p>
    <w:p>
      <w:pPr>
        <w:spacing w:line="184" w:lineRule="exact" w:before="0"/>
        <w:ind w:left="673" w:right="0" w:firstLine="0"/>
        <w:jc w:val="left"/>
        <w:rPr>
          <w:sz w:val="16"/>
        </w:rPr>
      </w:pPr>
      <w:r>
        <w:rPr>
          <w:position w:val="8"/>
          <w:sz w:val="10"/>
        </w:rPr>
        <w:t>22 </w:t>
      </w:r>
      <w:r>
        <w:rPr>
          <w:sz w:val="16"/>
        </w:rPr>
        <w:t>See evidence to the House of Commons Treasury Select Committee, November 2017.</w:t>
      </w:r>
    </w:p>
    <w:p>
      <w:pPr>
        <w:spacing w:line="196" w:lineRule="exact" w:before="0"/>
        <w:ind w:left="673" w:right="0" w:firstLine="0"/>
        <w:jc w:val="left"/>
        <w:rPr>
          <w:sz w:val="16"/>
        </w:rPr>
      </w:pPr>
      <w:r>
        <w:rPr>
          <w:position w:val="8"/>
          <w:sz w:val="10"/>
        </w:rPr>
        <w:t>23 </w:t>
      </w:r>
      <w:r>
        <w:rPr>
          <w:sz w:val="16"/>
        </w:rPr>
        <w:t>The Phillips curve estimates ending in 2017 are not flatter than those for the pre-crisis period, although it is difficult to estimate a</w:t>
      </w:r>
    </w:p>
    <w:p>
      <w:pPr>
        <w:spacing w:before="0"/>
        <w:ind w:left="673" w:right="1188" w:firstLine="0"/>
        <w:jc w:val="left"/>
        <w:rPr>
          <w:sz w:val="16"/>
        </w:rPr>
      </w:pPr>
      <w:r>
        <w:rPr>
          <w:sz w:val="16"/>
        </w:rPr>
        <w:t>Phillips Curve in the pre-crisis period, most probably because the economy and labour market were close to trend. See Leduc and Wilson (2017) for the US experience.</w:t>
      </w:r>
    </w:p>
    <w:p>
      <w:pPr>
        <w:spacing w:line="184" w:lineRule="exact" w:before="2"/>
        <w:ind w:left="673" w:right="1188" w:firstLine="0"/>
        <w:jc w:val="left"/>
        <w:rPr>
          <w:sz w:val="16"/>
        </w:rPr>
      </w:pPr>
      <w:r>
        <w:rPr>
          <w:position w:val="8"/>
          <w:sz w:val="10"/>
        </w:rPr>
        <w:t>24 </w:t>
      </w:r>
      <w:r>
        <w:rPr>
          <w:sz w:val="16"/>
        </w:rPr>
        <w:t>The rise in the numbers of self-employed, who report very low levels of job-to-job flows, has probably reduced the normal level of overall job-to-job flows. Adjusting for this, the number of job-to-job flows is very close to the 2001-07 average.</w:t>
      </w:r>
    </w:p>
    <w:p>
      <w:pPr>
        <w:spacing w:after="0" w:line="184" w:lineRule="exact"/>
        <w:jc w:val="left"/>
        <w:rPr>
          <w:sz w:val="16"/>
        </w:rPr>
        <w:sectPr>
          <w:footerReference w:type="default" r:id="rId12"/>
          <w:pgSz w:w="11910" w:h="16840"/>
          <w:pgMar w:footer="1338" w:header="0" w:top="1520" w:bottom="1520" w:left="460" w:right="0"/>
        </w:sectPr>
      </w:pPr>
    </w:p>
    <w:p>
      <w:pPr>
        <w:pStyle w:val="BodyText"/>
        <w:spacing w:line="360" w:lineRule="auto" w:before="79"/>
        <w:ind w:left="673" w:right="1143"/>
      </w:pPr>
      <w:r>
        <w:rPr/>
        <w:t>Second, composition effects have been unusually negative in recent AWE data, cutting roughly 0.5p off YoY pay growth in Q3 2017 (see figure 17). The </w:t>
      </w:r>
      <w:r>
        <w:rPr>
          <w:spacing w:val="2"/>
        </w:rPr>
        <w:t>AWE </w:t>
      </w:r>
      <w:r>
        <w:rPr/>
        <w:t>data measure the average level of pay per person per week across a wide sample of firms and hence are affected by changes in the mix of employment between people or sectors with differing pay levels</w:t>
      </w:r>
      <w:r>
        <w:rPr>
          <w:vertAlign w:val="superscript"/>
        </w:rPr>
        <w:t>25</w:t>
      </w:r>
      <w:r>
        <w:rPr>
          <w:vertAlign w:val="baseline"/>
        </w:rPr>
        <w:t>. Composition effects have become increasingly counter-cyclical in recent years – in other words, more negative when unemployment is falling -- especially those relating to the age, qualifications and tenure of staff</w:t>
      </w:r>
      <w:r>
        <w:rPr>
          <w:vertAlign w:val="superscript"/>
        </w:rPr>
        <w:t>26</w:t>
      </w:r>
      <w:r>
        <w:rPr>
          <w:vertAlign w:val="baseline"/>
        </w:rPr>
        <w:t>. In </w:t>
      </w:r>
      <w:r>
        <w:rPr>
          <w:spacing w:val="3"/>
          <w:vertAlign w:val="baseline"/>
        </w:rPr>
        <w:t>my </w:t>
      </w:r>
      <w:r>
        <w:rPr>
          <w:vertAlign w:val="baseline"/>
        </w:rPr>
        <w:t>view, if one is looking at changes in pay growth as a guide to changes in cost and inflation pressures, it is useful to strip out such composition effects</w:t>
      </w:r>
      <w:r>
        <w:rPr>
          <w:vertAlign w:val="superscript"/>
        </w:rPr>
        <w:t>27</w:t>
      </w:r>
      <w:r>
        <w:rPr>
          <w:vertAlign w:val="baseline"/>
        </w:rPr>
        <w:t>, because they probably have a similar effect on productivity and hence leave unit labour cost growth unaffected. Excluding composition effects, pay growth is already close to 3% YoY. Composition effects may well continue to</w:t>
      </w:r>
      <w:r>
        <w:rPr>
          <w:spacing w:val="-30"/>
          <w:vertAlign w:val="baseline"/>
        </w:rPr>
        <w:t> </w:t>
      </w:r>
      <w:r>
        <w:rPr>
          <w:vertAlign w:val="baseline"/>
        </w:rPr>
        <w:t>reduce average earnings growth in 2018 if, as I suspect, unemployment continues to edge down. Nevertheless, unless composition effects increase further from the recent high pace, they will not be enough to prevent AWE growth from moving higher if underlying pay growth picks up</w:t>
      </w:r>
      <w:r>
        <w:rPr>
          <w:spacing w:val="-10"/>
          <w:vertAlign w:val="baseline"/>
        </w:rPr>
        <w:t> </w:t>
      </w:r>
      <w:r>
        <w:rPr>
          <w:vertAlign w:val="baseline"/>
        </w:rPr>
        <w:t>further.</w:t>
      </w:r>
    </w:p>
    <w:p>
      <w:pPr>
        <w:pStyle w:val="BodyText"/>
        <w:spacing w:before="10"/>
        <w:rPr>
          <w:sz w:val="29"/>
        </w:rPr>
      </w:pPr>
    </w:p>
    <w:p>
      <w:pPr>
        <w:pStyle w:val="BodyText"/>
        <w:spacing w:line="360" w:lineRule="auto" w:before="1"/>
        <w:ind w:left="673" w:right="1139"/>
      </w:pPr>
      <w:r>
        <w:rPr/>
        <w:t>Third, pay growth in recent years has understated the rise in total labour costs, with large rises in non-wage costs, including national insurance taxes</w:t>
      </w:r>
      <w:r>
        <w:rPr>
          <w:vertAlign w:val="superscript"/>
        </w:rPr>
        <w:t>28</w:t>
      </w:r>
      <w:r>
        <w:rPr>
          <w:vertAlign w:val="baseline"/>
        </w:rPr>
        <w:t>, contributions to DB pension schemes, auto enrolment, the Apprentice Levy and so forth (see figure 18)</w:t>
      </w:r>
      <w:r>
        <w:rPr>
          <w:vertAlign w:val="superscript"/>
        </w:rPr>
        <w:t>29</w:t>
      </w:r>
      <w:r>
        <w:rPr>
          <w:vertAlign w:val="baseline"/>
        </w:rPr>
        <w:t>. Even with subdued pay growth, overall unit labour cost</w:t>
      </w:r>
      <w:r>
        <w:rPr>
          <w:spacing w:val="-34"/>
          <w:vertAlign w:val="baseline"/>
        </w:rPr>
        <w:t> </w:t>
      </w:r>
      <w:r>
        <w:rPr>
          <w:vertAlign w:val="baseline"/>
        </w:rPr>
        <w:t>growth in the last couple of years averaged about 2½% YoY, similar to the pre-crisis average</w:t>
      </w:r>
      <w:r>
        <w:rPr>
          <w:vertAlign w:val="superscript"/>
        </w:rPr>
        <w:t>30</w:t>
      </w:r>
      <w:r>
        <w:rPr>
          <w:vertAlign w:val="baseline"/>
        </w:rPr>
        <w:t>. This pace is probably roughly consistent with the inflation target over time, assuming a normal trend in import</w:t>
      </w:r>
      <w:r>
        <w:rPr>
          <w:spacing w:val="-24"/>
          <w:vertAlign w:val="baseline"/>
        </w:rPr>
        <w:t> </w:t>
      </w:r>
      <w:r>
        <w:rPr>
          <w:vertAlign w:val="baseline"/>
        </w:rPr>
        <w:t>prices.</w:t>
      </w:r>
    </w:p>
    <w:p>
      <w:pPr>
        <w:pStyle w:val="BodyText"/>
        <w:spacing w:line="360" w:lineRule="auto"/>
        <w:ind w:left="673" w:right="1152"/>
      </w:pPr>
      <w:r>
        <w:rPr/>
        <w:t>Some non-wage costs, eg lump sum contributions to a closed DB pension scheme, are probably best</w:t>
      </w:r>
      <w:r>
        <w:rPr>
          <w:spacing w:val="-32"/>
        </w:rPr>
        <w:t> </w:t>
      </w:r>
      <w:r>
        <w:rPr/>
        <w:t>viewed as fixed costs rather than marginal costs and are unlikely to have much influence on wages or prices</w:t>
      </w:r>
      <w:r>
        <w:rPr>
          <w:vertAlign w:val="superscript"/>
        </w:rPr>
        <w:t>31</w:t>
      </w:r>
      <w:r>
        <w:rPr>
          <w:vertAlign w:val="baseline"/>
        </w:rPr>
        <w:t>. But some, eg auto enrolment, are akin to deferred compensation and probably do affect firms’ marginal costs and prices. To the extent that firms and workers view such non-wage costs as part of overall compensation, increases in non-wage costs may also have had some dampening effect on pay growth</w:t>
      </w:r>
      <w:r>
        <w:rPr>
          <w:vertAlign w:val="superscript"/>
        </w:rPr>
        <w:t>32</w:t>
      </w:r>
      <w:r>
        <w:rPr>
          <w:vertAlign w:val="baseline"/>
        </w:rPr>
        <w:t>. Looking ahead, auto enrolment costs will continue to rise for many firms in 2018-19. If the growth of non-wage costs were to remain high, then it would be ever more important to keep an eye on total labour cost growth rather than just average earnings.</w:t>
      </w:r>
    </w:p>
    <w:p>
      <w:pPr>
        <w:pStyle w:val="BodyText"/>
        <w:spacing w:before="11"/>
        <w:rPr>
          <w:sz w:val="29"/>
        </w:rPr>
      </w:pPr>
    </w:p>
    <w:p>
      <w:pPr>
        <w:pStyle w:val="BodyText"/>
        <w:spacing w:line="360" w:lineRule="auto"/>
        <w:ind w:left="673" w:right="1241"/>
      </w:pPr>
      <w:r>
        <w:rPr/>
        <w:t>Moreover, while high inward migration has not significantly reduced overall pay levels in recent years</w:t>
      </w:r>
      <w:r>
        <w:rPr>
          <w:vertAlign w:val="superscript"/>
        </w:rPr>
        <w:t>33</w:t>
      </w:r>
      <w:r>
        <w:rPr>
          <w:vertAlign w:val="baseline"/>
        </w:rPr>
        <w:t>, the ample availability of foreign workers may, until very recently, have limited somewhat the extent to which pay growth responds to low UK unemployment</w:t>
      </w:r>
      <w:r>
        <w:rPr>
          <w:vertAlign w:val="superscript"/>
        </w:rPr>
        <w:t>34</w:t>
      </w:r>
      <w:r>
        <w:rPr>
          <w:vertAlign w:val="baseline"/>
        </w:rPr>
        <w:t>. When both firms and workers know it is still relatively easy to</w:t>
      </w:r>
    </w:p>
    <w:p>
      <w:pPr>
        <w:pStyle w:val="BodyText"/>
        <w:spacing w:before="4"/>
        <w:rPr>
          <w:sz w:val="11"/>
        </w:rPr>
      </w:pPr>
      <w:r>
        <w:rPr/>
        <w:pict>
          <v:shape style="position:absolute;margin-left:56.664001pt;margin-top:8.753828pt;width:144.050pt;height:.1pt;mso-position-horizontal-relative:page;mso-position-vertical-relative:paragraph;z-index:-251651072;mso-wrap-distance-left:0;mso-wrap-distance-right:0" coordorigin="1133,175" coordsize="2881,0" path="m1133,175l4014,175e" filled="false" stroked="true" strokeweight=".48004pt" strokecolor="#000000">
            <v:path arrowok="t"/>
            <v:stroke dashstyle="solid"/>
            <w10:wrap type="topAndBottom"/>
          </v:shape>
        </w:pict>
      </w:r>
    </w:p>
    <w:p>
      <w:pPr>
        <w:spacing w:line="195" w:lineRule="exact" w:before="30"/>
        <w:ind w:left="673" w:right="0" w:firstLine="0"/>
        <w:jc w:val="left"/>
        <w:rPr>
          <w:sz w:val="16"/>
        </w:rPr>
      </w:pPr>
      <w:r>
        <w:rPr>
          <w:position w:val="8"/>
          <w:sz w:val="10"/>
        </w:rPr>
        <w:t>25 </w:t>
      </w:r>
      <w:r>
        <w:rPr>
          <w:sz w:val="16"/>
        </w:rPr>
        <w:t>See Broadbent (2015) and page 32 of November 2017 Inflation Report.</w:t>
      </w:r>
    </w:p>
    <w:p>
      <w:pPr>
        <w:spacing w:line="184" w:lineRule="exact" w:before="13"/>
        <w:ind w:left="673" w:right="1188" w:firstLine="0"/>
        <w:jc w:val="left"/>
        <w:rPr>
          <w:sz w:val="16"/>
        </w:rPr>
      </w:pPr>
      <w:r>
        <w:rPr>
          <w:position w:val="8"/>
          <w:sz w:val="10"/>
        </w:rPr>
        <w:t>26 </w:t>
      </w:r>
      <w:r>
        <w:rPr>
          <w:sz w:val="16"/>
        </w:rPr>
        <w:t>Reflecting such factors, the average level of pay among people that are in work at a given date and also in work a year earlier is typically about 40% above that for people who were not in work a year earlier.</w:t>
      </w:r>
    </w:p>
    <w:p>
      <w:pPr>
        <w:spacing w:line="170" w:lineRule="exact" w:before="0"/>
        <w:ind w:left="673" w:right="0" w:firstLine="0"/>
        <w:jc w:val="left"/>
        <w:rPr>
          <w:sz w:val="16"/>
        </w:rPr>
      </w:pPr>
      <w:r>
        <w:rPr>
          <w:position w:val="8"/>
          <w:sz w:val="10"/>
        </w:rPr>
        <w:t>27 </w:t>
      </w:r>
      <w:r>
        <w:rPr>
          <w:sz w:val="16"/>
        </w:rPr>
        <w:t>For example, the Employment Cost Index in the US is adjusted for composition effects.</w:t>
      </w:r>
    </w:p>
    <w:p>
      <w:pPr>
        <w:spacing w:line="184" w:lineRule="exact" w:before="0"/>
        <w:ind w:left="673" w:right="0" w:firstLine="0"/>
        <w:jc w:val="left"/>
        <w:rPr>
          <w:sz w:val="16"/>
        </w:rPr>
      </w:pPr>
      <w:r>
        <w:rPr>
          <w:position w:val="8"/>
          <w:sz w:val="10"/>
        </w:rPr>
        <w:t>28 </w:t>
      </w:r>
      <w:r>
        <w:rPr>
          <w:sz w:val="16"/>
        </w:rPr>
        <w:t>Both the employer and employee rates rose by 1pp in 2011.</w:t>
      </w:r>
    </w:p>
    <w:p>
      <w:pPr>
        <w:spacing w:line="185" w:lineRule="exact" w:before="0"/>
        <w:ind w:left="673" w:right="0" w:firstLine="0"/>
        <w:jc w:val="left"/>
        <w:rPr>
          <w:sz w:val="16"/>
        </w:rPr>
      </w:pPr>
      <w:r>
        <w:rPr>
          <w:position w:val="8"/>
          <w:sz w:val="10"/>
        </w:rPr>
        <w:t>29 </w:t>
      </w:r>
      <w:r>
        <w:rPr>
          <w:sz w:val="16"/>
        </w:rPr>
        <w:t>See Bell and Whitaker (2017).</w:t>
      </w:r>
    </w:p>
    <w:p>
      <w:pPr>
        <w:spacing w:line="184" w:lineRule="exact" w:before="0"/>
        <w:ind w:left="673" w:right="0" w:firstLine="0"/>
        <w:jc w:val="left"/>
        <w:rPr>
          <w:sz w:val="16"/>
        </w:rPr>
      </w:pPr>
      <w:r>
        <w:rPr>
          <w:position w:val="8"/>
          <w:sz w:val="10"/>
        </w:rPr>
        <w:t>30 </w:t>
      </w:r>
      <w:r>
        <w:rPr>
          <w:sz w:val="16"/>
        </w:rPr>
        <w:t>The ULC data do not include the Apprentice Levy.</w:t>
      </w:r>
    </w:p>
    <w:p>
      <w:pPr>
        <w:spacing w:line="184" w:lineRule="exact" w:before="0"/>
        <w:ind w:left="673" w:right="0" w:firstLine="0"/>
        <w:jc w:val="left"/>
        <w:rPr>
          <w:sz w:val="16"/>
        </w:rPr>
      </w:pPr>
      <w:r>
        <w:rPr>
          <w:position w:val="8"/>
          <w:sz w:val="10"/>
        </w:rPr>
        <w:t>31 </w:t>
      </w:r>
      <w:r>
        <w:rPr>
          <w:sz w:val="16"/>
        </w:rPr>
        <w:t>See Inflation Report of November 2016, pages 14-15.</w:t>
      </w:r>
    </w:p>
    <w:p>
      <w:pPr>
        <w:spacing w:line="182" w:lineRule="exact" w:before="17"/>
        <w:ind w:left="673" w:right="1160" w:firstLine="0"/>
        <w:jc w:val="left"/>
        <w:rPr>
          <w:sz w:val="16"/>
        </w:rPr>
      </w:pPr>
      <w:r>
        <w:rPr>
          <w:position w:val="8"/>
          <w:sz w:val="10"/>
        </w:rPr>
        <w:t>32 </w:t>
      </w:r>
      <w:r>
        <w:rPr>
          <w:sz w:val="16"/>
        </w:rPr>
        <w:t>The CIPD reports that 12% of firms cite increases in non-wage labour costs as a factor likely to restrain pay growth in 2018, the equal third highest factor. In addition, 10% of firms cite costs of auto enrolment, and 8% of firms cite costs of the Apprentice Levy, as key</w:t>
      </w:r>
    </w:p>
    <w:p>
      <w:pPr>
        <w:spacing w:line="171" w:lineRule="exact" w:before="0"/>
        <w:ind w:left="673" w:right="0" w:firstLine="0"/>
        <w:jc w:val="left"/>
        <w:rPr>
          <w:sz w:val="16"/>
        </w:rPr>
      </w:pPr>
      <w:r>
        <w:rPr>
          <w:sz w:val="16"/>
        </w:rPr>
        <w:t>factors likely to restrain pay growth. See CIPD/Adecco Labour Market Outlook November 2017.</w:t>
      </w:r>
    </w:p>
    <w:p>
      <w:pPr>
        <w:spacing w:line="184" w:lineRule="exact" w:before="0"/>
        <w:ind w:left="673" w:right="0" w:firstLine="0"/>
        <w:jc w:val="left"/>
        <w:rPr>
          <w:sz w:val="16"/>
        </w:rPr>
      </w:pPr>
      <w:r>
        <w:rPr>
          <w:position w:val="8"/>
          <w:sz w:val="10"/>
        </w:rPr>
        <w:t>33 </w:t>
      </w:r>
      <w:r>
        <w:rPr>
          <w:sz w:val="16"/>
        </w:rPr>
        <w:t>See Nickel and Salaheen (2015).</w:t>
      </w:r>
    </w:p>
    <w:p>
      <w:pPr>
        <w:spacing w:line="184" w:lineRule="exact" w:before="14"/>
        <w:ind w:left="673" w:right="1188" w:firstLine="0"/>
        <w:jc w:val="left"/>
        <w:rPr>
          <w:sz w:val="16"/>
        </w:rPr>
      </w:pPr>
      <w:r>
        <w:rPr>
          <w:position w:val="8"/>
          <w:sz w:val="10"/>
        </w:rPr>
        <w:t>34 </w:t>
      </w:r>
      <w:r>
        <w:rPr>
          <w:sz w:val="16"/>
        </w:rPr>
        <w:t>There is a similar argument in the UK section of OECD (2006): “international as well as UK evidence suggests that immigration can serve to make the labour market as a whole more fluid and wages less sensitive to demand fluctuations.” See also Blanchflower, Salaheen and Shadforth (2007).</w:t>
      </w:r>
    </w:p>
    <w:p>
      <w:pPr>
        <w:spacing w:after="0" w:line="184" w:lineRule="exact"/>
        <w:jc w:val="left"/>
        <w:rPr>
          <w:sz w:val="16"/>
        </w:rPr>
        <w:sectPr>
          <w:footerReference w:type="default" r:id="rId13"/>
          <w:pgSz w:w="11910" w:h="16840"/>
          <w:pgMar w:footer="1338" w:header="0" w:top="1520" w:bottom="1520" w:left="460" w:right="0"/>
        </w:sectPr>
      </w:pPr>
    </w:p>
    <w:p>
      <w:pPr>
        <w:pStyle w:val="BodyText"/>
        <w:spacing w:line="360" w:lineRule="auto" w:before="79"/>
        <w:ind w:left="673" w:right="1145"/>
      </w:pPr>
      <w:r>
        <w:rPr/>
        <w:t>hire people from outside the UK for jobs in the UK, the appropriate measure of slack widens to encompass all potential applicants for jobs in the UK, including people currently outside the UK. This wide concept of slack is difficult to measure but, until recently, has probably been relatively high despite low unemployment in the UK. As a result, the Phillips curve measured against UK unemployment may have appeared relatively flat (and/or perhaps a lower U*). With availability of foreign workers now apparently declining – partly reflecting reduced external slack – skill shortages are becoming more acute and low UK unemployment may have a greater influence on UK pay growth, in effect reviving and re-steepening the wage Phillips</w:t>
      </w:r>
      <w:r>
        <w:rPr>
          <w:spacing w:val="-10"/>
        </w:rPr>
        <w:t> </w:t>
      </w:r>
      <w:r>
        <w:rPr/>
        <w:t>curve</w:t>
      </w:r>
      <w:r>
        <w:rPr>
          <w:vertAlign w:val="superscript"/>
        </w:rPr>
        <w:t>35</w:t>
      </w:r>
      <w:r>
        <w:rPr>
          <w:vertAlign w:val="baseline"/>
        </w:rPr>
        <w:t>.</w:t>
      </w:r>
    </w:p>
    <w:p>
      <w:pPr>
        <w:pStyle w:val="BodyText"/>
        <w:spacing w:before="9"/>
        <w:rPr>
          <w:sz w:val="29"/>
        </w:rPr>
      </w:pPr>
    </w:p>
    <w:p>
      <w:pPr>
        <w:pStyle w:val="BodyText"/>
        <w:spacing w:line="360" w:lineRule="auto"/>
        <w:ind w:left="673" w:right="1219"/>
      </w:pPr>
      <w:r>
        <w:rPr/>
        <w:t>To be sure, pay growth in 2018 is likely to stay well below the pre-crisis norm of 4% or so. But, I suspect it is more likely to overshoot than undershoot the external consensus (which is for AWE growth of 2.6% in 2018 and 2.8% in 2019)</w:t>
      </w:r>
      <w:r>
        <w:rPr>
          <w:vertAlign w:val="superscript"/>
        </w:rPr>
        <w:t>36</w:t>
      </w:r>
      <w:r>
        <w:rPr>
          <w:vertAlign w:val="baseline"/>
        </w:rPr>
        <w:t>. The Nov-2017 IR projected pay growth to pick up to around 3% in 2018 as a whole.</w:t>
      </w:r>
    </w:p>
    <w:p>
      <w:pPr>
        <w:pStyle w:val="BodyText"/>
        <w:spacing w:line="360" w:lineRule="auto" w:before="2"/>
        <w:ind w:left="673" w:right="1318"/>
      </w:pPr>
      <w:r>
        <w:rPr/>
        <w:t>Even with some pick up in productivity, such a trend would probably signal the likelihood that CPI inflation will stay above target over time once the direct boost to inflation from sterling’s depreciation fades. Indeed, pay growth in 2018 could rise above 3% YoY, especially if composition effects unwind and underlying pay growth picks up further.</w:t>
      </w:r>
    </w:p>
    <w:p>
      <w:pPr>
        <w:pStyle w:val="BodyText"/>
        <w:spacing w:before="10"/>
        <w:rPr>
          <w:sz w:val="29"/>
        </w:rPr>
      </w:pPr>
    </w:p>
    <w:p>
      <w:pPr>
        <w:pStyle w:val="BodyText"/>
        <w:spacing w:line="360" w:lineRule="auto" w:before="1"/>
        <w:ind w:left="673" w:right="1240"/>
      </w:pPr>
      <w:r>
        <w:rPr/>
        <w:t>Let me turn to Brexit. The MPC’s economic forecasts are based upon a range of possible longrun outcomes for the UK’s trading relations with the EU and elsewhere, and assume the economy adjusts smoothly over a number of years. To be clear, our forecasts do not explicitly assume a particular length of transition period, still less what the details of that transition might be. But regardless of that, what matters for the economy right now and in the future are the collective expectations of households, business and financial markets rather than the MPC’s assumptions. So far these private sector expectations seem broadly consistent with our assumption of a reasonably smooth adjustment and modest longrun adverse effects on the economy.</w:t>
      </w:r>
    </w:p>
    <w:p>
      <w:pPr>
        <w:pStyle w:val="BodyText"/>
        <w:spacing w:line="357" w:lineRule="auto" w:before="2"/>
        <w:ind w:left="673" w:right="1188"/>
      </w:pPr>
      <w:r>
        <w:rPr/>
        <w:t>And, as noted earlier, anticipation of these effects seems to be already dampening economic activity to an extent.</w:t>
      </w:r>
    </w:p>
    <w:p>
      <w:pPr>
        <w:pStyle w:val="BodyText"/>
        <w:spacing w:before="4"/>
        <w:rPr>
          <w:sz w:val="30"/>
        </w:rPr>
      </w:pPr>
    </w:p>
    <w:p>
      <w:pPr>
        <w:pStyle w:val="BodyText"/>
        <w:spacing w:line="360" w:lineRule="auto"/>
        <w:ind w:left="673" w:right="1188"/>
      </w:pPr>
      <w:r>
        <w:rPr/>
        <w:t>It is possible that the expectations of households, business and markets will move around in coming months in response to twists and turns in the Brexit negotiations. As we have said, the MPC will not be giving a running commentary on the state of negotiations. But in our economic forecasts we will, of course, be sensitive to observed changes in business and consumer confidence, as well as financial markets, in this period. As and when there is greater clarity on the UK’s eventual trading relations with the EU, and any transition period, then those decisions -- and any resultant changes in private sector expectations and asset prices -- could well affect the economy’s prospects, including growth, potential growth and inflation, in a material way. These effects could go either way.</w:t>
      </w: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664001pt;margin-top:13.243604pt;width:144.050pt;height:.1pt;mso-position-horizontal-relative:page;mso-position-vertical-relative:paragraph;z-index:-251650048;mso-wrap-distance-left:0;mso-wrap-distance-right:0" coordorigin="1133,265" coordsize="2881,0" path="m1133,265l4014,265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35 </w:t>
      </w:r>
      <w:r>
        <w:rPr>
          <w:sz w:val="16"/>
        </w:rPr>
        <w:t>See Carney (2017).</w:t>
      </w:r>
    </w:p>
    <w:p>
      <w:pPr>
        <w:spacing w:line="196" w:lineRule="exact" w:before="0"/>
        <w:ind w:left="673" w:right="0" w:firstLine="0"/>
        <w:jc w:val="left"/>
        <w:rPr>
          <w:sz w:val="16"/>
        </w:rPr>
      </w:pPr>
      <w:r>
        <w:rPr>
          <w:position w:val="8"/>
          <w:sz w:val="10"/>
        </w:rPr>
        <w:t>36 </w:t>
      </w:r>
      <w:r>
        <w:rPr>
          <w:sz w:val="16"/>
        </w:rPr>
        <w:t>Reported in the January 2018 Consensus Economics survey.</w:t>
      </w:r>
    </w:p>
    <w:p>
      <w:pPr>
        <w:spacing w:after="0" w:line="196" w:lineRule="exact"/>
        <w:jc w:val="left"/>
        <w:rPr>
          <w:sz w:val="16"/>
        </w:rPr>
        <w:sectPr>
          <w:footerReference w:type="default" r:id="rId14"/>
          <w:pgSz w:w="11910" w:h="16840"/>
          <w:pgMar w:footer="1338" w:header="0" w:top="1520" w:bottom="1520" w:left="460" w:right="0"/>
          <w:pgNumType w:start="9"/>
        </w:sectPr>
      </w:pPr>
    </w:p>
    <w:p>
      <w:pPr>
        <w:pStyle w:val="Heading1"/>
      </w:pPr>
      <w:r>
        <w:rPr/>
        <w:t>Conclusion</w:t>
      </w:r>
    </w:p>
    <w:p>
      <w:pPr>
        <w:pStyle w:val="BodyText"/>
        <w:rPr>
          <w:b/>
          <w:sz w:val="22"/>
        </w:rPr>
      </w:pPr>
    </w:p>
    <w:p>
      <w:pPr>
        <w:pStyle w:val="BodyText"/>
        <w:spacing w:before="2"/>
        <w:rPr>
          <w:b/>
          <w:sz w:val="18"/>
        </w:rPr>
      </w:pPr>
    </w:p>
    <w:p>
      <w:pPr>
        <w:pStyle w:val="BodyText"/>
        <w:ind w:left="673"/>
      </w:pPr>
      <w:r>
        <w:rPr/>
        <w:t>Let me finish with some comments on monetary policy.</w:t>
      </w:r>
    </w:p>
    <w:p>
      <w:pPr>
        <w:pStyle w:val="BodyText"/>
        <w:rPr>
          <w:sz w:val="22"/>
        </w:rPr>
      </w:pPr>
    </w:p>
    <w:p>
      <w:pPr>
        <w:pStyle w:val="BodyText"/>
        <w:spacing w:before="1"/>
        <w:rPr>
          <w:sz w:val="18"/>
        </w:rPr>
      </w:pPr>
    </w:p>
    <w:p>
      <w:pPr>
        <w:pStyle w:val="BodyText"/>
        <w:spacing w:line="360" w:lineRule="auto"/>
        <w:ind w:left="673" w:right="1286"/>
      </w:pPr>
      <w:r>
        <w:rPr/>
        <w:t>In the exceptional circumstances since the EU referendum, the MPC is – consistent with our remit -- aiming for an appropriate tradeoff between the speed with which inflation returns to target and the extent of spare capacity. If the prospective terms of that tradeoff change, then it is natural for monetary policy to respond. I stress that monetary policy is driven far more by inflation prospects over the next 2-3 years than the actual inflation rate over the latest 12 months.</w:t>
      </w:r>
    </w:p>
    <w:p>
      <w:pPr>
        <w:pStyle w:val="BodyText"/>
        <w:spacing w:before="10"/>
        <w:rPr>
          <w:sz w:val="29"/>
        </w:rPr>
      </w:pPr>
    </w:p>
    <w:p>
      <w:pPr>
        <w:pStyle w:val="BodyText"/>
        <w:spacing w:line="360" w:lineRule="auto"/>
        <w:ind w:left="673" w:right="1140"/>
      </w:pPr>
      <w:r>
        <w:rPr/>
        <w:t>If the economy turns out broadly in line with the outlook I have described – labour market tightness and signs of higher pay growth -- I consider it likely that interest rates will need to rise further over time. As with other MPC members, I expect that any further tightening will be limited and gradual. But I am not going to</w:t>
      </w:r>
    </w:p>
    <w:p>
      <w:pPr>
        <w:pStyle w:val="BodyText"/>
        <w:spacing w:line="360" w:lineRule="auto" w:before="1"/>
        <w:ind w:left="673" w:right="1274"/>
      </w:pPr>
      <w:r>
        <w:rPr/>
        <w:t>pre-announce how I might vote at any particular future MPC meeting. There is plenty of data to see and analysis to do before we get to that. In particular, the February Inflation Report will include the results of our annual supply stock-take, which will include consideration of prospects for productivity, equilibrium unemployment, migration and labour supply.</w:t>
      </w:r>
    </w:p>
    <w:p>
      <w:pPr>
        <w:pStyle w:val="BodyText"/>
        <w:rPr>
          <w:sz w:val="30"/>
        </w:rPr>
      </w:pPr>
    </w:p>
    <w:p>
      <w:pPr>
        <w:pStyle w:val="BodyText"/>
        <w:spacing w:line="360" w:lineRule="auto"/>
        <w:ind w:left="673" w:right="1207"/>
      </w:pPr>
      <w:r>
        <w:rPr/>
        <w:t>There is considerable uncertainty over the exact level of interest rates that is neutral</w:t>
      </w:r>
      <w:r>
        <w:rPr>
          <w:vertAlign w:val="superscript"/>
        </w:rPr>
        <w:t>37</w:t>
      </w:r>
      <w:r>
        <w:rPr>
          <w:vertAlign w:val="baseline"/>
        </w:rPr>
        <w:t>, but I am fairly confident that we are below that level at present, especially if one allows for the stimulus from the stock of asset purchases. It follows that a modest further rise in rates would still imply a shift towards neutral, rather than an outright move to a restrictive policy stance. We would be gradually lifting our foot off the accelerator, with no need to put the brakes on.</w:t>
      </w:r>
    </w:p>
    <w:p>
      <w:pPr>
        <w:pStyle w:val="BodyText"/>
        <w:rPr>
          <w:sz w:val="30"/>
        </w:rPr>
      </w:pPr>
    </w:p>
    <w:p>
      <w:pPr>
        <w:pStyle w:val="BodyText"/>
        <w:spacing w:line="360" w:lineRule="auto"/>
        <w:ind w:left="673" w:right="1188"/>
      </w:pPr>
      <w:r>
        <w:rPr/>
        <w:t>But the path of monetary policy is not preset. In particular, consistent with our remit, the MPC has said that any monetary policy implications from Brexit developments would not be automatic, and would depend on changes in supply, demand and the exchange rate. It is certainly not correct to assume that “good” or “bad” Brexit news automatically implies that interest rates must go in a particular direction. The MPC has tools to respond either way as needed to changes in the economic outlook.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79131pt;width:144.050pt;height:.1pt;mso-position-horizontal-relative:page;mso-position-vertical-relative:paragraph;z-index:-251649024;mso-wrap-distance-left:0;mso-wrap-distance-right:0" coordorigin="1133,336" coordsize="2881,0" path="m1133,336l4014,336e" filled="false" stroked="true" strokeweight=".48004pt" strokecolor="#000000">
            <v:path arrowok="t"/>
            <v:stroke dashstyle="solid"/>
            <w10:wrap type="topAndBottom"/>
          </v:shape>
        </w:pict>
      </w:r>
    </w:p>
    <w:p>
      <w:pPr>
        <w:spacing w:before="29"/>
        <w:ind w:left="673" w:right="0" w:firstLine="0"/>
        <w:jc w:val="left"/>
        <w:rPr>
          <w:sz w:val="16"/>
        </w:rPr>
      </w:pPr>
      <w:r>
        <w:rPr>
          <w:position w:val="8"/>
          <w:sz w:val="10"/>
        </w:rPr>
        <w:t>37 </w:t>
      </w:r>
      <w:r>
        <w:rPr>
          <w:sz w:val="16"/>
        </w:rPr>
        <w:t>See Vlieghe (2017).</w:t>
      </w:r>
    </w:p>
    <w:p>
      <w:pPr>
        <w:spacing w:after="0"/>
        <w:jc w:val="left"/>
        <w:rPr>
          <w:sz w:val="16"/>
        </w:rPr>
        <w:sectPr>
          <w:footerReference w:type="default" r:id="rId15"/>
          <w:pgSz w:w="11910" w:h="16840"/>
          <w:pgMar w:footer="1338" w:header="0" w:top="1520" w:bottom="1520" w:left="460" w:right="0"/>
          <w:pgNumType w:start="10"/>
        </w:sectPr>
      </w:pPr>
    </w:p>
    <w:p>
      <w:pPr>
        <w:pStyle w:val="Heading1"/>
      </w:pPr>
      <w:r>
        <w:rPr/>
        <w:t>References</w:t>
      </w:r>
    </w:p>
    <w:p>
      <w:pPr>
        <w:pStyle w:val="BodyText"/>
        <w:rPr>
          <w:b/>
          <w:sz w:val="22"/>
        </w:rPr>
      </w:pPr>
    </w:p>
    <w:p>
      <w:pPr>
        <w:pStyle w:val="BodyText"/>
        <w:spacing w:before="11"/>
        <w:rPr>
          <w:b/>
          <w:sz w:val="17"/>
        </w:rPr>
      </w:pPr>
    </w:p>
    <w:p>
      <w:pPr>
        <w:pStyle w:val="BodyText"/>
        <w:spacing w:line="360" w:lineRule="auto"/>
        <w:ind w:left="673" w:right="1405"/>
      </w:pPr>
      <w:r>
        <w:rPr>
          <w:b/>
        </w:rPr>
        <w:t>Bell, Brian and M. Whitaker (2017)</w:t>
      </w:r>
      <w:r>
        <w:rPr/>
        <w:t>, “The pay deficit: measuring the effect of pension deficit payments on workers’ wages”, Resolution Foundation briefing, May 2017, available at </w:t>
      </w:r>
      <w:hyperlink r:id="rId16">
        <w:r>
          <w:rPr>
            <w:color w:val="0000FF"/>
            <w:u w:val="single" w:color="0000FF"/>
          </w:rPr>
          <w:t>http://www.resolutionfoundation.org/publications/the-pay-deficit-measuring-the-effect-of-pension-deficit-</w:t>
        </w:r>
      </w:hyperlink>
      <w:r>
        <w:rPr>
          <w:color w:val="0000FF"/>
        </w:rPr>
        <w:t> </w:t>
      </w:r>
      <w:hyperlink r:id="rId16">
        <w:r>
          <w:rPr>
            <w:color w:val="0000FF"/>
            <w:u w:val="single" w:color="0000FF"/>
          </w:rPr>
          <w:t>payments-on-workers-wages/</w:t>
        </w:r>
      </w:hyperlink>
    </w:p>
    <w:p>
      <w:pPr>
        <w:pStyle w:val="BodyText"/>
        <w:rPr>
          <w:sz w:val="22"/>
        </w:rPr>
      </w:pPr>
    </w:p>
    <w:p>
      <w:pPr>
        <w:spacing w:line="360" w:lineRule="auto" w:before="93"/>
        <w:ind w:left="673" w:right="1598" w:firstLine="0"/>
        <w:jc w:val="left"/>
        <w:rPr>
          <w:sz w:val="20"/>
        </w:rPr>
      </w:pPr>
      <w:r>
        <w:rPr>
          <w:b/>
          <w:sz w:val="20"/>
        </w:rPr>
        <w:t>Blanchflower, David, J. Salaheen and C. Shadforth (2007), </w:t>
      </w:r>
      <w:r>
        <w:rPr>
          <w:sz w:val="20"/>
        </w:rPr>
        <w:t>‘The Impact of the Recent Migration from Eastern Europe on the UK Economy’, IZA Discussion paper No 2615, February 2007, available at: </w:t>
      </w:r>
      <w:hyperlink r:id="rId17">
        <w:r>
          <w:rPr>
            <w:color w:val="0000FF"/>
            <w:sz w:val="20"/>
            <w:u w:val="single" w:color="0000FF"/>
          </w:rPr>
          <w:t>https://www.econstor.eu/bitstream/10419/33847/1/543755940.pdf</w:t>
        </w:r>
      </w:hyperlink>
    </w:p>
    <w:p>
      <w:pPr>
        <w:pStyle w:val="BodyText"/>
        <w:spacing w:before="10"/>
        <w:rPr>
          <w:sz w:val="21"/>
        </w:rPr>
      </w:pPr>
    </w:p>
    <w:p>
      <w:pPr>
        <w:pStyle w:val="BodyText"/>
        <w:spacing w:line="360" w:lineRule="auto" w:before="93"/>
        <w:ind w:left="673" w:right="1488"/>
      </w:pPr>
      <w:r>
        <w:rPr>
          <w:b/>
        </w:rPr>
        <w:t>Broadbent, Ben (2015), </w:t>
      </w:r>
      <w:r>
        <w:rPr/>
        <w:t>“Compositional shifts in the labour market”, speech at ‘Understanding the Great Recession: from micro to macro’ Conference, Bank of England, September 2015, available at </w:t>
      </w:r>
      <w:hyperlink r:id="rId18">
        <w:r>
          <w:rPr>
            <w:color w:val="0000FF"/>
            <w:u w:val="single" w:color="0000FF"/>
          </w:rPr>
          <w:t>https://www.bankofengland.co.uk/speech/2015/compositional-shifts-in-the-labour-market</w:t>
        </w:r>
      </w:hyperlink>
    </w:p>
    <w:p>
      <w:pPr>
        <w:pStyle w:val="BodyText"/>
        <w:rPr>
          <w:sz w:val="22"/>
        </w:rPr>
      </w:pPr>
    </w:p>
    <w:p>
      <w:pPr>
        <w:pStyle w:val="BodyText"/>
        <w:spacing w:line="360" w:lineRule="auto" w:before="93"/>
        <w:ind w:left="673" w:right="1188"/>
      </w:pPr>
      <w:r>
        <w:rPr>
          <w:b/>
        </w:rPr>
        <w:t>Carney, Mark (2017), </w:t>
      </w:r>
      <w:r>
        <w:rPr/>
        <w:t>“[De]Globalisation and inflation”, speech at the 2017 IMF Michel Camdessus Central Banking Lecture, September 2017, available at</w:t>
      </w:r>
    </w:p>
    <w:p>
      <w:pPr>
        <w:pStyle w:val="BodyText"/>
        <w:spacing w:before="1"/>
        <w:ind w:left="673"/>
      </w:pPr>
      <w:hyperlink r:id="rId19">
        <w:r>
          <w:rPr>
            <w:color w:val="0000FF"/>
            <w:u w:val="single" w:color="0000FF"/>
          </w:rPr>
          <w:t>https://www.bankofengland.co.uk/speech/2017/de-globalisation-and-inflation</w:t>
        </w:r>
      </w:hyperlink>
    </w:p>
    <w:p>
      <w:pPr>
        <w:pStyle w:val="BodyText"/>
      </w:pPr>
    </w:p>
    <w:p>
      <w:pPr>
        <w:pStyle w:val="BodyText"/>
        <w:spacing w:before="10"/>
        <w:rPr>
          <w:sz w:val="19"/>
        </w:rPr>
      </w:pPr>
    </w:p>
    <w:p>
      <w:pPr>
        <w:pStyle w:val="BodyText"/>
        <w:spacing w:line="360" w:lineRule="auto" w:before="1"/>
        <w:ind w:left="673" w:right="1188"/>
      </w:pPr>
      <w:r>
        <w:rPr>
          <w:b/>
        </w:rPr>
        <w:t>Haldane, Andy (2017), </w:t>
      </w:r>
      <w:r>
        <w:rPr/>
        <w:t>“Work, Wages and Monetary Policy”, speech at the National Science and Media Museum, Bradford, September 2017, available at</w:t>
      </w:r>
    </w:p>
    <w:p>
      <w:pPr>
        <w:pStyle w:val="BodyText"/>
        <w:spacing w:before="1"/>
        <w:ind w:left="673"/>
      </w:pPr>
      <w:hyperlink r:id="rId20">
        <w:r>
          <w:rPr>
            <w:color w:val="0000FF"/>
            <w:u w:val="single" w:color="0000FF"/>
          </w:rPr>
          <w:t>https://www.bankofengland.co.uk/speech/2017/work-wages-and-monetary-policy</w:t>
        </w:r>
      </w:hyperlink>
    </w:p>
    <w:p>
      <w:pPr>
        <w:pStyle w:val="BodyText"/>
      </w:pPr>
    </w:p>
    <w:p>
      <w:pPr>
        <w:pStyle w:val="BodyText"/>
        <w:spacing w:before="10"/>
        <w:rPr>
          <w:sz w:val="19"/>
        </w:rPr>
      </w:pPr>
    </w:p>
    <w:p>
      <w:pPr>
        <w:spacing w:line="360" w:lineRule="auto" w:before="1"/>
        <w:ind w:left="673" w:right="2024" w:firstLine="0"/>
        <w:jc w:val="left"/>
        <w:rPr>
          <w:sz w:val="20"/>
        </w:rPr>
      </w:pPr>
      <w:r>
        <w:rPr>
          <w:b/>
          <w:sz w:val="20"/>
        </w:rPr>
        <w:t>International Monetary Fund (2017), </w:t>
      </w:r>
      <w:r>
        <w:rPr>
          <w:i/>
          <w:sz w:val="20"/>
        </w:rPr>
        <w:t>World Economic Outlook, October 2017, </w:t>
      </w:r>
      <w:r>
        <w:rPr>
          <w:sz w:val="20"/>
        </w:rPr>
        <w:t>available at </w:t>
      </w:r>
      <w:hyperlink r:id="rId21">
        <w:r>
          <w:rPr>
            <w:color w:val="0000FF"/>
            <w:w w:val="95"/>
            <w:sz w:val="20"/>
            <w:u w:val="single" w:color="0000FF"/>
          </w:rPr>
          <w:t>https://www.imf.org/en/Publications/WEO/Issues/2017/09/19/world-economic-outlook-october-2017</w:t>
        </w:r>
      </w:hyperlink>
    </w:p>
    <w:p>
      <w:pPr>
        <w:pStyle w:val="BodyText"/>
        <w:spacing w:before="10"/>
        <w:rPr>
          <w:sz w:val="21"/>
        </w:rPr>
      </w:pPr>
    </w:p>
    <w:p>
      <w:pPr>
        <w:spacing w:line="360" w:lineRule="auto" w:before="93"/>
        <w:ind w:left="673" w:right="1376" w:firstLine="0"/>
        <w:jc w:val="left"/>
        <w:rPr>
          <w:sz w:val="20"/>
        </w:rPr>
      </w:pPr>
      <w:r>
        <w:rPr>
          <w:b/>
          <w:sz w:val="20"/>
        </w:rPr>
        <w:t>Leduc, Sylvain and D. Wilson (2017)</w:t>
      </w:r>
      <w:r>
        <w:rPr>
          <w:sz w:val="20"/>
        </w:rPr>
        <w:t>, “Has the Wage Phillips Curve Gone Dormant?”, FRBSF Economic Letter 2017-30, October 2017, available at</w:t>
      </w:r>
    </w:p>
    <w:p>
      <w:pPr>
        <w:pStyle w:val="BodyText"/>
        <w:spacing w:line="360" w:lineRule="auto" w:before="1"/>
        <w:ind w:left="673" w:right="1314"/>
      </w:pPr>
      <w:hyperlink r:id="rId22">
        <w:r>
          <w:rPr>
            <w:color w:val="0000FF"/>
            <w:w w:val="95"/>
            <w:u w:val="single" w:color="0000FF"/>
          </w:rPr>
          <w:t>http://www.frbsf.org/economic-research/publications/economic-letter/2017/october/has-wage-phillips-curve-</w:t>
        </w:r>
      </w:hyperlink>
      <w:r>
        <w:rPr>
          <w:color w:val="0000FF"/>
          <w:w w:val="95"/>
        </w:rPr>
        <w:t> </w:t>
      </w:r>
      <w:hyperlink r:id="rId22">
        <w:r>
          <w:rPr>
            <w:color w:val="0000FF"/>
            <w:u w:val="single" w:color="0000FF"/>
          </w:rPr>
          <w:t>gone-dormant/</w:t>
        </w:r>
      </w:hyperlink>
    </w:p>
    <w:p>
      <w:pPr>
        <w:pStyle w:val="BodyText"/>
        <w:spacing w:before="7"/>
        <w:rPr>
          <w:sz w:val="21"/>
        </w:rPr>
      </w:pPr>
    </w:p>
    <w:p>
      <w:pPr>
        <w:pStyle w:val="BodyText"/>
        <w:spacing w:line="360" w:lineRule="auto" w:before="93"/>
        <w:ind w:left="673" w:right="1188"/>
      </w:pPr>
      <w:r>
        <w:rPr>
          <w:b/>
        </w:rPr>
        <w:t>Mion, Giordano and M. Muuls (2014)</w:t>
      </w:r>
      <w:r>
        <w:rPr/>
        <w:t>, “Investigation into the extensive and intensive margins of growth in the value of UK exports and the role of SME exporters”, report commissioned by UK Trade and Investment (UKTI), January 2014, available at </w:t>
      </w:r>
      <w:hyperlink r:id="rId23">
        <w:r>
          <w:rPr>
            <w:color w:val="0000FF"/>
            <w:w w:val="95"/>
            <w:u w:val="single" w:color="0000FF"/>
          </w:rPr>
          <w:t>https://www.gov.uk/government/uploads/system/uploads/attachment_data/file/473293/2013_Extensive_Inten</w:t>
        </w:r>
      </w:hyperlink>
      <w:r>
        <w:rPr>
          <w:color w:val="0000FF"/>
          <w:w w:val="95"/>
        </w:rPr>
        <w:t> </w:t>
      </w:r>
      <w:hyperlink r:id="rId23">
        <w:r>
          <w:rPr>
            <w:color w:val="0000FF"/>
            <w:u w:val="single" w:color="0000FF"/>
          </w:rPr>
          <w:t>sive_margins_FINAL_03_Dec_13.pdf</w:t>
        </w:r>
      </w:hyperlink>
    </w:p>
    <w:p>
      <w:pPr>
        <w:spacing w:after="0" w:line="360" w:lineRule="auto"/>
        <w:sectPr>
          <w:pgSz w:w="11910" w:h="16840"/>
          <w:pgMar w:header="0" w:footer="1338" w:top="1520" w:bottom="1520" w:left="460" w:right="0"/>
        </w:sectPr>
      </w:pPr>
    </w:p>
    <w:p>
      <w:pPr>
        <w:pStyle w:val="BodyText"/>
        <w:spacing w:line="360" w:lineRule="auto" w:before="76"/>
        <w:ind w:left="673" w:right="1496"/>
      </w:pPr>
      <w:r>
        <w:rPr>
          <w:b/>
        </w:rPr>
        <w:t>Nickell, Stephen and J. Saleheen (2015)</w:t>
      </w:r>
      <w:r>
        <w:rPr/>
        <w:t>, “The impact of immigration on occupational wages: evidence from Britain”, BoE Staff Working Paper No. 574, December 2015, available at </w:t>
      </w:r>
      <w:hyperlink r:id="rId24">
        <w:r>
          <w:rPr>
            <w:color w:val="0000FF"/>
            <w:w w:val="95"/>
            <w:u w:val="single" w:color="0000FF"/>
          </w:rPr>
          <w:t>https://www.bankofengland.co.uk/working-paper/2015/the-impact-of-immigration-on-occupational-wages-</w:t>
        </w:r>
      </w:hyperlink>
      <w:r>
        <w:rPr>
          <w:color w:val="0000FF"/>
          <w:w w:val="95"/>
        </w:rPr>
        <w:t> </w:t>
      </w:r>
      <w:hyperlink r:id="rId24">
        <w:r>
          <w:rPr>
            <w:color w:val="0000FF"/>
            <w:u w:val="single" w:color="0000FF"/>
          </w:rPr>
          <w:t>evidence-from-britain</w:t>
        </w:r>
      </w:hyperlink>
    </w:p>
    <w:p>
      <w:pPr>
        <w:pStyle w:val="BodyText"/>
        <w:spacing w:before="9"/>
        <w:rPr>
          <w:sz w:val="21"/>
        </w:rPr>
      </w:pPr>
    </w:p>
    <w:p>
      <w:pPr>
        <w:spacing w:line="362" w:lineRule="auto" w:before="93"/>
        <w:ind w:left="673" w:right="1399" w:firstLine="0"/>
        <w:jc w:val="left"/>
        <w:rPr>
          <w:sz w:val="20"/>
        </w:rPr>
      </w:pPr>
      <w:r>
        <w:rPr>
          <w:b/>
          <w:sz w:val="20"/>
        </w:rPr>
        <w:t>Organisation for Economic Cooperation and Development (2006)</w:t>
      </w:r>
      <w:r>
        <w:rPr>
          <w:sz w:val="20"/>
        </w:rPr>
        <w:t>, “OECD Economic Outlook No. 80”, volume 2006/2, December 2006, available at</w:t>
      </w:r>
    </w:p>
    <w:p>
      <w:pPr>
        <w:pStyle w:val="BodyText"/>
        <w:spacing w:line="360" w:lineRule="auto"/>
        <w:ind w:left="673" w:right="1188"/>
      </w:pPr>
      <w:hyperlink r:id="rId25">
        <w:r>
          <w:rPr>
            <w:color w:val="0000FF"/>
            <w:u w:val="single" w:color="0000FF"/>
          </w:rPr>
          <w:t>http://www.oecd-</w:t>
        </w:r>
      </w:hyperlink>
      <w:r>
        <w:rPr>
          <w:color w:val="0000FF"/>
        </w:rPr>
        <w:t> </w:t>
      </w:r>
      <w:hyperlink r:id="rId25">
        <w:r>
          <w:rPr>
            <w:color w:val="0000FF"/>
            <w:w w:val="95"/>
            <w:u w:val="single" w:color="0000FF"/>
          </w:rPr>
          <w:t>ilibrary.org/docserver/download/1206031e.pdf?expires=1516098986&amp;id=id&amp;accname=ocid42009749&amp;check</w:t>
        </w:r>
      </w:hyperlink>
      <w:r>
        <w:rPr>
          <w:color w:val="0000FF"/>
          <w:w w:val="95"/>
        </w:rPr>
        <w:t> </w:t>
      </w:r>
      <w:hyperlink r:id="rId25">
        <w:r>
          <w:rPr>
            <w:color w:val="0000FF"/>
            <w:u w:val="single" w:color="0000FF"/>
          </w:rPr>
          <w:t>sum=4F2577C29BD50E4267FD71D5B78D2596</w:t>
        </w:r>
      </w:hyperlink>
    </w:p>
    <w:p>
      <w:pPr>
        <w:pStyle w:val="BodyText"/>
        <w:spacing w:before="8"/>
        <w:rPr>
          <w:sz w:val="21"/>
        </w:rPr>
      </w:pPr>
    </w:p>
    <w:p>
      <w:pPr>
        <w:spacing w:line="362" w:lineRule="auto" w:before="93"/>
        <w:ind w:left="673" w:right="1532" w:firstLine="0"/>
        <w:jc w:val="left"/>
        <w:rPr>
          <w:sz w:val="20"/>
        </w:rPr>
      </w:pPr>
      <w:r>
        <w:rPr>
          <w:b/>
          <w:sz w:val="20"/>
        </w:rPr>
        <w:t>Organisation for Economic Cooperation and Development (2016)</w:t>
      </w:r>
      <w:r>
        <w:rPr>
          <w:sz w:val="20"/>
        </w:rPr>
        <w:t>, “The Economic Consequences of Brexit: A Taxing Decision”, OECD Policy Paper, April 2016, available at</w:t>
      </w:r>
    </w:p>
    <w:p>
      <w:pPr>
        <w:pStyle w:val="BodyText"/>
        <w:spacing w:line="227" w:lineRule="exact"/>
        <w:ind w:left="673"/>
      </w:pPr>
      <w:hyperlink r:id="rId26">
        <w:r>
          <w:rPr>
            <w:color w:val="0000FF"/>
            <w:u w:val="single" w:color="0000FF"/>
          </w:rPr>
          <w:t>http://www.oecd.org/eco/the-economic-consequences-of-brexit-a-taxing-decision.htm</w:t>
        </w:r>
      </w:hyperlink>
    </w:p>
    <w:p>
      <w:pPr>
        <w:pStyle w:val="BodyText"/>
      </w:pPr>
    </w:p>
    <w:p>
      <w:pPr>
        <w:pStyle w:val="BodyText"/>
        <w:spacing w:before="10"/>
        <w:rPr>
          <w:sz w:val="19"/>
        </w:rPr>
      </w:pPr>
    </w:p>
    <w:p>
      <w:pPr>
        <w:spacing w:line="360" w:lineRule="auto" w:before="0"/>
        <w:ind w:left="673" w:right="1151" w:firstLine="0"/>
        <w:jc w:val="left"/>
        <w:rPr>
          <w:sz w:val="20"/>
        </w:rPr>
      </w:pPr>
      <w:r>
        <w:rPr>
          <w:b/>
          <w:sz w:val="20"/>
        </w:rPr>
        <w:t>Saunders, Michael (2017)</w:t>
      </w:r>
      <w:r>
        <w:rPr>
          <w:sz w:val="20"/>
        </w:rPr>
        <w:t>, “The Labour Market”, speech given at the Resolution Foundation, January 2017, available at:</w:t>
      </w:r>
    </w:p>
    <w:p>
      <w:pPr>
        <w:pStyle w:val="BodyText"/>
        <w:spacing w:before="1"/>
        <w:ind w:left="673"/>
      </w:pPr>
      <w:hyperlink r:id="rId27">
        <w:r>
          <w:rPr>
            <w:color w:val="0000FF"/>
            <w:u w:val="single" w:color="0000FF"/>
          </w:rPr>
          <w:t>https://www.bankofengland.co.uk/speech/2017/the-labour-market</w:t>
        </w:r>
      </w:hyperlink>
    </w:p>
    <w:p>
      <w:pPr>
        <w:pStyle w:val="BodyText"/>
      </w:pPr>
    </w:p>
    <w:p>
      <w:pPr>
        <w:pStyle w:val="BodyText"/>
        <w:spacing w:before="10"/>
        <w:rPr>
          <w:sz w:val="19"/>
        </w:rPr>
      </w:pPr>
    </w:p>
    <w:p>
      <w:pPr>
        <w:pStyle w:val="BodyText"/>
        <w:spacing w:line="360" w:lineRule="auto" w:before="1"/>
        <w:ind w:left="673" w:right="1160"/>
      </w:pPr>
      <w:r>
        <w:rPr>
          <w:b/>
        </w:rPr>
        <w:t>Tenreyro, Silvana (2018), </w:t>
      </w:r>
      <w:r>
        <w:rPr/>
        <w:t>“The fall in productivity growth: causes and implications”, speech at Queen Mary, University of London, January 2018, available at:</w:t>
      </w:r>
    </w:p>
    <w:p>
      <w:pPr>
        <w:pStyle w:val="BodyText"/>
        <w:spacing w:before="1"/>
        <w:ind w:left="673"/>
      </w:pPr>
      <w:hyperlink r:id="rId28">
        <w:r>
          <w:rPr>
            <w:color w:val="0000FF"/>
            <w:u w:val="single" w:color="0000FF"/>
          </w:rPr>
          <w:t>https://www.bankofengland.co.uk/speech/2018/silvana-tenreyro-2018-peston-lecture</w:t>
        </w:r>
      </w:hyperlink>
    </w:p>
    <w:p>
      <w:pPr>
        <w:pStyle w:val="BodyText"/>
      </w:pPr>
    </w:p>
    <w:p>
      <w:pPr>
        <w:pStyle w:val="BodyText"/>
        <w:spacing w:before="10"/>
        <w:rPr>
          <w:sz w:val="19"/>
        </w:rPr>
      </w:pPr>
    </w:p>
    <w:p>
      <w:pPr>
        <w:pStyle w:val="BodyText"/>
        <w:spacing w:line="360" w:lineRule="auto" w:before="1"/>
        <w:ind w:left="673" w:right="1188"/>
      </w:pPr>
      <w:r>
        <w:rPr>
          <w:b/>
        </w:rPr>
        <w:t>Vlieghe, Jan (2017), </w:t>
      </w:r>
      <w:r>
        <w:rPr/>
        <w:t>“Real interest rates and risk”, speech at the Society of Business Economists’ Annual conference, London, September 2017, available at</w:t>
      </w:r>
    </w:p>
    <w:p>
      <w:pPr>
        <w:pStyle w:val="BodyText"/>
        <w:spacing w:before="1"/>
        <w:ind w:left="673"/>
      </w:pPr>
      <w:hyperlink r:id="rId29">
        <w:r>
          <w:rPr>
            <w:color w:val="0000FF"/>
            <w:u w:val="single" w:color="0000FF"/>
          </w:rPr>
          <w:t>https://www.bankofengland.co.uk/speech/2017/real-interest-rates-and-risk</w:t>
        </w:r>
      </w:hyperlink>
    </w:p>
    <w:p>
      <w:pPr>
        <w:spacing w:after="0"/>
        <w:sectPr>
          <w:pgSz w:w="11910" w:h="16840"/>
          <w:pgMar w:header="0" w:footer="1338" w:top="152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840"/>
        <w:gridCol w:w="97"/>
        <w:gridCol w:w="111"/>
        <w:gridCol w:w="5075"/>
        <w:gridCol w:w="81"/>
      </w:tblGrid>
      <w:tr>
        <w:trPr>
          <w:trHeight w:val="1019" w:hRule="atLeast"/>
        </w:trPr>
        <w:tc>
          <w:tcPr>
            <w:tcW w:w="5048" w:type="dxa"/>
            <w:gridSpan w:val="3"/>
            <w:tcBorders>
              <w:bottom w:val="single" w:sz="6" w:space="0" w:color="000000"/>
            </w:tcBorders>
          </w:tcPr>
          <w:p>
            <w:pPr>
              <w:pStyle w:val="TableParagraph"/>
              <w:spacing w:line="352" w:lineRule="auto" w:before="108"/>
              <w:ind w:left="107" w:right="686"/>
              <w:rPr>
                <w:rFonts w:ascii="Arial" w:hAnsi="Arial"/>
                <w:sz w:val="20"/>
              </w:rPr>
            </w:pPr>
            <w:r>
              <w:rPr>
                <w:rFonts w:ascii="Arial" w:hAnsi="Arial"/>
                <w:sz w:val="20"/>
              </w:rPr>
              <w:t>Figure 1. UK – Unemployment Rate and Under- Employment Rate, 1992-2017</w:t>
            </w:r>
          </w:p>
        </w:tc>
        <w:tc>
          <w:tcPr>
            <w:tcW w:w="5267" w:type="dxa"/>
            <w:gridSpan w:val="3"/>
            <w:tcBorders>
              <w:bottom w:val="single" w:sz="6" w:space="0" w:color="000000"/>
            </w:tcBorders>
          </w:tcPr>
          <w:p>
            <w:pPr>
              <w:pStyle w:val="TableParagraph"/>
              <w:spacing w:line="352" w:lineRule="auto" w:before="108"/>
              <w:ind w:left="110"/>
              <w:rPr>
                <w:rFonts w:ascii="Arial" w:hAnsi="Arial"/>
                <w:sz w:val="20"/>
              </w:rPr>
            </w:pPr>
            <w:r>
              <w:rPr>
                <w:rFonts w:ascii="Arial" w:hAnsi="Arial"/>
                <w:sz w:val="20"/>
              </w:rPr>
              <w:t>Figure 2. Surveys of Firms’ Hiring Intentions (Standard Deviations from Average) and YoY Job Growth, 1999-</w:t>
            </w:r>
          </w:p>
          <w:p>
            <w:pPr>
              <w:pStyle w:val="TableParagraph"/>
              <w:spacing w:line="213" w:lineRule="exact" w:before="3"/>
              <w:ind w:left="110"/>
              <w:rPr>
                <w:rFonts w:ascii="Arial"/>
                <w:sz w:val="20"/>
              </w:rPr>
            </w:pPr>
            <w:r>
              <w:rPr>
                <w:rFonts w:ascii="Arial"/>
                <w:sz w:val="20"/>
              </w:rPr>
              <w:t>2017</w:t>
            </w:r>
          </w:p>
        </w:tc>
      </w:tr>
      <w:tr>
        <w:trPr>
          <w:trHeight w:val="3852" w:hRule="atLeast"/>
        </w:trPr>
        <w:tc>
          <w:tcPr>
            <w:tcW w:w="111" w:type="dxa"/>
            <w:tcBorders>
              <w:right w:val="single" w:sz="4" w:space="0" w:color="858585"/>
            </w:tcBorders>
          </w:tcPr>
          <w:p>
            <w:pPr>
              <w:pStyle w:val="TableParagraph"/>
              <w:rPr>
                <w:rFonts w:ascii="Times New Roman"/>
                <w:sz w:val="16"/>
              </w:rPr>
            </w:pPr>
          </w:p>
        </w:tc>
        <w:tc>
          <w:tcPr>
            <w:tcW w:w="4840" w:type="dxa"/>
            <w:tcBorders>
              <w:top w:val="single" w:sz="6" w:space="0" w:color="000000"/>
              <w:left w:val="single" w:sz="4" w:space="0" w:color="858585"/>
              <w:bottom w:val="thickThinMediumGap" w:sz="2" w:space="0" w:color="000000"/>
              <w:right w:val="single" w:sz="4" w:space="0" w:color="858585"/>
            </w:tcBorders>
          </w:tcPr>
          <w:p>
            <w:pPr>
              <w:pStyle w:val="TableParagraph"/>
              <w:spacing w:line="224" w:lineRule="exact" w:before="10"/>
              <w:ind w:left="9"/>
              <w:rPr>
                <w:b/>
                <w:sz w:val="19"/>
              </w:rPr>
            </w:pPr>
            <w:r>
              <w:rPr>
                <w:b/>
                <w:w w:val="95"/>
                <w:sz w:val="19"/>
              </w:rPr>
              <w:t>12</w:t>
            </w:r>
          </w:p>
          <w:p>
            <w:pPr>
              <w:pStyle w:val="TableParagraph"/>
              <w:spacing w:line="179" w:lineRule="exact"/>
              <w:ind w:left="415"/>
              <w:rPr>
                <w:b/>
                <w:sz w:val="19"/>
              </w:rPr>
            </w:pPr>
            <w:r>
              <w:rPr>
                <w:b/>
                <w:w w:val="83"/>
                <w:sz w:val="19"/>
              </w:rPr>
              <w:t>%</w:t>
            </w:r>
          </w:p>
          <w:p>
            <w:pPr>
              <w:pStyle w:val="TableParagraph"/>
              <w:spacing w:line="187" w:lineRule="exact"/>
              <w:ind w:left="9"/>
              <w:rPr>
                <w:b/>
                <w:sz w:val="19"/>
              </w:rPr>
            </w:pPr>
            <w:r>
              <w:rPr>
                <w:b/>
                <w:w w:val="95"/>
                <w:sz w:val="19"/>
              </w:rPr>
              <w:t>11</w:t>
            </w:r>
          </w:p>
          <w:p>
            <w:pPr>
              <w:pStyle w:val="TableParagraph"/>
              <w:spacing w:before="126"/>
              <w:ind w:left="9"/>
              <w:rPr>
                <w:b/>
                <w:sz w:val="19"/>
              </w:rPr>
            </w:pPr>
            <w:r>
              <w:rPr>
                <w:b/>
                <w:w w:val="95"/>
                <w:sz w:val="19"/>
              </w:rPr>
              <w:t>10</w:t>
            </w:r>
          </w:p>
          <w:p>
            <w:pPr>
              <w:pStyle w:val="TableParagraph"/>
              <w:tabs>
                <w:tab w:pos="1659" w:val="left" w:leader="none"/>
                <w:tab w:pos="4655" w:val="left" w:leader="none"/>
              </w:tabs>
              <w:spacing w:before="128"/>
              <w:ind w:left="90"/>
              <w:rPr>
                <w:b/>
                <w:sz w:val="19"/>
              </w:rPr>
            </w:pPr>
            <w:r>
              <w:rPr>
                <w:b/>
                <w:w w:val="95"/>
                <w:sz w:val="19"/>
              </w:rPr>
              <w:t>9</w:t>
            </w:r>
            <w:r>
              <w:rPr>
                <w:b/>
                <w:sz w:val="19"/>
              </w:rPr>
              <w:tab/>
            </w:r>
            <w:r>
              <w:rPr>
                <w:b/>
                <w:w w:val="83"/>
                <w:sz w:val="19"/>
                <w:u w:val="thick" w:color="FF00FF"/>
              </w:rPr>
              <w:t> </w:t>
            </w:r>
            <w:r>
              <w:rPr>
                <w:b/>
                <w:sz w:val="19"/>
                <w:u w:val="thick" w:color="FF00FF"/>
              </w:rPr>
              <w:tab/>
            </w:r>
          </w:p>
          <w:p>
            <w:pPr>
              <w:pStyle w:val="TableParagraph"/>
              <w:tabs>
                <w:tab w:pos="1471" w:val="left" w:leader="none"/>
              </w:tabs>
              <w:spacing w:before="122"/>
              <w:ind w:left="90"/>
              <w:rPr>
                <w:b/>
                <w:sz w:val="19"/>
              </w:rPr>
            </w:pPr>
            <w:r>
              <w:rPr>
                <w:b/>
                <w:w w:val="95"/>
                <w:position w:val="11"/>
                <w:sz w:val="19"/>
              </w:rPr>
              <w:t>8</w:t>
              <w:tab/>
            </w:r>
            <w:r>
              <w:rPr>
                <w:b/>
                <w:w w:val="95"/>
                <w:sz w:val="19"/>
              </w:rPr>
              <w:t>2000-07</w:t>
            </w:r>
            <w:r>
              <w:rPr>
                <w:b/>
                <w:spacing w:val="-7"/>
                <w:w w:val="95"/>
                <w:sz w:val="19"/>
              </w:rPr>
              <w:t> </w:t>
            </w:r>
            <w:r>
              <w:rPr>
                <w:b/>
                <w:w w:val="95"/>
                <w:sz w:val="19"/>
              </w:rPr>
              <w:t>Average</w:t>
            </w:r>
          </w:p>
          <w:p>
            <w:pPr>
              <w:pStyle w:val="TableParagraph"/>
              <w:spacing w:before="21"/>
              <w:ind w:left="90"/>
              <w:rPr>
                <w:b/>
                <w:sz w:val="19"/>
              </w:rPr>
            </w:pPr>
            <w:r>
              <w:rPr>
                <w:b/>
                <w:w w:val="83"/>
                <w:sz w:val="19"/>
              </w:rPr>
              <w:t>7</w:t>
            </w:r>
          </w:p>
          <w:p>
            <w:pPr>
              <w:pStyle w:val="TableParagraph"/>
              <w:spacing w:line="215" w:lineRule="exact" w:before="127"/>
              <w:ind w:left="90"/>
              <w:rPr>
                <w:b/>
                <w:sz w:val="19"/>
              </w:rPr>
            </w:pPr>
            <w:r>
              <w:rPr>
                <w:b/>
                <w:w w:val="83"/>
                <w:sz w:val="19"/>
              </w:rPr>
              <w:t>6</w:t>
            </w:r>
          </w:p>
          <w:p>
            <w:pPr>
              <w:pStyle w:val="TableParagraph"/>
              <w:tabs>
                <w:tab w:pos="4615" w:val="left" w:leader="none"/>
              </w:tabs>
              <w:spacing w:line="181" w:lineRule="exact"/>
              <w:ind w:left="1659"/>
              <w:rPr>
                <w:b/>
                <w:sz w:val="19"/>
              </w:rPr>
            </w:pPr>
            <w:r>
              <w:rPr>
                <w:b/>
                <w:w w:val="87"/>
                <w:sz w:val="19"/>
                <w:u w:val="thick" w:color="0033CC"/>
              </w:rPr>
              <w:t> </w:t>
            </w:r>
            <w:r>
              <w:rPr>
                <w:b/>
                <w:sz w:val="19"/>
                <w:u w:val="thick" w:color="0033CC"/>
              </w:rPr>
              <w:tab/>
            </w:r>
          </w:p>
          <w:p>
            <w:pPr>
              <w:pStyle w:val="TableParagraph"/>
              <w:tabs>
                <w:tab w:pos="450" w:val="left" w:leader="none"/>
              </w:tabs>
              <w:spacing w:line="288" w:lineRule="exact"/>
              <w:ind w:left="90"/>
              <w:rPr>
                <w:b/>
                <w:sz w:val="19"/>
              </w:rPr>
            </w:pPr>
            <w:r>
              <w:rPr>
                <w:b/>
                <w:w w:val="95"/>
                <w:position w:val="9"/>
                <w:sz w:val="19"/>
              </w:rPr>
              <w:t>5</w:t>
              <w:tab/>
            </w:r>
            <w:r>
              <w:rPr>
                <w:b/>
                <w:w w:val="95"/>
                <w:sz w:val="19"/>
              </w:rPr>
              <w:t>Unemployment</w:t>
            </w:r>
            <w:r>
              <w:rPr>
                <w:b/>
                <w:spacing w:val="-8"/>
                <w:w w:val="95"/>
                <w:sz w:val="19"/>
              </w:rPr>
              <w:t> </w:t>
            </w:r>
            <w:r>
              <w:rPr>
                <w:b/>
                <w:w w:val="95"/>
                <w:sz w:val="19"/>
              </w:rPr>
              <w:t>Rate</w:t>
            </w:r>
          </w:p>
          <w:p>
            <w:pPr>
              <w:pStyle w:val="TableParagraph"/>
              <w:tabs>
                <w:tab w:pos="2875" w:val="left" w:leader="none"/>
              </w:tabs>
              <w:spacing w:line="226" w:lineRule="exact" w:before="1"/>
              <w:ind w:left="90"/>
              <w:rPr>
                <w:b/>
                <w:sz w:val="19"/>
              </w:rPr>
            </w:pPr>
            <w:r>
              <w:rPr>
                <w:b/>
                <w:w w:val="95"/>
                <w:position w:val="-2"/>
                <w:sz w:val="19"/>
              </w:rPr>
              <w:t>4</w:t>
              <w:tab/>
            </w:r>
            <w:r>
              <w:rPr>
                <w:b/>
                <w:w w:val="95"/>
                <w:sz w:val="19"/>
              </w:rPr>
              <w:t>2000-07</w:t>
            </w:r>
            <w:r>
              <w:rPr>
                <w:b/>
                <w:spacing w:val="-11"/>
                <w:w w:val="95"/>
                <w:sz w:val="19"/>
              </w:rPr>
              <w:t> </w:t>
            </w:r>
            <w:r>
              <w:rPr>
                <w:b/>
                <w:w w:val="95"/>
                <w:sz w:val="19"/>
              </w:rPr>
              <w:t>Average</w:t>
            </w:r>
          </w:p>
          <w:p>
            <w:pPr>
              <w:pStyle w:val="TableParagraph"/>
              <w:spacing w:line="181" w:lineRule="exact"/>
              <w:ind w:left="450"/>
              <w:rPr>
                <w:b/>
                <w:sz w:val="19"/>
              </w:rPr>
            </w:pPr>
            <w:r>
              <w:rPr>
                <w:b/>
                <w:w w:val="95"/>
                <w:sz w:val="19"/>
              </w:rPr>
              <w:t>Under-Employment Rate</w:t>
            </w:r>
          </w:p>
          <w:p>
            <w:pPr>
              <w:pStyle w:val="TableParagraph"/>
              <w:spacing w:line="217" w:lineRule="exact"/>
              <w:ind w:left="90"/>
              <w:rPr>
                <w:b/>
                <w:sz w:val="19"/>
              </w:rPr>
            </w:pPr>
            <w:r>
              <w:rPr>
                <w:b/>
                <w:w w:val="83"/>
                <w:sz w:val="19"/>
              </w:rPr>
              <w:t>3</w:t>
            </w:r>
          </w:p>
          <w:p>
            <w:pPr>
              <w:pStyle w:val="TableParagraph"/>
              <w:tabs>
                <w:tab w:pos="998" w:val="left" w:leader="none"/>
                <w:tab w:pos="1832" w:val="left" w:leader="none"/>
                <w:tab w:pos="2666" w:val="left" w:leader="none"/>
                <w:tab w:pos="3501" w:val="left" w:leader="none"/>
                <w:tab w:pos="4335" w:val="left" w:leader="none"/>
              </w:tabs>
              <w:spacing w:before="20"/>
              <w:ind w:left="163"/>
              <w:rPr>
                <w:b/>
                <w:sz w:val="19"/>
              </w:rPr>
            </w:pPr>
            <w:r>
              <w:rPr>
                <w:b/>
                <w:w w:val="95"/>
                <w:sz w:val="19"/>
              </w:rPr>
              <w:t>1992</w:t>
              <w:tab/>
              <w:t>1997</w:t>
              <w:tab/>
              <w:t>2002</w:t>
              <w:tab/>
              <w:t>2007</w:t>
              <w:tab/>
              <w:t>2012</w:t>
              <w:tab/>
              <w:t>2017</w:t>
            </w:r>
          </w:p>
        </w:tc>
        <w:tc>
          <w:tcPr>
            <w:tcW w:w="97" w:type="dxa"/>
            <w:tcBorders>
              <w:left w:val="single" w:sz="4" w:space="0" w:color="858585"/>
            </w:tcBorders>
          </w:tcPr>
          <w:p>
            <w:pPr>
              <w:pStyle w:val="TableParagraph"/>
              <w:rPr>
                <w:rFonts w:ascii="Times New Roman"/>
                <w:sz w:val="16"/>
              </w:rPr>
            </w:pPr>
          </w:p>
        </w:tc>
        <w:tc>
          <w:tcPr>
            <w:tcW w:w="111" w:type="dxa"/>
            <w:tcBorders>
              <w:right w:val="single" w:sz="4" w:space="0" w:color="858585"/>
            </w:tcBorders>
          </w:tcPr>
          <w:p>
            <w:pPr>
              <w:pStyle w:val="TableParagraph"/>
              <w:rPr>
                <w:rFonts w:ascii="Times New Roman"/>
                <w:sz w:val="16"/>
              </w:rPr>
            </w:pPr>
          </w:p>
        </w:tc>
        <w:tc>
          <w:tcPr>
            <w:tcW w:w="5075" w:type="dxa"/>
            <w:tcBorders>
              <w:top w:val="single" w:sz="6" w:space="0" w:color="000000"/>
              <w:left w:val="single" w:sz="4" w:space="0" w:color="858585"/>
              <w:bottom w:val="thickThinMediumGap" w:sz="2" w:space="0" w:color="000000"/>
              <w:right w:val="single" w:sz="4" w:space="0" w:color="858585"/>
            </w:tcBorders>
          </w:tcPr>
          <w:p>
            <w:pPr>
              <w:pStyle w:val="TableParagraph"/>
              <w:tabs>
                <w:tab w:pos="993" w:val="left" w:leader="none"/>
                <w:tab w:pos="4885" w:val="right" w:leader="none"/>
              </w:tabs>
              <w:spacing w:line="314" w:lineRule="exact" w:before="8"/>
              <w:ind w:left="61"/>
              <w:rPr>
                <w:b/>
                <w:sz w:val="19"/>
              </w:rPr>
            </w:pPr>
            <w:r>
              <w:rPr>
                <w:b/>
                <w:w w:val="95"/>
                <w:position w:val="10"/>
                <w:sz w:val="19"/>
              </w:rPr>
              <w:t>2.0</w:t>
              <w:tab/>
            </w:r>
            <w:r>
              <w:rPr>
                <w:b/>
                <w:w w:val="95"/>
                <w:position w:val="10"/>
                <w:sz w:val="19"/>
                <w:u w:val="thick" w:color="0000FF"/>
              </w:rPr>
              <w:t> </w:t>
            </w:r>
            <w:r>
              <w:rPr>
                <w:b/>
                <w:w w:val="95"/>
                <w:sz w:val="19"/>
              </w:rPr>
              <w:t>Average</w:t>
            </w:r>
            <w:r>
              <w:rPr>
                <w:b/>
                <w:spacing w:val="-9"/>
                <w:w w:val="95"/>
                <w:sz w:val="19"/>
              </w:rPr>
              <w:t> </w:t>
            </w:r>
            <w:r>
              <w:rPr>
                <w:b/>
                <w:w w:val="95"/>
                <w:sz w:val="19"/>
              </w:rPr>
              <w:t>of</w:t>
            </w:r>
            <w:r>
              <w:rPr>
                <w:b/>
                <w:spacing w:val="-9"/>
                <w:w w:val="95"/>
                <w:sz w:val="19"/>
              </w:rPr>
              <w:t> </w:t>
            </w:r>
            <w:r>
              <w:rPr>
                <w:b/>
                <w:w w:val="95"/>
                <w:sz w:val="19"/>
              </w:rPr>
              <w:t>Surveys</w:t>
            </w:r>
            <w:r>
              <w:rPr>
                <w:b/>
                <w:spacing w:val="-9"/>
                <w:w w:val="95"/>
                <w:sz w:val="19"/>
              </w:rPr>
              <w:t> </w:t>
            </w:r>
            <w:r>
              <w:rPr>
                <w:b/>
                <w:w w:val="95"/>
                <w:sz w:val="19"/>
              </w:rPr>
              <w:t>of</w:t>
            </w:r>
            <w:r>
              <w:rPr>
                <w:b/>
                <w:spacing w:val="-9"/>
                <w:w w:val="95"/>
                <w:sz w:val="19"/>
              </w:rPr>
              <w:t> </w:t>
            </w:r>
            <w:r>
              <w:rPr>
                <w:b/>
                <w:w w:val="95"/>
                <w:sz w:val="19"/>
              </w:rPr>
              <w:t>Firms'</w:t>
            </w:r>
            <w:r>
              <w:rPr>
                <w:b/>
                <w:spacing w:val="-9"/>
                <w:w w:val="95"/>
                <w:sz w:val="19"/>
              </w:rPr>
              <w:t> </w:t>
            </w:r>
            <w:r>
              <w:rPr>
                <w:b/>
                <w:w w:val="95"/>
                <w:sz w:val="19"/>
              </w:rPr>
              <w:t>Hiring</w:t>
              <w:tab/>
            </w:r>
            <w:r>
              <w:rPr>
                <w:b/>
                <w:w w:val="95"/>
                <w:position w:val="10"/>
                <w:sz w:val="19"/>
              </w:rPr>
              <w:t>3</w:t>
            </w:r>
          </w:p>
          <w:p>
            <w:pPr>
              <w:pStyle w:val="TableParagraph"/>
              <w:tabs>
                <w:tab w:pos="1140" w:val="left" w:leader="none"/>
                <w:tab w:pos="5014" w:val="right" w:leader="none"/>
              </w:tabs>
              <w:spacing w:line="239" w:lineRule="exact"/>
              <w:ind w:left="61"/>
              <w:rPr>
                <w:b/>
                <w:sz w:val="19"/>
              </w:rPr>
            </w:pPr>
            <w:r>
              <w:rPr>
                <w:b/>
                <w:w w:val="95"/>
                <w:position w:val="4"/>
                <w:sz w:val="19"/>
              </w:rPr>
              <w:t>1.5</w:t>
              <w:tab/>
            </w:r>
            <w:r>
              <w:rPr>
                <w:b/>
                <w:w w:val="95"/>
                <w:sz w:val="19"/>
              </w:rPr>
              <w:t>Intentions</w:t>
            </w:r>
            <w:r>
              <w:rPr>
                <w:b/>
                <w:spacing w:val="-6"/>
                <w:w w:val="95"/>
                <w:sz w:val="19"/>
              </w:rPr>
              <w:t> </w:t>
            </w:r>
            <w:r>
              <w:rPr>
                <w:b/>
                <w:w w:val="95"/>
                <w:sz w:val="19"/>
              </w:rPr>
              <w:t>(left)</w:t>
              <w:tab/>
            </w:r>
            <w:r>
              <w:rPr>
                <w:b/>
                <w:w w:val="95"/>
                <w:position w:val="4"/>
                <w:sz w:val="19"/>
              </w:rPr>
              <w:t>2.5</w:t>
            </w:r>
          </w:p>
          <w:p>
            <w:pPr>
              <w:pStyle w:val="TableParagraph"/>
              <w:tabs>
                <w:tab w:pos="1140" w:val="left" w:leader="none"/>
                <w:tab w:pos="4885" w:val="right" w:leader="none"/>
              </w:tabs>
              <w:spacing w:line="218" w:lineRule="auto"/>
              <w:ind w:left="61"/>
              <w:rPr>
                <w:b/>
                <w:sz w:val="19"/>
              </w:rPr>
            </w:pPr>
            <w:r>
              <w:rPr>
                <w:b/>
                <w:w w:val="95"/>
                <w:position w:val="-4"/>
                <w:sz w:val="19"/>
              </w:rPr>
              <w:t>1.0</w:t>
              <w:tab/>
            </w:r>
            <w:r>
              <w:rPr>
                <w:b/>
                <w:w w:val="95"/>
                <w:sz w:val="19"/>
              </w:rPr>
              <w:t>Employment Growth</w:t>
            </w:r>
            <w:r>
              <w:rPr>
                <w:b/>
                <w:spacing w:val="-17"/>
                <w:w w:val="95"/>
                <w:sz w:val="19"/>
              </w:rPr>
              <w:t> </w:t>
            </w:r>
            <w:r>
              <w:rPr>
                <w:b/>
                <w:w w:val="95"/>
                <w:sz w:val="19"/>
              </w:rPr>
              <w:t>YoY</w:t>
            </w:r>
            <w:r>
              <w:rPr>
                <w:b/>
                <w:spacing w:val="-9"/>
                <w:w w:val="95"/>
                <w:sz w:val="19"/>
              </w:rPr>
              <w:t> </w:t>
            </w:r>
            <w:r>
              <w:rPr>
                <w:b/>
                <w:w w:val="95"/>
                <w:sz w:val="19"/>
              </w:rPr>
              <w:t>(right)</w:t>
              <w:tab/>
            </w:r>
            <w:r>
              <w:rPr>
                <w:b/>
                <w:w w:val="95"/>
                <w:position w:val="-4"/>
                <w:sz w:val="19"/>
              </w:rPr>
              <w:t>2</w:t>
            </w:r>
          </w:p>
          <w:p>
            <w:pPr>
              <w:pStyle w:val="TableParagraph"/>
              <w:tabs>
                <w:tab w:pos="4801" w:val="left" w:leader="none"/>
              </w:tabs>
              <w:spacing w:before="67"/>
              <w:ind w:left="61"/>
              <w:rPr>
                <w:b/>
                <w:sz w:val="19"/>
              </w:rPr>
            </w:pPr>
            <w:r>
              <w:rPr>
                <w:b/>
                <w:w w:val="95"/>
                <w:sz w:val="19"/>
              </w:rPr>
              <w:t>0.5</w:t>
              <w:tab/>
              <w:t>1.5</w:t>
            </w:r>
          </w:p>
          <w:p>
            <w:pPr>
              <w:pStyle w:val="TableParagraph"/>
              <w:tabs>
                <w:tab w:pos="4801" w:val="left" w:leader="none"/>
              </w:tabs>
              <w:spacing w:before="62"/>
              <w:ind w:left="61"/>
              <w:rPr>
                <w:b/>
                <w:sz w:val="19"/>
              </w:rPr>
            </w:pPr>
            <w:r>
              <w:rPr>
                <w:b/>
                <w:w w:val="95"/>
                <w:sz w:val="19"/>
              </w:rPr>
              <w:t>0.0</w:t>
              <w:tab/>
              <w:t>1</w:t>
            </w:r>
          </w:p>
          <w:p>
            <w:pPr>
              <w:pStyle w:val="TableParagraph"/>
              <w:tabs>
                <w:tab w:pos="4801" w:val="left" w:leader="none"/>
              </w:tabs>
              <w:spacing w:before="62"/>
              <w:ind w:left="10"/>
              <w:rPr>
                <w:b/>
                <w:sz w:val="19"/>
              </w:rPr>
            </w:pPr>
            <w:r>
              <w:rPr>
                <w:b/>
                <w:w w:val="95"/>
                <w:sz w:val="19"/>
              </w:rPr>
              <w:t>-0.5</w:t>
              <w:tab/>
              <w:t>0.5</w:t>
            </w:r>
          </w:p>
          <w:p>
            <w:pPr>
              <w:pStyle w:val="TableParagraph"/>
              <w:tabs>
                <w:tab w:pos="4801" w:val="left" w:leader="none"/>
              </w:tabs>
              <w:spacing w:before="62"/>
              <w:ind w:left="10"/>
              <w:rPr>
                <w:b/>
                <w:sz w:val="19"/>
              </w:rPr>
            </w:pPr>
            <w:r>
              <w:rPr>
                <w:b/>
                <w:w w:val="95"/>
                <w:sz w:val="19"/>
              </w:rPr>
              <w:t>-1.0</w:t>
              <w:tab/>
              <w:t>0</w:t>
            </w:r>
          </w:p>
          <w:p>
            <w:pPr>
              <w:pStyle w:val="TableParagraph"/>
              <w:tabs>
                <w:tab w:pos="4801" w:val="left" w:leader="none"/>
              </w:tabs>
              <w:spacing w:before="62"/>
              <w:ind w:left="10" w:right="-15"/>
              <w:rPr>
                <w:b/>
                <w:sz w:val="19"/>
              </w:rPr>
            </w:pPr>
            <w:r>
              <w:rPr>
                <w:b/>
                <w:sz w:val="19"/>
              </w:rPr>
              <w:t>-1.5</w:t>
              <w:tab/>
            </w:r>
            <w:r>
              <w:rPr>
                <w:b/>
                <w:w w:val="90"/>
                <w:sz w:val="19"/>
              </w:rPr>
              <w:t>-0.5</w:t>
            </w:r>
          </w:p>
          <w:p>
            <w:pPr>
              <w:pStyle w:val="TableParagraph"/>
              <w:tabs>
                <w:tab w:pos="4801" w:val="left" w:leader="none"/>
              </w:tabs>
              <w:spacing w:before="62"/>
              <w:ind w:left="10"/>
              <w:rPr>
                <w:b/>
                <w:sz w:val="19"/>
              </w:rPr>
            </w:pPr>
            <w:r>
              <w:rPr>
                <w:b/>
                <w:sz w:val="19"/>
              </w:rPr>
              <w:t>-2.0</w:t>
              <w:tab/>
              <w:t>-1</w:t>
            </w:r>
          </w:p>
          <w:p>
            <w:pPr>
              <w:pStyle w:val="TableParagraph"/>
              <w:tabs>
                <w:tab w:pos="4801" w:val="left" w:leader="none"/>
              </w:tabs>
              <w:spacing w:before="62"/>
              <w:ind w:left="10" w:right="-15"/>
              <w:rPr>
                <w:b/>
                <w:sz w:val="19"/>
              </w:rPr>
            </w:pPr>
            <w:r>
              <w:rPr>
                <w:b/>
                <w:sz w:val="19"/>
              </w:rPr>
              <w:t>-2.5</w:t>
              <w:tab/>
            </w:r>
            <w:r>
              <w:rPr>
                <w:b/>
                <w:w w:val="90"/>
                <w:sz w:val="19"/>
              </w:rPr>
              <w:t>-1.5</w:t>
            </w:r>
          </w:p>
          <w:p>
            <w:pPr>
              <w:pStyle w:val="TableParagraph"/>
              <w:tabs>
                <w:tab w:pos="650" w:val="left" w:leader="none"/>
                <w:tab w:pos="4175" w:val="left" w:leader="none"/>
                <w:tab w:pos="4801" w:val="left" w:leader="none"/>
              </w:tabs>
              <w:spacing w:line="223" w:lineRule="auto" w:before="69"/>
              <w:ind w:left="10"/>
              <w:rPr>
                <w:b/>
                <w:sz w:val="19"/>
              </w:rPr>
            </w:pPr>
            <w:r>
              <w:rPr>
                <w:b/>
                <w:sz w:val="19"/>
              </w:rPr>
              <w:t>-3.0</w:t>
              <w:tab/>
            </w:r>
            <w:r>
              <w:rPr>
                <w:b/>
                <w:position w:val="-3"/>
                <w:sz w:val="19"/>
              </w:rPr>
              <w:t>sd</w:t>
              <w:tab/>
            </w:r>
            <w:r>
              <w:rPr>
                <w:b/>
                <w:position w:val="-7"/>
                <w:sz w:val="19"/>
              </w:rPr>
              <w:t>%</w:t>
              <w:tab/>
            </w:r>
            <w:r>
              <w:rPr>
                <w:b/>
                <w:sz w:val="19"/>
              </w:rPr>
              <w:t>-2</w:t>
            </w:r>
          </w:p>
          <w:p>
            <w:pPr>
              <w:pStyle w:val="TableParagraph"/>
              <w:tabs>
                <w:tab w:pos="4801" w:val="left" w:leader="none"/>
              </w:tabs>
              <w:spacing w:line="223" w:lineRule="exact"/>
              <w:ind w:left="10" w:right="-15"/>
              <w:rPr>
                <w:b/>
                <w:sz w:val="19"/>
              </w:rPr>
            </w:pPr>
            <w:r>
              <w:rPr>
                <w:b/>
                <w:sz w:val="19"/>
              </w:rPr>
              <w:t>-3.5</w:t>
              <w:tab/>
            </w:r>
            <w:r>
              <w:rPr>
                <w:b/>
                <w:w w:val="90"/>
                <w:sz w:val="19"/>
              </w:rPr>
              <w:t>-2.5</w:t>
            </w:r>
          </w:p>
          <w:p>
            <w:pPr>
              <w:pStyle w:val="TableParagraph"/>
              <w:tabs>
                <w:tab w:pos="953" w:val="left" w:leader="none"/>
                <w:tab w:pos="1619" w:val="left" w:leader="none"/>
                <w:tab w:pos="2285" w:val="left" w:leader="none"/>
                <w:tab w:pos="2952" w:val="left" w:leader="none"/>
                <w:tab w:pos="3618" w:val="left" w:leader="none"/>
                <w:tab w:pos="4284" w:val="left" w:leader="none"/>
              </w:tabs>
              <w:spacing w:before="19"/>
              <w:ind w:left="287"/>
              <w:rPr>
                <w:b/>
                <w:sz w:val="19"/>
              </w:rPr>
            </w:pPr>
            <w:r>
              <w:rPr>
                <w:b/>
                <w:w w:val="95"/>
                <w:sz w:val="19"/>
              </w:rPr>
              <w:t>1999</w:t>
              <w:tab/>
              <w:t>2002</w:t>
              <w:tab/>
              <w:t>2005</w:t>
              <w:tab/>
              <w:t>2008</w:t>
              <w:tab/>
              <w:t>2011</w:t>
              <w:tab/>
              <w:t>2014</w:t>
              <w:tab/>
              <w:t>2017</w:t>
            </w:r>
          </w:p>
        </w:tc>
        <w:tc>
          <w:tcPr>
            <w:tcW w:w="81" w:type="dxa"/>
            <w:tcBorders>
              <w:left w:val="single" w:sz="4" w:space="0" w:color="858585"/>
            </w:tcBorders>
          </w:tcPr>
          <w:p>
            <w:pPr>
              <w:pStyle w:val="TableParagraph"/>
              <w:rPr>
                <w:rFonts w:ascii="Times New Roman"/>
                <w:sz w:val="16"/>
              </w:rPr>
            </w:pPr>
          </w:p>
        </w:tc>
      </w:tr>
    </w:tbl>
    <w:p>
      <w:pPr>
        <w:spacing w:line="360" w:lineRule="auto" w:before="29"/>
        <w:ind w:left="673" w:right="1188" w:firstLine="0"/>
        <w:jc w:val="left"/>
        <w:rPr>
          <w:sz w:val="16"/>
        </w:rPr>
      </w:pPr>
      <w:r>
        <w:rPr/>
        <w:pict>
          <v:group style="position:absolute;margin-left:47.232666pt;margin-top:-185.555862pt;width:218.9pt;height:161.8pt;mso-position-horizontal-relative:page;mso-position-vertical-relative:paragraph;z-index:-253503488" coordorigin="945,-3711" coordsize="4378,3236">
            <v:rect style="position:absolute;left:995;top:-3709;width:4324;height:3230" filled="false" stroked="true" strokeweight=".27125pt" strokecolor="#000000">
              <v:stroke dashstyle="solid"/>
            </v:rect>
            <v:shape style="position:absolute;left:816;top:1104;width:13239;height:8024" coordorigin="816,1104" coordsize="13239,8024" path="m995,-478l995,-3708m945,-478l995,-478m945,-838l995,-838m945,-1196l995,-1196m945,-1555l995,-1555m945,-1914l995,-1914m945,-2273l995,-2273m945,-2631l995,-2631m945,-2990l995,-2990m945,-3349l995,-3349m945,-3708l995,-3708m995,-478l5319,-478e" filled="false" stroked="true" strokeweight=".263885pt" strokecolor="#858585">
              <v:path arrowok="t"/>
              <v:stroke dashstyle="solid"/>
            </v:shape>
            <v:shape style="position:absolute;left:1002;top:-3242;width:2781;height:2153" coordorigin="1003,-3242" coordsize="2781,2153" path="m1003,-2811l1016,-2846,1030,-2882,1044,-2919,1058,-2919,1072,-2919,1086,-2955,1099,-2955,1114,-2955,1127,-3026,1141,-3062,1155,-3133,1169,-3169,1183,-3242,1197,-3206,1211,-3206,1225,-3169,1239,-3133,1252,-3133,1267,-3098,1280,-3062,1294,-3098,1308,-3062,1322,-3098,1336,-3098,1350,-3026,1363,-2955,1378,-2919,1391,-2882,1405,-2882,1419,-2846,1433,-2811,1447,-2775,1461,-2739,1475,-2668,1489,-2631,1503,-2595,1516,-2595,1531,-2595,1544,-2559,1559,-2559,1572,-2524,1586,-2524,1600,-2488,1614,-2488,1628,-2488,1642,-2488,1656,-2381,1670,-2416,1684,-2381,1697,-2344,1712,-2381,1725,-2381,1739,-2381,1753,-2344,1767,-2308,1781,-2308,1795,-2308,1808,-2273,1823,-2201,1836,-2165,1850,-2093,1864,-2021,1878,-1986,1892,-1986,1906,-1986,1920,-2021,1934,-1950,1948,-1843,1961,-1806,1976,-1770,1989,-1734,2003,-1699,2017,-1699,2031,-1699,2045,-1663,2059,-1663,2072,-1663,2087,-1663,2100,-1663,2114,-1627,2129,-1627,2142,-1627,2157,-1591,2170,-1627,2184,-1627,2198,-1627,2212,-1627,2226,-1591,2240,-1555,2253,-1555,2268,-1519,2281,-1519,2295,-1483,2309,-1483,2323,-1483,2337,-1519,2351,-1483,2365,-1483,2379,-1447,2393,-1412,2406,-1376,2421,-1304,2434,-1304,2448,-1304,2462,-1340,2476,-1304,2490,-1268,2504,-1268,2517,-1268,2532,-1232,2545,-1196,2559,-1161,2574,-1196,2587,-1196,2601,-1232,2615,-1232,2629,-1232,2643,-1232,2657,-1268,2670,-1268,2685,-1232,2698,-1268,2768,-1268,2781,-1304,2796,-1268,2810,-1268,2824,-1232,2838,-1196,2851,-1232,2866,-1268,2879,-1232,2893,-1196,2907,-1161,2921,-1232,2935,-1232,2949,-1196,2962,-1196,2977,-1161,2990,-1161,3004,-1125,3088,-1125,3102,-1089,3171,-1089,3185,-1125,3199,-1089,3213,-1089,3226,-1125,3241,-1125,3255,-1089,3268,-1089,3283,-1089,3296,-1161,3310,-1232,3324,-1232,3338,-1232,3352,-1268,3366,-1268,3379,-1304,3394,-1340,3407,-1376,3421,-1376,3435,-1376,3449,-1376,3464,-1376,3477,-1340,3491,-1376,3505,-1376,3519,-1376,3533,-1376,3547,-1376,3560,-1340,3575,-1340,3588,-1304,3602,-1304,3616,-1304,3630,-1268,3644,-1268,3658,-1268,3671,-1268,3686,-1268,3700,-1268,3713,-1304,3728,-1268,3741,-1340,3755,-1376,3769,-1447,3783,-1519e" filled="false" stroked="true" strokeweight=".991423pt" strokecolor="#0000ff">
              <v:path arrowok="t"/>
              <v:stroke dashstyle="solid"/>
            </v:shape>
            <v:shape style="position:absolute;left:3783;top:-2453;width:1516;height:1508" coordorigin="3783,-2452" coordsize="1516,1508" path="m3783,-1519l3797,-1555,3811,-1627,3824,-1699,3839,-1734,3852,-1806,3866,-1950,3880,-2021,3894,-2130,3908,-2201,3922,-2237,3936,-2237,3950,-2201,3964,-2237,3977,-2201,3992,-2201,4005,-2165,4019,-2237,4033,-2273,4047,-2273,4061,-2237,4075,-2237,4088,-2201,4103,-2201,4116,-2201,4131,-2237,4145,-2237,4158,-2237,4173,-2237,4186,-2201,4200,-2201,4214,-2165,4228,-2201,4242,-2237,4256,-2273,4269,-2344,4284,-2381,4297,-2416,4311,-2452,4325,-2416,4339,-2381,4353,-2381,4367,-2344,4381,-2344,4395,-2308,4409,-2273,4422,-2273,4437,-2237,4450,-2237,4464,-2237,4478,-2201,4492,-2201,4506,-2201,4520,-2273,4533,-2201,4548,-2201,4561,-2201,4575,-2165,4590,-2165,4603,-2165,4617,-2130,4631,-2057,4645,-1986,4659,-1986,4673,-1986,4686,-1878,4701,-1843,4714,-1770,4729,-1699,4742,-1663,4756,-1591,4770,-1555,4784,-1555,4798,-1555,4812,-1519,4826,-1447,4840,-1447,4854,-1412,4867,-1376,4882,-1376,4895,-1412,4909,-1412,4923,-1376,4937,-1340,4951,-1304,4965,-1268,4978,-1232,4993,-1232,5006,-1232,5020,-1232,5034,-1232,5048,-1196,5062,-1161,5076,-1161,5090,-1161,5104,-1196,5118,-1125,5131,-1125,5146,-1125,5159,-1125,5173,-1089,5187,-1089,5201,-1053,5215,-1053,5229,-1017,5242,-981,5257,-945,5271,-945,5284,-945,5299,-945e" filled="false" stroked="true" strokeweight=".968109pt" strokecolor="#0000ff">
              <v:path arrowok="t"/>
              <v:stroke dashstyle="solid"/>
            </v:shape>
            <v:shape style="position:absolute;left:1057;top:-3384;width:4241;height:1112" coordorigin="1058,-3383" coordsize="4241,1112" path="m1058,-2641l1072,-2664,1085,-2690,1100,-2715,1113,-2729,1127,-2744,1141,-2748,1155,-2762,1169,-2767,1183,-2772,1196,-2833,1211,-2886,1225,-2924,1238,-2930,1253,-2977,1266,-3026,1281,-3048,1294,-3069,1308,-3063,1322,-3107,1336,-3112,1350,-3126,1364,-3092,1377,-3107,1392,-3097,1405,-3110,1419,-3074,1434,-3062,1447,-3092,1461,-3122,1475,-3159,1489,-3189,1503,-3183,1517,-3180,1530,-3152,1545,-3138,1558,-3100,1572,-3097,1586,-3092,1600,-3087,1614,-3055,1628,-3059,1641,-3031,1656,-3025,1670,-3029,1683,-3037,1698,-3075,1711,-3071,1725,-3097,1739,-3111,1753,-3155,1767,-3177,1781,-3191,1794,-3173,1809,-3195,1822,-3226,1836,-3233,1850,-3232,1864,-3226,1878,-3197,1892,-3159,1906,-3148,1920,-3139,1934,-3162,1948,-3139,1962,-3113,1975,-3081,1990,-3114,2003,-3148,2017,-3165,2031,-3145,2045,-3141,2059,-3144,2073,-3115,2086,-3079,2101,-3027,2115,-3037,2128,-3059,2143,-3009,2156,-2987,2170,-2945,2184,-2906,2198,-2903,2212,-2896,2226,-2922,2239,-2925,2254,-2922,2267,-2895,2281,-2890,2295,-2871,2309,-2858,2323,-2819,2337,-2816,2351,-2850,2365,-2842,2379,-2864,2392,-2873,2407,-2879,2420,-2860,2434,-2844,2448,-2827,2462,-2801,2476,-2781,2490,-2781,2503,-2748,2518,-2728,2531,-2738,2546,-2720,2560,-2702,2573,-2669,2588,-2670,2601,-2671,2615,-2656,2629,-2671,2643,-2667,2657,-2686,2671,-2692,2684,-2697,2699,-2716,2712,-2700,2726,-2687,2740,-2685,2754,-2677,2768,-2638,2782,-2642,2796,-2682,2810,-2692,2824,-2624,2837,-2618,2852,-2589,2865,-2554,2879,-2530,2893,-2542,2907,-2551,2921,-2526,2935,-2506,2948,-2467,2963,-2475,2976,-2487,2990,-2492,3004,-2437,3018,-2438,3032,-2431,3046,-2413,3060,-2349,3074,-2334,3088,-2351,3101,-2372,3116,-2393,3129,-2375,3144,-2324,3157,-2315,3171,-2324,3185,-2272,3199,-2305,3213,-2347,3227,-2407,3241,-2429,3255,-2443,3269,-2431,3282,-2402,3297,-2385,3310,-2415,3324,-2414,3338,-2434,3352,-2419,3366,-2383,3380,-2398,3393,-2403,3408,-2431,3421,-2412,3435,-2423,3449,-2452,3463,-2476,3477,-2482,3491,-2473,3505,-2476,3519,-2458,3533,-2475,3546,-2515,3561,-2512,3574,-2492,3588,-2492,3602,-2487,3616,-2499,3630,-2502,3644,-2492,3657,-2526,3672,-2526,3686,-2538,3699,-2538,3714,-2512,3727,-2511,3742,-2532,3755,-2550,3769,-2535,3783,-2531,3797,-2546,3811,-2519,3825,-2540,3838,-2583,3853,-2637,3866,-2630,3880,-2687,3894,-2748,3908,-2802,3922,-2858,3936,-2867,3950,-2946,3964,-2983,3978,-3041,3991,-3054,4006,-3072,4019,-3076,4033,-3079,4047,-3103,4061,-3045,4075,-3033,4089,-3066,4102,-3132,4117,-3136,4130,-3165,4144,-3145,4159,-3173,4172,-3122,4186,-3121,4200,-3147,4214,-3143,4228,-3148,4242,-3153,4255,-3243,4270,-3168,4283,-3137,4297,-3126,4311,-3207,4325,-3236,4339,-3296,4353,-3327,4367,-3343,4381,-3358,4395,-3338,4409,-3383,4423,-3344,4436,-3320,4451,-3311,4464,-3293,4478,-3281,4492,-3257,4506,-3263,4520,-3261,4534,-3279,4547,-3330,4562,-3326,4575,-3275,4589,-3263,4604,-3283,4617,-3304,4631,-3296,4645,-3245,4659,-3246,4673,-3284,4687,-3247,4700,-3224,4715,-3165,4728,-3132,4742,-3130,4756,-3164,4770,-3137,4784,-3095,4798,-3069,4812,-3095,4826,-3071,4840,-3056,4853,-3098,4868,-3109,4881,-3137,4895,-3066,4909,-3080,4923,-3012,4937,-3040,4951,-2967,4964,-3008,4979,-2942,4992,-2922,5007,-2873,5020,-2847,5034,-2851,5049,-2823,5062,-2820,5076,-2761,5090,-2768,5104,-2723,5118,-2798,5132,-2786,5145,-2784,5160,-2724,5173,-2677,5187,-2629,5201,-2587,5215,-2585,5229,-2526,5243,-2500,5256,-2494,5271,-2479,5285,-2505,5298,-2464e" filled="false" stroked="true" strokeweight="1.193773pt" strokecolor="#ff00ff">
              <v:path arrowok="t"/>
              <v:stroke dashstyle="solid"/>
            </v:shape>
            <v:line style="position:absolute" from="987,-1104" to="1114,-1104" stroked="true" strokeweight="1.062747pt" strokecolor="#0000ff">
              <v:stroke dashstyle="solid"/>
            </v:line>
            <v:line style="position:absolute" from="988,-681" to="1115,-681" stroked="true" strokeweight="1.207667pt" strokecolor="#ff00ff">
              <v:stroke dashstyle="solid"/>
            </v:line>
            <v:shape style="position:absolute;left:2719;top:-2516;width:1499;height:1503" coordorigin="2720,-2515" coordsize="1499,1503" path="m2772,-2461l2749,-2509,2746,-2515,2720,-2461,2720,-2459,2723,-2458,2724,-2458,2743,-2499,2743,-2334,2748,-2334,2748,-2499,2768,-2458,2769,-2458,2771,-2459,2772,-2461m4218,-1139l4195,-1188,4192,-1193,4167,-1139,4167,-1138,4169,-1136,4171,-1137,4190,-1177,4190,-1013,4195,-1013,4195,-1177,4214,-1137,4216,-1136,4218,-1138,4218,-1139e" filled="true" fillcolor="#497dba" stroked="false">
              <v:path arrowok="t"/>
              <v:fill type="solid"/>
            </v:shape>
            <w10:wrap type="none"/>
          </v:group>
        </w:pict>
      </w:r>
      <w:r>
        <w:rPr/>
        <w:pict>
          <v:group style="position:absolute;margin-left:305.058716pt;margin-top:-185.508774pt;width:216.2pt;height:161.9pt;mso-position-horizontal-relative:page;mso-position-vertical-relative:paragraph;z-index:-253502464" coordorigin="6101,-3710" coordsize="4324,3238">
            <v:rect style="position:absolute;left:6153;top:-3708;width:4219;height:3232" filled="false" stroked="true" strokeweight=".274861pt" strokecolor="#000000">
              <v:stroke dashstyle="solid"/>
            </v:rect>
            <v:shape style="position:absolute;left:1092;top:1099;width:12485;height:8028" coordorigin="1092,1100" coordsize="12485,8028" path="m10372,-476l10372,-3707m10372,-476l10425,-476m10372,-769l10425,-769m10372,-1063l10425,-1063m10372,-1357l10425,-1357m10372,-1651l10425,-1651m10372,-1945l10425,-1945m10372,-2239l10425,-2239m10372,-2532l10425,-2532m10372,-2826l10425,-2826m10372,-3120l10425,-3120m10372,-3414l10425,-3414m10372,-3707l10425,-3707m6154,-476l6154,-3707m6101,-476l6154,-476m6101,-769l6154,-769m6101,-1063l6154,-1063m6101,-1357l6154,-1357m6101,-1651l6154,-1651m6101,-1945l6154,-1945m6101,-2239l6154,-2239m6101,-2532l6154,-2532m6101,-2826l6154,-2826m6101,-3120l6154,-3120m6101,-3414l6154,-3414m6101,-3707l6154,-3707m6154,-2532l10372,-2532e" filled="false" stroked="true" strokeweight=".269588pt" strokecolor="#858585">
              <v:path arrowok="t"/>
              <v:stroke dashstyle="solid"/>
            </v:shape>
            <v:shape style="position:absolute;left:6181;top:-3218;width:4108;height:2574" coordorigin="6182,-3217" coordsize="4108,2574" path="m6182,-2259l6237,-2592,6292,-2690,6348,-2864,6404,-2915,6459,-3002,6515,-3217,6570,-3144,6626,-2852,6681,-2633,6737,-2421,6792,-2369,6848,-1966,6903,-2596,6959,-2487,7015,-2402,7069,-2379,7125,-2234,7181,-2411,7237,-2681,7291,-2737,7347,-2871,7403,-2924,7458,-2923,7514,-2801,7569,-2790,7625,-2591,7680,-2552,7736,-2571,7791,-2751,7847,-2755,7902,-2967,7958,-3042,8014,-3095,8069,-3073,8124,-2772,8180,-2723,8236,-2232,8291,-1841,8346,-1147,8402,-644,8457,-914,8513,-1386,8568,-1949,8624,-2232,8679,-2270,8735,-2272,8791,-2247,8846,-2405,8901,-2396,8957,-2267,9013,-2123,9068,-2074,9123,-2191,9179,-2190,9235,-2253,9290,-2431,9345,-2455,9401,-2675,9457,-2909,9512,-2983,9567,-3131,9623,-3041,9678,-3100,9734,-3066,9790,-2979,9845,-2872,9900,-2784,9956,-2747,10012,-2636,10067,-2553,10122,-2541,10178,-2636,10234,-2659,10289,-2690e" filled="false" stroked="true" strokeweight="1.020865pt" strokecolor="#0000ff">
              <v:path arrowok="t"/>
              <v:stroke dashstyle="solid"/>
            </v:shape>
            <v:shape style="position:absolute;left:1324;top:1791;width:11861;height:7020" coordorigin="1325,1791" coordsize="11861,7020" path="m6182,-2682l6237,-2703,6292,-2675,6348,-2613,6404,-2735,6459,-2840,6515,-2627,6570,-2655,6626,-2496,6681,-2310,6737,-2387,6792,-2225,6848,-2355,6903,-2389,6959,-2555,7015,-2605,7069,-2548,7125,-2636,7181,-2494,7237,-2610,7291,-2586,7347,-2419,7403,-2483,7458,-2621,7514,-2585,7569,-2752,7625,-2704,7680,-2370,7736,-2611,7791,-2525,7847,-2505,7902,-2489,7958,-2242,8014,-2372,8069,-2510,8124,-2774,8180,-2898,8236,-2634,8291,-2075,8346,-1796,8402,-1086,8457,-603,8513,-1048,8568,-986,8624,-1495,8679,-2566,8735,-2397,8791,-2620,8846,-2730,8901,-1985,8957,-1923,9013,-1865,9068,-2063,9123,-2746,9179,-2844,9235,-3026,9290,-2718,9345,-2441,9401,-2885,9457,-2810,9512,-3429,9567,-3331,9623,-3153,9678,-3256,9734,-2880,9790,-2876,9845,-3041,9900,-2947,9956,-2808,10012,-3011,10067,-2577,10122,-2521,10178,-2635,10234,-2646,10289,-2546m6719,-3171l6852,-3171e" filled="false" stroked="true" strokeweight=".988491pt" strokecolor="#ff00ff">
              <v:path arrowok="t"/>
              <v:stroke dashstyle="solid"/>
            </v:shape>
            <w10:wrap type="none"/>
          </v:group>
        </w:pict>
      </w:r>
      <w:r>
        <w:rPr>
          <w:sz w:val="16"/>
        </w:rPr>
        <w:t>Note: In the left chart, under-employment is measured by involuntary part-time workers and people that would like to work but are not counted in the workforce, as a share of the expanded workforce. The right chart shows a weighted average of hiring intentions from various surveys.</w:t>
      </w:r>
    </w:p>
    <w:p>
      <w:pPr>
        <w:spacing w:before="3"/>
        <w:ind w:left="673" w:right="0" w:firstLine="0"/>
        <w:jc w:val="left"/>
        <w:rPr>
          <w:sz w:val="16"/>
        </w:rPr>
      </w:pPr>
      <w:r>
        <w:rPr/>
        <w:pict>
          <v:group style="position:absolute;margin-left:45.857761pt;margin-top:76.261833pt;width:218.35pt;height:159.550pt;mso-position-horizontal-relative:page;mso-position-vertical-relative:paragraph;z-index:-253501440" coordorigin="917,1525" coordsize="4367,3191">
            <v:rect style="position:absolute;left:968;top:1528;width:4264;height:3185" filled="false" stroked="true" strokeweight=".270168pt" strokecolor="#000000">
              <v:stroke dashstyle="solid"/>
            </v:rect>
            <v:shape style="position:absolute;left:1009;top:2027;width:4182;height:2282" coordorigin="1010,2027" coordsize="4182,2282" path="m1979,2616l1747,2616,1829,2767,1911,2964,1993,3194,2075,3566,2157,3721,2239,4309,2321,4161,2403,3920,2439,3791,2321,3791,2239,3697,2157,3289,2075,2880,1993,2648,1979,2616xm2649,2292l2567,2319,2485,2613,2403,2861,2321,3791,2439,3791,2485,3626,2567,3256,2649,3018,2731,2833,3187,2833,3141,2692,3086,2607,2895,2607,2813,2389,2731,2299,2649,2292xm3194,2855l3059,2855,3141,3181,3223,3357,3305,3098,3387,3090,3593,3090,3633,2984,3699,2945,3223,2945,3194,2855xm3593,3090l3387,3090,3469,3111,3551,3197,3593,3090xm4712,2529l4289,2529,4371,2545,4453,2703,4535,2748,4617,2835,4699,2898,4781,3115,4863,3097,4945,3072,5027,2794,5191,2794,5191,2613,4781,2613,4712,2529xm3002,3011l2895,3011,2977,3078,3002,3011xm3187,2833l2731,2833,2813,3060,2895,3011,3002,3011,3059,2855,3194,2855,3187,2833xm5191,2794l5027,2794,5109,3057,5191,2953,5191,2794xm1010,2501l1010,2731,1092,2844,1174,2905,1256,2998,1338,2822,1419,2751,1486,2690,1174,2690,1092,2620,1010,2501xm3387,2604l3305,2862,3223,2945,3699,2945,3715,2935,3732,2851,3469,2851,3387,2604xm4043,2027l3961,2034,3879,2133,3797,2233,3715,2498,3633,2586,3551,2781,3469,2851,3732,2851,3797,2530,3879,2467,3961,2378,4043,2344,4554,2344,4535,2303,4453,2286,4431,2263,4289,2263,4207,2181,4125,2145,4043,2027xm1724,2677l1501,2677,1583,2731,1665,2828,1724,2677xm1665,2044l1583,2087,1501,2241,1419,2376,1338,2488,1256,2551,1174,2690,1486,2690,1501,2677,1724,2677,1747,2616,1979,2616,1911,2459,1829,2337,1747,2141,1665,2044xm4554,2344l4043,2344,4125,2498,4207,2634,4289,2529,4712,2529,4699,2514,4617,2486,4554,2344xm5109,2338l5027,2396,4945,2418,4863,2478,4781,2613,5191,2613,5191,2339,5109,2338xm3059,2566l2977,2604,2895,2607,3086,2607,3059,2566xm4371,2202l4289,2263,4431,2263,4371,2202xe" filled="true" fillcolor="#b7dee8" stroked="false">
              <v:path arrowok="t"/>
              <v:fill type="solid"/>
            </v:shape>
            <v:shape style="position:absolute;left:720;top:245;width:12982;height:8024" coordorigin="720,246" coordsize="12982,8024" path="m5232,4713l5232,1528m5232,4713l5283,4713m5232,4315l5283,4315m5232,3916l5283,3916m5232,3518l5283,3518m5232,3120l5283,3120m5232,2722l5283,2722m5232,2325l5283,2325m5232,1926l5283,1926m5232,1528l5283,1528m969,4713l969,1528m917,4713l969,4713m917,4315l969,4315m917,3916l969,3916m917,3518l969,3518m917,3120l969,3120m917,2722l969,2722m917,2325l969,2325m917,1926l969,1926m917,1528l969,1528m969,2722l5232,2722e" filled="false" stroked="true" strokeweight=".263977pt" strokecolor="#858585">
              <v:path arrowok="t"/>
              <v:stroke dashstyle="solid"/>
            </v:shape>
            <v:shape style="position:absolute;left:1009;top:2189;width:4183;height:1794" coordorigin="1009,2189" coordsize="4183,1794" path="m1009,2565l1092,2755,1174,2788,1255,2771,1338,2624,1419,2509,1502,2500,1584,2410,1665,2406,1748,2386,1829,2475,1912,2676,1993,2868,2075,3213,2158,3463,2239,3956,2322,3983,2403,3502,2486,3072,2568,2816,2649,2661,2732,2658,2813,2783,2896,2818,2977,2773,3059,2726,3142,2941,3223,3153,3306,2925,3387,2908,3469,3020,3552,2922,3633,2815,3716,2683,3797,2352,3880,2244,3961,2205,4043,2189,4126,2283,4207,2362,4290,2397,4371,2412,4453,2451,4535,2524,4617,2640,4700,2752,4781,2916,4863,2735,4945,2680,5027,2637,5110,2749,5191,2710e" filled="false" stroked="true" strokeweight="1.023059pt" strokecolor="#0000ff">
              <v:path arrowok="t"/>
              <v:stroke dashstyle="solid"/>
            </v:shape>
            <v:shape style="position:absolute;left:1009;top:1972;width:4101;height:2294" coordorigin="1009,1973" coordsize="4101,2294" path="m1009,2719l1092,2556,1174,2274,1255,1973,1338,2193,1419,2411,1502,2692,1584,2966,1665,2767,1748,2701,1829,2590,1912,2527,1993,2620,2075,2839,2158,3250,2239,3846,2322,4267,2403,4230,2486,3921,2568,3452,2649,2986,2732,2713,2813,2625,2896,2557,2977,2584,3059,2767,3142,2856,3223,2968,3306,2903,3387,2947,3469,2751,3552,2751,3633,2840,3716,2775,3797,2886,3880,2758,3961,2610,4043,2421,4126,2362,4207,2262,4290,2437,4371,2567,4453,2714,4535,2799,4617,2820,4700,2842,4781,2783,4863,2725,4945,2706,5027,2727,5110,2748e" filled="false" stroked="true" strokeweight="1.009782pt" strokecolor="#ff00ff">
              <v:path arrowok="t"/>
              <v:stroke dashstyle="solid"/>
            </v:shape>
            <v:line style="position:absolute" from="1573,1692" to="1703,1692" stroked="true" strokeweight="1.047928pt" strokecolor="#0000ff">
              <v:stroke dashstyle="solid"/>
            </v:line>
            <v:shape style="position:absolute;left:2978;top:2932;width:55;height:779" coordorigin="2978,2932" coordsize="55,779" path="m3005,2947l3002,2954,3002,3711,3009,3711,3009,2954,3005,2947xm3005,2932l2979,2986,2978,2987,2979,2990,2980,2991,2982,2992,2984,2991,2985,2989,3002,2954,3002,2940,3009,2940,3005,2932xm3009,2940l3009,2940,3009,2954,3027,2991,3029,2992,3030,2991,3032,2990,3033,2987,3032,2986,3009,2940xm3009,2940l3002,2940,3002,2954,3005,2947,3003,2942,3009,2942,3009,2940xm3009,2942l3008,2942,3005,2947,3009,2954,3009,2942xm3008,2942l3003,2942,3005,2947,3008,2942xe" filled="true" fillcolor="#000000" stroked="false">
              <v:path arrowok="t"/>
              <v:fill type="solid"/>
            </v:shape>
            <w10:wrap type="none"/>
          </v:group>
        </w:pict>
      </w:r>
      <w:r>
        <w:rPr/>
        <w:pict>
          <v:group style="position:absolute;margin-left:306.660217pt;margin-top:77.185532pt;width:174.65pt;height:161.550pt;mso-position-horizontal-relative:page;mso-position-vertical-relative:paragraph;z-index:-253500416" coordorigin="6133,1544" coordsize="3493,3231">
            <v:rect style="position:absolute;left:6184;top:1546;width:3439;height:3225" filled="false" stroked="true" strokeweight=".264073pt" strokecolor="#000000">
              <v:stroke dashstyle="solid"/>
            </v:rect>
            <v:shape style="position:absolute;left:1063;top:291;width:10448;height:8153" coordorigin="1063,291" coordsize="10448,8153" path="m6185,4771l6185,1547m6133,4771l6185,4771m6133,4368l6185,4368m6133,3965l6185,3965m6133,3562l6185,3562m6133,3159l6185,3159m6133,2756l6185,2756m6133,2352l6185,2352m6133,1949l6185,1949m6133,1547l6185,1547m6185,2756l9624,2756e" filled="false" stroked="true" strokeweight=".262651pt" strokecolor="#858585">
              <v:path arrowok="t"/>
              <v:stroke dashstyle="solid"/>
            </v:shape>
            <v:shape style="position:absolute;left:6987;top:1627;width:2452;height:1693" coordorigin="6988,1627" coordsize="2452,1693" path="m6988,2715l7163,2555,7382,2151,7557,1627,7732,2151,7951,2796,8126,2756,8301,2393,8476,2957,8677,2796,8870,2998,9045,2514,9264,3320,9439,2514e" filled="false" stroked="true" strokeweight=".991775pt" strokecolor="#ff0000">
              <v:path arrowok="t"/>
              <v:stroke dashstyle="solid"/>
            </v:shape>
            <v:shape style="position:absolute;left:6387;top:3400;width:3059;height:1049" coordorigin="6387,3400" coordsize="3059,1049" path="m6387,3481l6431,3884,6481,3884,6519,3562,6569,3400,6657,3562,6832,3884,7357,3400,7444,3642,7607,3481,7701,3400,7870,3562,7976,3804,8013,3562,8058,3642,8101,3965,8357,3884,8414,3965,8795,3965,9108,4449,9189,4126,9446,4126e" filled="false" stroked="true" strokeweight="1.027047pt" strokecolor="#0000ff">
              <v:path arrowok="t"/>
              <v:stroke dashstyle="solid"/>
            </v:shape>
            <v:shape style="position:absolute;left:7557;top:3159;width:1626;height:887" coordorigin="7557,3159" coordsize="1626,887" path="m7557,3159l8564,3804,8914,3562,9183,4046e" filled="false" stroked="true" strokeweight="1.006935pt" strokecolor="#66ff33">
              <v:path arrowok="t"/>
              <v:stroke dashstyle="solid"/>
            </v:shape>
            <v:shape style="position:absolute;left:6250;top:3481;width:2990;height:766" coordorigin="6250,3481" coordsize="2990,766" path="m6250,3481l6863,4247,7788,3884,9239,3603e" filled="false" stroked="true" strokeweight="1.034119pt" strokecolor="#ff00ff">
              <v:path arrowok="t"/>
              <v:stroke dashstyle="solid"/>
            </v:shape>
            <v:shape style="position:absolute;left:7557;top:4126;width:1626;height:404" coordorigin="7557,4126" coordsize="1626,404" path="m7557,4530l8564,4368,8914,4126,9183,4530e" filled="false" stroked="true" strokeweight="1.034702pt" strokecolor="#ff9900">
              <v:path arrowok="t"/>
              <v:stroke dashstyle="solid"/>
            </v:shape>
            <w10:wrap type="none"/>
          </v:group>
        </w:pict>
      </w:r>
      <w:r>
        <w:rPr/>
        <w:pict>
          <v:line style="position:absolute;mso-position-horizontal-relative:page;mso-position-vertical-relative:paragraph;z-index:-253499392" from="486.427246pt,136.462418pt" to="492.84177pt,136.462418pt" stroked="true" strokeweight="1.044108pt" strokecolor="#ff0000">
            <v:stroke dashstyle="solid"/>
            <w10:wrap type="none"/>
          </v:line>
        </w:pict>
      </w:r>
      <w:r>
        <w:rPr>
          <w:sz w:val="16"/>
        </w:rPr>
        <w:t>Sources: Manpower, British Chambers of Commerce, REC Survey of Jobs, CBI, ONS and BoE</w:t>
      </w:r>
    </w:p>
    <w:p>
      <w:pPr>
        <w:pStyle w:val="BodyText"/>
        <w:spacing w:before="4" w:after="1"/>
        <w:rPr>
          <w:sz w:val="2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60"/>
        <w:gridCol w:w="143"/>
        <w:gridCol w:w="4899"/>
        <w:gridCol w:w="202"/>
      </w:tblGrid>
      <w:tr>
        <w:trPr>
          <w:trHeight w:val="889" w:hRule="atLeast"/>
        </w:trPr>
        <w:tc>
          <w:tcPr>
            <w:tcW w:w="5071" w:type="dxa"/>
            <w:gridSpan w:val="2"/>
            <w:tcBorders>
              <w:bottom w:val="single" w:sz="6" w:space="0" w:color="000000"/>
            </w:tcBorders>
          </w:tcPr>
          <w:p>
            <w:pPr>
              <w:pStyle w:val="TableParagraph"/>
              <w:spacing w:line="362" w:lineRule="auto"/>
              <w:ind w:left="107" w:right="346"/>
              <w:rPr>
                <w:rFonts w:ascii="Arial" w:hAnsi="Arial"/>
                <w:sz w:val="20"/>
              </w:rPr>
            </w:pPr>
            <w:r>
              <w:rPr>
                <w:rFonts w:ascii="Arial" w:hAnsi="Arial"/>
                <w:sz w:val="20"/>
              </w:rPr>
              <w:t>Figure 3. UK – Business Surveys and GDP Growth, 2005-17</w:t>
            </w:r>
          </w:p>
        </w:tc>
        <w:tc>
          <w:tcPr>
            <w:tcW w:w="5244" w:type="dxa"/>
            <w:gridSpan w:val="3"/>
            <w:tcBorders>
              <w:bottom w:val="single" w:sz="6" w:space="0" w:color="000000"/>
            </w:tcBorders>
          </w:tcPr>
          <w:p>
            <w:pPr>
              <w:pStyle w:val="TableParagraph"/>
              <w:spacing w:line="362" w:lineRule="auto"/>
              <w:ind w:left="140"/>
              <w:rPr>
                <w:rFonts w:ascii="Arial"/>
                <w:sz w:val="20"/>
              </w:rPr>
            </w:pPr>
            <w:r>
              <w:rPr>
                <w:rFonts w:ascii="Arial"/>
                <w:sz w:val="20"/>
              </w:rPr>
              <w:t>Figure 4. Net Balance of Households Expecting Brexit to Have a Positive Economic Effect, 2016-17</w:t>
            </w:r>
          </w:p>
        </w:tc>
      </w:tr>
      <w:tr>
        <w:trPr>
          <w:trHeight w:val="3782" w:hRule="atLeast"/>
        </w:trPr>
        <w:tc>
          <w:tcPr>
            <w:tcW w:w="111" w:type="dxa"/>
            <w:tcBorders>
              <w:bottom w:val="nil"/>
              <w:right w:val="single" w:sz="4" w:space="0" w:color="858585"/>
            </w:tcBorders>
          </w:tcPr>
          <w:p>
            <w:pPr>
              <w:pStyle w:val="TableParagraph"/>
              <w:rPr>
                <w:rFonts w:ascii="Times New Roman"/>
                <w:sz w:val="16"/>
              </w:rPr>
            </w:pPr>
          </w:p>
        </w:tc>
        <w:tc>
          <w:tcPr>
            <w:tcW w:w="4960" w:type="dxa"/>
            <w:tcBorders>
              <w:top w:val="single" w:sz="6" w:space="0" w:color="000000"/>
              <w:left w:val="single" w:sz="4" w:space="0" w:color="858585"/>
              <w:bottom w:val="single" w:sz="4" w:space="0" w:color="858585"/>
              <w:right w:val="thickThinMediumGap" w:sz="2" w:space="0" w:color="000000"/>
            </w:tcBorders>
          </w:tcPr>
          <w:p>
            <w:pPr>
              <w:pStyle w:val="TableParagraph"/>
              <w:tabs>
                <w:tab w:pos="4645" w:val="left" w:leader="none"/>
              </w:tabs>
              <w:spacing w:line="198" w:lineRule="exact" w:before="7"/>
              <w:ind w:right="98"/>
              <w:jc w:val="center"/>
              <w:rPr>
                <w:b/>
                <w:sz w:val="19"/>
              </w:rPr>
            </w:pPr>
            <w:r>
              <w:rPr>
                <w:b/>
                <w:w w:val="95"/>
                <w:sz w:val="19"/>
              </w:rPr>
              <w:t>3</w:t>
              <w:tab/>
              <w:t>8</w:t>
            </w:r>
          </w:p>
          <w:p>
            <w:pPr>
              <w:pStyle w:val="TableParagraph"/>
              <w:spacing w:line="198" w:lineRule="exact"/>
              <w:ind w:left="1038"/>
              <w:rPr>
                <w:b/>
                <w:sz w:val="19"/>
              </w:rPr>
            </w:pPr>
            <w:r>
              <w:rPr>
                <w:b/>
                <w:w w:val="95"/>
                <w:sz w:val="19"/>
              </w:rPr>
              <w:t>Average of Business Surveys (left)</w:t>
            </w:r>
          </w:p>
          <w:p>
            <w:pPr>
              <w:pStyle w:val="TableParagraph"/>
              <w:tabs>
                <w:tab w:pos="895" w:val="left" w:leader="none"/>
                <w:tab w:pos="4786" w:val="right" w:leader="none"/>
              </w:tabs>
              <w:ind w:left="59"/>
              <w:rPr>
                <w:b/>
                <w:sz w:val="19"/>
              </w:rPr>
            </w:pPr>
            <w:r>
              <w:rPr>
                <w:b/>
                <w:w w:val="95"/>
                <w:position w:val="11"/>
                <w:sz w:val="19"/>
              </w:rPr>
              <w:t>2</w:t>
              <w:tab/>
            </w:r>
            <w:r>
              <w:rPr>
                <w:b/>
                <w:w w:val="95"/>
                <w:position w:val="11"/>
                <w:sz w:val="19"/>
                <w:u w:val="thick" w:color="FF00FF"/>
              </w:rPr>
              <w:t> </w:t>
            </w:r>
            <w:r>
              <w:rPr>
                <w:b/>
                <w:w w:val="95"/>
                <w:sz w:val="19"/>
              </w:rPr>
              <w:t>Nonoil GDP</w:t>
            </w:r>
            <w:r>
              <w:rPr>
                <w:b/>
                <w:spacing w:val="-16"/>
                <w:w w:val="95"/>
                <w:sz w:val="19"/>
              </w:rPr>
              <w:t> </w:t>
            </w:r>
            <w:r>
              <w:rPr>
                <w:b/>
                <w:w w:val="95"/>
                <w:sz w:val="19"/>
              </w:rPr>
              <w:t>YoY</w:t>
            </w:r>
            <w:r>
              <w:rPr>
                <w:b/>
                <w:spacing w:val="-8"/>
                <w:w w:val="95"/>
                <w:sz w:val="19"/>
              </w:rPr>
              <w:t> </w:t>
            </w:r>
            <w:r>
              <w:rPr>
                <w:b/>
                <w:w w:val="95"/>
                <w:sz w:val="19"/>
              </w:rPr>
              <w:t>(right)</w:t>
              <w:tab/>
            </w:r>
            <w:r>
              <w:rPr>
                <w:b/>
                <w:w w:val="95"/>
                <w:position w:val="11"/>
                <w:sz w:val="19"/>
              </w:rPr>
              <w:t>6</w:t>
            </w:r>
          </w:p>
          <w:p>
            <w:pPr>
              <w:pStyle w:val="TableParagraph"/>
              <w:tabs>
                <w:tab w:pos="4645" w:val="left" w:leader="none"/>
              </w:tabs>
              <w:spacing w:before="58"/>
              <w:ind w:right="99"/>
              <w:jc w:val="center"/>
              <w:rPr>
                <w:b/>
                <w:sz w:val="19"/>
              </w:rPr>
            </w:pPr>
            <w:r>
              <w:rPr>
                <w:b/>
                <w:w w:val="95"/>
                <w:sz w:val="19"/>
              </w:rPr>
              <w:t>1</w:t>
              <w:tab/>
              <w:t>4</w:t>
            </w:r>
          </w:p>
          <w:p>
            <w:pPr>
              <w:pStyle w:val="TableParagraph"/>
              <w:spacing w:before="5"/>
              <w:rPr>
                <w:rFonts w:ascii="Arial"/>
                <w:sz w:val="14"/>
              </w:rPr>
            </w:pPr>
          </w:p>
          <w:p>
            <w:pPr>
              <w:pStyle w:val="TableParagraph"/>
              <w:tabs>
                <w:tab w:pos="4645" w:val="left" w:leader="none"/>
              </w:tabs>
              <w:spacing w:before="1"/>
              <w:ind w:right="99"/>
              <w:jc w:val="center"/>
              <w:rPr>
                <w:b/>
                <w:sz w:val="19"/>
              </w:rPr>
            </w:pPr>
            <w:r>
              <w:rPr>
                <w:b/>
                <w:w w:val="95"/>
                <w:sz w:val="19"/>
              </w:rPr>
              <w:t>0</w:t>
              <w:tab/>
              <w:t>2</w:t>
            </w:r>
          </w:p>
          <w:p>
            <w:pPr>
              <w:pStyle w:val="TableParagraph"/>
              <w:spacing w:before="5"/>
              <w:rPr>
                <w:rFonts w:ascii="Arial"/>
                <w:sz w:val="14"/>
              </w:rPr>
            </w:pPr>
          </w:p>
          <w:p>
            <w:pPr>
              <w:pStyle w:val="TableParagraph"/>
              <w:tabs>
                <w:tab w:pos="4695" w:val="left" w:leader="none"/>
              </w:tabs>
              <w:ind w:right="148"/>
              <w:jc w:val="center"/>
              <w:rPr>
                <w:b/>
                <w:sz w:val="19"/>
              </w:rPr>
            </w:pPr>
            <w:r>
              <w:rPr>
                <w:b/>
                <w:w w:val="95"/>
                <w:sz w:val="19"/>
              </w:rPr>
              <w:t>-1</w:t>
              <w:tab/>
            </w:r>
            <w:r>
              <w:rPr>
                <w:b/>
                <w:w w:val="90"/>
                <w:sz w:val="19"/>
              </w:rPr>
              <w:t>0</w:t>
            </w:r>
          </w:p>
          <w:p>
            <w:pPr>
              <w:pStyle w:val="TableParagraph"/>
              <w:spacing w:before="5"/>
              <w:rPr>
                <w:rFonts w:ascii="Arial"/>
                <w:sz w:val="14"/>
              </w:rPr>
            </w:pPr>
          </w:p>
          <w:p>
            <w:pPr>
              <w:pStyle w:val="TableParagraph"/>
              <w:tabs>
                <w:tab w:pos="4695" w:val="left" w:leader="none"/>
              </w:tabs>
              <w:ind w:right="99"/>
              <w:jc w:val="center"/>
              <w:rPr>
                <w:b/>
                <w:sz w:val="19"/>
              </w:rPr>
            </w:pPr>
            <w:r>
              <w:rPr>
                <w:b/>
                <w:w w:val="95"/>
                <w:sz w:val="19"/>
              </w:rPr>
              <w:t>-2</w:t>
              <w:tab/>
            </w:r>
            <w:r>
              <w:rPr>
                <w:b/>
                <w:w w:val="85"/>
                <w:sz w:val="19"/>
              </w:rPr>
              <w:t>-2</w:t>
            </w:r>
          </w:p>
          <w:p>
            <w:pPr>
              <w:pStyle w:val="TableParagraph"/>
              <w:spacing w:line="183" w:lineRule="exact" w:before="32"/>
              <w:ind w:right="214"/>
              <w:jc w:val="center"/>
              <w:rPr>
                <w:b/>
                <w:sz w:val="19"/>
              </w:rPr>
            </w:pPr>
            <w:r>
              <w:rPr>
                <w:b/>
                <w:w w:val="95"/>
                <w:sz w:val="19"/>
              </w:rPr>
              <w:t>Range of</w:t>
            </w:r>
          </w:p>
          <w:p>
            <w:pPr>
              <w:pStyle w:val="TableParagraph"/>
              <w:tabs>
                <w:tab w:pos="2060" w:val="left" w:leader="none"/>
                <w:tab w:pos="4695" w:val="left" w:leader="none"/>
              </w:tabs>
              <w:spacing w:line="283" w:lineRule="exact"/>
              <w:ind w:right="99"/>
              <w:jc w:val="center"/>
              <w:rPr>
                <w:b/>
                <w:sz w:val="19"/>
              </w:rPr>
            </w:pPr>
            <w:r>
              <w:rPr>
                <w:b/>
                <w:w w:val="95"/>
                <w:position w:val="10"/>
                <w:sz w:val="19"/>
              </w:rPr>
              <w:t>-3</w:t>
              <w:tab/>
            </w:r>
            <w:r>
              <w:rPr>
                <w:b/>
                <w:w w:val="95"/>
                <w:sz w:val="19"/>
              </w:rPr>
              <w:t>Business</w:t>
              <w:tab/>
            </w:r>
            <w:r>
              <w:rPr>
                <w:b/>
                <w:w w:val="85"/>
                <w:position w:val="10"/>
                <w:sz w:val="19"/>
              </w:rPr>
              <w:t>-4</w:t>
            </w:r>
          </w:p>
          <w:p>
            <w:pPr>
              <w:pStyle w:val="TableParagraph"/>
              <w:tabs>
                <w:tab w:pos="380" w:val="left" w:leader="none"/>
                <w:tab w:pos="2070" w:val="left" w:leader="none"/>
                <w:tab w:pos="4225" w:val="left" w:leader="none"/>
                <w:tab w:pos="4705" w:val="left" w:leader="none"/>
              </w:tabs>
              <w:spacing w:line="230" w:lineRule="auto" w:before="5"/>
              <w:ind w:left="380" w:right="109" w:hanging="371"/>
              <w:rPr>
                <w:b/>
                <w:sz w:val="19"/>
              </w:rPr>
            </w:pPr>
            <w:r>
              <w:rPr>
                <w:b/>
                <w:w w:val="95"/>
                <w:position w:val="-6"/>
                <w:sz w:val="19"/>
              </w:rPr>
              <w:t>-4</w:t>
              <w:tab/>
              <w:t>sd</w:t>
            </w:r>
            <w:r>
              <w:rPr>
                <w:b/>
                <w:spacing w:val="-16"/>
                <w:w w:val="95"/>
                <w:position w:val="-6"/>
                <w:sz w:val="19"/>
              </w:rPr>
              <w:t> </w:t>
            </w:r>
            <w:r>
              <w:rPr>
                <w:b/>
                <w:w w:val="95"/>
                <w:position w:val="-6"/>
                <w:sz w:val="19"/>
              </w:rPr>
              <w:t>from</w:t>
              <w:tab/>
            </w:r>
            <w:r>
              <w:rPr>
                <w:b/>
                <w:w w:val="95"/>
                <w:sz w:val="19"/>
              </w:rPr>
              <w:t>Surveys</w:t>
            </w:r>
            <w:r>
              <w:rPr>
                <w:b/>
                <w:spacing w:val="-25"/>
                <w:w w:val="95"/>
                <w:sz w:val="19"/>
              </w:rPr>
              <w:t> </w:t>
            </w:r>
            <w:r>
              <w:rPr>
                <w:b/>
                <w:w w:val="95"/>
                <w:sz w:val="19"/>
              </w:rPr>
              <w:t>(left)</w:t>
              <w:tab/>
            </w:r>
            <w:r>
              <w:rPr>
                <w:b/>
                <w:w w:val="95"/>
                <w:position w:val="-7"/>
                <w:sz w:val="19"/>
              </w:rPr>
              <w:t>%</w:t>
              <w:tab/>
            </w:r>
            <w:r>
              <w:rPr>
                <w:b/>
                <w:spacing w:val="-9"/>
                <w:w w:val="90"/>
                <w:position w:val="-6"/>
                <w:sz w:val="19"/>
              </w:rPr>
              <w:t>-6 </w:t>
            </w:r>
            <w:r>
              <w:rPr>
                <w:b/>
                <w:w w:val="95"/>
                <w:sz w:val="19"/>
              </w:rPr>
              <w:t>average</w:t>
            </w:r>
          </w:p>
          <w:p>
            <w:pPr>
              <w:pStyle w:val="TableParagraph"/>
              <w:tabs>
                <w:tab w:pos="4695" w:val="left" w:leader="none"/>
              </w:tabs>
              <w:spacing w:line="167" w:lineRule="exact"/>
              <w:ind w:right="99"/>
              <w:jc w:val="center"/>
              <w:rPr>
                <w:b/>
                <w:sz w:val="19"/>
              </w:rPr>
            </w:pPr>
            <w:r>
              <w:rPr>
                <w:b/>
                <w:w w:val="95"/>
                <w:sz w:val="19"/>
              </w:rPr>
              <w:t>-5</w:t>
              <w:tab/>
            </w:r>
            <w:r>
              <w:rPr>
                <w:b/>
                <w:w w:val="85"/>
                <w:sz w:val="19"/>
              </w:rPr>
              <w:t>-8</w:t>
            </w:r>
          </w:p>
          <w:p>
            <w:pPr>
              <w:pStyle w:val="TableParagraph"/>
              <w:tabs>
                <w:tab w:pos="824" w:val="left" w:leader="none"/>
                <w:tab w:pos="1480" w:val="left" w:leader="none"/>
                <w:tab w:pos="2136" w:val="left" w:leader="none"/>
                <w:tab w:pos="2792" w:val="left" w:leader="none"/>
                <w:tab w:pos="3448" w:val="left" w:leader="none"/>
                <w:tab w:pos="4104" w:val="left" w:leader="none"/>
              </w:tabs>
              <w:spacing w:before="16"/>
              <w:ind w:left="168"/>
              <w:rPr>
                <w:b/>
                <w:sz w:val="19"/>
              </w:rPr>
            </w:pPr>
            <w:r>
              <w:rPr>
                <w:b/>
                <w:w w:val="95"/>
                <w:sz w:val="19"/>
              </w:rPr>
              <w:t>2005</w:t>
              <w:tab/>
              <w:t>2007</w:t>
              <w:tab/>
              <w:t>2009</w:t>
              <w:tab/>
              <w:t>2011</w:t>
              <w:tab/>
              <w:t>2013</w:t>
              <w:tab/>
              <w:t>2015</w:t>
              <w:tab/>
              <w:t>2017</w:t>
            </w:r>
          </w:p>
        </w:tc>
        <w:tc>
          <w:tcPr>
            <w:tcW w:w="143" w:type="dxa"/>
            <w:tcBorders>
              <w:left w:val="thinThickMediumGap" w:sz="2" w:space="0" w:color="000000"/>
              <w:bottom w:val="nil"/>
              <w:right w:val="single" w:sz="4" w:space="0" w:color="858585"/>
            </w:tcBorders>
          </w:tcPr>
          <w:p>
            <w:pPr>
              <w:pStyle w:val="TableParagraph"/>
              <w:rPr>
                <w:rFonts w:ascii="Times New Roman"/>
                <w:sz w:val="16"/>
              </w:rPr>
            </w:pPr>
          </w:p>
        </w:tc>
        <w:tc>
          <w:tcPr>
            <w:tcW w:w="4899" w:type="dxa"/>
            <w:tcBorders>
              <w:top w:val="single" w:sz="6" w:space="0" w:color="000000"/>
              <w:left w:val="single" w:sz="4" w:space="0" w:color="858585"/>
              <w:bottom w:val="single" w:sz="4" w:space="0" w:color="858585"/>
              <w:right w:val="single" w:sz="4" w:space="0" w:color="858585"/>
            </w:tcBorders>
          </w:tcPr>
          <w:p>
            <w:pPr>
              <w:pStyle w:val="TableParagraph"/>
              <w:spacing w:before="25"/>
              <w:ind w:left="92"/>
              <w:rPr>
                <w:b/>
                <w:sz w:val="19"/>
              </w:rPr>
            </w:pPr>
            <w:r>
              <w:rPr>
                <w:b/>
                <w:w w:val="95"/>
                <w:sz w:val="19"/>
              </w:rPr>
              <w:t>15</w:t>
            </w:r>
          </w:p>
          <w:p>
            <w:pPr>
              <w:pStyle w:val="TableParagraph"/>
              <w:tabs>
                <w:tab w:pos="495" w:val="left" w:leader="none"/>
              </w:tabs>
              <w:spacing w:line="168" w:lineRule="auto" w:before="97"/>
              <w:ind w:left="495" w:right="3642" w:hanging="404"/>
              <w:rPr>
                <w:b/>
                <w:sz w:val="19"/>
              </w:rPr>
            </w:pPr>
            <w:r>
              <w:rPr>
                <w:b/>
                <w:w w:val="95"/>
                <w:position w:val="-9"/>
                <w:sz w:val="19"/>
              </w:rPr>
              <w:t>10</w:t>
              <w:tab/>
            </w:r>
            <w:r>
              <w:rPr>
                <w:b/>
                <w:w w:val="95"/>
                <w:sz w:val="19"/>
              </w:rPr>
              <w:t>Net </w:t>
            </w:r>
            <w:r>
              <w:rPr>
                <w:b/>
                <w:w w:val="80"/>
                <w:sz w:val="19"/>
              </w:rPr>
              <w:t>Percentage</w:t>
            </w:r>
          </w:p>
          <w:p>
            <w:pPr>
              <w:pStyle w:val="TableParagraph"/>
              <w:tabs>
                <w:tab w:pos="495" w:val="left" w:leader="none"/>
              </w:tabs>
              <w:spacing w:before="15"/>
              <w:ind w:left="173"/>
              <w:rPr>
                <w:b/>
                <w:sz w:val="19"/>
              </w:rPr>
            </w:pPr>
            <w:r>
              <w:rPr>
                <w:b/>
                <w:w w:val="95"/>
                <w:position w:val="-3"/>
                <w:sz w:val="19"/>
              </w:rPr>
              <w:t>5</w:t>
              <w:tab/>
            </w:r>
            <w:r>
              <w:rPr>
                <w:b/>
                <w:w w:val="95"/>
                <w:sz w:val="19"/>
              </w:rPr>
              <w:t>Balance</w:t>
            </w:r>
          </w:p>
          <w:p>
            <w:pPr>
              <w:pStyle w:val="TableParagraph"/>
              <w:tabs>
                <w:tab w:pos="4090" w:val="left" w:leader="none"/>
              </w:tabs>
              <w:spacing w:before="143"/>
              <w:ind w:left="173"/>
              <w:rPr>
                <w:b/>
                <w:sz w:val="19"/>
              </w:rPr>
            </w:pPr>
            <w:r>
              <w:rPr>
                <w:b/>
                <w:w w:val="95"/>
                <w:position w:val="-2"/>
                <w:sz w:val="19"/>
              </w:rPr>
              <w:t>0</w:t>
              <w:tab/>
            </w:r>
            <w:r>
              <w:rPr>
                <w:b/>
                <w:w w:val="95"/>
                <w:sz w:val="19"/>
              </w:rPr>
              <w:t>ORB</w:t>
            </w:r>
            <w:r>
              <w:rPr>
                <w:b/>
                <w:spacing w:val="-12"/>
                <w:w w:val="95"/>
                <w:sz w:val="19"/>
              </w:rPr>
              <w:t> </w:t>
            </w:r>
            <w:r>
              <w:rPr>
                <w:b/>
                <w:w w:val="95"/>
                <w:sz w:val="19"/>
              </w:rPr>
              <w:t>(a)</w:t>
            </w:r>
          </w:p>
          <w:p>
            <w:pPr>
              <w:pStyle w:val="TableParagraph"/>
              <w:spacing w:line="194" w:lineRule="exact" w:before="15"/>
              <w:ind w:left="4090"/>
              <w:rPr>
                <w:b/>
                <w:sz w:val="19"/>
              </w:rPr>
            </w:pPr>
            <w:r>
              <w:rPr>
                <w:b/>
                <w:w w:val="90"/>
                <w:sz w:val="19"/>
              </w:rPr>
              <w:t>YouGov (b)</w:t>
            </w:r>
          </w:p>
          <w:p>
            <w:pPr>
              <w:pStyle w:val="TableParagraph"/>
              <w:tabs>
                <w:tab w:pos="3947" w:val="left" w:leader="none"/>
              </w:tabs>
              <w:spacing w:line="314" w:lineRule="exact"/>
              <w:ind w:left="124"/>
              <w:rPr>
                <w:b/>
                <w:sz w:val="19"/>
              </w:rPr>
            </w:pPr>
            <w:r>
              <w:rPr>
                <w:b/>
                <w:w w:val="95"/>
                <w:position w:val="12"/>
                <w:sz w:val="19"/>
              </w:rPr>
              <w:t>-5</w:t>
              <w:tab/>
            </w:r>
            <w:r>
              <w:rPr>
                <w:b/>
                <w:w w:val="95"/>
                <w:position w:val="12"/>
                <w:sz w:val="19"/>
                <w:u w:val="thick" w:color="66FF33"/>
              </w:rPr>
              <w:t> </w:t>
            </w:r>
            <w:r>
              <w:rPr>
                <w:b/>
                <w:w w:val="95"/>
                <w:sz w:val="19"/>
              </w:rPr>
              <w:t>ICM</w:t>
            </w:r>
            <w:r>
              <w:rPr>
                <w:b/>
                <w:spacing w:val="-11"/>
                <w:w w:val="95"/>
                <w:sz w:val="19"/>
              </w:rPr>
              <w:t> </w:t>
            </w:r>
            <w:r>
              <w:rPr>
                <w:b/>
                <w:w w:val="95"/>
                <w:sz w:val="19"/>
              </w:rPr>
              <w:t>(c)</w:t>
            </w:r>
          </w:p>
          <w:p>
            <w:pPr>
              <w:pStyle w:val="TableParagraph"/>
              <w:tabs>
                <w:tab w:pos="4090" w:val="left" w:leader="none"/>
              </w:tabs>
              <w:spacing w:before="47"/>
              <w:ind w:left="43"/>
              <w:rPr>
                <w:b/>
                <w:sz w:val="19"/>
              </w:rPr>
            </w:pPr>
            <w:r>
              <w:rPr>
                <w:b/>
                <w:w w:val="95"/>
                <w:sz w:val="19"/>
              </w:rPr>
              <w:t>-10</w:t>
              <w:tab/>
              <w:t>IPSOS</w:t>
            </w:r>
            <w:r>
              <w:rPr>
                <w:b/>
                <w:spacing w:val="-18"/>
                <w:w w:val="95"/>
                <w:sz w:val="19"/>
              </w:rPr>
              <w:t> </w:t>
            </w:r>
            <w:r>
              <w:rPr>
                <w:b/>
                <w:w w:val="95"/>
                <w:sz w:val="19"/>
              </w:rPr>
              <w:t>(d)</w:t>
            </w:r>
          </w:p>
          <w:p>
            <w:pPr>
              <w:pStyle w:val="TableParagraph"/>
              <w:spacing w:line="180" w:lineRule="exact" w:before="43"/>
              <w:ind w:left="4090"/>
              <w:rPr>
                <w:b/>
                <w:sz w:val="19"/>
              </w:rPr>
            </w:pPr>
            <w:r>
              <w:rPr>
                <w:b/>
                <w:w w:val="95"/>
                <w:sz w:val="19"/>
              </w:rPr>
              <w:t>ICM (e)</w:t>
            </w:r>
          </w:p>
          <w:p>
            <w:pPr>
              <w:pStyle w:val="TableParagraph"/>
              <w:spacing w:line="180" w:lineRule="exact"/>
              <w:ind w:left="43"/>
              <w:rPr>
                <w:b/>
                <w:sz w:val="19"/>
              </w:rPr>
            </w:pPr>
            <w:r>
              <w:rPr>
                <w:b/>
                <w:w w:val="95"/>
                <w:sz w:val="19"/>
              </w:rPr>
              <w:t>-15</w:t>
            </w:r>
          </w:p>
          <w:p>
            <w:pPr>
              <w:pStyle w:val="TableParagraph"/>
              <w:spacing w:before="10"/>
              <w:rPr>
                <w:rFonts w:ascii="Arial"/>
                <w:sz w:val="14"/>
              </w:rPr>
            </w:pPr>
          </w:p>
          <w:p>
            <w:pPr>
              <w:pStyle w:val="TableParagraph"/>
              <w:ind w:left="43"/>
              <w:rPr>
                <w:b/>
                <w:sz w:val="19"/>
              </w:rPr>
            </w:pPr>
            <w:r>
              <w:rPr>
                <w:b/>
                <w:w w:val="95"/>
                <w:sz w:val="19"/>
              </w:rPr>
              <w:t>-20</w:t>
            </w:r>
          </w:p>
          <w:p>
            <w:pPr>
              <w:pStyle w:val="TableParagraph"/>
              <w:spacing w:before="10"/>
              <w:rPr>
                <w:rFonts w:ascii="Arial"/>
                <w:sz w:val="14"/>
              </w:rPr>
            </w:pPr>
          </w:p>
          <w:p>
            <w:pPr>
              <w:pStyle w:val="TableParagraph"/>
              <w:spacing w:before="1"/>
              <w:ind w:left="43"/>
              <w:rPr>
                <w:b/>
                <w:sz w:val="19"/>
              </w:rPr>
            </w:pPr>
            <w:r>
              <w:rPr>
                <w:b/>
                <w:w w:val="95"/>
                <w:sz w:val="19"/>
              </w:rPr>
              <w:t>-25</w:t>
            </w:r>
          </w:p>
          <w:p>
            <w:pPr>
              <w:pStyle w:val="TableParagraph"/>
              <w:spacing w:before="15"/>
              <w:ind w:left="218"/>
              <w:rPr>
                <w:b/>
                <w:sz w:val="19"/>
              </w:rPr>
            </w:pPr>
            <w:r>
              <w:rPr>
                <w:b/>
                <w:w w:val="95"/>
                <w:sz w:val="19"/>
              </w:rPr>
              <w:t>Jul 16 Oct 16 Jan 17 Apr 17 Jul 17 Oct 17 Jan 18</w:t>
            </w:r>
          </w:p>
        </w:tc>
        <w:tc>
          <w:tcPr>
            <w:tcW w:w="202" w:type="dxa"/>
            <w:tcBorders>
              <w:left w:val="single" w:sz="4" w:space="0" w:color="858585"/>
              <w:bottom w:val="nil"/>
            </w:tcBorders>
          </w:tcPr>
          <w:p>
            <w:pPr>
              <w:pStyle w:val="TableParagraph"/>
              <w:rPr>
                <w:rFonts w:ascii="Times New Roman"/>
                <w:sz w:val="16"/>
              </w:rPr>
            </w:pPr>
          </w:p>
        </w:tc>
      </w:tr>
      <w:tr>
        <w:trPr>
          <w:trHeight w:val="220" w:hRule="atLeast"/>
        </w:trPr>
        <w:tc>
          <w:tcPr>
            <w:tcW w:w="5071" w:type="dxa"/>
            <w:gridSpan w:val="2"/>
            <w:tcBorders>
              <w:top w:val="single" w:sz="4" w:space="0" w:color="858585"/>
            </w:tcBorders>
          </w:tcPr>
          <w:p>
            <w:pPr>
              <w:pStyle w:val="TableParagraph"/>
              <w:rPr>
                <w:rFonts w:ascii="Times New Roman"/>
                <w:sz w:val="14"/>
              </w:rPr>
            </w:pPr>
          </w:p>
        </w:tc>
        <w:tc>
          <w:tcPr>
            <w:tcW w:w="5244" w:type="dxa"/>
            <w:gridSpan w:val="3"/>
            <w:tcBorders>
              <w:top w:val="nil"/>
            </w:tcBorders>
          </w:tcPr>
          <w:p>
            <w:pPr>
              <w:pStyle w:val="TableParagraph"/>
              <w:rPr>
                <w:rFonts w:ascii="Times New Roman"/>
                <w:sz w:val="14"/>
              </w:rPr>
            </w:pPr>
          </w:p>
        </w:tc>
      </w:tr>
    </w:tbl>
    <w:p>
      <w:pPr>
        <w:spacing w:line="360" w:lineRule="auto" w:before="0"/>
        <w:ind w:left="673" w:right="1143" w:firstLine="0"/>
        <w:jc w:val="left"/>
        <w:rPr>
          <w:sz w:val="16"/>
        </w:rPr>
      </w:pPr>
      <w:r>
        <w:rPr/>
        <w:pict>
          <v:line style="position:absolute;mso-position-horizontal-relative:page;mso-position-vertical-relative:paragraph;z-index:-253498368" from="486.427246pt,-120.329422pt" to="492.84177pt,-120.329422pt" stroked="true" strokeweight="1.044108pt" strokecolor="#0000ff">
            <v:stroke dashstyle="solid"/>
            <w10:wrap type="none"/>
          </v:line>
        </w:pict>
      </w:r>
      <w:r>
        <w:rPr/>
        <w:pict>
          <v:line style="position:absolute;mso-position-horizontal-relative:page;mso-position-vertical-relative:paragraph;z-index:-253497344" from="486.427246pt,-92.660545pt" to="492.84177pt,-92.660545pt" stroked="true" strokeweight="1.044108pt" strokecolor="#ff00ff">
            <v:stroke dashstyle="solid"/>
            <w10:wrap type="none"/>
          </v:line>
        </w:pict>
      </w:r>
      <w:r>
        <w:rPr/>
        <w:pict>
          <v:line style="position:absolute;mso-position-horizontal-relative:page;mso-position-vertical-relative:paragraph;z-index:-253496320" from="486.427246pt,-78.802376pt" to="492.84177pt,-78.802376pt" stroked="true" strokeweight="1.044108pt" strokecolor="#ff9900">
            <v:stroke dashstyle="solid"/>
            <w10:wrap type="none"/>
          </v:line>
        </w:pict>
      </w:r>
      <w:r>
        <w:rPr>
          <w:sz w:val="16"/>
        </w:rPr>
        <w:t>Note: In the right chart, the questions are as follows. a): Do you agree or disagree that Britain will be economically better off post-Brexit? (b): Do you think Britain will be economically better or worse off after we leave the EU? (c): Do you think Brexit will have a positive or negative impact on the British economy? (d): Now that Britain has voted to leave the EU, to what extent do you think it will be better or worse for your own standard of living? (e): Do you think Brexit will have a positive or negative impact on your own personal finances?</w:t>
      </w:r>
    </w:p>
    <w:p>
      <w:pPr>
        <w:spacing w:before="3"/>
        <w:ind w:left="673" w:right="0" w:firstLine="0"/>
        <w:jc w:val="left"/>
        <w:rPr>
          <w:sz w:val="16"/>
        </w:rPr>
      </w:pPr>
      <w:r>
        <w:rPr>
          <w:sz w:val="16"/>
        </w:rPr>
        <w:t>Sources: European Commission, British Chambers of Commerce, Markit, Lloyds Business Bulletin, ICAEW and BoE</w:t>
      </w:r>
    </w:p>
    <w:p>
      <w:pPr>
        <w:spacing w:after="0"/>
        <w:jc w:val="left"/>
        <w:rPr>
          <w:sz w:val="16"/>
        </w:rPr>
        <w:sectPr>
          <w:pgSz w:w="11910" w:h="16840"/>
          <w:pgMar w:header="0" w:footer="1338" w:top="1580" w:bottom="1520" w:left="460" w:right="0"/>
        </w:sectPr>
      </w:pPr>
    </w:p>
    <w:p>
      <w:pPr>
        <w:pStyle w:val="BodyText"/>
        <w:ind w:left="101"/>
      </w:pPr>
      <w:r>
        <w:rPr/>
        <w:pict>
          <v:group style="width:516.25pt;height:242.45pt;mso-position-horizontal-relative:char;mso-position-vertical-relative:line" coordorigin="0,0" coordsize="10325,4849">
            <v:line style="position:absolute" from="10,5" to="5308,5" stroked="true" strokeweight=".48pt" strokecolor="#000000">
              <v:stroke dashstyle="solid"/>
            </v:line>
            <v:line style="position:absolute" from="5317,5" to="10315,5" stroked="true" strokeweight=".48pt" strokecolor="#000000">
              <v:stroke dashstyle="solid"/>
            </v:line>
            <v:line style="position:absolute" from="10,905" to="5308,905" stroked="true" strokeweight=".48pt" strokecolor="#000000">
              <v:stroke dashstyle="solid"/>
            </v:line>
            <v:line style="position:absolute" from="5317,905" to="10315,905" stroked="true" strokeweight=".48pt" strokecolor="#000000">
              <v:stroke dashstyle="solid"/>
            </v:line>
            <v:line style="position:absolute" from="5,0" to="5,4849" stroked="true" strokeweight=".48pt" strokecolor="#000000">
              <v:stroke dashstyle="solid"/>
            </v:line>
            <v:line style="position:absolute" from="10,4844" to="5308,4844" stroked="true" strokeweight=".47998pt" strokecolor="#000000">
              <v:stroke dashstyle="solid"/>
            </v:line>
            <v:line style="position:absolute" from="5313,0" to="5313,4849" stroked="true" strokeweight=".47998pt" strokecolor="#000000">
              <v:stroke dashstyle="solid"/>
            </v:line>
            <v:line style="position:absolute" from="5317,4844" to="10315,4844" stroked="true" strokeweight=".47998pt" strokecolor="#000000">
              <v:stroke dashstyle="solid"/>
            </v:line>
            <v:line style="position:absolute" from="10320,0" to="10320,4849" stroked="true" strokeweight=".47998pt" strokecolor="#000000">
              <v:stroke dashstyle="solid"/>
            </v:line>
            <v:rect style="position:absolute;left:450;top:1045;width:4755;height:2890" filled="false" stroked="true" strokeweight=".271684pt" strokecolor="#000000">
              <v:stroke dashstyle="solid"/>
            </v:rect>
            <v:rect style="position:absolute;left:687;top:1575;width:317;height:2361" filled="true" fillcolor="#0000ff" stroked="false">
              <v:fill type="solid"/>
            </v:rect>
            <v:rect style="position:absolute;left:687;top:1575;width:317;height:2361" filled="false" stroked="true" strokeweight=".250641pt" strokecolor="#0000ff">
              <v:stroke dashstyle="solid"/>
            </v:rect>
            <v:rect style="position:absolute;left:1480;top:1815;width:317;height:2120" filled="true" fillcolor="#0000ff" stroked="false">
              <v:fill type="solid"/>
            </v:rect>
            <v:rect style="position:absolute;left:1480;top:1815;width:317;height:2120" filled="false" stroked="true" strokeweight=".250763pt" strokecolor="#0000ff">
              <v:stroke dashstyle="solid"/>
            </v:rect>
            <v:rect style="position:absolute;left:2272;top:2057;width:317;height:1879" filled="true" fillcolor="#0000ff" stroked="false">
              <v:fill type="solid"/>
            </v:rect>
            <v:rect style="position:absolute;left:2272;top:2057;width:317;height:1879" filled="false" stroked="true" strokeweight=".250935pt" strokecolor="#0000ff">
              <v:stroke dashstyle="solid"/>
            </v:rect>
            <v:rect style="position:absolute;left:3065;top:2153;width:317;height:1783" filled="true" fillcolor="#0000ff" stroked="false">
              <v:fill type="solid"/>
            </v:rect>
            <v:rect style="position:absolute;left:3065;top:2153;width:317;height:1783" filled="false" stroked="true" strokeweight=".251022pt" strokecolor="#0000ff">
              <v:stroke dashstyle="solid"/>
            </v:rect>
            <v:rect style="position:absolute;left:3857;top:2213;width:318;height:1722" filled="true" fillcolor="#0000ff" stroked="false">
              <v:fill type="solid"/>
            </v:rect>
            <v:rect style="position:absolute;left:3857;top:2213;width:318;height:1722" filled="false" stroked="true" strokeweight=".251090pt" strokecolor="#0000ff">
              <v:stroke dashstyle="solid"/>
            </v:rect>
            <v:rect style="position:absolute;left:4650;top:2924;width:317;height:1012" filled="true" fillcolor="#0000ff" stroked="false">
              <v:fill type="solid"/>
            </v:rect>
            <v:rect style="position:absolute;left:4650;top:2924;width:317;height:1012" filled="false" stroked="true" strokeweight=".252757pt" strokecolor="#0000ff">
              <v:stroke dashstyle="solid"/>
            </v:rect>
            <v:line style="position:absolute" from="450,3936" to="450,1046" stroked="true" strokeweight=".250118pt" strokecolor="#858585">
              <v:stroke dashstyle="solid"/>
            </v:line>
            <v:line style="position:absolute" from="397,3936" to="450,3936" stroked="true" strokeweight=".27965pt" strokecolor="#858585">
              <v:stroke dashstyle="solid"/>
            </v:line>
            <v:line style="position:absolute" from="397,3454" to="450,3454" stroked="true" strokeweight=".27965pt" strokecolor="#858585">
              <v:stroke dashstyle="solid"/>
            </v:line>
            <v:line style="position:absolute" from="397,2973" to="450,2973" stroked="true" strokeweight=".27965pt" strokecolor="#858585">
              <v:stroke dashstyle="solid"/>
            </v:line>
            <v:line style="position:absolute" from="397,2491" to="450,2491" stroked="true" strokeweight=".27965pt" strokecolor="#858585">
              <v:stroke dashstyle="solid"/>
            </v:line>
            <v:line style="position:absolute" from="397,2009" to="450,2009" stroked="true" strokeweight=".27965pt" strokecolor="#858585">
              <v:stroke dashstyle="solid"/>
            </v:line>
            <v:line style="position:absolute" from="397,1527" to="450,1527" stroked="true" strokeweight=".27965pt" strokecolor="#858585">
              <v:stroke dashstyle="solid"/>
            </v:line>
            <v:line style="position:absolute" from="397,1046" to="450,1046" stroked="true" strokeweight=".27965pt" strokecolor="#858585">
              <v:stroke dashstyle="solid"/>
            </v:line>
            <v:line style="position:absolute" from="450,3936" to="5205,3936" stroked="true" strokeweight=".27965pt" strokecolor="#858585">
              <v:stroke dashstyle="solid"/>
            </v:line>
            <v:rect style="position:absolute;left:115;top:911;width:5090;height:3717" filled="false" stroked="true" strokeweight=".269378pt" strokecolor="#858585">
              <v:stroke dashstyle="solid"/>
            </v:rect>
            <v:rect style="position:absolute;left:5737;top:1045;width:4476;height:2890" filled="false" stroked="true" strokeweight=".266543pt" strokecolor="#000000">
              <v:stroke dashstyle="solid"/>
            </v:rect>
            <v:rect style="position:absolute;left:6042;top:3550;width:408;height:385" filled="true" fillcolor="#66ff33" stroked="false">
              <v:fill type="solid"/>
            </v:rect>
            <v:rect style="position:absolute;left:6042;top:3550;width:408;height:385" filled="false" stroked="true" strokeweight=".258681pt" strokecolor="#66ff33">
              <v:stroke dashstyle="solid"/>
            </v:rect>
            <v:rect style="position:absolute;left:8280;top:3454;width:408;height:481" filled="true" fillcolor="#66ff33" stroked="false">
              <v:fill type="solid"/>
            </v:rect>
            <v:rect style="position:absolute;left:8280;top:3454;width:408;height:481" filled="false" stroked="true" strokeweight=".253792pt" strokecolor="#66ff33">
              <v:stroke dashstyle="solid"/>
            </v:rect>
            <v:rect style="position:absolute;left:6449;top:2201;width:407;height:1735" filled="true" fillcolor="#0000ff" stroked="false">
              <v:fill type="solid"/>
            </v:rect>
            <v:rect style="position:absolute;left:6449;top:2201;width:407;height:1735" filled="false" stroked="true" strokeweight=".237624pt" strokecolor="#0000ff">
              <v:stroke dashstyle="solid"/>
            </v:rect>
            <v:rect style="position:absolute;left:8687;top:2731;width:407;height:1204" filled="true" fillcolor="#0000ff" stroked="false">
              <v:fill type="solid"/>
            </v:rect>
            <v:rect style="position:absolute;left:8687;top:2731;width:407;height:1204" filled="false" stroked="true" strokeweight=".239845pt" strokecolor="#0000ff">
              <v:stroke dashstyle="solid"/>
            </v:rect>
            <v:rect style="position:absolute;left:6855;top:1383;width:408;height:2553" filled="true" fillcolor="#ff00ff" stroked="false">
              <v:fill type="solid"/>
            </v:rect>
            <v:rect style="position:absolute;left:6855;top:1383;width:408;height:2553" filled="false" stroked="true" strokeweight=".23642pt" strokecolor="#ff00ff">
              <v:stroke dashstyle="solid"/>
            </v:rect>
            <v:rect style="position:absolute;left:9093;top:1286;width:408;height:2650" filled="true" fillcolor="#ff00ff" stroked="false">
              <v:fill type="solid"/>
            </v:rect>
            <v:rect style="position:absolute;left:9093;top:1286;width:408;height:2650" filled="false" stroked="true" strokeweight=".236343pt" strokecolor="#ff00ff">
              <v:stroke dashstyle="solid"/>
            </v:rect>
            <v:rect style="position:absolute;left:7262;top:3791;width:408;height:145" filled="true" fillcolor="#bebebe" stroked="false">
              <v:fill type="solid"/>
            </v:rect>
            <v:rect style="position:absolute;left:7262;top:3791;width:408;height:145" filled="false" stroked="true" strokeweight=".274611pt" strokecolor="#bebebe">
              <v:stroke dashstyle="solid"/>
            </v:rect>
            <v:rect style="position:absolute;left:9500;top:3454;width:408;height:481" filled="true" fillcolor="#bebebe" stroked="false">
              <v:fill type="solid"/>
            </v:rect>
            <v:rect style="position:absolute;left:9500;top:3454;width:408;height:481" filled="false" stroked="true" strokeweight=".253792pt" strokecolor="#bebebe">
              <v:stroke dashstyle="solid"/>
            </v:rect>
            <v:line style="position:absolute" from="5737,3936" to="5737,1046" stroked="true" strokeweight=".235322pt" strokecolor="#858585">
              <v:stroke dashstyle="solid"/>
            </v:line>
            <v:line style="position:absolute" from="5687,3936" to="5737,3936" stroked="true" strokeweight=".279557pt" strokecolor="#858585">
              <v:stroke dashstyle="solid"/>
            </v:line>
            <v:line style="position:absolute" from="5687,3455" to="5737,3455" stroked="true" strokeweight=".279557pt" strokecolor="#858585">
              <v:stroke dashstyle="solid"/>
            </v:line>
            <v:line style="position:absolute" from="5687,2973" to="5737,2973" stroked="true" strokeweight=".279557pt" strokecolor="#858585">
              <v:stroke dashstyle="solid"/>
            </v:line>
            <v:line style="position:absolute" from="5687,2491" to="5737,2491" stroked="true" strokeweight=".279557pt" strokecolor="#858585">
              <v:stroke dashstyle="solid"/>
            </v:line>
            <v:line style="position:absolute" from="5687,2009" to="5737,2009" stroked="true" strokeweight=".279557pt" strokecolor="#858585">
              <v:stroke dashstyle="solid"/>
            </v:line>
            <v:line style="position:absolute" from="5687,1528" to="5737,1528" stroked="true" strokeweight=".279557pt" strokecolor="#858585">
              <v:stroke dashstyle="solid"/>
            </v:line>
            <v:line style="position:absolute" from="5687,1046" to="5737,1046" stroked="true" strokeweight=".279557pt" strokecolor="#858585">
              <v:stroke dashstyle="solid"/>
            </v:line>
            <v:line style="position:absolute" from="5737,3936" to="10213,3936" stroked="true" strokeweight=".279557pt" strokecolor="#858585">
              <v:stroke dashstyle="solid"/>
            </v:line>
            <v:rect style="position:absolute;left:7568;top:1282;width:87;height:103" filled="true" fillcolor="#66ff33" stroked="false">
              <v:fill type="solid"/>
            </v:rect>
            <v:rect style="position:absolute;left:7568;top:1282;width:87;height:103" filled="false" stroked="true" strokeweight=".253667pt" strokecolor="#66ff33">
              <v:stroke dashstyle="solid"/>
            </v:rect>
            <v:rect style="position:absolute;left:7568;top:1554;width:87;height:102" filled="true" fillcolor="#0000ff" stroked="false">
              <v:fill type="solid"/>
            </v:rect>
            <v:rect style="position:absolute;left:7568;top:1554;width:87;height:102" filled="false" stroked="true" strokeweight=".253864pt" strokecolor="#0000ff">
              <v:stroke dashstyle="solid"/>
            </v:rect>
            <v:rect style="position:absolute;left:7568;top:1825;width:87;height:103" filled="true" fillcolor="#ff00ff" stroked="false">
              <v:fill type="solid"/>
            </v:rect>
            <v:rect style="position:absolute;left:7568;top:1825;width:87;height:103" filled="false" stroked="true" strokeweight=".253667pt" strokecolor="#ff00ff">
              <v:stroke dashstyle="solid"/>
            </v:rect>
            <v:rect style="position:absolute;left:7568;top:2097;width:87;height:103" filled="true" fillcolor="#bebebe" stroked="false">
              <v:fill type="solid"/>
            </v:rect>
            <v:rect style="position:absolute;left:7568;top:2097;width:87;height:103" filled="false" stroked="true" strokeweight=".253667pt" strokecolor="#bebebe">
              <v:stroke dashstyle="solid"/>
            </v:rect>
            <v:rect style="position:absolute;left:5422;top:911;width:4791;height:3717" filled="false" stroked="true" strokeweight=".262937pt" strokecolor="#858585">
              <v:stroke dashstyle="solid"/>
            </v:rect>
            <v:shape style="position:absolute;left:126;top:958;width:189;height:187" type="#_x0000_t202" filled="false" stroked="false">
              <v:textbox inset="0,0,0,0">
                <w:txbxContent>
                  <w:p>
                    <w:pPr>
                      <w:spacing w:line="186" w:lineRule="exact" w:before="0"/>
                      <w:ind w:left="0" w:right="0" w:firstLine="0"/>
                      <w:jc w:val="left"/>
                      <w:rPr>
                        <w:rFonts w:ascii="Calibri"/>
                        <w:b/>
                        <w:sz w:val="18"/>
                      </w:rPr>
                    </w:pPr>
                    <w:r>
                      <w:rPr>
                        <w:rFonts w:ascii="Calibri"/>
                        <w:b/>
                        <w:sz w:val="18"/>
                      </w:rPr>
                      <w:t>60</w:t>
                    </w:r>
                  </w:p>
                </w:txbxContent>
              </v:textbox>
              <w10:wrap type="none"/>
            </v:shape>
            <v:shape style="position:absolute;left:5432;top:958;width:179;height:187" type="#_x0000_t202" filled="false" stroked="false">
              <v:textbox inset="0,0,0,0">
                <w:txbxContent>
                  <w:p>
                    <w:pPr>
                      <w:spacing w:line="186" w:lineRule="exact" w:before="0"/>
                      <w:ind w:left="0" w:right="0" w:firstLine="0"/>
                      <w:jc w:val="left"/>
                      <w:rPr>
                        <w:rFonts w:ascii="Calibri"/>
                        <w:b/>
                        <w:sz w:val="18"/>
                      </w:rPr>
                    </w:pPr>
                    <w:r>
                      <w:rPr>
                        <w:rFonts w:ascii="Calibri"/>
                        <w:b/>
                        <w:w w:val="95"/>
                        <w:sz w:val="18"/>
                      </w:rPr>
                      <w:t>60</w:t>
                    </w:r>
                  </w:p>
                </w:txbxContent>
              </v:textbox>
              <w10:wrap type="none"/>
            </v:shape>
            <v:shape style="position:absolute;left:126;top:1440;width:189;height:187" type="#_x0000_t202" filled="false" stroked="false">
              <v:textbox inset="0,0,0,0">
                <w:txbxContent>
                  <w:p>
                    <w:pPr>
                      <w:spacing w:line="186" w:lineRule="exact" w:before="0"/>
                      <w:ind w:left="0" w:right="0" w:firstLine="0"/>
                      <w:jc w:val="left"/>
                      <w:rPr>
                        <w:rFonts w:ascii="Calibri"/>
                        <w:b/>
                        <w:sz w:val="18"/>
                      </w:rPr>
                    </w:pPr>
                    <w:r>
                      <w:rPr>
                        <w:rFonts w:ascii="Calibri"/>
                        <w:b/>
                        <w:sz w:val="18"/>
                      </w:rPr>
                      <w:t>50</w:t>
                    </w:r>
                  </w:p>
                </w:txbxContent>
              </v:textbox>
              <w10:wrap type="none"/>
            </v:shape>
            <v:shape style="position:absolute;left:5432;top:1440;width:179;height:187" type="#_x0000_t202" filled="false" stroked="false">
              <v:textbox inset="0,0,0,0">
                <w:txbxContent>
                  <w:p>
                    <w:pPr>
                      <w:spacing w:line="187" w:lineRule="exact" w:before="0"/>
                      <w:ind w:left="0" w:right="0" w:firstLine="0"/>
                      <w:jc w:val="left"/>
                      <w:rPr>
                        <w:rFonts w:ascii="Calibri"/>
                        <w:b/>
                        <w:sz w:val="18"/>
                      </w:rPr>
                    </w:pPr>
                    <w:r>
                      <w:rPr>
                        <w:rFonts w:ascii="Calibri"/>
                        <w:b/>
                        <w:w w:val="95"/>
                        <w:sz w:val="18"/>
                      </w:rPr>
                      <w:t>50</w:t>
                    </w:r>
                  </w:p>
                </w:txbxContent>
              </v:textbox>
              <w10:wrap type="none"/>
            </v:shape>
            <v:shape style="position:absolute;left:126;top:1922;width:189;height:187" type="#_x0000_t202" filled="false" stroked="false">
              <v:textbox inset="0,0,0,0">
                <w:txbxContent>
                  <w:p>
                    <w:pPr>
                      <w:spacing w:line="187" w:lineRule="exact" w:before="0"/>
                      <w:ind w:left="0" w:right="0" w:firstLine="0"/>
                      <w:jc w:val="left"/>
                      <w:rPr>
                        <w:rFonts w:ascii="Calibri"/>
                        <w:b/>
                        <w:sz w:val="18"/>
                      </w:rPr>
                    </w:pPr>
                    <w:r>
                      <w:rPr>
                        <w:rFonts w:ascii="Calibri"/>
                        <w:b/>
                        <w:sz w:val="18"/>
                      </w:rPr>
                      <w:t>40</w:t>
                    </w:r>
                  </w:p>
                </w:txbxContent>
              </v:textbox>
              <w10:wrap type="none"/>
            </v:shape>
            <v:shape style="position:absolute;left:5432;top:1922;width:179;height:187" type="#_x0000_t202" filled="false" stroked="false">
              <v:textbox inset="0,0,0,0">
                <w:txbxContent>
                  <w:p>
                    <w:pPr>
                      <w:spacing w:line="186" w:lineRule="exact" w:before="0"/>
                      <w:ind w:left="0" w:right="0" w:firstLine="0"/>
                      <w:jc w:val="left"/>
                      <w:rPr>
                        <w:rFonts w:ascii="Calibri"/>
                        <w:b/>
                        <w:sz w:val="18"/>
                      </w:rPr>
                    </w:pPr>
                    <w:r>
                      <w:rPr>
                        <w:rFonts w:ascii="Calibri"/>
                        <w:b/>
                        <w:w w:val="95"/>
                        <w:sz w:val="18"/>
                      </w:rPr>
                      <w:t>40</w:t>
                    </w:r>
                  </w:p>
                </w:txbxContent>
              </v:textbox>
              <w10:wrap type="none"/>
            </v:shape>
            <v:shape style="position:absolute;left:126;top:2404;width:189;height:187" type="#_x0000_t202" filled="false" stroked="false">
              <v:textbox inset="0,0,0,0">
                <w:txbxContent>
                  <w:p>
                    <w:pPr>
                      <w:spacing w:line="186" w:lineRule="exact" w:before="0"/>
                      <w:ind w:left="0" w:right="0" w:firstLine="0"/>
                      <w:jc w:val="left"/>
                      <w:rPr>
                        <w:rFonts w:ascii="Calibri"/>
                        <w:b/>
                        <w:sz w:val="18"/>
                      </w:rPr>
                    </w:pPr>
                    <w:r>
                      <w:rPr>
                        <w:rFonts w:ascii="Calibri"/>
                        <w:b/>
                        <w:sz w:val="18"/>
                      </w:rPr>
                      <w:t>30</w:t>
                    </w:r>
                  </w:p>
                </w:txbxContent>
              </v:textbox>
              <w10:wrap type="none"/>
            </v:shape>
            <v:shape style="position:absolute;left:5432;top:2404;width:179;height:187" type="#_x0000_t202" filled="false" stroked="false">
              <v:textbox inset="0,0,0,0">
                <w:txbxContent>
                  <w:p>
                    <w:pPr>
                      <w:spacing w:line="186" w:lineRule="exact" w:before="0"/>
                      <w:ind w:left="0" w:right="0" w:firstLine="0"/>
                      <w:jc w:val="left"/>
                      <w:rPr>
                        <w:rFonts w:ascii="Calibri"/>
                        <w:b/>
                        <w:sz w:val="18"/>
                      </w:rPr>
                    </w:pPr>
                    <w:r>
                      <w:rPr>
                        <w:rFonts w:ascii="Calibri"/>
                        <w:b/>
                        <w:w w:val="95"/>
                        <w:sz w:val="18"/>
                      </w:rPr>
                      <w:t>30</w:t>
                    </w:r>
                  </w:p>
                </w:txbxContent>
              </v:textbox>
              <w10:wrap type="none"/>
            </v:shape>
            <v:shape style="position:absolute;left:126;top:2886;width:189;height:187" type="#_x0000_t202" filled="false" stroked="false">
              <v:textbox inset="0,0,0,0">
                <w:txbxContent>
                  <w:p>
                    <w:pPr>
                      <w:spacing w:line="186" w:lineRule="exact" w:before="0"/>
                      <w:ind w:left="0" w:right="0" w:firstLine="0"/>
                      <w:jc w:val="left"/>
                      <w:rPr>
                        <w:rFonts w:ascii="Calibri"/>
                        <w:b/>
                        <w:sz w:val="18"/>
                      </w:rPr>
                    </w:pPr>
                    <w:r>
                      <w:rPr>
                        <w:rFonts w:ascii="Calibri"/>
                        <w:b/>
                        <w:sz w:val="18"/>
                      </w:rPr>
                      <w:t>20</w:t>
                    </w:r>
                  </w:p>
                </w:txbxContent>
              </v:textbox>
              <w10:wrap type="none"/>
            </v:shape>
            <v:shape style="position:absolute;left:5432;top:2886;width:179;height:187" type="#_x0000_t202" filled="false" stroked="false">
              <v:textbox inset="0,0,0,0">
                <w:txbxContent>
                  <w:p>
                    <w:pPr>
                      <w:spacing w:line="186" w:lineRule="exact" w:before="0"/>
                      <w:ind w:left="0" w:right="0" w:firstLine="0"/>
                      <w:jc w:val="left"/>
                      <w:rPr>
                        <w:rFonts w:ascii="Calibri"/>
                        <w:b/>
                        <w:sz w:val="18"/>
                      </w:rPr>
                    </w:pPr>
                    <w:r>
                      <w:rPr>
                        <w:rFonts w:ascii="Calibri"/>
                        <w:b/>
                        <w:w w:val="95"/>
                        <w:sz w:val="18"/>
                      </w:rPr>
                      <w:t>20</w:t>
                    </w:r>
                  </w:p>
                </w:txbxContent>
              </v:textbox>
              <w10:wrap type="none"/>
            </v:shape>
            <v:shape style="position:absolute;left:126;top:3367;width:189;height:187" type="#_x0000_t202" filled="false" stroked="false">
              <v:textbox inset="0,0,0,0">
                <w:txbxContent>
                  <w:p>
                    <w:pPr>
                      <w:spacing w:line="187" w:lineRule="exact" w:before="0"/>
                      <w:ind w:left="0" w:right="0" w:firstLine="0"/>
                      <w:jc w:val="left"/>
                      <w:rPr>
                        <w:rFonts w:ascii="Calibri"/>
                        <w:b/>
                        <w:sz w:val="18"/>
                      </w:rPr>
                    </w:pPr>
                    <w:r>
                      <w:rPr>
                        <w:rFonts w:ascii="Calibri"/>
                        <w:b/>
                        <w:sz w:val="18"/>
                      </w:rPr>
                      <w:t>10</w:t>
                    </w:r>
                  </w:p>
                </w:txbxContent>
              </v:textbox>
              <w10:wrap type="none"/>
            </v:shape>
            <v:shape style="position:absolute;left:210;top:3368;width:7365;height:1139" type="#_x0000_t202" filled="false" stroked="false">
              <v:textbox inset="0,0,0,0">
                <w:txbxContent>
                  <w:p>
                    <w:pPr>
                      <w:spacing w:line="188" w:lineRule="exact" w:before="0"/>
                      <w:ind w:left="0" w:right="1982" w:firstLine="0"/>
                      <w:jc w:val="right"/>
                      <w:rPr>
                        <w:rFonts w:ascii="Calibri"/>
                        <w:b/>
                        <w:sz w:val="18"/>
                      </w:rPr>
                    </w:pPr>
                    <w:r>
                      <w:rPr>
                        <w:rFonts w:ascii="Calibri"/>
                        <w:b/>
                        <w:spacing w:val="-1"/>
                        <w:w w:val="85"/>
                        <w:sz w:val="18"/>
                      </w:rPr>
                      <w:t>10</w:t>
                    </w:r>
                  </w:p>
                  <w:p>
                    <w:pPr>
                      <w:spacing w:line="240" w:lineRule="auto" w:before="5"/>
                      <w:rPr>
                        <w:rFonts w:ascii="Calibri"/>
                        <w:b/>
                        <w:sz w:val="21"/>
                      </w:rPr>
                    </w:pPr>
                  </w:p>
                  <w:p>
                    <w:pPr>
                      <w:tabs>
                        <w:tab w:pos="5301" w:val="left" w:leader="none"/>
                      </w:tabs>
                      <w:spacing w:before="1"/>
                      <w:ind w:left="0" w:right="0" w:firstLine="0"/>
                      <w:jc w:val="left"/>
                      <w:rPr>
                        <w:rFonts w:ascii="Calibri"/>
                        <w:b/>
                        <w:sz w:val="18"/>
                      </w:rPr>
                    </w:pPr>
                    <w:r>
                      <w:rPr>
                        <w:rFonts w:ascii="Calibri"/>
                        <w:b/>
                        <w:sz w:val="18"/>
                      </w:rPr>
                      <w:t>0</w:t>
                      <w:tab/>
                      <w:t>0</w:t>
                    </w:r>
                  </w:p>
                  <w:p>
                    <w:pPr>
                      <w:tabs>
                        <w:tab w:pos="1094" w:val="left" w:leader="none"/>
                        <w:tab w:pos="3580" w:val="left" w:leader="none"/>
                        <w:tab w:pos="4277" w:val="left" w:leader="none"/>
                        <w:tab w:pos="5947" w:val="left" w:leader="none"/>
                      </w:tabs>
                      <w:spacing w:before="22"/>
                      <w:ind w:left="403" w:right="0" w:firstLine="0"/>
                      <w:jc w:val="left"/>
                      <w:rPr>
                        <w:rFonts w:ascii="Calibri"/>
                        <w:b/>
                        <w:sz w:val="18"/>
                      </w:rPr>
                    </w:pPr>
                    <w:r>
                      <w:rPr>
                        <w:rFonts w:ascii="Calibri"/>
                        <w:b/>
                        <w:sz w:val="18"/>
                      </w:rPr>
                      <w:t>EEF</w:t>
                    </w:r>
                    <w:r>
                      <w:rPr>
                        <w:rFonts w:ascii="Calibri"/>
                        <w:b/>
                        <w:spacing w:val="-12"/>
                        <w:sz w:val="18"/>
                      </w:rPr>
                      <w:t> </w:t>
                    </w:r>
                    <w:r>
                      <w:rPr>
                        <w:rFonts w:ascii="Calibri"/>
                        <w:b/>
                        <w:sz w:val="18"/>
                      </w:rPr>
                      <w:t>(a)</w:t>
                      <w:tab/>
                      <w:t>Lloyds</w:t>
                    </w:r>
                    <w:r>
                      <w:rPr>
                        <w:rFonts w:ascii="Calibri"/>
                        <w:b/>
                        <w:spacing w:val="-22"/>
                        <w:sz w:val="18"/>
                      </w:rPr>
                      <w:t> </w:t>
                    </w:r>
                    <w:r>
                      <w:rPr>
                        <w:rFonts w:ascii="Calibri"/>
                        <w:b/>
                        <w:sz w:val="18"/>
                      </w:rPr>
                      <w:t>(b)</w:t>
                    </w:r>
                    <w:r>
                      <w:rPr>
                        <w:rFonts w:ascii="Calibri"/>
                        <w:b/>
                        <w:spacing w:val="-3"/>
                        <w:sz w:val="18"/>
                      </w:rPr>
                      <w:t> </w:t>
                    </w:r>
                    <w:r>
                      <w:rPr>
                        <w:rFonts w:ascii="Calibri"/>
                        <w:b/>
                        <w:sz w:val="18"/>
                      </w:rPr>
                      <w:t>Deloitte</w:t>
                    </w:r>
                    <w:r>
                      <w:rPr>
                        <w:rFonts w:ascii="Calibri"/>
                        <w:b/>
                        <w:spacing w:val="-22"/>
                        <w:sz w:val="18"/>
                      </w:rPr>
                      <w:t> </w:t>
                    </w:r>
                    <w:r>
                      <w:rPr>
                        <w:rFonts w:ascii="Calibri"/>
                        <w:b/>
                        <w:sz w:val="18"/>
                      </w:rPr>
                      <w:t>(c)</w:t>
                    </w:r>
                    <w:r>
                      <w:rPr>
                        <w:rFonts w:ascii="Calibri"/>
                        <w:b/>
                        <w:spacing w:val="-14"/>
                        <w:sz w:val="18"/>
                      </w:rPr>
                      <w:t> </w:t>
                    </w:r>
                    <w:r>
                      <w:rPr>
                        <w:rFonts w:ascii="Calibri"/>
                        <w:b/>
                        <w:sz w:val="18"/>
                      </w:rPr>
                      <w:t>Agents</w:t>
                    </w:r>
                    <w:r>
                      <w:rPr>
                        <w:rFonts w:ascii="Calibri"/>
                        <w:b/>
                        <w:spacing w:val="-21"/>
                        <w:sz w:val="18"/>
                      </w:rPr>
                      <w:t> </w:t>
                    </w:r>
                    <w:r>
                      <w:rPr>
                        <w:rFonts w:ascii="Calibri"/>
                        <w:b/>
                        <w:sz w:val="18"/>
                      </w:rPr>
                      <w:t>(d)</w:t>
                      <w:tab/>
                      <w:t>CBI</w:t>
                    </w:r>
                    <w:r>
                      <w:rPr>
                        <w:rFonts w:ascii="Calibri"/>
                        <w:b/>
                        <w:spacing w:val="-13"/>
                        <w:sz w:val="18"/>
                      </w:rPr>
                      <w:t> </w:t>
                    </w:r>
                    <w:r>
                      <w:rPr>
                        <w:rFonts w:ascii="Calibri"/>
                        <w:b/>
                        <w:sz w:val="18"/>
                      </w:rPr>
                      <w:t>(e)</w:t>
                      <w:tab/>
                      <w:t>Thomson</w:t>
                      <w:tab/>
                    </w:r>
                    <w:r>
                      <w:rPr>
                        <w:rFonts w:ascii="Calibri"/>
                        <w:b/>
                        <w:w w:val="90"/>
                        <w:sz w:val="18"/>
                      </w:rPr>
                      <w:t>Effect</w:t>
                    </w:r>
                    <w:r>
                      <w:rPr>
                        <w:rFonts w:ascii="Calibri"/>
                        <w:b/>
                        <w:spacing w:val="-11"/>
                        <w:w w:val="90"/>
                        <w:sz w:val="18"/>
                      </w:rPr>
                      <w:t> </w:t>
                    </w:r>
                    <w:r>
                      <w:rPr>
                        <w:rFonts w:ascii="Calibri"/>
                        <w:b/>
                        <w:w w:val="90"/>
                        <w:sz w:val="18"/>
                      </w:rPr>
                      <w:t>of</w:t>
                    </w:r>
                    <w:r>
                      <w:rPr>
                        <w:rFonts w:ascii="Calibri"/>
                        <w:b/>
                        <w:spacing w:val="-10"/>
                        <w:w w:val="90"/>
                        <w:sz w:val="18"/>
                      </w:rPr>
                      <w:t> </w:t>
                    </w:r>
                    <w:r>
                      <w:rPr>
                        <w:rFonts w:ascii="Calibri"/>
                        <w:b/>
                        <w:w w:val="90"/>
                        <w:sz w:val="18"/>
                      </w:rPr>
                      <w:t>Brexit</w:t>
                    </w:r>
                    <w:r>
                      <w:rPr>
                        <w:rFonts w:ascii="Calibri"/>
                        <w:b/>
                        <w:spacing w:val="-11"/>
                        <w:w w:val="90"/>
                        <w:sz w:val="18"/>
                      </w:rPr>
                      <w:t> </w:t>
                    </w:r>
                    <w:r>
                      <w:rPr>
                        <w:rFonts w:ascii="Calibri"/>
                        <w:b/>
                        <w:w w:val="90"/>
                        <w:sz w:val="18"/>
                      </w:rPr>
                      <w:t>on</w:t>
                    </w:r>
                    <w:r>
                      <w:rPr>
                        <w:rFonts w:ascii="Calibri"/>
                        <w:b/>
                        <w:spacing w:val="-10"/>
                        <w:w w:val="90"/>
                        <w:sz w:val="18"/>
                      </w:rPr>
                      <w:t> </w:t>
                    </w:r>
                    <w:r>
                      <w:rPr>
                        <w:rFonts w:ascii="Calibri"/>
                        <w:b/>
                        <w:w w:val="90"/>
                        <w:sz w:val="18"/>
                      </w:rPr>
                      <w:t>UK</w:t>
                    </w:r>
                  </w:p>
                  <w:p>
                    <w:pPr>
                      <w:tabs>
                        <w:tab w:pos="6129" w:val="left" w:leader="none"/>
                      </w:tabs>
                      <w:spacing w:line="218" w:lineRule="exact" w:before="8"/>
                      <w:ind w:left="4234" w:right="0" w:firstLine="0"/>
                      <w:jc w:val="left"/>
                      <w:rPr>
                        <w:rFonts w:ascii="Calibri"/>
                        <w:b/>
                        <w:sz w:val="18"/>
                      </w:rPr>
                    </w:pPr>
                    <w:r>
                      <w:rPr>
                        <w:rFonts w:ascii="Calibri"/>
                        <w:b/>
                        <w:sz w:val="18"/>
                      </w:rPr>
                      <w:t>Reuters</w:t>
                    </w:r>
                    <w:r>
                      <w:rPr>
                        <w:rFonts w:ascii="Calibri"/>
                        <w:b/>
                        <w:spacing w:val="-18"/>
                        <w:sz w:val="18"/>
                      </w:rPr>
                      <w:t> </w:t>
                    </w:r>
                    <w:r>
                      <w:rPr>
                        <w:rFonts w:ascii="Calibri"/>
                        <w:b/>
                        <w:sz w:val="18"/>
                      </w:rPr>
                      <w:t>(f)</w:t>
                      <w:tab/>
                      <w:t>Economy</w:t>
                    </w:r>
                    <w:r>
                      <w:rPr>
                        <w:rFonts w:ascii="Calibri"/>
                        <w:b/>
                        <w:spacing w:val="-23"/>
                        <w:sz w:val="18"/>
                      </w:rPr>
                      <w:t> </w:t>
                    </w:r>
                    <w:r>
                      <w:rPr>
                        <w:rFonts w:ascii="Calibri"/>
                        <w:b/>
                        <w:sz w:val="18"/>
                      </w:rPr>
                      <w:t>So</w:t>
                    </w:r>
                    <w:r>
                      <w:rPr>
                        <w:rFonts w:ascii="Calibri"/>
                        <w:b/>
                        <w:spacing w:val="-24"/>
                        <w:sz w:val="18"/>
                      </w:rPr>
                      <w:t> </w:t>
                    </w:r>
                    <w:r>
                      <w:rPr>
                        <w:rFonts w:ascii="Calibri"/>
                        <w:b/>
                        <w:sz w:val="18"/>
                      </w:rPr>
                      <w:t>Far</w:t>
                    </w:r>
                  </w:p>
                </w:txbxContent>
              </v:textbox>
              <w10:wrap type="none"/>
            </v:shape>
            <v:shape style="position:absolute;left:8041;top:4092;width:2128;height:414" type="#_x0000_t202" filled="false" stroked="false">
              <v:textbox inset="0,0,0,0">
                <w:txbxContent>
                  <w:p>
                    <w:pPr>
                      <w:spacing w:line="188" w:lineRule="exact" w:before="0"/>
                      <w:ind w:left="0" w:right="18" w:firstLine="0"/>
                      <w:jc w:val="center"/>
                      <w:rPr>
                        <w:rFonts w:ascii="Calibri"/>
                        <w:b/>
                        <w:sz w:val="18"/>
                      </w:rPr>
                    </w:pPr>
                    <w:r>
                      <w:rPr>
                        <w:rFonts w:ascii="Calibri"/>
                        <w:b/>
                        <w:w w:val="90"/>
                        <w:sz w:val="18"/>
                      </w:rPr>
                      <w:t>Effect</w:t>
                    </w:r>
                    <w:r>
                      <w:rPr>
                        <w:rFonts w:ascii="Calibri"/>
                        <w:b/>
                        <w:spacing w:val="-15"/>
                        <w:w w:val="90"/>
                        <w:sz w:val="18"/>
                      </w:rPr>
                      <w:t> </w:t>
                    </w:r>
                    <w:r>
                      <w:rPr>
                        <w:rFonts w:ascii="Calibri"/>
                        <w:b/>
                        <w:w w:val="90"/>
                        <w:sz w:val="18"/>
                      </w:rPr>
                      <w:t>of</w:t>
                    </w:r>
                    <w:r>
                      <w:rPr>
                        <w:rFonts w:ascii="Calibri"/>
                        <w:b/>
                        <w:spacing w:val="-15"/>
                        <w:w w:val="90"/>
                        <w:sz w:val="18"/>
                      </w:rPr>
                      <w:t> </w:t>
                    </w:r>
                    <w:r>
                      <w:rPr>
                        <w:rFonts w:ascii="Calibri"/>
                        <w:b/>
                        <w:w w:val="90"/>
                        <w:sz w:val="18"/>
                      </w:rPr>
                      <w:t>Brexit</w:t>
                    </w:r>
                    <w:r>
                      <w:rPr>
                        <w:rFonts w:ascii="Calibri"/>
                        <w:b/>
                        <w:spacing w:val="-15"/>
                        <w:w w:val="90"/>
                        <w:sz w:val="18"/>
                      </w:rPr>
                      <w:t> </w:t>
                    </w:r>
                    <w:r>
                      <w:rPr>
                        <w:rFonts w:ascii="Calibri"/>
                        <w:b/>
                        <w:w w:val="90"/>
                        <w:sz w:val="18"/>
                      </w:rPr>
                      <w:t>on</w:t>
                    </w:r>
                    <w:r>
                      <w:rPr>
                        <w:rFonts w:ascii="Calibri"/>
                        <w:b/>
                        <w:spacing w:val="-15"/>
                        <w:w w:val="90"/>
                        <w:sz w:val="18"/>
                      </w:rPr>
                      <w:t> </w:t>
                    </w:r>
                    <w:r>
                      <w:rPr>
                        <w:rFonts w:ascii="Calibri"/>
                        <w:b/>
                        <w:w w:val="90"/>
                        <w:sz w:val="18"/>
                      </w:rPr>
                      <w:t>Investment</w:t>
                    </w:r>
                    <w:r>
                      <w:rPr>
                        <w:rFonts w:ascii="Calibri"/>
                        <w:b/>
                        <w:spacing w:val="-14"/>
                        <w:w w:val="90"/>
                        <w:sz w:val="18"/>
                      </w:rPr>
                      <w:t> </w:t>
                    </w:r>
                    <w:r>
                      <w:rPr>
                        <w:rFonts w:ascii="Calibri"/>
                        <w:b/>
                        <w:w w:val="90"/>
                        <w:sz w:val="18"/>
                      </w:rPr>
                      <w:t>in</w:t>
                    </w:r>
                  </w:p>
                  <w:p>
                    <w:pPr>
                      <w:spacing w:line="218" w:lineRule="exact" w:before="7"/>
                      <w:ind w:left="0" w:right="18" w:firstLine="0"/>
                      <w:jc w:val="center"/>
                      <w:rPr>
                        <w:rFonts w:ascii="Calibri"/>
                        <w:b/>
                        <w:sz w:val="18"/>
                      </w:rPr>
                    </w:pPr>
                    <w:r>
                      <w:rPr>
                        <w:rFonts w:ascii="Calibri"/>
                        <w:b/>
                        <w:sz w:val="18"/>
                      </w:rPr>
                      <w:t>UK Over Next 5-10 Years</w:t>
                    </w:r>
                  </w:p>
                </w:txbxContent>
              </v:textbox>
              <w10:wrap type="none"/>
            </v:shape>
            <v:shape style="position:absolute;left:7695;top:1246;width:923;height:1003" type="#_x0000_t202" filled="false" stroked="false">
              <v:textbox inset="0,0,0,0">
                <w:txbxContent>
                  <w:p>
                    <w:pPr>
                      <w:spacing w:line="188" w:lineRule="exact" w:before="0"/>
                      <w:ind w:left="0" w:right="0" w:firstLine="0"/>
                      <w:jc w:val="left"/>
                      <w:rPr>
                        <w:rFonts w:ascii="Calibri"/>
                        <w:b/>
                        <w:sz w:val="18"/>
                      </w:rPr>
                    </w:pPr>
                    <w:r>
                      <w:rPr>
                        <w:rFonts w:ascii="Calibri"/>
                        <w:b/>
                        <w:sz w:val="18"/>
                      </w:rPr>
                      <w:t>Positive</w:t>
                    </w:r>
                  </w:p>
                  <w:p>
                    <w:pPr>
                      <w:spacing w:line="270" w:lineRule="atLeast" w:before="2"/>
                      <w:ind w:left="0" w:right="1" w:firstLine="0"/>
                      <w:jc w:val="left"/>
                      <w:rPr>
                        <w:rFonts w:ascii="Calibri"/>
                        <w:b/>
                        <w:sz w:val="18"/>
                      </w:rPr>
                    </w:pPr>
                    <w:r>
                      <w:rPr>
                        <w:rFonts w:ascii="Calibri"/>
                        <w:b/>
                        <w:w w:val="90"/>
                        <w:sz w:val="18"/>
                      </w:rPr>
                      <w:t>No </w:t>
                    </w:r>
                    <w:r>
                      <w:rPr>
                        <w:rFonts w:ascii="Calibri"/>
                        <w:b/>
                        <w:spacing w:val="-3"/>
                        <w:w w:val="90"/>
                        <w:sz w:val="18"/>
                      </w:rPr>
                      <w:t>Difference </w:t>
                    </w:r>
                    <w:r>
                      <w:rPr>
                        <w:rFonts w:ascii="Calibri"/>
                        <w:b/>
                        <w:sz w:val="18"/>
                      </w:rPr>
                      <w:t>Negative Don't Know</w:t>
                    </w:r>
                  </w:p>
                </w:txbxContent>
              </v:textbox>
              <w10:wrap type="none"/>
            </v:shape>
            <v:shape style="position:absolute;left:5963;top:1281;width:135;height:187" type="#_x0000_t202" filled="false" stroked="false">
              <v:textbox inset="0,0,0,0">
                <w:txbxContent>
                  <w:p>
                    <w:pPr>
                      <w:spacing w:line="187" w:lineRule="exact" w:before="0"/>
                      <w:ind w:left="0" w:right="0" w:firstLine="0"/>
                      <w:jc w:val="left"/>
                      <w:rPr>
                        <w:rFonts w:ascii="Calibri"/>
                        <w:b/>
                        <w:sz w:val="18"/>
                      </w:rPr>
                    </w:pPr>
                    <w:r>
                      <w:rPr>
                        <w:rFonts w:ascii="Calibri"/>
                        <w:b/>
                        <w:w w:val="87"/>
                        <w:sz w:val="18"/>
                      </w:rPr>
                      <w:t>%</w:t>
                    </w:r>
                  </w:p>
                </w:txbxContent>
              </v:textbox>
              <w10:wrap type="none"/>
            </v:shape>
            <v:shape style="position:absolute;left:690;top:1281;width:142;height:187" type="#_x0000_t202" filled="false" stroked="false">
              <v:textbox inset="0,0,0,0">
                <w:txbxContent>
                  <w:p>
                    <w:pPr>
                      <w:spacing w:line="186" w:lineRule="exact" w:before="0"/>
                      <w:ind w:left="0" w:right="0" w:firstLine="0"/>
                      <w:jc w:val="left"/>
                      <w:rPr>
                        <w:rFonts w:ascii="Calibri"/>
                        <w:b/>
                        <w:sz w:val="18"/>
                      </w:rPr>
                    </w:pPr>
                    <w:r>
                      <w:rPr>
                        <w:rFonts w:ascii="Calibri"/>
                        <w:b/>
                        <w:w w:val="92"/>
                        <w:sz w:val="18"/>
                      </w:rPr>
                      <w:t>%</w:t>
                    </w:r>
                  </w:p>
                </w:txbxContent>
              </v:textbox>
              <w10:wrap type="none"/>
            </v:shape>
            <v:shape style="position:absolute;left:5317;top:9;width:4998;height:891" type="#_x0000_t202" filled="false" stroked="false">
              <v:textbox inset="0,0,0,0">
                <w:txbxContent>
                  <w:p>
                    <w:pPr>
                      <w:spacing w:line="360" w:lineRule="auto" w:before="0"/>
                      <w:ind w:left="103" w:right="0" w:firstLine="0"/>
                      <w:jc w:val="left"/>
                      <w:rPr>
                        <w:sz w:val="20"/>
                      </w:rPr>
                    </w:pPr>
                    <w:r>
                      <w:rPr>
                        <w:sz w:val="20"/>
                      </w:rPr>
                      <w:t>Figure 6. Attitudes of Foreign Firms to Brexit and UK Economy, October 2017</w:t>
                    </w:r>
                  </w:p>
                </w:txbxContent>
              </v:textbox>
              <w10:wrap type="none"/>
            </v:shape>
            <v:shape style="position:absolute;left:9;top:9;width:5299;height:891" type="#_x0000_t202" filled="false" stroked="false">
              <v:textbox inset="0,0,0,0">
                <w:txbxContent>
                  <w:p>
                    <w:pPr>
                      <w:spacing w:line="360" w:lineRule="auto" w:before="0"/>
                      <w:ind w:left="103" w:right="0" w:firstLine="0"/>
                      <w:jc w:val="left"/>
                      <w:rPr>
                        <w:sz w:val="20"/>
                      </w:rPr>
                    </w:pPr>
                    <w:r>
                      <w:rPr>
                        <w:sz w:val="20"/>
                      </w:rPr>
                      <w:t>Figure 5. Pct of Firms Citing Adverse Effect of Brexit on Investment, 2017</w:t>
                    </w:r>
                  </w:p>
                </w:txbxContent>
              </v:textbox>
              <w10:wrap type="none"/>
            </v:shape>
          </v:group>
        </w:pict>
      </w:r>
      <w:r>
        <w:rPr/>
      </w:r>
    </w:p>
    <w:p>
      <w:pPr>
        <w:spacing w:line="166" w:lineRule="exact" w:before="0"/>
        <w:ind w:left="673" w:right="0" w:firstLine="0"/>
        <w:jc w:val="left"/>
        <w:rPr>
          <w:sz w:val="16"/>
        </w:rPr>
      </w:pPr>
      <w:r>
        <w:rPr>
          <w:sz w:val="16"/>
        </w:rPr>
        <w:t>Note: In the left chart, the questions are (a) Percentage of respondents who were holding off or limiting in investment because of Brexit.</w:t>
      </w:r>
    </w:p>
    <w:p>
      <w:pPr>
        <w:spacing w:line="360" w:lineRule="auto" w:before="92"/>
        <w:ind w:left="673" w:right="1205" w:firstLine="0"/>
        <w:jc w:val="left"/>
        <w:rPr>
          <w:sz w:val="16"/>
        </w:rPr>
      </w:pPr>
      <w:r>
        <w:rPr/>
        <w:pict>
          <v:group style="position:absolute;margin-left:51.592049pt;margin-top:154.970032pt;width:215.85pt;height:113.1pt;mso-position-horizontal-relative:page;mso-position-vertical-relative:paragraph;z-index:-253475840" coordorigin="1032,3099" coordsize="4317,2262">
            <v:rect style="position:absolute;left:1081;top:3102;width:4265;height:2257" filled="false" stroked="true" strokeweight=".262479pt" strokecolor="#000000">
              <v:stroke dashstyle="solid"/>
            </v:rect>
            <v:rect style="position:absolute;left:1223;top:3383;width:189;height:976" filled="true" fillcolor="#ff00ff" stroked="false">
              <v:fill type="solid"/>
            </v:rect>
            <v:rect style="position:absolute;left:1223;top:3383;width:189;height:976" filled="false" stroked="true" strokeweight=".236538pt" strokecolor="#ff00ff">
              <v:stroke dashstyle="solid"/>
            </v:rect>
            <v:rect style="position:absolute;left:2076;top:3383;width:190;height:1721" filled="true" fillcolor="#ff00ff" stroked="false">
              <v:fill type="solid"/>
            </v:rect>
            <v:rect style="position:absolute;left:2076;top:3383;width:190;height:1721" filled="false" stroked="true" strokeweight=".235698pt" strokecolor="#ff00ff">
              <v:stroke dashstyle="solid"/>
            </v:rect>
            <v:rect style="position:absolute;left:2928;top:3383;width:190;height:1061" filled="true" fillcolor="#ff00ff" stroked="false">
              <v:fill type="solid"/>
            </v:rect>
            <v:rect style="position:absolute;left:2928;top:3383;width:190;height:1061" filled="false" stroked="true" strokeweight=".23636pt" strokecolor="#ff00ff">
              <v:stroke dashstyle="solid"/>
            </v:rect>
            <v:rect style="position:absolute;left:3782;top:3383;width:189;height:983" filled="true" fillcolor="#ff00ff" stroked="false">
              <v:fill type="solid"/>
            </v:rect>
            <v:rect style="position:absolute;left:3782;top:3383;width:189;height:983" filled="false" stroked="true" strokeweight=".236523pt" strokecolor="#ff00ff">
              <v:stroke dashstyle="solid"/>
            </v:rect>
            <v:rect style="position:absolute;left:4634;top:3383;width:190;height:1851" filled="true" fillcolor="#ff00ff" stroked="false">
              <v:fill type="solid"/>
            </v:rect>
            <v:rect style="position:absolute;left:4634;top:3383;width:190;height:1851" filled="false" stroked="true" strokeweight=".235642pt" strokecolor="#ff00ff">
              <v:stroke dashstyle="solid"/>
            </v:rect>
            <v:rect style="position:absolute;left:1413;top:3383;width:190;height:159" filled="true" fillcolor="#0000ff" stroked="false">
              <v:fill type="solid"/>
            </v:rect>
            <v:rect style="position:absolute;left:1413;top:3383;width:190;height:159" filled="false" stroked="true" strokeweight=".255794pt" strokecolor="#0000ff">
              <v:stroke dashstyle="solid"/>
            </v:rect>
            <v:rect style="position:absolute;left:2266;top:3383;width:189;height:299" filled="true" fillcolor="#0000ff" stroked="false">
              <v:fill type="solid"/>
            </v:rect>
            <v:rect style="position:absolute;left:2266;top:3383;width:189;height:299" filled="false" stroked="true" strokeweight=".245224pt" strokecolor="#0000ff">
              <v:stroke dashstyle="solid"/>
            </v:rect>
            <v:rect style="position:absolute;left:3118;top:3383;width:190;height:407" filled="true" fillcolor="#0000ff" stroked="false">
              <v:fill type="solid"/>
            </v:rect>
            <v:rect style="position:absolute;left:3118;top:3383;width:190;height:407" filled="false" stroked="true" strokeweight=".241522pt" strokecolor="#0000ff">
              <v:stroke dashstyle="solid"/>
            </v:rect>
            <v:line style="position:absolute" from="3971,3406" to="4161,3406" stroked="true" strokeweight="2.250776pt" strokecolor="#0000ff">
              <v:stroke dashstyle="solid"/>
            </v:line>
            <v:rect style="position:absolute;left:3971;top:3383;width:190;height:46" filled="false" stroked="true" strokeweight=".268239pt" strokecolor="#0000ff">
              <v:stroke dashstyle="solid"/>
            </v:rect>
            <v:rect style="position:absolute;left:4824;top:3383;width:189;height:379" filled="true" fillcolor="#0000ff" stroked="false">
              <v:fill type="solid"/>
            </v:rect>
            <v:rect style="position:absolute;left:4824;top:3383;width:189;height:379" filled="false" stroked="true" strokeweight=".242239pt" strokecolor="#0000ff">
              <v:stroke dashstyle="solid"/>
            </v:rect>
            <v:line style="position:absolute" from="1603,3336" to="1793,3336" stroked="true" strokeweight="4.771646pt" strokecolor="#66ff33">
              <v:stroke dashstyle="solid"/>
            </v:line>
            <v:rect style="position:absolute;left:1602;top:3288;width:190;height:96" filled="false" stroked="true" strokeweight=".263067pt" strokecolor="#66ff33">
              <v:stroke dashstyle="solid"/>
            </v:rect>
            <v:line style="position:absolute" from="2455,3437" to="2645,3437" stroked="true" strokeweight="5.356848pt" strokecolor="#66ff33">
              <v:stroke dashstyle="solid"/>
            </v:line>
            <v:rect style="position:absolute;left:2455;top:3383;width:190;height:108" filled="false" stroked="true" strokeweight=".261680pt" strokecolor="#66ff33">
              <v:stroke dashstyle="solid"/>
            </v:rect>
            <v:line style="position:absolute" from="3309,3449" to="3498,3449" stroked="true" strokeweight="6.482236pt" strokecolor="#66ff33">
              <v:stroke dashstyle="solid"/>
            </v:line>
            <v:rect style="position:absolute;left:3308;top:3383;width:189;height:130" filled="false" stroked="true" strokeweight=".258954pt" strokecolor="#66ff33">
              <v:stroke dashstyle="solid"/>
            </v:rect>
            <v:line style="position:absolute" from="4161,3322" to="4351,3322" stroked="true" strokeweight="6.212143pt" strokecolor="#66ff33">
              <v:stroke dashstyle="solid"/>
            </v:line>
            <v:rect style="position:absolute;left:4161;top:3259;width:190;height:125" filled="false" stroked="true" strokeweight=".25965pt" strokecolor="#66ff33">
              <v:stroke dashstyle="solid"/>
            </v:rect>
            <v:rect style="position:absolute;left:5013;top:3361;width:190;height:23" filled="true" fillcolor="#66ff33" stroked="false">
              <v:fill type="solid"/>
            </v:rect>
            <v:rect style="position:absolute;left:5011;top:3358;width:195;height:28" filled="true" fillcolor="#66ff33" stroked="false">
              <v:fill type="solid"/>
            </v:rect>
            <v:shape style="position:absolute;left:1092;top:903;width:13200;height:6015" coordorigin="1092,903" coordsize="13200,6015" path="m1081,5358l1081,3102m1032,5358l1081,5358m1032,5076l1081,5076m1032,4795l1081,4795m1032,4512l1081,4512m1032,4230l1081,4230m1032,3948l1081,3948m1032,3667l1081,3667m1032,3384l1081,3384m1032,3102l1081,3102m1081,3384l5345,3384e" filled="false" stroked="true" strokeweight=".252686pt" strokecolor="#858585">
              <v:path arrowok="t"/>
              <v:stroke dashstyle="solid"/>
            </v:shape>
            <v:rect style="position:absolute;left:2572;top:4541;width:87;height:100" filled="true" fillcolor="#ff00ff" stroked="false">
              <v:fill type="solid"/>
            </v:rect>
            <v:rect style="position:absolute;left:2572;top:4541;width:87;height:100" filled="false" stroked="true" strokeweight=".2503pt" strokecolor="#ff00ff">
              <v:stroke dashstyle="solid"/>
            </v:rect>
            <v:rect style="position:absolute;left:2572;top:4845;width:87;height:100" filled="true" fillcolor="#0000ff" stroked="false">
              <v:fill type="solid"/>
            </v:rect>
            <v:rect style="position:absolute;left:2572;top:4845;width:87;height:100" filled="false" stroked="true" strokeweight=".2503pt" strokecolor="#0000ff">
              <v:stroke dashstyle="solid"/>
            </v:rect>
            <v:rect style="position:absolute;left:2572;top:5148;width:87;height:100" filled="true" fillcolor="#66ff33" stroked="false">
              <v:fill type="solid"/>
            </v:rect>
            <v:rect style="position:absolute;left:2572;top:5148;width:87;height:100" filled="false" stroked="true" strokeweight=".2503pt" strokecolor="#66ff33">
              <v:stroke dashstyle="solid"/>
            </v:rect>
            <w10:wrap type="none"/>
          </v:group>
        </w:pict>
      </w:r>
      <w:r>
        <w:rPr/>
        <w:pict>
          <v:group style="position:absolute;margin-left:303.900879pt;margin-top:156.212967pt;width:211.1pt;height:133.35pt;mso-position-horizontal-relative:page;mso-position-vertical-relative:paragraph;z-index:-253474816" coordorigin="6078,3124" coordsize="4222,2667">
            <v:rect style="position:absolute;left:6127;top:3127;width:4170;height:2657" filled="false" stroked="true" strokeweight=".267908pt" strokecolor="#000000">
              <v:stroke dashstyle="solid"/>
            </v:rect>
            <v:line style="position:absolute" from="6294,3859" to="6294,5784" stroked="true" strokeweight="6.63083pt" strokecolor="#ff00ff">
              <v:stroke dashstyle="solid"/>
            </v:line>
            <v:rect style="position:absolute;left:6227;top:3859;width:133;height:1925" filled="false" stroked="true" strokeweight=".237022pt" strokecolor="#ff00ff">
              <v:stroke dashstyle="solid"/>
            </v:rect>
            <v:line style="position:absolute" from="6757,3680" to="6757,5784" stroked="true" strokeweight="6.63083pt" strokecolor="#ff00ff">
              <v:stroke dashstyle="solid"/>
            </v:line>
            <v:rect style="position:absolute;left:6690;top:3679;width:133;height:2104" filled="false" stroked="true" strokeweight=".236988pt" strokecolor="#ff00ff">
              <v:stroke dashstyle="solid"/>
            </v:rect>
            <v:line style="position:absolute" from="7220,4335" to="7220,5784" stroked="true" strokeweight="6.59136pt" strokecolor="#ff00ff">
              <v:stroke dashstyle="solid"/>
            </v:line>
            <v:rect style="position:absolute;left:7153;top:4335;width:132;height:1449" filled="false" stroked="true" strokeweight=".237174pt" strokecolor="#ff00ff">
              <v:stroke dashstyle="solid"/>
            </v:rect>
            <v:line style="position:absolute" from="7683,5158" to="7683,5784" stroked="true" strokeweight="6.59136pt" strokecolor="#ff00ff">
              <v:stroke dashstyle="solid"/>
            </v:line>
            <v:rect style="position:absolute;left:7617;top:5158;width:132;height:626" filled="false" stroked="true" strokeweight=".238674pt" strokecolor="#ff00ff">
              <v:stroke dashstyle="solid"/>
            </v:rect>
            <v:line style="position:absolute" from="8147,4854" to="8147,5784" stroked="true" strokeweight="6.59136pt" strokecolor="#ff00ff">
              <v:stroke dashstyle="solid"/>
            </v:line>
            <v:rect style="position:absolute;left:8080;top:4854;width:132;height:930" filled="false" stroked="true" strokeweight=".237677pt" strokecolor="#ff00ff">
              <v:stroke dashstyle="solid"/>
            </v:rect>
            <v:line style="position:absolute" from="8610,5051" to="8610,5784" stroked="true" strokeweight="6.63083pt" strokecolor="#ff00ff">
              <v:stroke dashstyle="solid"/>
            </v:line>
            <v:rect style="position:absolute;left:8543;top:5050;width:133;height:734" filled="false" stroked="true" strokeweight=".2382pt" strokecolor="#ff00ff">
              <v:stroke dashstyle="solid"/>
            </v:rect>
            <v:line style="position:absolute" from="9073,4377" to="9073,5784" stroked="true" strokeweight="6.63083pt" strokecolor="#ff00ff">
              <v:stroke dashstyle="solid"/>
            </v:line>
            <v:rect style="position:absolute;left:9006;top:4377;width:133;height:1407" filled="false" stroked="true" strokeweight=".237201pt" strokecolor="#ff00ff">
              <v:stroke dashstyle="solid"/>
            </v:rect>
            <v:line style="position:absolute" from="9536,4256" to="9536,5784" stroked="true" strokeweight="6.63083pt" strokecolor="#ff00ff">
              <v:stroke dashstyle="solid"/>
            </v:line>
            <v:rect style="position:absolute;left:9470;top:4255;width:133;height:1528" filled="false" stroked="true" strokeweight=".237142pt" strokecolor="#ff00ff">
              <v:stroke dashstyle="solid"/>
            </v:rect>
            <v:line style="position:absolute" from="10000,4923" to="10000,5784" stroked="true" strokeweight="6.63083pt" strokecolor="#ff00ff">
              <v:stroke dashstyle="solid"/>
            </v:line>
            <v:rect style="position:absolute;left:9933;top:4923;width:133;height:861" filled="false" stroked="true" strokeweight=".23783pt" strokecolor="#ff00ff">
              <v:stroke dashstyle="solid"/>
            </v:rect>
            <v:line style="position:absolute" from="6426,4761" to="6426,5784" stroked="true" strokeweight="6.59136pt" strokecolor="#0000ff">
              <v:stroke dashstyle="solid"/>
            </v:line>
            <v:rect style="position:absolute;left:6359;top:4760;width:132;height:1023" filled="false" stroked="true" strokeweight=".237529pt" strokecolor="#0000ff">
              <v:stroke dashstyle="solid"/>
            </v:rect>
            <v:line style="position:absolute" from="6889,4538" to="6889,5784" stroked="true" strokeweight="6.59136pt" strokecolor="#0000ff">
              <v:stroke dashstyle="solid"/>
            </v:line>
            <v:rect style="position:absolute;left:6823;top:4538;width:132;height:1246" filled="false" stroked="true" strokeweight=".2373pt" strokecolor="#0000ff">
              <v:stroke dashstyle="solid"/>
            </v:rect>
            <v:line style="position:absolute" from="7352,5137" to="7352,5784" stroked="true" strokeweight="6.63083pt" strokecolor="#0000ff">
              <v:stroke dashstyle="solid"/>
            </v:line>
            <v:rect style="position:absolute;left:7285;top:5136;width:133;height:648" filled="false" stroked="true" strokeweight=".238577pt" strokecolor="#0000ff">
              <v:stroke dashstyle="solid"/>
            </v:rect>
            <v:line style="position:absolute" from="7815,5210" to="7815,5784" stroked="true" strokeweight="6.63083pt" strokecolor="#0000ff">
              <v:stroke dashstyle="solid"/>
            </v:line>
            <v:rect style="position:absolute;left:7749;top:5210;width:133;height:574" filled="false" stroked="true" strokeweight=".239036pt" strokecolor="#0000ff">
              <v:stroke dashstyle="solid"/>
            </v:rect>
            <v:line style="position:absolute" from="8279,5413" to="8279,5784" stroked="true" strokeweight="6.63083pt" strokecolor="#0000ff">
              <v:stroke dashstyle="solid"/>
            </v:line>
            <v:rect style="position:absolute;left:8212;top:5413;width:133;height:371" filled="false" stroked="true" strokeweight=".241785pt" strokecolor="#0000ff">
              <v:stroke dashstyle="solid"/>
            </v:rect>
            <v:line style="position:absolute" from="8742,5524" to="8742,5784" stroked="true" strokeweight="6.63083pt" strokecolor="#0000ff">
              <v:stroke dashstyle="solid"/>
            </v:line>
            <v:rect style="position:absolute;left:8675;top:5523;width:133;height:260" filled="false" stroked="true" strokeweight=".245843pt" strokecolor="#0000ff">
              <v:stroke dashstyle="solid"/>
            </v:rect>
            <v:line style="position:absolute" from="9206,5230" to="9206,5784" stroked="true" strokeweight="6.63083pt" strokecolor="#0000ff">
              <v:stroke dashstyle="solid"/>
            </v:line>
            <v:rect style="position:absolute;left:9139;top:5230;width:133;height:554" filled="false" stroked="true" strokeweight=".239188pt" strokecolor="#0000ff">
              <v:stroke dashstyle="solid"/>
            </v:rect>
            <v:line style="position:absolute" from="9669,5117" to="9669,5784" stroked="true" strokeweight="6.63083pt" strokecolor="#0000ff">
              <v:stroke dashstyle="solid"/>
            </v:line>
            <v:rect style="position:absolute;left:9602;top:5116;width:133;height:667" filled="false" stroked="true" strokeweight=".238479pt" strokecolor="#0000ff">
              <v:stroke dashstyle="solid"/>
            </v:rect>
            <v:line style="position:absolute" from="10132,5176" to="10132,5784" stroked="true" strokeweight="6.59136pt" strokecolor="#0000ff">
              <v:stroke dashstyle="solid"/>
            </v:line>
            <v:rect style="position:absolute;left:10065;top:5175;width:132;height:608" filled="false" stroked="true" strokeweight=".238779pt" strokecolor="#0000ff">
              <v:stroke dashstyle="solid"/>
            </v:rect>
            <v:shape style="position:absolute;left:945;top:956;width:12828;height:6819" coordorigin="946,956" coordsize="12828,6819" path="m6128,5784l6128,3127m6078,5784l6128,5784m6078,5404l6128,5404m6078,5024l6128,5024m6078,4645l6128,4645m6078,4265l6128,4265m6078,3885l6128,3885m6078,3507l6128,3507m6078,3127l6128,3127m6128,5784l10297,5784e" filled="false" stroked="true" strokeweight=".258673pt" strokecolor="#858585">
              <v:path arrowok="t"/>
              <v:stroke dashstyle="solid"/>
            </v:shape>
            <v:shape style="position:absolute;left:5304;top:980;width:4323;height:6814" coordorigin="5304,980" coordsize="4323,6814" path="m7512,3136l7512,5791m8933,3152l8933,5786e" filled="false" stroked="true" strokeweight=".344897pt" strokecolor="#000000">
              <v:path arrowok="t"/>
              <v:stroke dashstyle="shortdash"/>
            </v:shape>
            <w10:wrap type="none"/>
          </v:group>
        </w:pict>
      </w:r>
      <w:r>
        <w:rPr>
          <w:sz w:val="16"/>
        </w:rPr>
        <w:t>(b) Response to the 2016 EU referendum: delaying investment decision-making. (c) Percentage of CFOs who expect capital expenditure by their business to decrease over the next three years as a consequence of Brexit. (d) Percentage of businesses saying that Brexit has negatively affected their investment decisions. (e) Percentage of firms reporting that economic uncertainty, expected future international trade arrangements or other Brexit factors were affecting investment negatively. (f) Impact of Brexit: holding off from expanding operations in the UK. Sources: EEF, Lloyds Business Bulletin, CBI, Deloitte CFO Survey, Thomson Reuters, Ipsos/MORI and BoE</w:t>
      </w:r>
    </w:p>
    <w:p>
      <w:pPr>
        <w:pStyle w:val="BodyText"/>
        <w:spacing w:before="7"/>
        <w:rPr>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790"/>
        <w:gridCol w:w="192"/>
        <w:gridCol w:w="112"/>
        <w:gridCol w:w="4818"/>
        <w:gridCol w:w="232"/>
      </w:tblGrid>
      <w:tr>
        <w:trPr>
          <w:trHeight w:val="1019" w:hRule="atLeast"/>
        </w:trPr>
        <w:tc>
          <w:tcPr>
            <w:tcW w:w="5093" w:type="dxa"/>
            <w:gridSpan w:val="3"/>
            <w:tcBorders>
              <w:bottom w:val="single" w:sz="6" w:space="0" w:color="000000"/>
            </w:tcBorders>
          </w:tcPr>
          <w:p>
            <w:pPr>
              <w:pStyle w:val="TableParagraph"/>
              <w:spacing w:line="355" w:lineRule="auto" w:before="107"/>
              <w:ind w:left="107" w:right="48"/>
              <w:rPr>
                <w:rFonts w:ascii="Arial"/>
                <w:sz w:val="20"/>
              </w:rPr>
            </w:pPr>
            <w:r>
              <w:rPr>
                <w:rFonts w:ascii="Arial"/>
                <w:sz w:val="20"/>
              </w:rPr>
              <w:t>Figure 7. Changes in Selected Household Interest Rates in Periods to December 2017</w:t>
            </w:r>
          </w:p>
        </w:tc>
        <w:tc>
          <w:tcPr>
            <w:tcW w:w="5162" w:type="dxa"/>
            <w:gridSpan w:val="3"/>
            <w:tcBorders>
              <w:bottom w:val="single" w:sz="6" w:space="0" w:color="000000"/>
            </w:tcBorders>
          </w:tcPr>
          <w:p>
            <w:pPr>
              <w:pStyle w:val="TableParagraph"/>
              <w:spacing w:before="107"/>
              <w:ind w:left="108"/>
              <w:rPr>
                <w:rFonts w:ascii="Arial" w:hAnsi="Arial"/>
                <w:sz w:val="20"/>
              </w:rPr>
            </w:pPr>
            <w:r>
              <w:rPr>
                <w:rFonts w:ascii="Arial" w:hAnsi="Arial"/>
                <w:sz w:val="20"/>
              </w:rPr>
              <w:t>Figure 8. UK, US and Euro Area – Potential GDP</w:t>
            </w:r>
          </w:p>
          <w:p>
            <w:pPr>
              <w:pStyle w:val="TableParagraph"/>
              <w:spacing w:line="340" w:lineRule="atLeast" w:before="1"/>
              <w:ind w:left="108" w:right="28"/>
              <w:rPr>
                <w:rFonts w:ascii="Arial"/>
                <w:sz w:val="20"/>
              </w:rPr>
            </w:pPr>
            <w:r>
              <w:rPr>
                <w:rFonts w:ascii="Arial"/>
                <w:sz w:val="20"/>
              </w:rPr>
              <w:t>Growth, Workforce Growth and Productivity Growth, YoY, 1997-17</w:t>
            </w:r>
          </w:p>
        </w:tc>
      </w:tr>
      <w:tr>
        <w:trPr>
          <w:trHeight w:val="3582" w:hRule="atLeast"/>
        </w:trPr>
        <w:tc>
          <w:tcPr>
            <w:tcW w:w="111" w:type="dxa"/>
            <w:tcBorders>
              <w:bottom w:val="nil"/>
              <w:right w:val="single" w:sz="4" w:space="0" w:color="858585"/>
            </w:tcBorders>
          </w:tcPr>
          <w:p>
            <w:pPr>
              <w:pStyle w:val="TableParagraph"/>
              <w:rPr>
                <w:rFonts w:ascii="Times New Roman"/>
                <w:sz w:val="16"/>
              </w:rPr>
            </w:pPr>
          </w:p>
        </w:tc>
        <w:tc>
          <w:tcPr>
            <w:tcW w:w="4790" w:type="dxa"/>
            <w:tcBorders>
              <w:top w:val="single" w:sz="6" w:space="0" w:color="000000"/>
              <w:left w:val="single" w:sz="4" w:space="0" w:color="858585"/>
              <w:bottom w:val="single" w:sz="4" w:space="0" w:color="858585"/>
              <w:right w:val="single" w:sz="4" w:space="0" w:color="858585"/>
            </w:tcBorders>
          </w:tcPr>
          <w:p>
            <w:pPr>
              <w:pStyle w:val="TableParagraph"/>
              <w:spacing w:line="206" w:lineRule="exact"/>
              <w:ind w:left="57"/>
              <w:rPr>
                <w:b/>
                <w:sz w:val="18"/>
              </w:rPr>
            </w:pPr>
            <w:r>
              <w:rPr>
                <w:b/>
                <w:w w:val="95"/>
                <w:sz w:val="18"/>
              </w:rPr>
              <w:t>0.5</w:t>
            </w:r>
          </w:p>
          <w:p>
            <w:pPr>
              <w:pStyle w:val="TableParagraph"/>
              <w:spacing w:before="62"/>
              <w:ind w:left="57"/>
              <w:rPr>
                <w:b/>
                <w:sz w:val="18"/>
              </w:rPr>
            </w:pPr>
            <w:r>
              <w:rPr>
                <w:b/>
                <w:w w:val="95"/>
                <w:sz w:val="18"/>
              </w:rPr>
              <w:t>0.0</w:t>
            </w:r>
          </w:p>
          <w:p>
            <w:pPr>
              <w:pStyle w:val="TableParagraph"/>
              <w:spacing w:before="63"/>
              <w:ind w:left="9"/>
              <w:rPr>
                <w:b/>
                <w:sz w:val="18"/>
              </w:rPr>
            </w:pPr>
            <w:r>
              <w:rPr>
                <w:b/>
                <w:w w:val="95"/>
                <w:sz w:val="18"/>
              </w:rPr>
              <w:t>-0.5</w:t>
            </w:r>
          </w:p>
          <w:p>
            <w:pPr>
              <w:pStyle w:val="TableParagraph"/>
              <w:spacing w:before="62"/>
              <w:ind w:left="9"/>
              <w:rPr>
                <w:b/>
                <w:sz w:val="18"/>
              </w:rPr>
            </w:pPr>
            <w:r>
              <w:rPr>
                <w:b/>
                <w:w w:val="95"/>
                <w:sz w:val="18"/>
              </w:rPr>
              <w:t>-1.0</w:t>
            </w:r>
          </w:p>
          <w:p>
            <w:pPr>
              <w:pStyle w:val="TableParagraph"/>
              <w:spacing w:before="62"/>
              <w:ind w:left="9"/>
              <w:rPr>
                <w:b/>
                <w:sz w:val="18"/>
              </w:rPr>
            </w:pPr>
            <w:r>
              <w:rPr>
                <w:b/>
                <w:w w:val="95"/>
                <w:sz w:val="18"/>
              </w:rPr>
              <w:t>-1.5</w:t>
            </w:r>
          </w:p>
          <w:p>
            <w:pPr>
              <w:pStyle w:val="TableParagraph"/>
              <w:tabs>
                <w:tab w:pos="2022" w:val="left" w:leader="none"/>
              </w:tabs>
              <w:spacing w:line="292" w:lineRule="exact" w:before="61"/>
              <w:ind w:left="9"/>
              <w:rPr>
                <w:b/>
                <w:sz w:val="18"/>
              </w:rPr>
            </w:pPr>
            <w:r>
              <w:rPr>
                <w:b/>
                <w:w w:val="95"/>
                <w:position w:val="8"/>
                <w:sz w:val="18"/>
              </w:rPr>
              <w:t>-2.0</w:t>
              <w:tab/>
            </w:r>
            <w:r>
              <w:rPr>
                <w:b/>
                <w:w w:val="90"/>
                <w:sz w:val="18"/>
              </w:rPr>
              <w:t>Change</w:t>
            </w:r>
            <w:r>
              <w:rPr>
                <w:b/>
                <w:spacing w:val="-16"/>
                <w:w w:val="90"/>
                <w:sz w:val="18"/>
              </w:rPr>
              <w:t> </w:t>
            </w:r>
            <w:r>
              <w:rPr>
                <w:b/>
                <w:w w:val="90"/>
                <w:sz w:val="18"/>
              </w:rPr>
              <w:t>From</w:t>
            </w:r>
            <w:r>
              <w:rPr>
                <w:b/>
                <w:spacing w:val="-16"/>
                <w:w w:val="90"/>
                <w:sz w:val="18"/>
              </w:rPr>
              <w:t> </w:t>
            </w:r>
            <w:r>
              <w:rPr>
                <w:b/>
                <w:w w:val="90"/>
                <w:sz w:val="18"/>
              </w:rPr>
              <w:t>5</w:t>
            </w:r>
            <w:r>
              <w:rPr>
                <w:b/>
                <w:spacing w:val="-16"/>
                <w:w w:val="90"/>
                <w:sz w:val="18"/>
              </w:rPr>
              <w:t> </w:t>
            </w:r>
            <w:r>
              <w:rPr>
                <w:b/>
                <w:w w:val="90"/>
                <w:sz w:val="18"/>
              </w:rPr>
              <w:t>Years</w:t>
            </w:r>
            <w:r>
              <w:rPr>
                <w:b/>
                <w:spacing w:val="-16"/>
                <w:w w:val="90"/>
                <w:sz w:val="18"/>
              </w:rPr>
              <w:t> </w:t>
            </w:r>
            <w:r>
              <w:rPr>
                <w:b/>
                <w:w w:val="90"/>
                <w:sz w:val="18"/>
              </w:rPr>
              <w:t>Ago</w:t>
            </w:r>
          </w:p>
          <w:p>
            <w:pPr>
              <w:pStyle w:val="TableParagraph"/>
              <w:tabs>
                <w:tab w:pos="473" w:val="left" w:leader="none"/>
                <w:tab w:pos="2022" w:val="left" w:leader="none"/>
              </w:tabs>
              <w:spacing w:line="293" w:lineRule="exact"/>
              <w:ind w:left="9"/>
              <w:rPr>
                <w:b/>
                <w:sz w:val="18"/>
              </w:rPr>
            </w:pPr>
            <w:r>
              <w:rPr>
                <w:b/>
                <w:w w:val="95"/>
                <w:position w:val="10"/>
                <w:sz w:val="18"/>
              </w:rPr>
              <w:t>-2.5</w:t>
              <w:tab/>
            </w:r>
            <w:r>
              <w:rPr>
                <w:b/>
                <w:w w:val="95"/>
                <w:position w:val="4"/>
                <w:sz w:val="18"/>
              </w:rPr>
              <w:t>Percentage</w:t>
              <w:tab/>
            </w:r>
            <w:r>
              <w:rPr>
                <w:b/>
                <w:w w:val="90"/>
                <w:sz w:val="18"/>
              </w:rPr>
              <w:t>Change</w:t>
            </w:r>
            <w:r>
              <w:rPr>
                <w:b/>
                <w:spacing w:val="-17"/>
                <w:w w:val="90"/>
                <w:sz w:val="18"/>
              </w:rPr>
              <w:t> </w:t>
            </w:r>
            <w:r>
              <w:rPr>
                <w:b/>
                <w:w w:val="90"/>
                <w:sz w:val="18"/>
              </w:rPr>
              <w:t>from</w:t>
            </w:r>
            <w:r>
              <w:rPr>
                <w:b/>
                <w:spacing w:val="-16"/>
                <w:w w:val="90"/>
                <w:sz w:val="18"/>
              </w:rPr>
              <w:t> </w:t>
            </w:r>
            <w:r>
              <w:rPr>
                <w:b/>
                <w:w w:val="90"/>
                <w:sz w:val="18"/>
              </w:rPr>
              <w:t>2</w:t>
            </w:r>
            <w:r>
              <w:rPr>
                <w:b/>
                <w:spacing w:val="-16"/>
                <w:w w:val="90"/>
                <w:sz w:val="18"/>
              </w:rPr>
              <w:t> </w:t>
            </w:r>
            <w:r>
              <w:rPr>
                <w:b/>
                <w:w w:val="90"/>
                <w:sz w:val="18"/>
              </w:rPr>
              <w:t>Years</w:t>
            </w:r>
            <w:r>
              <w:rPr>
                <w:b/>
                <w:spacing w:val="-17"/>
                <w:w w:val="90"/>
                <w:sz w:val="18"/>
              </w:rPr>
              <w:t> </w:t>
            </w:r>
            <w:r>
              <w:rPr>
                <w:b/>
                <w:w w:val="90"/>
                <w:sz w:val="18"/>
              </w:rPr>
              <w:t>Ago</w:t>
            </w:r>
          </w:p>
          <w:p>
            <w:pPr>
              <w:pStyle w:val="TableParagraph"/>
              <w:tabs>
                <w:tab w:pos="473" w:val="left" w:leader="none"/>
              </w:tabs>
              <w:spacing w:line="152" w:lineRule="exact"/>
              <w:ind w:left="9"/>
              <w:rPr>
                <w:b/>
                <w:sz w:val="18"/>
              </w:rPr>
            </w:pPr>
            <w:r>
              <w:rPr>
                <w:b/>
                <w:w w:val="95"/>
                <w:sz w:val="18"/>
              </w:rPr>
              <w:t>-3.0</w:t>
              <w:tab/>
              <w:t>Points</w:t>
            </w:r>
          </w:p>
          <w:p>
            <w:pPr>
              <w:pStyle w:val="TableParagraph"/>
              <w:spacing w:line="141" w:lineRule="exact"/>
              <w:ind w:left="2022"/>
              <w:rPr>
                <w:b/>
                <w:sz w:val="18"/>
              </w:rPr>
            </w:pPr>
            <w:r>
              <w:rPr>
                <w:b/>
                <w:w w:val="95"/>
                <w:sz w:val="18"/>
              </w:rPr>
              <w:t>Change from 1 Year Ago</w:t>
            </w:r>
          </w:p>
          <w:p>
            <w:pPr>
              <w:pStyle w:val="TableParagraph"/>
              <w:spacing w:line="190" w:lineRule="exact"/>
              <w:ind w:left="9"/>
              <w:rPr>
                <w:b/>
                <w:sz w:val="18"/>
              </w:rPr>
            </w:pPr>
            <w:r>
              <w:rPr>
                <w:b/>
                <w:w w:val="95"/>
                <w:sz w:val="18"/>
              </w:rPr>
              <w:t>-3.5</w:t>
            </w:r>
          </w:p>
          <w:p>
            <w:pPr>
              <w:pStyle w:val="TableParagraph"/>
              <w:tabs>
                <w:tab w:pos="1361" w:val="left" w:leader="none"/>
                <w:tab w:pos="2213" w:val="left" w:leader="none"/>
                <w:tab w:pos="3113" w:val="left" w:leader="none"/>
                <w:tab w:pos="3185" w:val="left" w:leader="none"/>
                <w:tab w:pos="3239" w:val="left" w:leader="none"/>
                <w:tab w:pos="3955" w:val="left" w:leader="none"/>
                <w:tab w:pos="4080" w:val="left" w:leader="none"/>
              </w:tabs>
              <w:spacing w:before="15"/>
              <w:ind w:left="508" w:right="252" w:hanging="73"/>
              <w:rPr>
                <w:b/>
                <w:sz w:val="18"/>
              </w:rPr>
            </w:pPr>
            <w:r>
              <w:rPr>
                <w:b/>
                <w:w w:val="95"/>
                <w:sz w:val="18"/>
              </w:rPr>
              <w:t>2</w:t>
            </w:r>
            <w:r>
              <w:rPr>
                <w:b/>
                <w:spacing w:val="-20"/>
                <w:w w:val="95"/>
                <w:sz w:val="18"/>
              </w:rPr>
              <w:t> </w:t>
            </w:r>
            <w:r>
              <w:rPr>
                <w:b/>
                <w:w w:val="95"/>
                <w:sz w:val="18"/>
              </w:rPr>
              <w:t>Year</w:t>
            </w:r>
            <w:r>
              <w:rPr>
                <w:b/>
                <w:spacing w:val="-19"/>
                <w:w w:val="95"/>
                <w:sz w:val="18"/>
              </w:rPr>
              <w:t> </w:t>
            </w:r>
            <w:r>
              <w:rPr>
                <w:b/>
                <w:w w:val="95"/>
                <w:sz w:val="18"/>
              </w:rPr>
              <w:t>Fixed</w:t>
            </w:r>
            <w:r>
              <w:rPr>
                <w:b/>
                <w:spacing w:val="-3"/>
                <w:w w:val="95"/>
                <w:sz w:val="18"/>
              </w:rPr>
              <w:t> </w:t>
            </w:r>
            <w:r>
              <w:rPr>
                <w:b/>
                <w:w w:val="95"/>
                <w:sz w:val="18"/>
              </w:rPr>
              <w:t>2</w:t>
            </w:r>
            <w:r>
              <w:rPr>
                <w:b/>
                <w:spacing w:val="-19"/>
                <w:w w:val="95"/>
                <w:sz w:val="18"/>
              </w:rPr>
              <w:t> </w:t>
            </w:r>
            <w:r>
              <w:rPr>
                <w:b/>
                <w:w w:val="95"/>
                <w:sz w:val="18"/>
              </w:rPr>
              <w:t>Year</w:t>
            </w:r>
            <w:r>
              <w:rPr>
                <w:b/>
                <w:spacing w:val="-19"/>
                <w:w w:val="95"/>
                <w:sz w:val="18"/>
              </w:rPr>
              <w:t> </w:t>
            </w:r>
            <w:r>
              <w:rPr>
                <w:b/>
                <w:w w:val="95"/>
                <w:sz w:val="18"/>
              </w:rPr>
              <w:t>Fixed</w:t>
            </w:r>
            <w:r>
              <w:rPr>
                <w:b/>
                <w:spacing w:val="-2"/>
                <w:w w:val="95"/>
                <w:sz w:val="18"/>
              </w:rPr>
              <w:t> </w:t>
            </w:r>
            <w:r>
              <w:rPr>
                <w:b/>
                <w:w w:val="95"/>
                <w:sz w:val="18"/>
              </w:rPr>
              <w:t>5</w:t>
            </w:r>
            <w:r>
              <w:rPr>
                <w:b/>
                <w:spacing w:val="-19"/>
                <w:w w:val="95"/>
                <w:sz w:val="18"/>
              </w:rPr>
              <w:t> </w:t>
            </w:r>
            <w:r>
              <w:rPr>
                <w:b/>
                <w:w w:val="95"/>
                <w:sz w:val="18"/>
              </w:rPr>
              <w:t>year</w:t>
            </w:r>
            <w:r>
              <w:rPr>
                <w:b/>
                <w:spacing w:val="-19"/>
                <w:w w:val="95"/>
                <w:sz w:val="18"/>
              </w:rPr>
              <w:t> </w:t>
            </w:r>
            <w:r>
              <w:rPr>
                <w:b/>
                <w:w w:val="95"/>
                <w:sz w:val="18"/>
              </w:rPr>
              <w:t>Fixed</w:t>
              <w:tab/>
              <w:tab/>
              <w:t>2</w:t>
            </w:r>
            <w:r>
              <w:rPr>
                <w:b/>
                <w:spacing w:val="-13"/>
                <w:w w:val="95"/>
                <w:sz w:val="18"/>
              </w:rPr>
              <w:t> </w:t>
            </w:r>
            <w:r>
              <w:rPr>
                <w:b/>
                <w:w w:val="95"/>
                <w:sz w:val="18"/>
              </w:rPr>
              <w:t>Year</w:t>
              <w:tab/>
              <w:tab/>
              <w:t>£10K Mortgage</w:t>
              <w:tab/>
              <w:t>Mortgage</w:t>
              <w:tab/>
              <w:t>Mortgage</w:t>
              <w:tab/>
              <w:t>Variable</w:t>
              <w:tab/>
            </w:r>
            <w:r>
              <w:rPr>
                <w:b/>
                <w:w w:val="85"/>
                <w:sz w:val="18"/>
              </w:rPr>
              <w:t>Personal </w:t>
            </w:r>
            <w:r>
              <w:rPr>
                <w:b/>
                <w:w w:val="95"/>
                <w:sz w:val="18"/>
              </w:rPr>
              <w:t>(75%</w:t>
            </w:r>
            <w:r>
              <w:rPr>
                <w:b/>
                <w:spacing w:val="-18"/>
                <w:w w:val="95"/>
                <w:sz w:val="18"/>
              </w:rPr>
              <w:t> </w:t>
            </w:r>
            <w:r>
              <w:rPr>
                <w:b/>
                <w:w w:val="95"/>
                <w:sz w:val="18"/>
              </w:rPr>
              <w:t>LTV)</w:t>
              <w:tab/>
              <w:t>(90%</w:t>
            </w:r>
            <w:r>
              <w:rPr>
                <w:b/>
                <w:spacing w:val="-17"/>
                <w:w w:val="95"/>
                <w:sz w:val="18"/>
              </w:rPr>
              <w:t> </w:t>
            </w:r>
            <w:r>
              <w:rPr>
                <w:b/>
                <w:w w:val="95"/>
                <w:sz w:val="18"/>
              </w:rPr>
              <w:t>LTV)</w:t>
              <w:tab/>
              <w:t>(75%</w:t>
            </w:r>
            <w:r>
              <w:rPr>
                <w:b/>
                <w:spacing w:val="-17"/>
                <w:w w:val="95"/>
                <w:sz w:val="18"/>
              </w:rPr>
              <w:t> </w:t>
            </w:r>
            <w:r>
              <w:rPr>
                <w:b/>
                <w:w w:val="95"/>
                <w:sz w:val="18"/>
              </w:rPr>
              <w:t>LTV)</w:t>
              <w:tab/>
              <w:tab/>
              <w:tab/>
              <w:t>Rate</w:t>
              <w:tab/>
              <w:tab/>
              <w:t>Loan</w:t>
            </w:r>
          </w:p>
          <w:p>
            <w:pPr>
              <w:pStyle w:val="TableParagraph"/>
              <w:ind w:left="3070"/>
              <w:rPr>
                <w:b/>
                <w:sz w:val="18"/>
              </w:rPr>
            </w:pPr>
            <w:r>
              <w:rPr>
                <w:b/>
                <w:w w:val="95"/>
                <w:sz w:val="18"/>
              </w:rPr>
              <w:t>Mortgage</w:t>
            </w:r>
          </w:p>
          <w:p>
            <w:pPr>
              <w:pStyle w:val="TableParagraph"/>
              <w:spacing w:line="205" w:lineRule="exact"/>
              <w:ind w:left="3067"/>
              <w:rPr>
                <w:b/>
                <w:sz w:val="18"/>
              </w:rPr>
            </w:pPr>
            <w:r>
              <w:rPr>
                <w:b/>
                <w:w w:val="90"/>
                <w:sz w:val="18"/>
              </w:rPr>
              <w:t>(75%</w:t>
            </w:r>
            <w:r>
              <w:rPr>
                <w:b/>
                <w:spacing w:val="-23"/>
                <w:w w:val="90"/>
                <w:sz w:val="18"/>
              </w:rPr>
              <w:t> </w:t>
            </w:r>
            <w:r>
              <w:rPr>
                <w:b/>
                <w:w w:val="90"/>
                <w:sz w:val="18"/>
              </w:rPr>
              <w:t>LTV)</w:t>
            </w:r>
          </w:p>
        </w:tc>
        <w:tc>
          <w:tcPr>
            <w:tcW w:w="192" w:type="dxa"/>
            <w:tcBorders>
              <w:left w:val="single" w:sz="4" w:space="0" w:color="858585"/>
              <w:bottom w:val="nil"/>
            </w:tcBorders>
          </w:tcPr>
          <w:p>
            <w:pPr>
              <w:pStyle w:val="TableParagraph"/>
              <w:rPr>
                <w:rFonts w:ascii="Times New Roman"/>
                <w:sz w:val="16"/>
              </w:rPr>
            </w:pPr>
          </w:p>
        </w:tc>
        <w:tc>
          <w:tcPr>
            <w:tcW w:w="112" w:type="dxa"/>
            <w:vMerge w:val="restart"/>
            <w:tcBorders>
              <w:right w:val="single" w:sz="4" w:space="0" w:color="858585"/>
            </w:tcBorders>
          </w:tcPr>
          <w:p>
            <w:pPr>
              <w:pStyle w:val="TableParagraph"/>
              <w:rPr>
                <w:rFonts w:ascii="Times New Roman"/>
                <w:sz w:val="16"/>
              </w:rPr>
            </w:pPr>
          </w:p>
        </w:tc>
        <w:tc>
          <w:tcPr>
            <w:tcW w:w="4818" w:type="dxa"/>
            <w:vMerge w:val="restart"/>
            <w:tcBorders>
              <w:top w:val="single" w:sz="6" w:space="0" w:color="000000"/>
              <w:left w:val="single" w:sz="4" w:space="0" w:color="858585"/>
              <w:right w:val="single" w:sz="4" w:space="0" w:color="858585"/>
            </w:tcBorders>
          </w:tcPr>
          <w:p>
            <w:pPr>
              <w:pStyle w:val="TableParagraph"/>
              <w:spacing w:line="200" w:lineRule="exact" w:before="13"/>
              <w:ind w:left="7"/>
              <w:rPr>
                <w:b/>
                <w:sz w:val="18"/>
              </w:rPr>
            </w:pPr>
            <w:r>
              <w:rPr>
                <w:b/>
                <w:sz w:val="18"/>
              </w:rPr>
              <w:t>3.5</w:t>
            </w:r>
          </w:p>
          <w:p>
            <w:pPr>
              <w:pStyle w:val="TableParagraph"/>
              <w:tabs>
                <w:tab w:pos="1946" w:val="left" w:leader="none"/>
                <w:tab w:pos="3401" w:val="left" w:leader="none"/>
              </w:tabs>
              <w:spacing w:line="215" w:lineRule="exact"/>
              <w:ind w:left="182"/>
              <w:rPr>
                <w:b/>
                <w:sz w:val="18"/>
              </w:rPr>
            </w:pPr>
            <w:r>
              <w:rPr>
                <w:b/>
                <w:position w:val="1"/>
                <w:sz w:val="18"/>
              </w:rPr>
              <w:t>% </w:t>
            </w:r>
            <w:r>
              <w:rPr>
                <w:b/>
                <w:spacing w:val="18"/>
                <w:position w:val="1"/>
                <w:sz w:val="18"/>
              </w:rPr>
              <w:t> </w:t>
            </w:r>
            <w:r>
              <w:rPr>
                <w:b/>
                <w:position w:val="5"/>
                <w:sz w:val="18"/>
              </w:rPr>
              <w:t>Potential</w:t>
            </w:r>
            <w:r>
              <w:rPr>
                <w:b/>
                <w:spacing w:val="-20"/>
                <w:position w:val="5"/>
                <w:sz w:val="18"/>
              </w:rPr>
              <w:t> </w:t>
            </w:r>
            <w:r>
              <w:rPr>
                <w:b/>
                <w:position w:val="5"/>
                <w:sz w:val="18"/>
              </w:rPr>
              <w:t>GDP</w:t>
              <w:tab/>
            </w:r>
            <w:r>
              <w:rPr>
                <w:b/>
                <w:w w:val="95"/>
                <w:position w:val="1"/>
                <w:sz w:val="18"/>
              </w:rPr>
              <w:t>Workforce</w:t>
              <w:tab/>
            </w:r>
            <w:r>
              <w:rPr>
                <w:b/>
                <w:sz w:val="18"/>
              </w:rPr>
              <w:t>Productivity</w:t>
            </w:r>
          </w:p>
          <w:p>
            <w:pPr>
              <w:pStyle w:val="TableParagraph"/>
              <w:tabs>
                <w:tab w:pos="472" w:val="left" w:leader="none"/>
                <w:tab w:pos="1946" w:val="left" w:leader="none"/>
                <w:tab w:pos="3401" w:val="left" w:leader="none"/>
              </w:tabs>
              <w:spacing w:line="264" w:lineRule="exact"/>
              <w:ind w:left="7"/>
              <w:rPr>
                <w:b/>
                <w:sz w:val="18"/>
              </w:rPr>
            </w:pPr>
            <w:r>
              <w:rPr>
                <w:b/>
                <w:position w:val="8"/>
                <w:sz w:val="18"/>
              </w:rPr>
              <w:t>3.0</w:t>
              <w:tab/>
            </w:r>
            <w:r>
              <w:rPr>
                <w:b/>
                <w:position w:val="5"/>
                <w:sz w:val="18"/>
              </w:rPr>
              <w:t>Growth</w:t>
              <w:tab/>
            </w:r>
            <w:r>
              <w:rPr>
                <w:b/>
                <w:position w:val="1"/>
                <w:sz w:val="18"/>
              </w:rPr>
              <w:t>Growth</w:t>
              <w:tab/>
            </w:r>
            <w:r>
              <w:rPr>
                <w:b/>
                <w:sz w:val="18"/>
              </w:rPr>
              <w:t>Growth</w:t>
            </w:r>
          </w:p>
          <w:p>
            <w:pPr>
              <w:pStyle w:val="TableParagraph"/>
              <w:spacing w:before="79"/>
              <w:ind w:left="7"/>
              <w:rPr>
                <w:b/>
                <w:sz w:val="18"/>
              </w:rPr>
            </w:pPr>
            <w:r>
              <w:rPr>
                <w:b/>
                <w:sz w:val="18"/>
              </w:rPr>
              <w:t>2.5</w:t>
            </w:r>
          </w:p>
          <w:p>
            <w:pPr>
              <w:pStyle w:val="TableParagraph"/>
              <w:spacing w:before="160"/>
              <w:ind w:left="7"/>
              <w:rPr>
                <w:b/>
                <w:sz w:val="18"/>
              </w:rPr>
            </w:pPr>
            <w:r>
              <w:rPr>
                <w:b/>
                <w:sz w:val="18"/>
              </w:rPr>
              <w:t>2.0</w:t>
            </w:r>
          </w:p>
          <w:p>
            <w:pPr>
              <w:pStyle w:val="TableParagraph"/>
              <w:spacing w:before="160"/>
              <w:ind w:left="7"/>
              <w:rPr>
                <w:b/>
                <w:sz w:val="18"/>
              </w:rPr>
            </w:pPr>
            <w:r>
              <w:rPr>
                <w:b/>
                <w:sz w:val="18"/>
              </w:rPr>
              <w:t>1.5</w:t>
            </w:r>
          </w:p>
          <w:p>
            <w:pPr>
              <w:pStyle w:val="TableParagraph"/>
              <w:spacing w:before="160"/>
              <w:ind w:left="7"/>
              <w:rPr>
                <w:b/>
                <w:sz w:val="18"/>
              </w:rPr>
            </w:pPr>
            <w:r>
              <w:rPr>
                <w:b/>
                <w:sz w:val="18"/>
              </w:rPr>
              <w:t>1.0</w:t>
            </w:r>
          </w:p>
          <w:p>
            <w:pPr>
              <w:pStyle w:val="TableParagraph"/>
              <w:spacing w:before="160"/>
              <w:ind w:left="7"/>
              <w:rPr>
                <w:b/>
                <w:sz w:val="18"/>
              </w:rPr>
            </w:pPr>
            <w:r>
              <w:rPr>
                <w:b/>
                <w:sz w:val="18"/>
              </w:rPr>
              <w:t>0.5</w:t>
            </w:r>
          </w:p>
          <w:p>
            <w:pPr>
              <w:pStyle w:val="TableParagraph"/>
              <w:spacing w:before="160"/>
              <w:ind w:left="7"/>
              <w:rPr>
                <w:b/>
                <w:sz w:val="18"/>
              </w:rPr>
            </w:pPr>
            <w:r>
              <w:rPr>
                <w:b/>
                <w:sz w:val="18"/>
              </w:rPr>
              <w:t>0.0</w:t>
            </w:r>
          </w:p>
          <w:p>
            <w:pPr>
              <w:pStyle w:val="TableParagraph"/>
              <w:tabs>
                <w:tab w:pos="536" w:val="left" w:leader="none"/>
                <w:tab w:pos="1002" w:val="left" w:leader="none"/>
                <w:tab w:pos="1457" w:val="left" w:leader="none"/>
                <w:tab w:pos="1926" w:val="left" w:leader="none"/>
                <w:tab w:pos="2392" w:val="left" w:leader="none"/>
                <w:tab w:pos="2847" w:val="left" w:leader="none"/>
                <w:tab w:pos="3316" w:val="left" w:leader="none"/>
                <w:tab w:pos="3782" w:val="left" w:leader="none"/>
              </w:tabs>
              <w:spacing w:before="23"/>
              <w:ind w:left="67"/>
              <w:jc w:val="center"/>
              <w:rPr>
                <w:b/>
                <w:sz w:val="18"/>
              </w:rPr>
            </w:pPr>
            <w:r>
              <w:rPr>
                <w:b/>
                <w:sz w:val="18"/>
              </w:rPr>
              <w:t>UK</w:t>
              <w:tab/>
              <w:t>US</w:t>
              <w:tab/>
              <w:t>EA</w:t>
              <w:tab/>
              <w:t>UK</w:t>
              <w:tab/>
              <w:t>US</w:t>
              <w:tab/>
              <w:t>EA</w:t>
              <w:tab/>
              <w:t>UK</w:t>
              <w:tab/>
              <w:t>US</w:t>
              <w:tab/>
              <w:t>EA</w:t>
            </w:r>
          </w:p>
          <w:p>
            <w:pPr>
              <w:pStyle w:val="TableParagraph"/>
              <w:rPr>
                <w:rFonts w:ascii="Arial"/>
                <w:sz w:val="20"/>
              </w:rPr>
            </w:pPr>
          </w:p>
          <w:p>
            <w:pPr>
              <w:pStyle w:val="TableParagraph"/>
              <w:tabs>
                <w:tab w:pos="1717" w:val="left" w:leader="none"/>
              </w:tabs>
              <w:ind w:left="38"/>
              <w:jc w:val="center"/>
              <w:rPr>
                <w:b/>
                <w:sz w:val="18"/>
              </w:rPr>
            </w:pPr>
            <w:r>
              <w:rPr>
                <w:b/>
                <w:w w:val="95"/>
                <w:sz w:val="18"/>
              </w:rPr>
              <w:t>1997-07</w:t>
            </w:r>
            <w:r>
              <w:rPr>
                <w:b/>
                <w:spacing w:val="-25"/>
                <w:w w:val="95"/>
                <w:sz w:val="18"/>
              </w:rPr>
              <w:t> </w:t>
            </w:r>
            <w:r>
              <w:rPr>
                <w:b/>
                <w:w w:val="95"/>
                <w:sz w:val="18"/>
              </w:rPr>
              <w:t>Average</w:t>
              <w:tab/>
            </w:r>
            <w:r>
              <w:rPr>
                <w:b/>
                <w:sz w:val="18"/>
              </w:rPr>
              <w:t>2010-17</w:t>
            </w:r>
            <w:r>
              <w:rPr>
                <w:b/>
                <w:spacing w:val="-10"/>
                <w:sz w:val="18"/>
              </w:rPr>
              <w:t> </w:t>
            </w:r>
            <w:r>
              <w:rPr>
                <w:b/>
                <w:sz w:val="18"/>
              </w:rPr>
              <w:t>Average</w:t>
            </w:r>
          </w:p>
        </w:tc>
        <w:tc>
          <w:tcPr>
            <w:tcW w:w="232" w:type="dxa"/>
            <w:vMerge w:val="restart"/>
            <w:tcBorders>
              <w:left w:val="single" w:sz="4" w:space="0" w:color="858585"/>
            </w:tcBorders>
          </w:tcPr>
          <w:p>
            <w:pPr>
              <w:pStyle w:val="TableParagraph"/>
              <w:rPr>
                <w:rFonts w:ascii="Times New Roman"/>
                <w:sz w:val="16"/>
              </w:rPr>
            </w:pPr>
          </w:p>
        </w:tc>
      </w:tr>
      <w:tr>
        <w:trPr>
          <w:trHeight w:val="154" w:hRule="atLeast"/>
        </w:trPr>
        <w:tc>
          <w:tcPr>
            <w:tcW w:w="5093" w:type="dxa"/>
            <w:gridSpan w:val="3"/>
            <w:tcBorders>
              <w:top w:val="nil"/>
            </w:tcBorders>
          </w:tcPr>
          <w:p>
            <w:pPr>
              <w:pStyle w:val="TableParagraph"/>
              <w:rPr>
                <w:rFonts w:ascii="Times New Roman"/>
                <w:sz w:val="8"/>
              </w:rPr>
            </w:pPr>
          </w:p>
        </w:tc>
        <w:tc>
          <w:tcPr>
            <w:tcW w:w="112" w:type="dxa"/>
            <w:vMerge/>
            <w:tcBorders>
              <w:top w:val="nil"/>
              <w:right w:val="single" w:sz="4" w:space="0" w:color="858585"/>
            </w:tcBorders>
          </w:tcPr>
          <w:p>
            <w:pPr>
              <w:rPr>
                <w:sz w:val="2"/>
                <w:szCs w:val="2"/>
              </w:rPr>
            </w:pPr>
          </w:p>
        </w:tc>
        <w:tc>
          <w:tcPr>
            <w:tcW w:w="4818" w:type="dxa"/>
            <w:vMerge/>
            <w:tcBorders>
              <w:top w:val="nil"/>
              <w:left w:val="single" w:sz="4" w:space="0" w:color="858585"/>
              <w:right w:val="single" w:sz="4" w:space="0" w:color="858585"/>
            </w:tcBorders>
          </w:tcPr>
          <w:p>
            <w:pPr>
              <w:rPr>
                <w:sz w:val="2"/>
                <w:szCs w:val="2"/>
              </w:rPr>
            </w:pPr>
          </w:p>
        </w:tc>
        <w:tc>
          <w:tcPr>
            <w:tcW w:w="232" w:type="dxa"/>
            <w:vMerge/>
            <w:tcBorders>
              <w:top w:val="nil"/>
              <w:left w:val="single" w:sz="4" w:space="0" w:color="858585"/>
            </w:tcBorders>
          </w:tcPr>
          <w:p>
            <w:pPr>
              <w:rPr>
                <w:sz w:val="2"/>
                <w:szCs w:val="2"/>
              </w:rPr>
            </w:pPr>
          </w:p>
        </w:tc>
      </w:tr>
    </w:tbl>
    <w:p>
      <w:pPr>
        <w:spacing w:line="444" w:lineRule="auto" w:before="152"/>
        <w:ind w:left="673" w:right="1668" w:firstLine="0"/>
        <w:jc w:val="left"/>
        <w:rPr>
          <w:sz w:val="16"/>
        </w:rPr>
      </w:pPr>
      <w:r>
        <w:rPr/>
        <w:pict>
          <v:group style="position:absolute;margin-left:333.689117pt;margin-top:-16.482603pt;width:4.6pt;height:5.4pt;mso-position-horizontal-relative:page;mso-position-vertical-relative:paragraph;z-index:-253473792" coordorigin="6674,-330" coordsize="92,108">
            <v:rect style="position:absolute;left:6676;top:-328;width:87;height:102" filled="true" fillcolor="#ff00ff" stroked="false">
              <v:fill type="solid"/>
            </v:rect>
            <v:rect style="position:absolute;left:6676;top:-328;width:87;height:102" filled="false" stroked="true" strokeweight=".255199pt" strokecolor="#ff00ff">
              <v:stroke dashstyle="solid"/>
            </v:rect>
            <w10:wrap type="none"/>
          </v:group>
        </w:pict>
      </w:r>
      <w:r>
        <w:rPr/>
        <w:pict>
          <v:group style="position:absolute;margin-left:417.640259pt;margin-top:-16.482504pt;width:4.6pt;height:5.4pt;mso-position-horizontal-relative:page;mso-position-vertical-relative:paragraph;z-index:-253472768" coordorigin="8353,-330" coordsize="92,108">
            <v:rect style="position:absolute;left:8355;top:-328;width:87;height:102" filled="true" fillcolor="#0000ff" stroked="false">
              <v:fill type="solid"/>
            </v:rect>
            <v:rect style="position:absolute;left:8355;top:-328;width:87;height:102" filled="false" stroked="true" strokeweight=".255005pt" strokecolor="#0000ff">
              <v:stroke dashstyle="solid"/>
            </v:rect>
            <w10:wrap type="none"/>
          </v:group>
        </w:pict>
      </w:r>
      <w:r>
        <w:rPr>
          <w:sz w:val="16"/>
        </w:rPr>
        <w:t>Note: In the right chart, numbers are from OECD Economic Outlook, November 2017 and include the OECD’s estimate for 2017. Sources: OECD and BoE</w:t>
      </w:r>
    </w:p>
    <w:p>
      <w:pPr>
        <w:spacing w:after="0" w:line="444" w:lineRule="auto"/>
        <w:jc w:val="left"/>
        <w:rPr>
          <w:sz w:val="16"/>
        </w:rPr>
        <w:sectPr>
          <w:pgSz w:w="11910" w:h="16840"/>
          <w:pgMar w:header="0" w:footer="1338" w:top="1580" w:bottom="1520" w:left="460" w:right="0"/>
        </w:sectPr>
      </w:pPr>
    </w:p>
    <w:p>
      <w:pPr>
        <w:pStyle w:val="BodyText"/>
        <w:ind w:left="101"/>
      </w:pPr>
      <w:r>
        <w:rPr/>
        <w:pict>
          <v:group style="width:516.25pt;height:238.65pt;mso-position-horizontal-relative:char;mso-position-vertical-relative:line" coordorigin="0,0" coordsize="10325,4773">
            <v:line style="position:absolute" from="10,5" to="5104,5" stroked="true" strokeweight=".48pt" strokecolor="#000000">
              <v:stroke dashstyle="solid"/>
            </v:line>
            <v:line style="position:absolute" from="5113,5" to="10315,5" stroked="true" strokeweight=".48pt" strokecolor="#000000">
              <v:stroke dashstyle="solid"/>
            </v:line>
            <v:line style="position:absolute" from="10,1035" to="5104,1035" stroked="true" strokeweight=".48pt" strokecolor="#000000">
              <v:stroke dashstyle="solid"/>
            </v:line>
            <v:line style="position:absolute" from="5113,1035" to="10315,1035" stroked="true" strokeweight=".48pt" strokecolor="#000000">
              <v:stroke dashstyle="solid"/>
            </v:line>
            <v:line style="position:absolute" from="5,0" to="5,4772" stroked="true" strokeweight=".48pt" strokecolor="#000000">
              <v:stroke dashstyle="solid"/>
            </v:line>
            <v:line style="position:absolute" from="10,4767" to="5104,4767" stroked="true" strokeweight=".48001pt" strokecolor="#000000">
              <v:stroke dashstyle="solid"/>
            </v:line>
            <v:line style="position:absolute" from="5109,0" to="5109,4772" stroked="true" strokeweight=".48001pt" strokecolor="#000000">
              <v:stroke dashstyle="solid"/>
            </v:line>
            <v:line style="position:absolute" from="5113,4767" to="10315,4767" stroked="true" strokeweight=".48001pt" strokecolor="#000000">
              <v:stroke dashstyle="solid"/>
            </v:line>
            <v:line style="position:absolute" from="10320,0" to="10320,4772" stroked="true" strokeweight=".47998pt" strokecolor="#000000">
              <v:stroke dashstyle="solid"/>
            </v:line>
            <v:rect style="position:absolute;left:476;top:1170;width:4206;height:2679" filled="false" stroked="true" strokeweight=".259594pt" strokecolor="#000000">
              <v:stroke dashstyle="solid"/>
            </v:rect>
            <v:line style="position:absolute" from="639,2366" to="639,3849" stroked="true" strokeweight="6.482576pt" strokecolor="#ff00ff">
              <v:stroke dashstyle="solid"/>
            </v:line>
            <v:rect style="position:absolute;left:573;top:2366;width:130;height:1483" filled="false" stroked="true" strokeweight=".238846pt" strokecolor="#ff00ff">
              <v:stroke dashstyle="solid"/>
            </v:rect>
            <v:line style="position:absolute" from="1480,3087" to="1480,3849" stroked="true" strokeweight="6.482576pt" strokecolor="#ff00ff">
              <v:stroke dashstyle="solid"/>
            </v:line>
            <v:rect style="position:absolute;left:1414;top:3087;width:130;height:762" filled="false" stroked="true" strokeweight=".239453pt" strokecolor="#ff00ff">
              <v:stroke dashstyle="solid"/>
            </v:rect>
            <v:line style="position:absolute" from="2321,3129" to="2321,3849" stroked="true" strokeweight="6.442806pt" strokecolor="#ff00ff">
              <v:stroke dashstyle="solid"/>
            </v:line>
            <v:rect style="position:absolute;left:2256;top:3129;width:129;height:720" filled="false" stroked="true" strokeweight=".239539pt" strokecolor="#ff00ff">
              <v:stroke dashstyle="solid"/>
            </v:rect>
            <v:rect style="position:absolute;left:3096;top:3727;width:130;height:122" filled="true" fillcolor="#ff00ff" stroked="false">
              <v:fill type="solid"/>
            </v:rect>
            <v:rect style="position:absolute;left:3096;top:3727;width:130;height:122" filled="false" stroked="true" strokeweight=".254313pt" strokecolor="#ff00ff">
              <v:stroke dashstyle="solid"/>
            </v:rect>
            <v:line style="position:absolute" from="4003,3251" to="4003,3849" stroked="true" strokeweight="6.482576pt" strokecolor="#ff00ff">
              <v:stroke dashstyle="solid"/>
            </v:line>
            <v:rect style="position:absolute;left:3937;top:3250;width:130;height:598" filled="false" stroked="true" strokeweight=".239946pt" strokecolor="#ff00ff">
              <v:stroke dashstyle="solid"/>
            </v:rect>
            <v:line style="position:absolute" from="768,1532" to="768,3849" stroked="true" strokeweight="6.482576pt" strokecolor="#0000ff">
              <v:stroke dashstyle="solid"/>
            </v:line>
            <v:rect style="position:absolute;left:703;top:1532;width:130;height:2317" filled="false" stroked="true" strokeweight=".238714pt" strokecolor="#0000ff">
              <v:stroke dashstyle="solid"/>
            </v:rect>
            <v:line style="position:absolute" from="1609,3226" to="1609,3849" stroked="true" strokeweight="6.482576pt" strokecolor="#0000ff">
              <v:stroke dashstyle="solid"/>
            </v:line>
            <v:rect style="position:absolute;left:1544;top:3225;width:130;height:623" filled="false" stroked="true" strokeweight=".239847pt" strokecolor="#0000ff">
              <v:stroke dashstyle="solid"/>
            </v:rect>
            <v:line style="position:absolute" from="2450,2162" to="2450,3849" stroked="true" strokeweight="6.482576pt" strokecolor="#0000ff">
              <v:stroke dashstyle="solid"/>
            </v:line>
            <v:rect style="position:absolute;left:2385;top:2162;width:130;height:1687" filled="false" stroked="true" strokeweight=".238796pt" strokecolor="#0000ff">
              <v:stroke dashstyle="solid"/>
            </v:rect>
            <v:line style="position:absolute" from="3291,3177" to="3291,3849" stroked="true" strokeweight="6.442806pt" strokecolor="#0000ff">
              <v:stroke dashstyle="solid"/>
            </v:line>
            <v:rect style="position:absolute;left:3226;top:3176;width:129;height:673" filled="false" stroked="true" strokeweight=".239668pt" strokecolor="#0000ff">
              <v:stroke dashstyle="solid"/>
            </v:rect>
            <v:line style="position:absolute" from="4132,2834" to="4132,3849" stroked="true" strokeweight="6.482576pt" strokecolor="#0000ff">
              <v:stroke dashstyle="solid"/>
            </v:line>
            <v:rect style="position:absolute;left:4067;top:2834;width:130;height:1015" filled="false" stroked="true" strokeweight=".239096pt" strokecolor="#0000ff">
              <v:stroke dashstyle="solid"/>
            </v:rect>
            <v:line style="position:absolute" from="898,2102" to="898,3849" stroked="true" strokeweight="6.442806pt" strokecolor="#66ff33">
              <v:stroke dashstyle="solid"/>
            </v:line>
            <v:rect style="position:absolute;left:833;top:2101;width:129;height:1748" filled="false" stroked="true" strokeweight=".238782pt" strokecolor="#66ff33">
              <v:stroke dashstyle="solid"/>
            </v:rect>
            <v:line style="position:absolute" from="1738,3376" to="1738,3849" stroked="true" strokeweight="6.442806pt" strokecolor="#66ff33">
              <v:stroke dashstyle="solid"/>
            </v:line>
            <v:rect style="position:absolute;left:1674;top:3376;width:129;height:473" filled="false" stroked="true" strokeweight=".240661pt" strokecolor="#66ff33">
              <v:stroke dashstyle="solid"/>
            </v:rect>
            <v:line style="position:absolute" from="2580,2576" to="2580,3849" stroked="true" strokeweight="6.482576pt" strokecolor="#66ff33">
              <v:stroke dashstyle="solid"/>
            </v:line>
            <v:rect style="position:absolute;left:2514;top:2576;width:130;height:1273" filled="false" stroked="true" strokeweight=".238925pt" strokecolor="#66ff33">
              <v:stroke dashstyle="solid"/>
            </v:rect>
            <v:line style="position:absolute" from="3420,3199" to="3420,3849" stroked="true" strokeweight="6.482576pt" strokecolor="#66ff33">
              <v:stroke dashstyle="solid"/>
            </v:line>
            <v:rect style="position:absolute;left:3355;top:3199;width:130;height:650" filled="false" stroked="true" strokeweight=".239751pt" strokecolor="#66ff33">
              <v:stroke dashstyle="solid"/>
            </v:rect>
            <v:rect style="position:absolute;left:4197;top:3225;width:129;height:623" filled="true" fillcolor="#66ff33" stroked="false">
              <v:fill type="solid"/>
            </v:rect>
            <v:rect style="position:absolute;left:4197;top:3225;width:129;height:623" filled="false" stroked="true" strokeweight=".239832pt" strokecolor="#66ff33">
              <v:stroke dashstyle="solid"/>
            </v:rect>
            <v:line style="position:absolute" from="1027,1979" to="1027,3849" stroked="true" strokeweight="6.482576pt" strokecolor="#ff3300">
              <v:stroke dashstyle="solid"/>
            </v:line>
            <v:rect style="position:absolute;left:962;top:1979;width:130;height:1870" filled="false" stroked="true" strokeweight=".238764pt" strokecolor="#ff3300">
              <v:stroke dashstyle="solid"/>
            </v:rect>
            <v:rect style="position:absolute;left:1802;top:3801;width:130;height:48" filled="true" fillcolor="#ff3300" stroked="false">
              <v:fill type="solid"/>
            </v:rect>
            <v:rect style="position:absolute;left:1802;top:3801;width:130;height:48" filled="false" stroked="true" strokeweight=".264630pt" strokecolor="#ff3300">
              <v:stroke dashstyle="solid"/>
            </v:rect>
            <v:line style="position:absolute" from="2709,2024" to="2709,3849" stroked="true" strokeweight="6.442806pt" strokecolor="#ff3300">
              <v:stroke dashstyle="solid"/>
            </v:line>
            <v:rect style="position:absolute;left:2644;top:2023;width:129;height:1825" filled="false" stroked="true" strokeweight=".238769pt" strokecolor="#ff3300">
              <v:stroke dashstyle="solid"/>
            </v:rect>
            <v:line style="position:absolute" from="3550,2646" to="3550,3849" stroked="true" strokeweight="6.482576pt" strokecolor="#ff3300">
              <v:stroke dashstyle="solid"/>
            </v:line>
            <v:rect style="position:absolute;left:3485;top:2645;width:130;height:1203" filled="false" stroked="true" strokeweight=".238961pt" strokecolor="#ff3300">
              <v:stroke dashstyle="solid"/>
            </v:rect>
            <v:rect style="position:absolute;left:4325;top:3226;width:130;height:622" filled="true" fillcolor="#ff3300" stroked="false">
              <v:fill type="solid"/>
            </v:rect>
            <v:rect style="position:absolute;left:4325;top:3226;width:130;height:622" filled="false" stroked="true" strokeweight=".23985pt" strokecolor="#ff3300">
              <v:stroke dashstyle="solid"/>
            </v:rect>
            <v:line style="position:absolute" from="1156,3310" to="1156,3849" stroked="true" strokeweight="6.442806pt" strokecolor="#000000">
              <v:stroke dashstyle="solid"/>
            </v:line>
            <v:rect style="position:absolute;left:1091;top:3309;width:129;height:539" filled="false" stroked="true" strokeweight=".240217pt" strokecolor="#000000">
              <v:stroke dashstyle="solid"/>
            </v:rect>
            <v:rect style="position:absolute;left:1932;top:3822;width:130;height:26" filled="true" fillcolor="#000000" stroked="false">
              <v:fill type="solid"/>
            </v:rect>
            <v:rect style="position:absolute;left:1932;top:3822;width:130;height:26" filled="false" stroked="true" strokeweight=".266969pt" strokecolor="#000000">
              <v:stroke dashstyle="solid"/>
            </v:rect>
            <v:line style="position:absolute" from="2838,3291" to="2838,3849" stroked="true" strokeweight="6.482576pt" strokecolor="#000000">
              <v:stroke dashstyle="solid"/>
            </v:line>
            <v:rect style="position:absolute;left:2773;top:3291;width:130;height:558" filled="false" stroked="true" strokeweight=".240134pt" strokecolor="#000000">
              <v:stroke dashstyle="solid"/>
            </v:rect>
            <v:rect style="position:absolute;left:3614;top:3794;width:129;height:55" filled="true" fillcolor="#000000" stroked="false">
              <v:fill type="solid"/>
            </v:rect>
            <v:rect style="position:absolute;left:3614;top:3794;width:129;height:55" filled="false" stroked="true" strokeweight=".263626pt" strokecolor="#000000">
              <v:stroke dashstyle="solid"/>
            </v:rect>
            <v:line style="position:absolute" from="4520,3346" to="4520,3849" stroked="true" strokeweight="6.482576pt" strokecolor="#000000">
              <v:stroke dashstyle="solid"/>
            </v:line>
            <v:rect style="position:absolute;left:4455;top:3345;width:130;height:504" filled="false" stroked="true" strokeweight=".240458pt" strokecolor="#000000">
              <v:stroke dashstyle="solid"/>
            </v:rect>
            <v:line style="position:absolute" from="477,3849" to="477,1170" stroked="true" strokeweight=".238622pt" strokecolor="#858585">
              <v:stroke dashstyle="solid"/>
            </v:line>
            <v:line style="position:absolute" from="427,3849" to="477,3849" stroked="true" strokeweight=".268101pt" strokecolor="#858585">
              <v:stroke dashstyle="solid"/>
            </v:line>
            <v:line style="position:absolute" from="427,3403" to="477,3403" stroked="true" strokeweight=".268101pt" strokecolor="#858585">
              <v:stroke dashstyle="solid"/>
            </v:line>
            <v:line style="position:absolute" from="427,2956" to="477,2956" stroked="true" strokeweight=".268101pt" strokecolor="#858585">
              <v:stroke dashstyle="solid"/>
            </v:line>
            <v:line style="position:absolute" from="427,2509" to="477,2509" stroked="true" strokeweight=".268101pt" strokecolor="#858585">
              <v:stroke dashstyle="solid"/>
            </v:line>
            <v:line style="position:absolute" from="427,2063" to="477,2063" stroked="true" strokeweight=".268101pt" strokecolor="#858585">
              <v:stroke dashstyle="solid"/>
            </v:line>
            <v:line style="position:absolute" from="427,1616" to="477,1616" stroked="true" strokeweight=".268101pt" strokecolor="#858585">
              <v:stroke dashstyle="solid"/>
            </v:line>
            <v:line style="position:absolute" from="427,1170" to="477,1170" stroked="true" strokeweight=".268101pt" strokecolor="#858585">
              <v:stroke dashstyle="solid"/>
            </v:line>
            <v:line style="position:absolute" from="477,3849" to="4682,3849" stroked="true" strokeweight=".268101pt" strokecolor="#858585">
              <v:stroke dashstyle="solid"/>
            </v:line>
            <v:rect style="position:absolute;left:3100;top:1237;width:87;height:99" filled="true" fillcolor="#ff00ff" stroked="false">
              <v:fill type="solid"/>
            </v:rect>
            <v:rect style="position:absolute;left:3100;top:1237;width:87;height:99" filled="false" stroked="true" strokeweight=".251520pt" strokecolor="#ff00ff">
              <v:stroke dashstyle="solid"/>
            </v:rect>
            <v:rect style="position:absolute;left:3100;top:1505;width:87;height:99" filled="true" fillcolor="#0000ff" stroked="false">
              <v:fill type="solid"/>
            </v:rect>
            <v:rect style="position:absolute;left:3100;top:1505;width:87;height:99" filled="false" stroked="true" strokeweight=".251520pt" strokecolor="#0000ff">
              <v:stroke dashstyle="solid"/>
            </v:rect>
            <v:rect style="position:absolute;left:3100;top:1774;width:87;height:99" filled="true" fillcolor="#66ff33" stroked="false">
              <v:fill type="solid"/>
            </v:rect>
            <v:rect style="position:absolute;left:3100;top:1774;width:87;height:99" filled="false" stroked="true" strokeweight=".251520pt" strokecolor="#66ff33">
              <v:stroke dashstyle="solid"/>
            </v:rect>
            <v:rect style="position:absolute;left:3100;top:2043;width:87;height:98" filled="true" fillcolor="#ff3300" stroked="false">
              <v:fill type="solid"/>
            </v:rect>
            <v:rect style="position:absolute;left:3100;top:2043;width:87;height:98" filled="false" stroked="true" strokeweight=".251653pt" strokecolor="#ff3300">
              <v:stroke dashstyle="solid"/>
            </v:rect>
            <v:rect style="position:absolute;left:3100;top:2311;width:87;height:99" filled="true" fillcolor="#000000" stroked="false">
              <v:fill type="solid"/>
            </v:rect>
            <v:rect style="position:absolute;left:3100;top:2311;width:87;height:99" filled="false" stroked="true" strokeweight=".251520pt" strokecolor="#000000">
              <v:stroke dashstyle="solid"/>
            </v:rect>
            <v:rect style="position:absolute;left:115;top:1041;width:4858;height:3567" filled="false" stroked="true" strokeweight=".257776pt" strokecolor="#858585">
              <v:stroke dashstyle="solid"/>
            </v:rect>
            <v:rect style="position:absolute;left:5544;top:1170;width:4291;height:2990" filled="false" stroked="true" strokeweight=".260067pt" strokecolor="#000000">
              <v:stroke dashstyle="solid"/>
            </v:rect>
            <v:line style="position:absolute" from="5544,4159" to="5544,1170" stroked="true" strokeweight=".243389pt" strokecolor="#858585">
              <v:stroke dashstyle="solid"/>
            </v:line>
            <v:line style="position:absolute" from="5492,4159" to="5544,4159" stroked="true" strokeweight=".26816pt" strokecolor="#858585">
              <v:stroke dashstyle="solid"/>
            </v:line>
            <v:line style="position:absolute" from="5492,3661" to="5544,3661" stroked="true" strokeweight=".26816pt" strokecolor="#858585">
              <v:stroke dashstyle="solid"/>
            </v:line>
            <v:line style="position:absolute" from="5492,3164" to="5544,3164" stroked="true" strokeweight=".26816pt" strokecolor="#858585">
              <v:stroke dashstyle="solid"/>
            </v:line>
            <v:line style="position:absolute" from="5492,2665" to="5544,2665" stroked="true" strokeweight=".26816pt" strokecolor="#858585">
              <v:stroke dashstyle="solid"/>
            </v:line>
            <v:line style="position:absolute" from="5492,2167" to="5544,2167" stroked="true" strokeweight=".26816pt" strokecolor="#858585">
              <v:stroke dashstyle="solid"/>
            </v:line>
            <v:line style="position:absolute" from="5492,1668" to="5544,1668" stroked="true" strokeweight=".26816pt" strokecolor="#858585">
              <v:stroke dashstyle="solid"/>
            </v:line>
            <v:line style="position:absolute" from="5492,1170" to="5544,1170" stroked="true" strokeweight=".26816pt" strokecolor="#858585">
              <v:stroke dashstyle="solid"/>
            </v:line>
            <v:line style="position:absolute" from="5544,4159" to="9835,4159" stroked="true" strokeweight=".26816pt" strokecolor="#858585">
              <v:stroke dashstyle="solid"/>
            </v:line>
            <v:shape style="position:absolute;left:5720;top:2277;width:4010;height:1541" coordorigin="5720,2278" coordsize="4010,1541" path="m5720,3495l5790,3317,5861,3147,5931,3361,6001,3190,6072,3282,6142,3328,6213,3303,6282,3115,6353,3212,6424,3070,6493,2787,6564,2943,6635,2642,6705,2838,6775,2713,6845,2618,6916,2759,6986,2778,7056,2900,7127,2993,7198,3370,7267,3576,7338,3818,7409,3814,7478,3765,7549,3645,7619,3629,7690,3519,7760,3375,7830,3403,7901,3269,7971,3188,8041,3207,8112,3253,8183,3292,8252,3417,8323,3479,8393,3439,8463,3511,8534,3367,8604,3313,8675,3222,8745,3253,8815,3095,8886,3060,8956,2961,9026,2981,9097,3082,9167,3002,9237,2902,9308,2925,9378,2803,9448,2827,9519,2804,9589,2486,9659,2389,9730,2278e" filled="false" stroked="true" strokeweight=".971574pt" strokecolor="#ff00ff">
              <v:path arrowok="t"/>
              <v:stroke dashstyle="solid"/>
            </v:shape>
            <v:shape style="position:absolute;left:5860;top:1446;width:3870;height:2391" coordorigin="5861,1446" coordsize="3870,2391" path="m5861,3828l5931,3717,6001,3724,6072,3659,6142,3615,6213,3649,6282,3643,6353,3540,6424,3487,6493,3448,6564,3392,6635,3200,6705,3109,6775,3005,6845,2844,6916,2819,6986,2730,7056,2866,7127,2987,7198,3216,7267,3585,7338,3789,7409,3832,7478,3837,7549,3810,7619,3781,7690,3784,7760,3733,7830,3645,7901,3590,7971,3578,8041,3649,8112,3724,8183,3658,8252,3716,8323,3769,8393,3763,8463,3642,8534,3410,8604,3324,8675,3203,8745,3207,8815,3195,8886,3089,8956,2978,9026,2856,9097,2827,9167,2638,9237,2474,9308,2418,9378,2235,9448,1957,9519,1865,9589,1707,9659,1645,9730,1446e" filled="false" stroked="true" strokeweight=".958165pt" strokecolor="#0000ff">
              <v:path arrowok="t"/>
              <v:stroke dashstyle="solid"/>
            </v:shape>
            <v:line style="position:absolute" from="6325,1453" to="6454,1453" stroked="true" strokeweight=".983253pt" strokecolor="#ff00ff">
              <v:stroke dashstyle="solid"/>
            </v:line>
            <v:line style="position:absolute" from="7207,1453" to="7337,1453" stroked="true" strokeweight=".983253pt" strokecolor="#0000ff">
              <v:stroke dashstyle="solid"/>
            </v:line>
            <v:rect style="position:absolute;left:5218;top:1041;width:4953;height:3564" filled="false" stroked="true" strokeweight=".25971pt" strokecolor="#858585">
              <v:stroke dashstyle="solid"/>
            </v:rect>
            <v:shape style="position:absolute;left:5414;top:4309;width:4290;height:179" type="#_x0000_t202" filled="false" stroked="false">
              <v:textbox inset="0,0,0,0">
                <w:txbxContent>
                  <w:p>
                    <w:pPr>
                      <w:tabs>
                        <w:tab w:pos="562" w:val="left" w:leader="none"/>
                        <w:tab w:pos="1125" w:val="left" w:leader="none"/>
                        <w:tab w:pos="1688" w:val="left" w:leader="none"/>
                        <w:tab w:pos="2251" w:val="left" w:leader="none"/>
                        <w:tab w:pos="2814" w:val="left" w:leader="none"/>
                        <w:tab w:pos="3377" w:val="left" w:leader="none"/>
                        <w:tab w:pos="3940" w:val="left" w:leader="none"/>
                      </w:tabs>
                      <w:spacing w:line="179" w:lineRule="exact" w:before="0"/>
                      <w:ind w:left="0" w:right="0" w:firstLine="0"/>
                      <w:jc w:val="left"/>
                      <w:rPr>
                        <w:rFonts w:ascii="Calibri"/>
                        <w:b/>
                        <w:sz w:val="18"/>
                      </w:rPr>
                    </w:pPr>
                    <w:r>
                      <w:rPr>
                        <w:rFonts w:ascii="Calibri"/>
                        <w:b/>
                        <w:sz w:val="18"/>
                      </w:rPr>
                      <w:t>2003</w:t>
                      <w:tab/>
                      <w:t>2005</w:t>
                      <w:tab/>
                      <w:t>2007</w:t>
                      <w:tab/>
                      <w:t>2009</w:t>
                      <w:tab/>
                      <w:t>2011</w:t>
                      <w:tab/>
                      <w:t>2013</w:t>
                      <w:tab/>
                      <w:t>2015</w:t>
                      <w:tab/>
                    </w:r>
                    <w:r>
                      <w:rPr>
                        <w:rFonts w:ascii="Calibri"/>
                        <w:b/>
                        <w:w w:val="90"/>
                        <w:sz w:val="18"/>
                      </w:rPr>
                      <w:t>2017</w:t>
                    </w:r>
                  </w:p>
                </w:txbxContent>
              </v:textbox>
              <w10:wrap type="none"/>
            </v:shape>
            <v:shape style="position:absolute;left:5229;top:2083;width:185;height:2173"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20</w:t>
                    </w:r>
                  </w:p>
                  <w:p>
                    <w:pPr>
                      <w:spacing w:line="240" w:lineRule="auto" w:before="10"/>
                      <w:rPr>
                        <w:rFonts w:ascii="Calibri"/>
                        <w:b/>
                        <w:sz w:val="22"/>
                      </w:rPr>
                    </w:pPr>
                  </w:p>
                  <w:p>
                    <w:pPr>
                      <w:spacing w:before="0"/>
                      <w:ind w:left="0" w:right="0" w:firstLine="0"/>
                      <w:jc w:val="left"/>
                      <w:rPr>
                        <w:rFonts w:ascii="Calibri"/>
                        <w:b/>
                        <w:sz w:val="18"/>
                      </w:rPr>
                    </w:pPr>
                    <w:r>
                      <w:rPr>
                        <w:rFonts w:ascii="Calibri"/>
                        <w:b/>
                        <w:w w:val="95"/>
                        <w:sz w:val="18"/>
                      </w:rPr>
                      <w:t>15</w:t>
                    </w:r>
                  </w:p>
                  <w:p>
                    <w:pPr>
                      <w:spacing w:line="240" w:lineRule="auto" w:before="10"/>
                      <w:rPr>
                        <w:rFonts w:ascii="Calibri"/>
                        <w:b/>
                        <w:sz w:val="22"/>
                      </w:rPr>
                    </w:pPr>
                  </w:p>
                  <w:p>
                    <w:pPr>
                      <w:spacing w:before="0"/>
                      <w:ind w:left="0" w:right="0" w:firstLine="0"/>
                      <w:jc w:val="left"/>
                      <w:rPr>
                        <w:rFonts w:ascii="Calibri"/>
                        <w:b/>
                        <w:sz w:val="18"/>
                      </w:rPr>
                    </w:pPr>
                    <w:r>
                      <w:rPr>
                        <w:rFonts w:ascii="Calibri"/>
                        <w:b/>
                        <w:w w:val="95"/>
                        <w:sz w:val="18"/>
                      </w:rPr>
                      <w:t>10</w:t>
                    </w:r>
                  </w:p>
                  <w:p>
                    <w:pPr>
                      <w:spacing w:line="240" w:lineRule="auto" w:before="10"/>
                      <w:rPr>
                        <w:rFonts w:ascii="Calibri"/>
                        <w:b/>
                        <w:sz w:val="22"/>
                      </w:rPr>
                    </w:pPr>
                  </w:p>
                  <w:p>
                    <w:pPr>
                      <w:spacing w:before="0"/>
                      <w:ind w:left="82" w:right="0" w:firstLine="0"/>
                      <w:jc w:val="left"/>
                      <w:rPr>
                        <w:rFonts w:ascii="Calibri"/>
                        <w:b/>
                        <w:sz w:val="18"/>
                      </w:rPr>
                    </w:pPr>
                    <w:r>
                      <w:rPr>
                        <w:rFonts w:ascii="Calibri"/>
                        <w:b/>
                        <w:w w:val="90"/>
                        <w:sz w:val="18"/>
                      </w:rPr>
                      <w:t>5</w:t>
                    </w:r>
                  </w:p>
                  <w:p>
                    <w:pPr>
                      <w:spacing w:line="240" w:lineRule="auto" w:before="10"/>
                      <w:rPr>
                        <w:rFonts w:ascii="Calibri"/>
                        <w:b/>
                        <w:sz w:val="22"/>
                      </w:rPr>
                    </w:pPr>
                  </w:p>
                  <w:p>
                    <w:pPr>
                      <w:spacing w:line="216" w:lineRule="exact" w:before="0"/>
                      <w:ind w:left="82" w:right="0" w:firstLine="0"/>
                      <w:jc w:val="left"/>
                      <w:rPr>
                        <w:rFonts w:ascii="Calibri"/>
                        <w:b/>
                        <w:sz w:val="18"/>
                      </w:rPr>
                    </w:pPr>
                    <w:r>
                      <w:rPr>
                        <w:rFonts w:ascii="Calibri"/>
                        <w:b/>
                        <w:w w:val="90"/>
                        <w:sz w:val="18"/>
                      </w:rPr>
                      <w:t>0</w:t>
                    </w:r>
                  </w:p>
                </w:txbxContent>
              </v:textbox>
              <w10:wrap type="none"/>
            </v:shape>
            <v:shape style="position:absolute;left:7351;top:1369;width:885;height:179"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A8 Countries</w:t>
                    </w:r>
                  </w:p>
                </w:txbxContent>
              </v:textbox>
              <w10:wrap type="none"/>
            </v:shape>
            <v:shape style="position:absolute;left:6468;top:1369;width:206;height:179"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EU</w:t>
                    </w:r>
                  </w:p>
                </w:txbxContent>
              </v:textbox>
              <w10:wrap type="none"/>
            </v:shape>
            <v:shape style="position:absolute;left:5229;top:1086;width:230;height:678" type="#_x0000_t202" filled="false" stroked="false">
              <v:textbox inset="0,0,0,0">
                <w:txbxContent>
                  <w:p>
                    <w:pPr>
                      <w:spacing w:line="182" w:lineRule="exact" w:before="0"/>
                      <w:ind w:left="0" w:right="0" w:firstLine="0"/>
                      <w:jc w:val="left"/>
                      <w:rPr>
                        <w:rFonts w:ascii="Calibri"/>
                        <w:b/>
                        <w:sz w:val="18"/>
                      </w:rPr>
                    </w:pPr>
                    <w:r>
                      <w:rPr>
                        <w:rFonts w:ascii="Calibri"/>
                        <w:b/>
                        <w:sz w:val="18"/>
                      </w:rPr>
                      <w:t>30</w:t>
                    </w:r>
                  </w:p>
                  <w:p>
                    <w:pPr>
                      <w:spacing w:line="194" w:lineRule="auto" w:before="133"/>
                      <w:ind w:left="0" w:right="1" w:firstLine="90"/>
                      <w:jc w:val="left"/>
                      <w:rPr>
                        <w:rFonts w:ascii="Calibri"/>
                        <w:b/>
                        <w:sz w:val="18"/>
                      </w:rPr>
                    </w:pPr>
                    <w:r>
                      <w:rPr>
                        <w:rFonts w:ascii="Calibri"/>
                        <w:b/>
                        <w:w w:val="90"/>
                        <w:sz w:val="18"/>
                      </w:rPr>
                      <w:t>% </w:t>
                    </w:r>
                    <w:r>
                      <w:rPr>
                        <w:rFonts w:ascii="Calibri"/>
                        <w:b/>
                        <w:sz w:val="18"/>
                      </w:rPr>
                      <w:t>25</w:t>
                    </w:r>
                  </w:p>
                </w:txbxContent>
              </v:textbox>
              <w10:wrap type="none"/>
            </v:shape>
            <v:shape style="position:absolute;left:1539;top:4277;width:3220;height:179" type="#_x0000_t202" filled="false" stroked="false">
              <v:textbox inset="0,0,0,0">
                <w:txbxContent>
                  <w:p>
                    <w:pPr>
                      <w:tabs>
                        <w:tab w:pos="3119" w:val="left" w:leader="hyphen"/>
                      </w:tabs>
                      <w:spacing w:line="179" w:lineRule="exact" w:before="0"/>
                      <w:ind w:left="0" w:right="0" w:firstLine="0"/>
                      <w:jc w:val="left"/>
                      <w:rPr>
                        <w:rFonts w:ascii="Calibri"/>
                        <w:b/>
                        <w:sz w:val="18"/>
                      </w:rPr>
                    </w:pPr>
                    <w:r>
                      <w:rPr>
                        <w:rFonts w:ascii="Calibri"/>
                        <w:b/>
                        <w:w w:val="95"/>
                        <w:sz w:val="18"/>
                      </w:rPr>
                      <w:t>&lt;----------------</w:t>
                    </w:r>
                    <w:r>
                      <w:rPr>
                        <w:rFonts w:ascii="Calibri"/>
                        <w:b/>
                        <w:spacing w:val="-24"/>
                        <w:w w:val="95"/>
                        <w:sz w:val="18"/>
                      </w:rPr>
                      <w:t> </w:t>
                    </w:r>
                    <w:r>
                      <w:rPr>
                        <w:rFonts w:ascii="Calibri"/>
                        <w:b/>
                        <w:w w:val="95"/>
                        <w:sz w:val="18"/>
                      </w:rPr>
                      <w:t>Split</w:t>
                    </w:r>
                    <w:r>
                      <w:rPr>
                        <w:rFonts w:ascii="Calibri"/>
                        <w:b/>
                        <w:spacing w:val="-25"/>
                        <w:w w:val="95"/>
                        <w:sz w:val="18"/>
                      </w:rPr>
                      <w:t> </w:t>
                    </w:r>
                    <w:r>
                      <w:rPr>
                        <w:rFonts w:ascii="Calibri"/>
                        <w:b/>
                        <w:w w:val="95"/>
                        <w:sz w:val="18"/>
                      </w:rPr>
                      <w:t>By</w:t>
                    </w:r>
                    <w:r>
                      <w:rPr>
                        <w:rFonts w:ascii="Calibri"/>
                        <w:b/>
                        <w:spacing w:val="-24"/>
                        <w:w w:val="95"/>
                        <w:sz w:val="18"/>
                      </w:rPr>
                      <w:t> </w:t>
                    </w:r>
                    <w:r>
                      <w:rPr>
                        <w:rFonts w:ascii="Calibri"/>
                        <w:b/>
                        <w:w w:val="95"/>
                        <w:sz w:val="18"/>
                      </w:rPr>
                      <w:t>Place</w:t>
                    </w:r>
                    <w:r>
                      <w:rPr>
                        <w:rFonts w:ascii="Calibri"/>
                        <w:b/>
                        <w:spacing w:val="-25"/>
                        <w:w w:val="95"/>
                        <w:sz w:val="18"/>
                      </w:rPr>
                      <w:t> </w:t>
                    </w:r>
                    <w:r>
                      <w:rPr>
                        <w:rFonts w:ascii="Calibri"/>
                        <w:b/>
                        <w:w w:val="95"/>
                        <w:sz w:val="18"/>
                      </w:rPr>
                      <w:t>of</w:t>
                    </w:r>
                    <w:r>
                      <w:rPr>
                        <w:rFonts w:ascii="Calibri"/>
                        <w:b/>
                        <w:spacing w:val="-25"/>
                        <w:w w:val="95"/>
                        <w:sz w:val="18"/>
                      </w:rPr>
                      <w:t> </w:t>
                    </w:r>
                    <w:r>
                      <w:rPr>
                        <w:rFonts w:ascii="Calibri"/>
                        <w:b/>
                        <w:w w:val="95"/>
                        <w:sz w:val="18"/>
                      </w:rPr>
                      <w:t>Birth</w:t>
                      <w:tab/>
                    </w:r>
                    <w:r>
                      <w:rPr>
                        <w:rFonts w:ascii="Calibri"/>
                        <w:b/>
                        <w:sz w:val="18"/>
                      </w:rPr>
                      <w:t>&gt;</w:t>
                    </w:r>
                  </w:p>
                </w:txbxContent>
              </v:textbox>
              <w10:wrap type="none"/>
            </v:shape>
            <v:shape style="position:absolute;left:1643;top:3998;width:2892;height:179" type="#_x0000_t202" filled="false" stroked="false">
              <v:textbox inset="0,0,0,0">
                <w:txbxContent>
                  <w:p>
                    <w:pPr>
                      <w:tabs>
                        <w:tab w:pos="564" w:val="left" w:leader="none"/>
                        <w:tab w:pos="2365" w:val="left" w:leader="none"/>
                      </w:tabs>
                      <w:spacing w:line="179" w:lineRule="exact" w:before="0"/>
                      <w:ind w:left="0" w:right="0" w:firstLine="0"/>
                      <w:jc w:val="left"/>
                      <w:rPr>
                        <w:rFonts w:ascii="Calibri"/>
                        <w:b/>
                        <w:sz w:val="18"/>
                      </w:rPr>
                    </w:pPr>
                    <w:r>
                      <w:rPr>
                        <w:rFonts w:ascii="Calibri"/>
                        <w:b/>
                        <w:sz w:val="18"/>
                      </w:rPr>
                      <w:t>UK</w:t>
                      <w:tab/>
                      <w:t>Outside UK  EU</w:t>
                    </w:r>
                    <w:r>
                      <w:rPr>
                        <w:rFonts w:ascii="Calibri"/>
                        <w:b/>
                        <w:spacing w:val="-24"/>
                        <w:sz w:val="18"/>
                      </w:rPr>
                      <w:t> </w:t>
                    </w:r>
                    <w:r>
                      <w:rPr>
                        <w:rFonts w:ascii="Calibri"/>
                        <w:b/>
                        <w:sz w:val="18"/>
                      </w:rPr>
                      <w:t>Ex</w:t>
                    </w:r>
                    <w:r>
                      <w:rPr>
                        <w:rFonts w:ascii="Calibri"/>
                        <w:b/>
                        <w:spacing w:val="-21"/>
                        <w:sz w:val="18"/>
                      </w:rPr>
                      <w:t> </w:t>
                    </w:r>
                    <w:r>
                      <w:rPr>
                        <w:rFonts w:ascii="Calibri"/>
                        <w:b/>
                        <w:sz w:val="18"/>
                      </w:rPr>
                      <w:t>UK</w:t>
                      <w:tab/>
                    </w:r>
                    <w:r>
                      <w:rPr>
                        <w:rFonts w:ascii="Calibri"/>
                        <w:b/>
                        <w:w w:val="90"/>
                        <w:sz w:val="18"/>
                      </w:rPr>
                      <w:t>Non-EU</w:t>
                    </w:r>
                  </w:p>
                </w:txbxContent>
              </v:textbox>
              <w10:wrap type="none"/>
            </v:shape>
            <v:shape style="position:absolute;left:729;top:3998;width:358;height:179" type="#_x0000_t202" filled="false" stroked="false">
              <v:textbox inset="0,0,0,0">
                <w:txbxContent>
                  <w:p>
                    <w:pPr>
                      <w:spacing w:line="179" w:lineRule="exact" w:before="0"/>
                      <w:ind w:left="0" w:right="0" w:firstLine="0"/>
                      <w:jc w:val="left"/>
                      <w:rPr>
                        <w:rFonts w:ascii="Calibri"/>
                        <w:b/>
                        <w:sz w:val="18"/>
                      </w:rPr>
                    </w:pPr>
                    <w:r>
                      <w:rPr>
                        <w:rFonts w:ascii="Calibri"/>
                        <w:b/>
                        <w:w w:val="90"/>
                        <w:sz w:val="18"/>
                      </w:rPr>
                      <w:t>Total</w:t>
                    </w:r>
                  </w:p>
                </w:txbxContent>
              </v:textbox>
              <w10:wrap type="none"/>
            </v:shape>
            <v:shape style="position:absolute;left:125;top:2426;width:225;height:1519"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0.6</w:t>
                    </w:r>
                  </w:p>
                  <w:p>
                    <w:pPr>
                      <w:spacing w:line="240" w:lineRule="auto" w:before="7"/>
                      <w:rPr>
                        <w:rFonts w:ascii="Calibri"/>
                        <w:b/>
                        <w:sz w:val="18"/>
                      </w:rPr>
                    </w:pPr>
                  </w:p>
                  <w:p>
                    <w:pPr>
                      <w:spacing w:before="0"/>
                      <w:ind w:left="0" w:right="0" w:firstLine="0"/>
                      <w:jc w:val="left"/>
                      <w:rPr>
                        <w:rFonts w:ascii="Calibri"/>
                        <w:b/>
                        <w:sz w:val="18"/>
                      </w:rPr>
                    </w:pPr>
                    <w:r>
                      <w:rPr>
                        <w:rFonts w:ascii="Calibri"/>
                        <w:b/>
                        <w:w w:val="95"/>
                        <w:sz w:val="18"/>
                      </w:rPr>
                      <w:t>0.4</w:t>
                    </w:r>
                  </w:p>
                  <w:p>
                    <w:pPr>
                      <w:spacing w:line="240" w:lineRule="auto" w:before="7"/>
                      <w:rPr>
                        <w:rFonts w:ascii="Calibri"/>
                        <w:b/>
                        <w:sz w:val="18"/>
                      </w:rPr>
                    </w:pPr>
                  </w:p>
                  <w:p>
                    <w:pPr>
                      <w:spacing w:before="0"/>
                      <w:ind w:left="0" w:right="0" w:firstLine="0"/>
                      <w:jc w:val="left"/>
                      <w:rPr>
                        <w:rFonts w:ascii="Calibri"/>
                        <w:b/>
                        <w:sz w:val="18"/>
                      </w:rPr>
                    </w:pPr>
                    <w:r>
                      <w:rPr>
                        <w:rFonts w:ascii="Calibri"/>
                        <w:b/>
                        <w:w w:val="95"/>
                        <w:sz w:val="18"/>
                      </w:rPr>
                      <w:t>0.2</w:t>
                    </w:r>
                  </w:p>
                  <w:p>
                    <w:pPr>
                      <w:spacing w:line="240" w:lineRule="auto" w:before="7"/>
                      <w:rPr>
                        <w:rFonts w:ascii="Calibri"/>
                        <w:b/>
                        <w:sz w:val="18"/>
                      </w:rPr>
                    </w:pPr>
                  </w:p>
                  <w:p>
                    <w:pPr>
                      <w:spacing w:line="216" w:lineRule="exact" w:before="0"/>
                      <w:ind w:left="0" w:right="0" w:firstLine="0"/>
                      <w:jc w:val="left"/>
                      <w:rPr>
                        <w:rFonts w:ascii="Calibri"/>
                        <w:b/>
                        <w:sz w:val="18"/>
                      </w:rPr>
                    </w:pPr>
                    <w:r>
                      <w:rPr>
                        <w:rFonts w:ascii="Calibri"/>
                        <w:b/>
                        <w:w w:val="95"/>
                        <w:sz w:val="18"/>
                      </w:rPr>
                      <w:t>0.0</w:t>
                    </w:r>
                  </w:p>
                </w:txbxContent>
              </v:textbox>
              <w10:wrap type="none"/>
            </v:shape>
            <v:shape style="position:absolute;left:3229;top:1203;width:1294;height:1254" type="#_x0000_t202" filled="false" stroked="false">
              <v:textbox inset="0,0,0,0">
                <w:txbxContent>
                  <w:p>
                    <w:pPr>
                      <w:spacing w:line="182" w:lineRule="exact" w:before="0"/>
                      <w:ind w:left="0" w:right="0" w:firstLine="0"/>
                      <w:jc w:val="left"/>
                      <w:rPr>
                        <w:rFonts w:ascii="Calibri"/>
                        <w:b/>
                        <w:sz w:val="18"/>
                      </w:rPr>
                    </w:pPr>
                    <w:r>
                      <w:rPr>
                        <w:rFonts w:ascii="Calibri"/>
                        <w:b/>
                        <w:w w:val="85"/>
                        <w:sz w:val="18"/>
                      </w:rPr>
                      <w:t>1998-2002 </w:t>
                    </w:r>
                    <w:r>
                      <w:rPr>
                        <w:rFonts w:ascii="Calibri"/>
                        <w:b/>
                        <w:spacing w:val="4"/>
                        <w:w w:val="85"/>
                        <w:sz w:val="18"/>
                      </w:rPr>
                      <w:t> </w:t>
                    </w:r>
                    <w:r>
                      <w:rPr>
                        <w:rFonts w:ascii="Calibri"/>
                        <w:b/>
                        <w:w w:val="85"/>
                        <w:sz w:val="18"/>
                      </w:rPr>
                      <w:t>Average</w:t>
                    </w:r>
                  </w:p>
                  <w:p>
                    <w:pPr>
                      <w:spacing w:before="49"/>
                      <w:ind w:left="0" w:right="0" w:firstLine="0"/>
                      <w:jc w:val="left"/>
                      <w:rPr>
                        <w:rFonts w:ascii="Calibri"/>
                        <w:b/>
                        <w:sz w:val="18"/>
                      </w:rPr>
                    </w:pPr>
                    <w:r>
                      <w:rPr>
                        <w:rFonts w:ascii="Calibri"/>
                        <w:b/>
                        <w:w w:val="85"/>
                        <w:sz w:val="18"/>
                      </w:rPr>
                      <w:t>2003-2007 </w:t>
                    </w:r>
                    <w:r>
                      <w:rPr>
                        <w:rFonts w:ascii="Calibri"/>
                        <w:b/>
                        <w:spacing w:val="4"/>
                        <w:w w:val="85"/>
                        <w:sz w:val="18"/>
                      </w:rPr>
                      <w:t> </w:t>
                    </w:r>
                    <w:r>
                      <w:rPr>
                        <w:rFonts w:ascii="Calibri"/>
                        <w:b/>
                        <w:w w:val="85"/>
                        <w:sz w:val="18"/>
                      </w:rPr>
                      <w:t>Average</w:t>
                    </w:r>
                  </w:p>
                  <w:p>
                    <w:pPr>
                      <w:spacing w:before="49"/>
                      <w:ind w:left="0" w:right="0" w:firstLine="0"/>
                      <w:jc w:val="left"/>
                      <w:rPr>
                        <w:rFonts w:ascii="Calibri"/>
                        <w:b/>
                        <w:sz w:val="18"/>
                      </w:rPr>
                    </w:pPr>
                    <w:r>
                      <w:rPr>
                        <w:rFonts w:ascii="Calibri"/>
                        <w:b/>
                        <w:w w:val="85"/>
                        <w:sz w:val="18"/>
                      </w:rPr>
                      <w:t>2008-2012 </w:t>
                    </w:r>
                    <w:r>
                      <w:rPr>
                        <w:rFonts w:ascii="Calibri"/>
                        <w:b/>
                        <w:spacing w:val="4"/>
                        <w:w w:val="85"/>
                        <w:sz w:val="18"/>
                      </w:rPr>
                      <w:t> </w:t>
                    </w:r>
                    <w:r>
                      <w:rPr>
                        <w:rFonts w:ascii="Calibri"/>
                        <w:b/>
                        <w:w w:val="85"/>
                        <w:sz w:val="18"/>
                      </w:rPr>
                      <w:t>Average</w:t>
                    </w:r>
                  </w:p>
                  <w:p>
                    <w:pPr>
                      <w:spacing w:before="49"/>
                      <w:ind w:left="0" w:right="0" w:firstLine="0"/>
                      <w:jc w:val="left"/>
                      <w:rPr>
                        <w:rFonts w:ascii="Calibri"/>
                        <w:b/>
                        <w:sz w:val="18"/>
                      </w:rPr>
                    </w:pPr>
                    <w:r>
                      <w:rPr>
                        <w:rFonts w:ascii="Calibri"/>
                        <w:b/>
                        <w:w w:val="85"/>
                        <w:sz w:val="18"/>
                      </w:rPr>
                      <w:t>2013-2016 </w:t>
                    </w:r>
                    <w:r>
                      <w:rPr>
                        <w:rFonts w:ascii="Calibri"/>
                        <w:b/>
                        <w:spacing w:val="4"/>
                        <w:w w:val="85"/>
                        <w:sz w:val="18"/>
                      </w:rPr>
                      <w:t> </w:t>
                    </w:r>
                    <w:r>
                      <w:rPr>
                        <w:rFonts w:ascii="Calibri"/>
                        <w:b/>
                        <w:w w:val="85"/>
                        <w:sz w:val="18"/>
                      </w:rPr>
                      <w:t>Average</w:t>
                    </w:r>
                  </w:p>
                  <w:p>
                    <w:pPr>
                      <w:spacing w:line="216" w:lineRule="exact" w:before="49"/>
                      <w:ind w:left="0" w:right="0" w:firstLine="0"/>
                      <w:jc w:val="left"/>
                      <w:rPr>
                        <w:rFonts w:ascii="Calibri"/>
                        <w:b/>
                        <w:sz w:val="18"/>
                      </w:rPr>
                    </w:pPr>
                    <w:r>
                      <w:rPr>
                        <w:rFonts w:ascii="Calibri"/>
                        <w:b/>
                        <w:sz w:val="18"/>
                      </w:rPr>
                      <w:t>Q3 2017</w:t>
                    </w:r>
                  </w:p>
                </w:txbxContent>
              </v:textbox>
              <w10:wrap type="none"/>
            </v:shape>
            <v:shape style="position:absolute;left:125;top:1533;width:225;height:626" type="#_x0000_t202" filled="false" stroked="false">
              <v:textbox inset="0,0,0,0">
                <w:txbxContent>
                  <w:p>
                    <w:pPr>
                      <w:spacing w:line="182" w:lineRule="exact" w:before="0"/>
                      <w:ind w:left="0" w:right="0" w:firstLine="0"/>
                      <w:jc w:val="left"/>
                      <w:rPr>
                        <w:rFonts w:ascii="Calibri"/>
                        <w:b/>
                        <w:sz w:val="18"/>
                      </w:rPr>
                    </w:pPr>
                    <w:r>
                      <w:rPr>
                        <w:rFonts w:ascii="Calibri"/>
                        <w:b/>
                        <w:w w:val="95"/>
                        <w:sz w:val="18"/>
                      </w:rPr>
                      <w:t>1.0</w:t>
                    </w:r>
                  </w:p>
                  <w:p>
                    <w:pPr>
                      <w:spacing w:line="240" w:lineRule="auto" w:before="7"/>
                      <w:rPr>
                        <w:rFonts w:ascii="Calibri"/>
                        <w:b/>
                        <w:sz w:val="18"/>
                      </w:rPr>
                    </w:pPr>
                  </w:p>
                  <w:p>
                    <w:pPr>
                      <w:spacing w:line="216" w:lineRule="exact" w:before="0"/>
                      <w:ind w:left="0" w:right="0" w:firstLine="0"/>
                      <w:jc w:val="left"/>
                      <w:rPr>
                        <w:rFonts w:ascii="Calibri"/>
                        <w:b/>
                        <w:sz w:val="18"/>
                      </w:rPr>
                    </w:pPr>
                    <w:r>
                      <w:rPr>
                        <w:rFonts w:ascii="Calibri"/>
                        <w:b/>
                        <w:w w:val="95"/>
                        <w:sz w:val="18"/>
                      </w:rPr>
                      <w:t>0.8</w:t>
                    </w:r>
                  </w:p>
                </w:txbxContent>
              </v:textbox>
              <w10:wrap type="none"/>
            </v:shape>
            <v:shape style="position:absolute;left:547;top:1280;width:136;height:179" type="#_x0000_t202" filled="false" stroked="false">
              <v:textbox inset="0,0,0,0">
                <w:txbxContent>
                  <w:p>
                    <w:pPr>
                      <w:spacing w:line="179" w:lineRule="exact" w:before="0"/>
                      <w:ind w:left="0" w:right="0" w:firstLine="0"/>
                      <w:jc w:val="left"/>
                      <w:rPr>
                        <w:rFonts w:ascii="Calibri"/>
                        <w:b/>
                        <w:sz w:val="18"/>
                      </w:rPr>
                    </w:pPr>
                    <w:r>
                      <w:rPr>
                        <w:rFonts w:ascii="Calibri"/>
                        <w:b/>
                        <w:w w:val="88"/>
                        <w:sz w:val="18"/>
                      </w:rPr>
                      <w:t>%</w:t>
                    </w:r>
                  </w:p>
                </w:txbxContent>
              </v:textbox>
              <w10:wrap type="none"/>
            </v:shape>
            <v:shape style="position:absolute;left:125;top:1086;width:225;height:179" type="#_x0000_t202" filled="false" stroked="false">
              <v:textbox inset="0,0,0,0">
                <w:txbxContent>
                  <w:p>
                    <w:pPr>
                      <w:spacing w:line="179" w:lineRule="exact" w:before="0"/>
                      <w:ind w:left="0" w:right="0" w:firstLine="0"/>
                      <w:jc w:val="left"/>
                      <w:rPr>
                        <w:rFonts w:ascii="Calibri"/>
                        <w:b/>
                        <w:sz w:val="18"/>
                      </w:rPr>
                    </w:pPr>
                    <w:r>
                      <w:rPr>
                        <w:rFonts w:ascii="Calibri"/>
                        <w:b/>
                        <w:w w:val="95"/>
                        <w:sz w:val="18"/>
                      </w:rPr>
                      <w:t>1.2</w:t>
                    </w:r>
                  </w:p>
                </w:txbxContent>
              </v:textbox>
              <w10:wrap type="none"/>
            </v:shape>
            <v:shape style="position:absolute;left:5113;top:9;width:5202;height:1021" type="#_x0000_t202" filled="false" stroked="false">
              <v:textbox inset="0,0,0,0">
                <w:txbxContent>
                  <w:p>
                    <w:pPr>
                      <w:spacing w:line="352" w:lineRule="auto" w:before="108"/>
                      <w:ind w:left="103" w:right="105" w:firstLine="0"/>
                      <w:jc w:val="left"/>
                      <w:rPr>
                        <w:sz w:val="20"/>
                      </w:rPr>
                    </w:pPr>
                    <w:r>
                      <w:rPr>
                        <w:sz w:val="20"/>
                      </w:rPr>
                      <w:t>Figure 10. EU and A8 Countries -- Pct of Firms Reporting Output Constrained By Labour Shortages,</w:t>
                    </w:r>
                  </w:p>
                  <w:p>
                    <w:pPr>
                      <w:spacing w:before="3"/>
                      <w:ind w:left="103" w:right="0" w:firstLine="0"/>
                      <w:jc w:val="left"/>
                      <w:rPr>
                        <w:sz w:val="20"/>
                      </w:rPr>
                    </w:pPr>
                    <w:r>
                      <w:rPr>
                        <w:sz w:val="20"/>
                      </w:rPr>
                      <w:t>2003-17</w:t>
                    </w:r>
                  </w:p>
                </w:txbxContent>
              </v:textbox>
              <w10:wrap type="none"/>
            </v:shape>
            <v:shape style="position:absolute;left:9;top:9;width:5095;height:1021" type="#_x0000_t202" filled="false" stroked="false">
              <v:textbox inset="0,0,0,0">
                <w:txbxContent>
                  <w:p>
                    <w:pPr>
                      <w:spacing w:line="352" w:lineRule="auto" w:before="108"/>
                      <w:ind w:left="103" w:right="32" w:firstLine="0"/>
                      <w:jc w:val="left"/>
                      <w:rPr>
                        <w:sz w:val="20"/>
                      </w:rPr>
                    </w:pPr>
                    <w:r>
                      <w:rPr>
                        <w:sz w:val="20"/>
                      </w:rPr>
                      <w:t>Figure 9. UK – Contribution to YoY Workforce Growth By Place of Birth, 1997-2017</w:t>
                    </w:r>
                  </w:p>
                </w:txbxContent>
              </v:textbox>
              <w10:wrap type="none"/>
            </v:shape>
          </v:group>
        </w:pict>
      </w:r>
      <w:r>
        <w:rPr/>
      </w:r>
    </w:p>
    <w:p>
      <w:pPr>
        <w:spacing w:line="444" w:lineRule="auto" w:before="146"/>
        <w:ind w:left="673" w:right="1480" w:firstLine="0"/>
        <w:jc w:val="left"/>
        <w:rPr>
          <w:sz w:val="16"/>
        </w:rPr>
      </w:pPr>
      <w:r>
        <w:rPr/>
        <w:pict>
          <v:group style="position:absolute;margin-left:49.436562pt;margin-top:109.317039pt;width:212.9pt;height:145.3pt;mso-position-horizontal-relative:page;mso-position-vertical-relative:paragraph;z-index:-253455360" coordorigin="989,2186" coordsize="4258,2906">
            <v:rect style="position:absolute;left:1038;top:2189;width:4206;height:2900" filled="false" stroked="true" strokeweight=".267355pt" strokecolor="#000000">
              <v:stroke dashstyle="solid"/>
            </v:rect>
            <v:rect style="position:absolute;left:1155;top:3338;width:156;height:1750" filled="true" fillcolor="#0000ff" stroked="false">
              <v:fill type="solid"/>
            </v:rect>
            <v:rect style="position:absolute;left:1155;top:3338;width:156;height:1750" filled="false" stroked="true" strokeweight=".23921pt" strokecolor="#0000ff">
              <v:stroke dashstyle="solid"/>
            </v:rect>
            <v:rect style="position:absolute;left:1856;top:2775;width:157;height:2314" filled="true" fillcolor="#0000ff" stroked="false">
              <v:fill type="solid"/>
            </v:rect>
            <v:rect style="position:absolute;left:1856;top:2775;width:157;height:2314" filled="false" stroked="true" strokeweight=".239072pt" strokecolor="#0000ff">
              <v:stroke dashstyle="solid"/>
            </v:rect>
            <v:rect style="position:absolute;left:2557;top:2553;width:157;height:2536" filled="true" fillcolor="#0000ff" stroked="false">
              <v:fill type="solid"/>
            </v:rect>
            <v:rect style="position:absolute;left:2557;top:2553;width:157;height:2536" filled="false" stroked="true" strokeweight=".23904pt" strokecolor="#0000ff">
              <v:stroke dashstyle="solid"/>
            </v:rect>
            <v:rect style="position:absolute;left:3258;top:3061;width:157;height:2028" filled="true" fillcolor="#0000ff" stroked="false">
              <v:fill type="solid"/>
            </v:rect>
            <v:rect style="position:absolute;left:3258;top:3061;width:157;height:2028" filled="false" stroked="true" strokeweight=".239129pt" strokecolor="#0000ff">
              <v:stroke dashstyle="solid"/>
            </v:rect>
            <v:rect style="position:absolute;left:3959;top:2900;width:156;height:2189" filled="true" fillcolor="#0000ff" stroked="false">
              <v:fill type="solid"/>
            </v:rect>
            <v:rect style="position:absolute;left:3959;top:2900;width:156;height:2189" filled="false" stroked="true" strokeweight=".239092pt" strokecolor="#0000ff">
              <v:stroke dashstyle="solid"/>
            </v:rect>
            <v:rect style="position:absolute;left:4660;top:4727;width:156;height:362" filled="true" fillcolor="#0000ff" stroked="false">
              <v:fill type="solid"/>
            </v:rect>
            <v:rect style="position:absolute;left:4660;top:4727;width:156;height:362" filled="false" stroked="true" strokeweight=".245428pt" strokecolor="#0000ff">
              <v:stroke dashstyle="solid"/>
            </v:rect>
            <v:rect style="position:absolute;left:1311;top:3120;width:157;height:1969" filled="true" fillcolor="#ff00ff" stroked="false">
              <v:fill type="solid"/>
            </v:rect>
            <v:rect style="position:absolute;left:1311;top:3120;width:157;height:1969" filled="false" stroked="true" strokeweight=".239144pt" strokecolor="#ff00ff">
              <v:stroke dashstyle="solid"/>
            </v:rect>
            <v:rect style="position:absolute;left:2012;top:2853;width:156;height:2235" filled="true" fillcolor="#ff00ff" stroked="false">
              <v:fill type="solid"/>
            </v:rect>
            <v:rect style="position:absolute;left:2012;top:2853;width:156;height:2235" filled="false" stroked="true" strokeweight=".239083pt" strokecolor="#ff00ff">
              <v:stroke dashstyle="solid"/>
            </v:rect>
            <v:rect style="position:absolute;left:2713;top:3254;width:156;height:1835" filled="true" fillcolor="#ff00ff" stroked="false">
              <v:fill type="solid"/>
            </v:rect>
            <v:rect style="position:absolute;left:2713;top:3254;width:156;height:1835" filled="false" stroked="true" strokeweight=".239181pt" strokecolor="#ff00ff">
              <v:stroke dashstyle="solid"/>
            </v:rect>
            <v:rect style="position:absolute;left:3414;top:3509;width:157;height:1580" filled="true" fillcolor="#ff00ff" stroked="false">
              <v:fill type="solid"/>
            </v:rect>
            <v:rect style="position:absolute;left:3414;top:3509;width:157;height:1580" filled="false" stroked="true" strokeweight=".239288pt" strokecolor="#ff00ff">
              <v:stroke dashstyle="solid"/>
            </v:rect>
            <v:rect style="position:absolute;left:4114;top:3395;width:157;height:1694" filled="true" fillcolor="#ff00ff" stroked="false">
              <v:fill type="solid"/>
            </v:rect>
            <v:rect style="position:absolute;left:4114;top:3395;width:157;height:1694" filled="false" stroked="true" strokeweight=".239235pt" strokecolor="#ff00ff">
              <v:stroke dashstyle="solid"/>
            </v:rect>
            <v:rect style="position:absolute;left:4815;top:3545;width:157;height:1544" filled="true" fillcolor="#ff00ff" stroked="false">
              <v:fill type="solid"/>
            </v:rect>
            <v:rect style="position:absolute;left:4815;top:3545;width:157;height:1544" filled="false" stroked="true" strokeweight=".239307pt" strokecolor="#ff00ff">
              <v:stroke dashstyle="solid"/>
            </v:rect>
            <v:rect style="position:absolute;left:2168;top:2656;width:157;height:2433" filled="true" fillcolor="#66ff33" stroked="false">
              <v:fill type="solid"/>
            </v:rect>
            <v:rect style="position:absolute;left:2168;top:2656;width:157;height:2433" filled="false" stroked="true" strokeweight=".239054pt" strokecolor="#66ff33">
              <v:stroke dashstyle="solid"/>
            </v:rect>
            <v:rect style="position:absolute;left:2868;top:3128;width:157;height:1961" filled="true" fillcolor="#66ff33" stroked="false">
              <v:fill type="solid"/>
            </v:rect>
            <v:rect style="position:absolute;left:2868;top:3128;width:157;height:1961" filled="false" stroked="true" strokeweight=".239146pt" strokecolor="#66ff33">
              <v:stroke dashstyle="solid"/>
            </v:rect>
            <v:rect style="position:absolute;left:3570;top:3429;width:156;height:1660" filled="true" fillcolor="#66ff33" stroked="false">
              <v:fill type="solid"/>
            </v:rect>
            <v:rect style="position:absolute;left:3570;top:3429;width:156;height:1660" filled="false" stroked="true" strokeweight=".239246pt" strokecolor="#66ff33">
              <v:stroke dashstyle="solid"/>
            </v:rect>
            <v:rect style="position:absolute;left:4270;top:3545;width:156;height:1544" filled="true" fillcolor="#66ff33" stroked="false">
              <v:fill type="solid"/>
            </v:rect>
            <v:rect style="position:absolute;left:4270;top:3545;width:156;height:1544" filled="false" stroked="true" strokeweight=".239303pt" strokecolor="#66ff33">
              <v:stroke dashstyle="solid"/>
            </v:rect>
            <v:rect style="position:absolute;left:4971;top:3510;width:157;height:1579" filled="true" fillcolor="#66ff33" stroked="false">
              <v:fill type="solid"/>
            </v:rect>
            <v:rect style="position:absolute;left:4971;top:3510;width:157;height:1579" filled="false" stroked="true" strokeweight=".239288pt" strokecolor="#66ff33">
              <v:stroke dashstyle="solid"/>
            </v:rect>
            <v:shape style="position:absolute;left:945;top:1219;width:12826;height:7433" coordorigin="946,1219" coordsize="12826,7433" path="m1039,5089l1039,2189m989,5089l1039,5089m989,4800l1039,4800m989,4509l1039,4509m989,4219l1039,4219m989,3929l1039,3929m989,3640l1039,3640m989,3349l1039,3349m989,3059l1039,3059m989,2770l1039,2770m989,2479l1039,2479m989,2189l1039,2189m1039,5089l5244,5089e" filled="false" stroked="true" strokeweight=".259888pt" strokecolor="#858585">
              <v:path arrowok="t"/>
              <v:stroke dashstyle="solid"/>
            </v:shape>
            <v:rect style="position:absolute;left:2913;top:2572;width:88;height:103" filled="true" fillcolor="#0000ff" stroked="false">
              <v:fill type="solid"/>
            </v:rect>
            <v:rect style="position:absolute;left:2913;top:2572;width:88;height:103" filled="false" stroked="true" strokeweight=".256514pt" strokecolor="#0000ff">
              <v:stroke dashstyle="solid"/>
            </v:rect>
            <v:rect style="position:absolute;left:3336;top:2572;width:88;height:103" filled="true" fillcolor="#ff00ff" stroked="false">
              <v:fill type="solid"/>
            </v:rect>
            <v:rect style="position:absolute;left:3336;top:2572;width:88;height:103" filled="false" stroked="true" strokeweight=".256514pt" strokecolor="#ff00ff">
              <v:stroke dashstyle="solid"/>
            </v:rect>
            <v:rect style="position:absolute;left:3912;top:2572;width:88;height:103" filled="true" fillcolor="#66ff33" stroked="false">
              <v:fill type="solid"/>
            </v:rect>
            <v:rect style="position:absolute;left:3912;top:2572;width:88;height:103" filled="false" stroked="true" strokeweight=".256514pt" strokecolor="#66ff33">
              <v:stroke dashstyle="solid"/>
            </v:rect>
            <w10:wrap type="none"/>
          </v:group>
        </w:pict>
      </w:r>
      <w:r>
        <w:rPr/>
        <w:pict>
          <v:group style="position:absolute;margin-left:301.080322pt;margin-top:109.370438pt;width:224.05pt;height:156.7pt;mso-position-horizontal-relative:page;mso-position-vertical-relative:paragraph;z-index:-253454336" coordorigin="6022,2187" coordsize="4481,3134">
            <v:rect style="position:absolute;left:6073;top:2190;width:4427;height:3129" filled="false" stroked="true" strokeweight=".268418pt" strokecolor="#000000">
              <v:stroke dashstyle="solid"/>
            </v:rect>
            <v:shape style="position:absolute;left:6205;top:2594;width:4269;height:2311" coordorigin="6205,2594" coordsize="4269,2311" path="m8547,3520l8418,3520,8471,3779,8524,4218,8576,4905,8629,4874,8682,4680,8734,4605,8787,4568,8840,4458,8892,4253,9062,4253,9081,4164,8682,4164,8629,3983,8576,3815,8547,3520xm9573,3876l9419,3876,9472,3997,9525,4704,9573,3876xm7084,3165l6890,3165,6943,3311,6995,3541,7048,3988,7101,4353,7154,4161,7206,3860,7459,3860,7470,3830,7522,3585,7560,3475,7470,3475,7417,3409,7364,3314,7363,3313,7206,3313,7184,3270,7101,3270,7084,3165xm9062,4253l8892,4253,8945,4265,8998,4281,9051,4308,9062,4253xm9184,4058l9103,4058,9156,4227,9184,4058xm8945,3524l8892,3643,8840,3748,8787,3987,8734,4042,8682,4164,9081,4164,9103,4058,9184,4058,9209,3912,9406,3912,9419,3876,9573,3876,9577,3805,9588,3790,9209,3790,9156,3772,9120,3692,8998,3692,8945,3524xm9406,3912l9209,3912,9261,3998,9314,4139,9367,4017,9406,3912xm7459,3860l7206,3860,7259,4011,7312,3965,7364,3960,7422,3960,7459,3860xm6443,3145l6310,3145,6363,3182,6416,3248,6468,3722,6521,3978,6574,3716,6627,3559,6679,3469,6733,3469,6785,3409,6836,3267,6627,3267,6574,3242,6568,3237,6468,3237,6443,3145xm7422,3960l7364,3960,7417,3975,7422,3960xm10130,3093l10052,3093,10105,3259,10157,3434,10210,3591,10263,3819,10315,3657,10367,3263,10210,3263,10157,3156,10130,3093xm8120,3778l8049,3778,8102,3812,8120,3778xm8201,3546l7839,3546,7891,3557,7944,3734,7997,3793,8049,3778,8120,3778,8155,3711,8201,3546xm9314,3661l9261,3718,9209,3790,9588,3790,9625,3736,9367,3736,9314,3661xm9742,3729l9630,3729,9683,3731,9736,3761,9742,3729xm9472,3562l9419,3605,9367,3736,9625,3736,9630,3729,9742,3729,9770,3584,9525,3584,9472,3562xm9905,3491l9788,3491,9841,3694,9894,3549,9905,3491xm9051,3641l8998,3692,9120,3692,9103,3654,9051,3641xm7715,3432l7575,3432,7628,3613,7680,3541,7715,3432xm8466,3313l8260,3313,8313,3377,8366,3603,8418,3520,8547,3520,8528,3322,8471,3322,8466,3313xm9788,2798l9736,2933,9683,3167,9630,3236,9577,3402,9525,3584,9770,3584,9788,3491,9905,3491,9946,3286,9999,3182,10052,3093,10130,3093,10119,3071,9894,3071,9841,2963,9788,2798xm7916,3377l7733,3377,7786,3563,7839,3546,8201,3546,8207,3521,8236,3408,7944,3408,7916,3377xm6363,2766l6310,2772,6258,2820,6205,3531,6258,3181,6310,3145,6443,3145,6416,3046,6363,2766xm7680,3016l7628,3113,7575,3126,7522,3136,7470,3475,7560,3475,7575,3432,7715,3432,7733,3377,7916,3377,7891,3349,7839,3214,7786,3187,7733,3038,7680,3016xm6733,3469l6679,3469,6732,3471,6733,3469xm7997,3140l7944,3408,8236,3408,8258,3323,8049,3323,7997,3140xm8155,2994l8102,3321,8049,3323,8258,3323,8260,3313,8466,3313,8432,3254,8207,3254,8155,2994xm8524,3275l8471,3322,8528,3322,8524,3275xm7312,3270l7259,3294,7206,3313,7363,3313,7312,3270xm7154,3212l7101,3270,7184,3270,7154,3212xm6943,2735l6890,2738,6837,2889,6785,2896,6732,2945,6679,3049,6627,3267,6836,3267,6837,3264,6890,3165,7084,3165,7048,2947,6995,2854,6943,2735xm10263,3157l10210,3263,10367,3263,10368,3259,10395,3206,10315,3206,10263,3157xm8366,3116l8313,3154,8260,3166,8207,3254,8432,3254,8418,3231,8366,3116xm6521,3201l6468,3237,6568,3237,6521,3201xm10473,2594l10421,2882,10368,2976,10315,3206,10395,3206,10421,3157,10473,3074,10473,2594xm10052,2938l9999,2946,9946,2986,9894,3071,10119,3071,10104,3037,10052,2938xe" filled="true" fillcolor="#85c2ff" stroked="false">
              <v:path arrowok="t"/>
              <v:fill type="solid"/>
            </v:shape>
            <v:shape style="position:absolute;left:720;top:1216;width:13236;height:8021" coordorigin="720,1216" coordsize="13236,8021" path="m6074,5318l6074,2190m6022,5318l6074,5318m6022,4872l6074,4872m6022,4425l6074,4425m6022,3978l6074,3978m6022,3531l6074,3531m6022,3084l6074,3084m6022,2637l6074,2637m6022,2190l6074,2190m6074,3531l10500,3531e" filled="false" stroked="true" strokeweight=".262208pt" strokecolor="#858585">
              <v:path arrowok="t"/>
              <v:stroke dashstyle="solid"/>
            </v:shape>
            <v:shape style="position:absolute;left:6257;top:2906;width:4216;height:1517" coordorigin="6258,2906" coordsize="4216,1517" path="m6258,2956l6311,2992,6363,3022,6415,3150,6468,3433,6521,3521,6574,3465,6627,3401,6679,3278,6732,3243,6785,3245,6838,3079,6890,3040,6942,3092,6995,3109,7048,3353,7101,3664,7154,3544,7206,3517,7259,3532,7312,3497,7365,3546,7417,3666,7469,3576,7522,3346,7575,3270,7628,3259,7681,3311,7733,3191,7786,3328,7839,3399,7891,3488,7944,3523,7996,3447,8049,3474,8102,3497,8155,3433,8208,3380,8260,3241,8313,3255,8366,3366,8418,3385,8471,3620,8523,3850,8576,4293,8629,4404,8682,4423,8735,4316,8787,4233,8840,4173,8892,3923,8945,3943,8998,3995,9050,3929,9103,3876,9156,3946,9209,3870,9262,3847,9314,3908,9366,3878,9419,3791,9472,3790,9525,4008,9577,3695,9630,3521,9683,3459,9736,3480,9789,3264,9841,3318,9893,3278,9946,3131,9999,3093,10052,3019,10104,3160,10157,3287,10210,3372,10263,3401,10316,3406,10368,3146,10420,3006,10473,2906e" filled="false" stroked="true" strokeweight="1.014008pt" strokecolor="#0000ff">
              <v:path arrowok="t"/>
              <v:stroke dashstyle="solid"/>
            </v:shape>
            <v:shape style="position:absolute;left:7274;top:3865;width:1795;height:783" coordorigin="7275,3866" coordsize="1795,783" path="m7330,3920l7329,3918,7306,3873,7302,3866,7276,3918,7275,3920,7275,3922,7277,3923,7278,3924,7280,3924,7281,3922,7299,3887,7299,4462,7305,4462,7305,3887,7324,3924,7326,3924,7327,3923,7329,3922,7330,3920m9070,4042l9069,4040,9045,3996,9042,3988,9015,4043,9016,4045,9019,4047,9021,4047,9039,4010,9049,4648,9055,4648,9045,4010,9045,4004,9045,4010,9063,4044,9064,4046,9066,4046,9069,4044,9070,4042e" filled="true" fillcolor="#000000" stroked="false">
              <v:path arrowok="t"/>
              <v:fill type="solid"/>
            </v:shape>
            <w10:wrap type="none"/>
          </v:group>
        </w:pict>
      </w:r>
      <w:r>
        <w:rPr>
          <w:sz w:val="16"/>
        </w:rPr>
        <w:t>Note: In the right chart, we use a weighted average for manufacturing and services. The A8 average is also weighted appropriately. Sources: ONS, European Commission and BoE</w:t>
      </w:r>
    </w:p>
    <w:p>
      <w:pPr>
        <w:pStyle w:val="BodyText"/>
        <w:spacing w:before="3"/>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858"/>
        <w:gridCol w:w="135"/>
        <w:gridCol w:w="110"/>
        <w:gridCol w:w="4952"/>
        <w:gridCol w:w="148"/>
      </w:tblGrid>
      <w:tr>
        <w:trPr>
          <w:trHeight w:val="1019" w:hRule="atLeast"/>
        </w:trPr>
        <w:tc>
          <w:tcPr>
            <w:tcW w:w="5104" w:type="dxa"/>
            <w:gridSpan w:val="3"/>
            <w:tcBorders>
              <w:bottom w:val="single" w:sz="6" w:space="0" w:color="000000"/>
            </w:tcBorders>
          </w:tcPr>
          <w:p>
            <w:pPr>
              <w:pStyle w:val="TableParagraph"/>
              <w:spacing w:line="355" w:lineRule="auto" w:before="107"/>
              <w:ind w:left="107"/>
              <w:rPr>
                <w:rFonts w:ascii="Arial" w:hAnsi="Arial"/>
                <w:sz w:val="20"/>
              </w:rPr>
            </w:pPr>
            <w:r>
              <w:rPr>
                <w:rFonts w:ascii="Arial" w:hAnsi="Arial"/>
                <w:sz w:val="20"/>
              </w:rPr>
              <w:t>Figure 11. UK and EU – Number of Graduates in Workforce (Aged 15-74 Years) YoY, 1997-17</w:t>
            </w:r>
          </w:p>
        </w:tc>
        <w:tc>
          <w:tcPr>
            <w:tcW w:w="5210" w:type="dxa"/>
            <w:gridSpan w:val="3"/>
            <w:tcBorders>
              <w:bottom w:val="single" w:sz="6" w:space="0" w:color="000000"/>
            </w:tcBorders>
          </w:tcPr>
          <w:p>
            <w:pPr>
              <w:pStyle w:val="TableParagraph"/>
              <w:spacing w:before="107"/>
              <w:ind w:left="107"/>
              <w:rPr>
                <w:rFonts w:ascii="Arial" w:hAnsi="Arial"/>
                <w:sz w:val="20"/>
              </w:rPr>
            </w:pPr>
            <w:r>
              <w:rPr>
                <w:rFonts w:ascii="Arial" w:hAnsi="Arial"/>
                <w:sz w:val="20"/>
              </w:rPr>
              <w:t>Figure 12. UK – Surveys of Labour Market Tightness,</w:t>
            </w:r>
          </w:p>
          <w:p>
            <w:pPr>
              <w:pStyle w:val="TableParagraph"/>
              <w:spacing w:line="340" w:lineRule="atLeast" w:before="1"/>
              <w:ind w:left="107" w:right="270"/>
              <w:rPr>
                <w:rFonts w:ascii="Arial"/>
                <w:sz w:val="20"/>
              </w:rPr>
            </w:pPr>
            <w:r>
              <w:rPr>
                <w:rFonts w:ascii="Arial"/>
                <w:sz w:val="20"/>
              </w:rPr>
              <w:t>Standard Deviations from Average Since 2000), 1997- 2017</w:t>
            </w:r>
          </w:p>
        </w:tc>
      </w:tr>
      <w:tr>
        <w:trPr>
          <w:trHeight w:val="3732" w:hRule="atLeast"/>
        </w:trPr>
        <w:tc>
          <w:tcPr>
            <w:tcW w:w="111" w:type="dxa"/>
            <w:tcBorders>
              <w:right w:val="single" w:sz="4" w:space="0" w:color="858585"/>
            </w:tcBorders>
          </w:tcPr>
          <w:p>
            <w:pPr>
              <w:pStyle w:val="TableParagraph"/>
              <w:rPr>
                <w:rFonts w:ascii="Times New Roman"/>
                <w:sz w:val="16"/>
              </w:rPr>
            </w:pPr>
          </w:p>
        </w:tc>
        <w:tc>
          <w:tcPr>
            <w:tcW w:w="4858" w:type="dxa"/>
            <w:tcBorders>
              <w:top w:val="single" w:sz="6" w:space="0" w:color="000000"/>
              <w:left w:val="single" w:sz="4" w:space="0" w:color="858585"/>
              <w:bottom w:val="thickThinMediumGap" w:sz="2" w:space="0" w:color="000000"/>
              <w:right w:val="single" w:sz="4" w:space="0" w:color="858585"/>
            </w:tcBorders>
          </w:tcPr>
          <w:p>
            <w:pPr>
              <w:pStyle w:val="TableParagraph"/>
              <w:spacing w:before="13"/>
              <w:ind w:left="9"/>
              <w:rPr>
                <w:b/>
                <w:sz w:val="18"/>
              </w:rPr>
            </w:pPr>
            <w:r>
              <w:rPr>
                <w:b/>
                <w:sz w:val="18"/>
              </w:rPr>
              <w:t>5.0</w:t>
            </w:r>
          </w:p>
          <w:p>
            <w:pPr>
              <w:pStyle w:val="TableParagraph"/>
              <w:tabs>
                <w:tab w:pos="548" w:val="left" w:leader="none"/>
                <w:tab w:pos="2365" w:val="left" w:leader="none"/>
                <w:tab w:pos="2788" w:val="left" w:leader="none"/>
                <w:tab w:pos="3363" w:val="left" w:leader="none"/>
              </w:tabs>
              <w:spacing w:line="158" w:lineRule="auto" w:before="133"/>
              <w:ind w:left="9" w:right="788"/>
              <w:rPr>
                <w:b/>
                <w:sz w:val="18"/>
              </w:rPr>
            </w:pPr>
            <w:r>
              <w:rPr>
                <w:b/>
                <w:position w:val="14"/>
                <w:sz w:val="18"/>
              </w:rPr>
              <w:t>4.5</w:t>
              <w:tab/>
            </w:r>
            <w:r>
              <w:rPr>
                <w:b/>
                <w:position w:val="11"/>
                <w:sz w:val="18"/>
              </w:rPr>
              <w:t>%</w:t>
              <w:tab/>
            </w:r>
            <w:r>
              <w:rPr>
                <w:b/>
                <w:sz w:val="18"/>
              </w:rPr>
              <w:t>UK</w:t>
              <w:tab/>
              <w:t>EU15</w:t>
              <w:tab/>
            </w:r>
            <w:r>
              <w:rPr>
                <w:b/>
                <w:w w:val="90"/>
                <w:sz w:val="18"/>
              </w:rPr>
              <w:t>Overall </w:t>
            </w:r>
            <w:r>
              <w:rPr>
                <w:b/>
                <w:spacing w:val="-7"/>
                <w:w w:val="90"/>
                <w:sz w:val="18"/>
              </w:rPr>
              <w:t>EU </w:t>
            </w:r>
            <w:r>
              <w:rPr>
                <w:b/>
                <w:sz w:val="18"/>
              </w:rPr>
              <w:t>4.0</w:t>
            </w:r>
          </w:p>
          <w:p>
            <w:pPr>
              <w:pStyle w:val="TableParagraph"/>
              <w:spacing w:before="87"/>
              <w:ind w:left="9"/>
              <w:rPr>
                <w:b/>
                <w:sz w:val="18"/>
              </w:rPr>
            </w:pPr>
            <w:r>
              <w:rPr>
                <w:b/>
                <w:sz w:val="18"/>
              </w:rPr>
              <w:t>3.5</w:t>
            </w:r>
          </w:p>
          <w:p>
            <w:pPr>
              <w:pStyle w:val="TableParagraph"/>
              <w:spacing w:before="71"/>
              <w:ind w:left="9"/>
              <w:rPr>
                <w:b/>
                <w:sz w:val="18"/>
              </w:rPr>
            </w:pPr>
            <w:r>
              <w:rPr>
                <w:b/>
                <w:sz w:val="18"/>
              </w:rPr>
              <w:t>3.0</w:t>
            </w:r>
          </w:p>
          <w:p>
            <w:pPr>
              <w:pStyle w:val="TableParagraph"/>
              <w:spacing w:before="70"/>
              <w:ind w:left="9"/>
              <w:rPr>
                <w:b/>
                <w:sz w:val="18"/>
              </w:rPr>
            </w:pPr>
            <w:r>
              <w:rPr>
                <w:b/>
                <w:sz w:val="18"/>
              </w:rPr>
              <w:t>2.5</w:t>
            </w:r>
          </w:p>
          <w:p>
            <w:pPr>
              <w:pStyle w:val="TableParagraph"/>
              <w:spacing w:before="70"/>
              <w:ind w:left="9"/>
              <w:rPr>
                <w:b/>
                <w:sz w:val="18"/>
              </w:rPr>
            </w:pPr>
            <w:r>
              <w:rPr>
                <w:b/>
                <w:sz w:val="18"/>
              </w:rPr>
              <w:t>2.0</w:t>
            </w:r>
          </w:p>
          <w:p>
            <w:pPr>
              <w:pStyle w:val="TableParagraph"/>
              <w:spacing w:before="71"/>
              <w:ind w:left="9"/>
              <w:rPr>
                <w:b/>
                <w:sz w:val="18"/>
              </w:rPr>
            </w:pPr>
            <w:r>
              <w:rPr>
                <w:b/>
                <w:sz w:val="18"/>
              </w:rPr>
              <w:t>1.5</w:t>
            </w:r>
          </w:p>
          <w:p>
            <w:pPr>
              <w:pStyle w:val="TableParagraph"/>
              <w:spacing w:before="70"/>
              <w:ind w:left="9"/>
              <w:rPr>
                <w:b/>
                <w:sz w:val="18"/>
              </w:rPr>
            </w:pPr>
            <w:r>
              <w:rPr>
                <w:b/>
                <w:sz w:val="18"/>
              </w:rPr>
              <w:t>1.0</w:t>
            </w:r>
          </w:p>
          <w:p>
            <w:pPr>
              <w:pStyle w:val="TableParagraph"/>
              <w:spacing w:before="70"/>
              <w:ind w:left="9"/>
              <w:rPr>
                <w:b/>
                <w:sz w:val="18"/>
              </w:rPr>
            </w:pPr>
            <w:r>
              <w:rPr>
                <w:b/>
                <w:sz w:val="18"/>
              </w:rPr>
              <w:t>0.5</w:t>
            </w:r>
          </w:p>
          <w:p>
            <w:pPr>
              <w:pStyle w:val="TableParagraph"/>
              <w:spacing w:before="71"/>
              <w:ind w:left="9"/>
              <w:rPr>
                <w:b/>
                <w:sz w:val="18"/>
              </w:rPr>
            </w:pPr>
            <w:r>
              <w:rPr>
                <w:b/>
                <w:sz w:val="18"/>
              </w:rPr>
              <w:t>0.0</w:t>
            </w:r>
          </w:p>
          <w:p>
            <w:pPr>
              <w:pStyle w:val="TableParagraph"/>
              <w:tabs>
                <w:tab w:pos="2653" w:val="left" w:leader="none"/>
                <w:tab w:pos="3354" w:val="left" w:leader="none"/>
                <w:tab w:pos="4016" w:val="left" w:leader="none"/>
              </w:tabs>
              <w:spacing w:before="23"/>
              <w:ind w:left="364"/>
              <w:rPr>
                <w:b/>
                <w:sz w:val="18"/>
              </w:rPr>
            </w:pPr>
            <w:r>
              <w:rPr>
                <w:b/>
                <w:sz w:val="18"/>
              </w:rPr>
              <w:t>1997-2002</w:t>
            </w:r>
            <w:r>
              <w:rPr>
                <w:b/>
                <w:spacing w:val="-12"/>
                <w:sz w:val="18"/>
              </w:rPr>
              <w:t> </w:t>
            </w:r>
            <w:r>
              <w:rPr>
                <w:b/>
                <w:sz w:val="18"/>
              </w:rPr>
              <w:t>2003-08</w:t>
            </w:r>
            <w:r>
              <w:rPr>
                <w:b/>
                <w:spacing w:val="10"/>
                <w:sz w:val="18"/>
              </w:rPr>
              <w:t> </w:t>
            </w:r>
            <w:r>
              <w:rPr>
                <w:b/>
                <w:sz w:val="18"/>
              </w:rPr>
              <w:t>2009-14</w:t>
              <w:tab/>
              <w:t>2015</w:t>
              <w:tab/>
              <w:t>2016</w:t>
              <w:tab/>
              <w:t>Latest</w:t>
            </w:r>
          </w:p>
          <w:p>
            <w:pPr>
              <w:pStyle w:val="TableParagraph"/>
              <w:spacing w:before="9"/>
              <w:ind w:left="440"/>
              <w:rPr>
                <w:b/>
                <w:sz w:val="18"/>
              </w:rPr>
            </w:pPr>
            <w:r>
              <w:rPr>
                <w:b/>
                <w:sz w:val="18"/>
              </w:rPr>
              <w:t>Average Average Average</w:t>
            </w:r>
          </w:p>
        </w:tc>
        <w:tc>
          <w:tcPr>
            <w:tcW w:w="135" w:type="dxa"/>
            <w:tcBorders>
              <w:left w:val="single" w:sz="4" w:space="0" w:color="858585"/>
            </w:tcBorders>
          </w:tcPr>
          <w:p>
            <w:pPr>
              <w:pStyle w:val="TableParagraph"/>
              <w:rPr>
                <w:rFonts w:ascii="Times New Roman"/>
                <w:sz w:val="16"/>
              </w:rPr>
            </w:pPr>
          </w:p>
        </w:tc>
        <w:tc>
          <w:tcPr>
            <w:tcW w:w="110" w:type="dxa"/>
            <w:tcBorders>
              <w:right w:val="single" w:sz="4" w:space="0" w:color="858585"/>
            </w:tcBorders>
          </w:tcPr>
          <w:p>
            <w:pPr>
              <w:pStyle w:val="TableParagraph"/>
              <w:rPr>
                <w:rFonts w:ascii="Times New Roman"/>
                <w:sz w:val="16"/>
              </w:rPr>
            </w:pPr>
          </w:p>
        </w:tc>
        <w:tc>
          <w:tcPr>
            <w:tcW w:w="4952" w:type="dxa"/>
            <w:tcBorders>
              <w:top w:val="single" w:sz="6" w:space="0" w:color="000000"/>
              <w:left w:val="single" w:sz="4" w:space="0" w:color="858585"/>
              <w:bottom w:val="thickThinMediumGap" w:sz="2" w:space="0" w:color="000000"/>
              <w:right w:val="single" w:sz="4" w:space="0" w:color="858585"/>
            </w:tcBorders>
          </w:tcPr>
          <w:p>
            <w:pPr>
              <w:pStyle w:val="TableParagraph"/>
              <w:spacing w:line="189" w:lineRule="exact" w:before="13"/>
              <w:ind w:left="59"/>
              <w:rPr>
                <w:b/>
                <w:sz w:val="18"/>
              </w:rPr>
            </w:pPr>
            <w:r>
              <w:rPr>
                <w:b/>
                <w:w w:val="90"/>
                <w:sz w:val="18"/>
              </w:rPr>
              <w:t>3</w:t>
            </w:r>
          </w:p>
          <w:p>
            <w:pPr>
              <w:pStyle w:val="TableParagraph"/>
              <w:spacing w:line="189" w:lineRule="exact"/>
              <w:ind w:left="348"/>
              <w:rPr>
                <w:b/>
                <w:sz w:val="18"/>
              </w:rPr>
            </w:pPr>
            <w:r>
              <w:rPr>
                <w:b/>
                <w:sz w:val="18"/>
              </w:rPr>
              <w:t>sd</w:t>
            </w:r>
          </w:p>
          <w:p>
            <w:pPr>
              <w:pStyle w:val="TableParagraph"/>
              <w:spacing w:before="70"/>
              <w:ind w:left="59"/>
              <w:rPr>
                <w:b/>
                <w:sz w:val="18"/>
              </w:rPr>
            </w:pPr>
            <w:r>
              <w:rPr>
                <w:b/>
                <w:w w:val="90"/>
                <w:sz w:val="18"/>
              </w:rPr>
              <w:t>2</w:t>
            </w:r>
          </w:p>
          <w:p>
            <w:pPr>
              <w:pStyle w:val="TableParagraph"/>
              <w:spacing w:before="9"/>
              <w:rPr>
                <w:rFonts w:ascii="Arial"/>
                <w:sz w:val="19"/>
              </w:rPr>
            </w:pPr>
          </w:p>
          <w:p>
            <w:pPr>
              <w:pStyle w:val="TableParagraph"/>
              <w:ind w:left="59"/>
              <w:rPr>
                <w:b/>
                <w:sz w:val="18"/>
              </w:rPr>
            </w:pPr>
            <w:r>
              <w:rPr>
                <w:b/>
                <w:w w:val="90"/>
                <w:sz w:val="18"/>
              </w:rPr>
              <w:t>1</w:t>
            </w:r>
          </w:p>
          <w:p>
            <w:pPr>
              <w:pStyle w:val="TableParagraph"/>
              <w:spacing w:before="9"/>
              <w:rPr>
                <w:rFonts w:ascii="Arial"/>
                <w:sz w:val="19"/>
              </w:rPr>
            </w:pPr>
          </w:p>
          <w:p>
            <w:pPr>
              <w:pStyle w:val="TableParagraph"/>
              <w:ind w:left="59"/>
              <w:rPr>
                <w:b/>
                <w:sz w:val="18"/>
              </w:rPr>
            </w:pPr>
            <w:r>
              <w:rPr>
                <w:b/>
                <w:w w:val="90"/>
                <w:sz w:val="18"/>
              </w:rPr>
              <w:t>0</w:t>
            </w:r>
          </w:p>
          <w:p>
            <w:pPr>
              <w:pStyle w:val="TableParagraph"/>
              <w:spacing w:before="9"/>
              <w:rPr>
                <w:rFonts w:ascii="Arial"/>
                <w:sz w:val="19"/>
              </w:rPr>
            </w:pPr>
          </w:p>
          <w:p>
            <w:pPr>
              <w:pStyle w:val="TableParagraph"/>
              <w:ind w:left="10"/>
              <w:rPr>
                <w:b/>
                <w:sz w:val="18"/>
              </w:rPr>
            </w:pPr>
            <w:r>
              <w:rPr>
                <w:b/>
                <w:sz w:val="18"/>
              </w:rPr>
              <w:t>-1</w:t>
            </w:r>
          </w:p>
          <w:p>
            <w:pPr>
              <w:pStyle w:val="TableParagraph"/>
              <w:spacing w:before="9"/>
              <w:rPr>
                <w:rFonts w:ascii="Arial"/>
                <w:sz w:val="19"/>
              </w:rPr>
            </w:pPr>
          </w:p>
          <w:p>
            <w:pPr>
              <w:pStyle w:val="TableParagraph"/>
              <w:ind w:left="10"/>
              <w:rPr>
                <w:b/>
                <w:sz w:val="18"/>
              </w:rPr>
            </w:pPr>
            <w:r>
              <w:rPr>
                <w:b/>
                <w:sz w:val="18"/>
              </w:rPr>
              <w:t>-2</w:t>
            </w:r>
          </w:p>
          <w:p>
            <w:pPr>
              <w:pStyle w:val="TableParagraph"/>
              <w:spacing w:line="187" w:lineRule="exact" w:before="9"/>
              <w:ind w:left="891"/>
              <w:rPr>
                <w:b/>
                <w:sz w:val="18"/>
              </w:rPr>
            </w:pPr>
            <w:r>
              <w:rPr>
                <w:b/>
                <w:sz w:val="18"/>
              </w:rPr>
              <w:t>Range of Surveys</w:t>
            </w:r>
          </w:p>
          <w:p>
            <w:pPr>
              <w:pStyle w:val="TableParagraph"/>
              <w:tabs>
                <w:tab w:pos="2972" w:val="left" w:leader="none"/>
              </w:tabs>
              <w:spacing w:line="192" w:lineRule="auto"/>
              <w:ind w:left="10"/>
              <w:rPr>
                <w:b/>
                <w:sz w:val="18"/>
              </w:rPr>
            </w:pPr>
            <w:r>
              <w:rPr>
                <w:b/>
                <w:position w:val="-5"/>
                <w:sz w:val="18"/>
              </w:rPr>
              <w:t>-3</w:t>
              <w:tab/>
            </w:r>
            <w:r>
              <w:rPr>
                <w:b/>
                <w:sz w:val="18"/>
              </w:rPr>
              <w:t>Average of</w:t>
            </w:r>
            <w:r>
              <w:rPr>
                <w:b/>
                <w:spacing w:val="-22"/>
                <w:sz w:val="18"/>
              </w:rPr>
              <w:t> </w:t>
            </w:r>
            <w:r>
              <w:rPr>
                <w:b/>
                <w:sz w:val="18"/>
              </w:rPr>
              <w:t>Surveys</w:t>
            </w:r>
          </w:p>
          <w:p>
            <w:pPr>
              <w:pStyle w:val="TableParagraph"/>
              <w:spacing w:before="10"/>
              <w:rPr>
                <w:rFonts w:ascii="Arial"/>
                <w:sz w:val="20"/>
              </w:rPr>
            </w:pPr>
          </w:p>
          <w:p>
            <w:pPr>
              <w:pStyle w:val="TableParagraph"/>
              <w:ind w:left="10"/>
              <w:rPr>
                <w:b/>
                <w:sz w:val="18"/>
              </w:rPr>
            </w:pPr>
            <w:r>
              <w:rPr>
                <w:b/>
                <w:sz w:val="18"/>
              </w:rPr>
              <w:t>-4</w:t>
            </w:r>
          </w:p>
          <w:p>
            <w:pPr>
              <w:pStyle w:val="TableParagraph"/>
              <w:spacing w:before="24"/>
              <w:ind w:left="154"/>
              <w:rPr>
                <w:b/>
                <w:sz w:val="18"/>
              </w:rPr>
            </w:pPr>
            <w:r>
              <w:rPr>
                <w:b/>
                <w:sz w:val="18"/>
              </w:rPr>
              <w:t>1997 1999 2001 2003 2005 2007 2009 2011 2013 2015 2017</w:t>
            </w:r>
          </w:p>
        </w:tc>
        <w:tc>
          <w:tcPr>
            <w:tcW w:w="148" w:type="dxa"/>
            <w:tcBorders>
              <w:left w:val="single" w:sz="4" w:space="0" w:color="858585"/>
            </w:tcBorders>
          </w:tcPr>
          <w:p>
            <w:pPr>
              <w:pStyle w:val="TableParagraph"/>
              <w:rPr>
                <w:rFonts w:ascii="Times New Roman"/>
                <w:sz w:val="16"/>
              </w:rPr>
            </w:pPr>
          </w:p>
        </w:tc>
      </w:tr>
    </w:tbl>
    <w:p>
      <w:pPr>
        <w:pStyle w:val="BodyText"/>
        <w:spacing w:before="3"/>
        <w:rPr>
          <w:sz w:val="14"/>
        </w:rPr>
      </w:pPr>
    </w:p>
    <w:p>
      <w:pPr>
        <w:spacing w:line="444" w:lineRule="auto" w:before="0"/>
        <w:ind w:left="673" w:right="1498" w:firstLine="0"/>
        <w:jc w:val="left"/>
        <w:rPr>
          <w:sz w:val="16"/>
        </w:rPr>
      </w:pPr>
      <w:r>
        <w:rPr>
          <w:sz w:val="16"/>
        </w:rPr>
        <w:t>Note: In the left chart, latest data are Q3 2017 for UK, Q2 2017 for EU and EU 15. In the right chart, we use a weighted average for manufacturing and services.</w:t>
      </w:r>
    </w:p>
    <w:p>
      <w:pPr>
        <w:spacing w:line="182" w:lineRule="exact" w:before="0"/>
        <w:ind w:left="673" w:right="0" w:firstLine="0"/>
        <w:jc w:val="left"/>
        <w:rPr>
          <w:sz w:val="16"/>
        </w:rPr>
      </w:pPr>
      <w:r>
        <w:rPr>
          <w:sz w:val="16"/>
        </w:rPr>
        <w:t>Sources: Eurostat, CBI, British Chambers of Commerce, REC and BoE</w:t>
      </w:r>
    </w:p>
    <w:p>
      <w:pPr>
        <w:spacing w:after="0" w:line="182" w:lineRule="exact"/>
        <w:jc w:val="left"/>
        <w:rPr>
          <w:sz w:val="16"/>
        </w:rPr>
        <w:sectPr>
          <w:pgSz w:w="11910" w:h="16840"/>
          <w:pgMar w:header="0" w:footer="1338" w:top="1580" w:bottom="1520" w:left="46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spacing w:line="444" w:lineRule="auto" w:before="0"/>
        <w:ind w:left="673" w:right="1231" w:firstLine="0"/>
        <w:jc w:val="both"/>
        <w:rPr>
          <w:sz w:val="16"/>
        </w:rPr>
      </w:pPr>
      <w:r>
        <w:rPr/>
        <w:pict>
          <v:group style="position:absolute;margin-left:28.08pt;margin-top:-252.106094pt;width:516.25pt;height:244.5pt;mso-position-horizontal-relative:page;mso-position-vertical-relative:paragraph;z-index:251741184" coordorigin="562,-5042" coordsize="10325,4890">
            <v:line style="position:absolute" from="571,-5037" to="5665,-5037" stroked="true" strokeweight=".48pt" strokecolor="#000000">
              <v:stroke dashstyle="solid"/>
            </v:line>
            <v:line style="position:absolute" from="5675,-5037" to="10877,-5037" stroked="true" strokeweight=".48pt" strokecolor="#000000">
              <v:stroke dashstyle="solid"/>
            </v:line>
            <v:line style="position:absolute" from="571,-4007" to="5665,-4007" stroked="true" strokeweight=".48pt" strokecolor="#000000">
              <v:stroke dashstyle="solid"/>
            </v:line>
            <v:line style="position:absolute" from="5675,-4007" to="10877,-4007" stroked="true" strokeweight=".48pt" strokecolor="#000000">
              <v:stroke dashstyle="solid"/>
            </v:line>
            <v:line style="position:absolute" from="566,-5042" to="566,-152" stroked="true" strokeweight=".48pt" strokecolor="#000000">
              <v:stroke dashstyle="solid"/>
            </v:line>
            <v:line style="position:absolute" from="571,-157" to="5665,-157" stroked="true" strokeweight=".48001pt" strokecolor="#000000">
              <v:stroke dashstyle="solid"/>
            </v:line>
            <v:line style="position:absolute" from="5670,-5042" to="5670,-152" stroked="true" strokeweight=".48001pt" strokecolor="#000000">
              <v:stroke dashstyle="solid"/>
            </v:line>
            <v:line style="position:absolute" from="5675,-157" to="10877,-157" stroked="true" strokeweight=".48001pt" strokecolor="#000000">
              <v:stroke dashstyle="solid"/>
            </v:line>
            <v:line style="position:absolute" from="10882,-5042" to="10882,-152" stroked="true" strokeweight=".47998pt" strokecolor="#000000">
              <v:stroke dashstyle="solid"/>
            </v:line>
            <v:rect style="position:absolute;left:1287;top:-3727;width:4107;height:2961" filled="false" stroked="true" strokeweight=".270811pt" strokecolor="#000000">
              <v:stroke dashstyle="solid"/>
            </v:rect>
            <v:shape style="position:absolute;left:1699;top:1291;width:12572;height:7407" coordorigin="1699,1291" coordsize="12572,7407" path="m1288,-766l1288,-3727m1237,-766l1288,-766m1237,-1013l1288,-1013m1237,-1260l1288,-1260m1237,-1507l1288,-1507m1237,-1753l1288,-1753m1237,-2000l1288,-2000m1237,-2246l1288,-2246m1237,-2493l1288,-2493m1237,-2740l1288,-2740m1237,-2987l1288,-2987m1237,-3234l1288,-3234m1237,-3480l1288,-3480m1237,-3727l1288,-3727m1288,-1013l5394,-1013e" filled="false" stroked="true" strokeweight=".262959pt" strokecolor="#858585">
              <v:path arrowok="t"/>
              <v:stroke dashstyle="solid"/>
            </v:shape>
            <v:shape style="position:absolute;left:1514;top:-3570;width:3765;height:2562" coordorigin="1515,-3569" coordsize="3765,2562" path="m2614,-3569l4094,-2610,4701,-2175,5100,-2042,5279,-1752,5079,-2048,5048,-2000,4663,-1970,3713,-2090,2982,-2141,2849,-2220,3683,-1980,4308,-1752,4582,-1398,4171,-1457,3701,-1401,3431,-1450,2875,-1542,2460,-1643,2319,-1608,2062,-1575,1844,-1653,1900,-1406,1814,-1412,1677,-1548,1703,-1575,1998,-1596,1985,-1611,2109,-1451,3089,-1008,3277,-1279,3371,-1298,3359,-1176,3157,-1147,2481,-1156,2020,-1330,1767,-1311,1515,-1292e" filled="false" stroked="true" strokeweight=".816239pt" strokecolor="#0000ff">
              <v:path arrowok="t"/>
              <v:stroke dashstyle="solid"/>
            </v:shape>
            <v:shape style="position:absolute;left:2590;top:-3599;width:47;height:56" coordorigin="2590,-3598" coordsize="47,56" path="m2613,-3598l2590,-3570,2613,-3543,2636,-3570,2613,-3598xe" filled="true" fillcolor="#0000ff" stroked="false">
              <v:path arrowok="t"/>
              <v:fill type="solid"/>
            </v:shape>
            <v:shape style="position:absolute;left:2590;top:-3599;width:47;height:56" coordorigin="2590,-3598" coordsize="47,56" path="m2613,-3598l2636,-3570,2613,-3543,2590,-3570,2613,-3598xe" filled="false" stroked="true" strokeweight=".258305pt" strokecolor="#0000ff">
              <v:path arrowok="t"/>
              <v:stroke dashstyle="solid"/>
            </v:shape>
            <v:shape style="position:absolute;left:4070;top:-2638;width:47;height:56" coordorigin="4070,-2638" coordsize="47,56" path="m4094,-2638l4070,-2610,4094,-2582,4117,-2610,4094,-2638xe" filled="true" fillcolor="#0000ff" stroked="false">
              <v:path arrowok="t"/>
              <v:fill type="solid"/>
            </v:shape>
            <v:shape style="position:absolute;left:4070;top:-2638;width:47;height:56" coordorigin="4070,-2638" coordsize="47,56" path="m4094,-2638l4117,-2610,4094,-2582,4070,-2610,4094,-2638xe" filled="false" stroked="true" strokeweight=".258305pt" strokecolor="#0000ff">
              <v:path arrowok="t"/>
              <v:stroke dashstyle="solid"/>
            </v:shape>
            <v:shape style="position:absolute;left:4678;top:-2205;width:47;height:56" coordorigin="4678,-2204" coordsize="47,56" path="m4702,-2204l4678,-2176,4702,-2149,4725,-2176,4702,-2204xe" filled="true" fillcolor="#0000ff" stroked="false">
              <v:path arrowok="t"/>
              <v:fill type="solid"/>
            </v:shape>
            <v:shape style="position:absolute;left:4678;top:-2205;width:47;height:56" coordorigin="4678,-2204" coordsize="47,56" path="m4702,-2204l4725,-2176,4702,-2149,4678,-2176,4702,-2204xe" filled="false" stroked="true" strokeweight=".258305pt" strokecolor="#0000ff">
              <v:path arrowok="t"/>
              <v:stroke dashstyle="solid"/>
            </v:shape>
            <v:shape style="position:absolute;left:5076;top:-2070;width:47;height:56" coordorigin="5076,-2070" coordsize="47,56" path="m5099,-2070l5076,-2042,5099,-2014,5122,-2042,5099,-2070xe" filled="true" fillcolor="#0000ff" stroked="false">
              <v:path arrowok="t"/>
              <v:fill type="solid"/>
            </v:shape>
            <v:shape style="position:absolute;left:5076;top:-2070;width:47;height:56" coordorigin="5076,-2070" coordsize="47,56" path="m5099,-2070l5122,-2042,5099,-2014,5076,-2042,5099,-2070xe" filled="false" stroked="true" strokeweight=".258305pt" strokecolor="#0000ff">
              <v:path arrowok="t"/>
              <v:stroke dashstyle="solid"/>
            </v:shape>
            <v:shape style="position:absolute;left:5255;top:-1782;width:47;height:56" coordorigin="5256,-1781" coordsize="47,56" path="m5279,-1781l5256,-1753,5279,-1726,5302,-1753,5279,-1781xe" filled="true" fillcolor="#0000ff" stroked="false">
              <v:path arrowok="t"/>
              <v:fill type="solid"/>
            </v:shape>
            <v:shape style="position:absolute;left:5255;top:-1782;width:47;height:56" coordorigin="5256,-1781" coordsize="47,56" path="m5279,-1781l5302,-1753,5279,-1726,5256,-1753,5279,-1781xe" filled="false" stroked="true" strokeweight=".258305pt" strokecolor="#0000ff">
              <v:path arrowok="t"/>
              <v:stroke dashstyle="solid"/>
            </v:shape>
            <v:shape style="position:absolute;left:5054;top:-2076;width:47;height:56" coordorigin="5055,-2076" coordsize="47,56" path="m5078,-2076l5055,-2048,5078,-2020,5101,-2048,5078,-2076xe" filled="true" fillcolor="#0000ff" stroked="false">
              <v:path arrowok="t"/>
              <v:fill type="solid"/>
            </v:shape>
            <v:shape style="position:absolute;left:5054;top:-2076;width:47;height:56" coordorigin="5055,-2076" coordsize="47,56" path="m5078,-2076l5101,-2048,5078,-2020,5055,-2048,5078,-2076xe" filled="false" stroked="true" strokeweight=".258305pt" strokecolor="#0000ff">
              <v:path arrowok="t"/>
              <v:stroke dashstyle="solid"/>
            </v:shape>
            <v:shape style="position:absolute;left:5024;top:-2028;width:47;height:56" coordorigin="5025,-2028" coordsize="47,56" path="m5048,-2028l5025,-2000,5048,-1972,5071,-2000,5048,-2028xe" filled="true" fillcolor="#0000ff" stroked="false">
              <v:path arrowok="t"/>
              <v:fill type="solid"/>
            </v:shape>
            <v:shape style="position:absolute;left:5024;top:-2028;width:47;height:56" coordorigin="5025,-2028" coordsize="47,56" path="m5048,-2028l5071,-2000,5048,-1972,5025,-2000,5048,-2028xe" filled="false" stroked="true" strokeweight=".258305pt" strokecolor="#0000ff">
              <v:path arrowok="t"/>
              <v:stroke dashstyle="solid"/>
            </v:shape>
            <v:shape style="position:absolute;left:4639;top:-1999;width:47;height:56" coordorigin="4640,-1999" coordsize="47,56" path="m4663,-1999l4640,-1971,4663,-1943,4686,-1971,4663,-1999xe" filled="true" fillcolor="#0000ff" stroked="false">
              <v:path arrowok="t"/>
              <v:fill type="solid"/>
            </v:shape>
            <v:shape style="position:absolute;left:4639;top:-1999;width:47;height:56" coordorigin="4640,-1999" coordsize="47,56" path="m4663,-1999l4686,-1971,4663,-1943,4640,-1971,4663,-1999xe" filled="false" stroked="true" strokeweight=".258305pt" strokecolor="#0000ff">
              <v:path arrowok="t"/>
              <v:stroke dashstyle="solid"/>
            </v:shape>
            <v:shape style="position:absolute;left:3690;top:-2118;width:47;height:56" coordorigin="3690,-2118" coordsize="47,56" path="m3713,-2118l3690,-2090,3713,-2062,3736,-2090,3713,-2118xe" filled="true" fillcolor="#0000ff" stroked="false">
              <v:path arrowok="t"/>
              <v:fill type="solid"/>
            </v:shape>
            <v:shape style="position:absolute;left:3690;top:-2118;width:47;height:56" coordorigin="3690,-2118" coordsize="47,56" path="m3713,-2118l3736,-2090,3713,-2062,3690,-2090,3713,-2118xe" filled="false" stroked="true" strokeweight=".258305pt" strokecolor="#0000ff">
              <v:path arrowok="t"/>
              <v:stroke dashstyle="solid"/>
            </v:shape>
            <v:shape style="position:absolute;left:2958;top:-2169;width:47;height:56" coordorigin="2959,-2169" coordsize="47,56" path="m2982,-2169l2959,-2141,2982,-2113,3005,-2141,2982,-2169xe" filled="true" fillcolor="#0000ff" stroked="false">
              <v:path arrowok="t"/>
              <v:fill type="solid"/>
            </v:shape>
            <v:shape style="position:absolute;left:2958;top:-2169;width:47;height:56" coordorigin="2959,-2169" coordsize="47,56" path="m2982,-2169l3005,-2141,2982,-2113,2959,-2141,2982,-2169xe" filled="false" stroked="true" strokeweight=".258305pt" strokecolor="#0000ff">
              <v:path arrowok="t"/>
              <v:stroke dashstyle="solid"/>
            </v:shape>
            <v:shape style="position:absolute;left:2825;top:-2248;width:47;height:56" coordorigin="2826,-2247" coordsize="47,56" path="m2849,-2247l2826,-2219,2849,-2192,2872,-2219,2849,-2247xe" filled="true" fillcolor="#0000ff" stroked="false">
              <v:path arrowok="t"/>
              <v:fill type="solid"/>
            </v:shape>
            <v:shape style="position:absolute;left:2825;top:-2248;width:47;height:56" coordorigin="2826,-2247" coordsize="47,56" path="m2849,-2247l2872,-2219,2849,-2192,2826,-2219,2849,-2247xe" filled="false" stroked="true" strokeweight=".258305pt" strokecolor="#0000ff">
              <v:path arrowok="t"/>
              <v:stroke dashstyle="solid"/>
            </v:shape>
            <v:shape style="position:absolute;left:3660;top:-2009;width:47;height:56" coordorigin="3660,-2009" coordsize="47,56" path="m3683,-2009l3660,-1981,3683,-1953,3706,-1981,3683,-2009xe" filled="true" fillcolor="#0000ff" stroked="false">
              <v:path arrowok="t"/>
              <v:fill type="solid"/>
            </v:shape>
            <v:shape style="position:absolute;left:3660;top:-2009;width:47;height:56" coordorigin="3660,-2009" coordsize="47,56" path="m3683,-2009l3706,-1981,3683,-1953,3660,-1981,3683,-2009xe" filled="false" stroked="true" strokeweight=".258305pt" strokecolor="#0000ff">
              <v:path arrowok="t"/>
              <v:stroke dashstyle="solid"/>
            </v:shape>
            <v:shape style="position:absolute;left:4284;top:-1781;width:47;height:56" coordorigin="4285,-1780" coordsize="47,56" path="m4308,-1780l4285,-1752,4308,-1725,4331,-1752,4308,-1780xe" filled="true" fillcolor="#0000ff" stroked="false">
              <v:path arrowok="t"/>
              <v:fill type="solid"/>
            </v:shape>
            <v:shape style="position:absolute;left:4284;top:-1781;width:47;height:56" coordorigin="4285,-1780" coordsize="47,56" path="m4308,-1780l4331,-1752,4308,-1725,4285,-1752,4308,-1780xe" filled="false" stroked="true" strokeweight=".258305pt" strokecolor="#0000ff">
              <v:path arrowok="t"/>
              <v:stroke dashstyle="solid"/>
            </v:shape>
            <v:shape style="position:absolute;left:4558;top:-1427;width:47;height:56" coordorigin="4559,-1426" coordsize="47,56" path="m4582,-1426l4559,-1398,4582,-1371,4605,-1398,4582,-1426xe" filled="true" fillcolor="#0000ff" stroked="false">
              <v:path arrowok="t"/>
              <v:fill type="solid"/>
            </v:shape>
            <v:shape style="position:absolute;left:4558;top:-1427;width:47;height:56" coordorigin="4559,-1426" coordsize="47,56" path="m4582,-1426l4605,-1398,4582,-1371,4559,-1398,4582,-1426xe" filled="false" stroked="true" strokeweight=".258305pt" strokecolor="#0000ff">
              <v:path arrowok="t"/>
              <v:stroke dashstyle="solid"/>
            </v:shape>
            <v:shape style="position:absolute;left:4147;top:-1486;width:47;height:56" coordorigin="4147,-1486" coordsize="47,56" path="m4171,-1486l4147,-1458,4171,-1430,4194,-1458,4171,-1486xe" filled="true" fillcolor="#0000ff" stroked="false">
              <v:path arrowok="t"/>
              <v:fill type="solid"/>
            </v:shape>
            <v:shape style="position:absolute;left:4147;top:-1486;width:47;height:56" coordorigin="4147,-1486" coordsize="47,56" path="m4171,-1486l4194,-1458,4171,-1430,4147,-1458,4171,-1486xe" filled="false" stroked="true" strokeweight=".258305pt" strokecolor="#0000ff">
              <v:path arrowok="t"/>
              <v:stroke dashstyle="solid"/>
            </v:shape>
            <v:shape style="position:absolute;left:3676;top:-1430;width:47;height:56" coordorigin="3677,-1429" coordsize="47,56" path="m3700,-1429l3677,-1401,3700,-1373,3723,-1401,3700,-1429xe" filled="true" fillcolor="#0000ff" stroked="false">
              <v:path arrowok="t"/>
              <v:fill type="solid"/>
            </v:shape>
            <v:shape style="position:absolute;left:3676;top:-1430;width:47;height:56" coordorigin="3677,-1429" coordsize="47,56" path="m3700,-1429l3723,-1401,3700,-1373,3677,-1401,3700,-1429xe" filled="false" stroked="true" strokeweight=".258305pt" strokecolor="#0000ff">
              <v:path arrowok="t"/>
              <v:stroke dashstyle="solid"/>
            </v:shape>
            <v:shape style="position:absolute;left:3407;top:-1478;width:47;height:56" coordorigin="3408,-1478" coordsize="47,56" path="m3431,-1478l3408,-1450,3431,-1422,3454,-1450,3431,-1478xe" filled="true" fillcolor="#0000ff" stroked="false">
              <v:path arrowok="t"/>
              <v:fill type="solid"/>
            </v:shape>
            <v:shape style="position:absolute;left:3407;top:-1478;width:47;height:56" coordorigin="3408,-1478" coordsize="47,56" path="m3431,-1478l3454,-1450,3431,-1422,3408,-1450,3431,-1478xe" filled="false" stroked="true" strokeweight=".258305pt" strokecolor="#0000ff">
              <v:path arrowok="t"/>
              <v:stroke dashstyle="solid"/>
            </v:shape>
            <v:shape style="position:absolute;left:2851;top:-1572;width:47;height:56" coordorigin="2851,-1571" coordsize="47,56" path="m2875,-1571l2851,-1543,2875,-1515,2897,-1543,2875,-1571xe" filled="true" fillcolor="#0000ff" stroked="false">
              <v:path arrowok="t"/>
              <v:fill type="solid"/>
            </v:shape>
            <v:shape style="position:absolute;left:2851;top:-1572;width:47;height:56" coordorigin="2851,-1571" coordsize="47,56" path="m2875,-1571l2897,-1543,2875,-1515,2851,-1543,2875,-1571xe" filled="false" stroked="true" strokeweight=".258305pt" strokecolor="#0000ff">
              <v:path arrowok="t"/>
              <v:stroke dashstyle="solid"/>
            </v:shape>
            <v:shape style="position:absolute;left:2436;top:-1672;width:47;height:56" coordorigin="2436,-1672" coordsize="47,56" path="m2459,-1672l2436,-1644,2459,-1616,2482,-1644,2459,-1672xe" filled="true" fillcolor="#0000ff" stroked="false">
              <v:path arrowok="t"/>
              <v:fill type="solid"/>
            </v:shape>
            <v:shape style="position:absolute;left:2436;top:-1672;width:47;height:56" coordorigin="2436,-1672" coordsize="47,56" path="m2459,-1672l2482,-1644,2459,-1616,2436,-1644,2459,-1672xe" filled="false" stroked="true" strokeweight=".258305pt" strokecolor="#0000ff">
              <v:path arrowok="t"/>
              <v:stroke dashstyle="solid"/>
            </v:shape>
            <v:shape style="position:absolute;left:2294;top:-1636;width:47;height:56" coordorigin="2295,-1635" coordsize="47,56" path="m2318,-1635l2295,-1607,2318,-1580,2341,-1607,2318,-1635xe" filled="true" fillcolor="#0000ff" stroked="false">
              <v:path arrowok="t"/>
              <v:fill type="solid"/>
            </v:shape>
            <v:shape style="position:absolute;left:2294;top:-1636;width:47;height:56" coordorigin="2295,-1635" coordsize="47,56" path="m2318,-1635l2341,-1607,2318,-1580,2295,-1607,2318,-1635xe" filled="false" stroked="true" strokeweight=".258305pt" strokecolor="#0000ff">
              <v:path arrowok="t"/>
              <v:stroke dashstyle="solid"/>
            </v:shape>
            <v:shape style="position:absolute;left:2038;top:-1603;width:47;height:56" coordorigin="2039,-1603" coordsize="47,56" path="m2062,-1603l2039,-1575,2062,-1547,2085,-1575,2062,-1603xe" filled="true" fillcolor="#0000ff" stroked="false">
              <v:path arrowok="t"/>
              <v:fill type="solid"/>
            </v:shape>
            <v:shape style="position:absolute;left:2038;top:-1603;width:47;height:56" coordorigin="2039,-1603" coordsize="47,56" path="m2062,-1603l2085,-1575,2062,-1547,2039,-1575,2062,-1603xe" filled="false" stroked="true" strokeweight=".258305pt" strokecolor="#0000ff">
              <v:path arrowok="t"/>
              <v:stroke dashstyle="solid"/>
            </v:shape>
            <v:shape style="position:absolute;left:1820;top:-1681;width:47;height:56" coordorigin="1820,-1680" coordsize="47,56" path="m1843,-1680l1820,-1652,1843,-1625,1866,-1652,1843,-1680xe" filled="true" fillcolor="#0000ff" stroked="false">
              <v:path arrowok="t"/>
              <v:fill type="solid"/>
            </v:shape>
            <v:shape style="position:absolute;left:1820;top:-1681;width:47;height:56" coordorigin="1820,-1680" coordsize="47,56" path="m1843,-1680l1866,-1652,1843,-1625,1820,-1652,1843,-1680xe" filled="false" stroked="true" strokeweight=".258305pt" strokecolor="#0000ff">
              <v:path arrowok="t"/>
              <v:stroke dashstyle="solid"/>
            </v:shape>
            <v:shape style="position:absolute;left:1875;top:-1435;width:47;height:56" coordorigin="1876,-1435" coordsize="47,56" path="m1899,-1435l1876,-1407,1899,-1379,1922,-1407,1899,-1435xe" filled="true" fillcolor="#0000ff" stroked="false">
              <v:path arrowok="t"/>
              <v:fill type="solid"/>
            </v:shape>
            <v:shape style="position:absolute;left:1875;top:-1435;width:47;height:56" coordorigin="1876,-1435" coordsize="47,56" path="m1899,-1435l1922,-1407,1899,-1379,1876,-1407,1899,-1435xe" filled="false" stroked="true" strokeweight=".258305pt" strokecolor="#0000ff">
              <v:path arrowok="t"/>
              <v:stroke dashstyle="solid"/>
            </v:shape>
            <v:shape style="position:absolute;left:1790;top:-1441;width:47;height:56" coordorigin="1790,-1441" coordsize="47,56" path="m1813,-1441l1790,-1413,1813,-1385,1836,-1413,1813,-1441xe" filled="true" fillcolor="#0000ff" stroked="false">
              <v:path arrowok="t"/>
              <v:fill type="solid"/>
            </v:shape>
            <v:shape style="position:absolute;left:1790;top:-1441;width:47;height:56" coordorigin="1790,-1441" coordsize="47,56" path="m1813,-1441l1836,-1413,1813,-1385,1790,-1413,1813,-1441xe" filled="false" stroked="true" strokeweight=".258305pt" strokecolor="#0000ff">
              <v:path arrowok="t"/>
              <v:stroke dashstyle="solid"/>
            </v:shape>
            <v:shape style="position:absolute;left:1653;top:-1577;width:47;height:56" coordorigin="1654,-1577" coordsize="47,56" path="m1677,-1577l1654,-1549,1677,-1521,1700,-1549,1677,-1577xe" filled="true" fillcolor="#0000ff" stroked="false">
              <v:path arrowok="t"/>
              <v:fill type="solid"/>
            </v:shape>
            <v:shape style="position:absolute;left:1653;top:-1577;width:47;height:56" coordorigin="1654,-1577" coordsize="47,56" path="m1677,-1577l1700,-1549,1677,-1521,1654,-1549,1677,-1577xe" filled="false" stroked="true" strokeweight=".258305pt" strokecolor="#0000ff">
              <v:path arrowok="t"/>
              <v:stroke dashstyle="solid"/>
            </v:shape>
            <v:shape style="position:absolute;left:1679;top:-1604;width:47;height:56" coordorigin="1679,-1604" coordsize="47,56" path="m1702,-1604l1679,-1576,1702,-1548,1725,-1576,1702,-1604xe" filled="true" fillcolor="#0000ff" stroked="false">
              <v:path arrowok="t"/>
              <v:fill type="solid"/>
            </v:shape>
            <v:shape style="position:absolute;left:1679;top:-1604;width:47;height:56" coordorigin="1679,-1604" coordsize="47,56" path="m1702,-1604l1725,-1576,1702,-1548,1679,-1576,1702,-1604xe" filled="false" stroked="true" strokeweight=".258305pt" strokecolor="#0000ff">
              <v:path arrowok="t"/>
              <v:stroke dashstyle="solid"/>
            </v:shape>
            <v:shape style="position:absolute;left:1974;top:-1625;width:47;height:56" coordorigin="1974,-1625" coordsize="47,56" path="m1997,-1625l1974,-1597,1997,-1569,2020,-1597,1997,-1625xe" filled="true" fillcolor="#0000ff" stroked="false">
              <v:path arrowok="t"/>
              <v:fill type="solid"/>
            </v:shape>
            <v:shape style="position:absolute;left:1974;top:-1625;width:47;height:56" coordorigin="1974,-1625" coordsize="47,56" path="m1997,-1625l2020,-1597,1997,-1569,1974,-1597,1997,-1625xe" filled="false" stroked="true" strokeweight=".258305pt" strokecolor="#0000ff">
              <v:path arrowok="t"/>
              <v:stroke dashstyle="solid"/>
            </v:shape>
            <v:shape style="position:absolute;left:1961;top:-1641;width:47;height:56" coordorigin="1962,-1640" coordsize="47,56" path="m1985,-1640l1962,-1612,1985,-1584,2008,-1612,1985,-1640xe" filled="true" fillcolor="#0000ff" stroked="false">
              <v:path arrowok="t"/>
              <v:fill type="solid"/>
            </v:shape>
            <v:shape style="position:absolute;left:1961;top:-1641;width:47;height:56" coordorigin="1962,-1640" coordsize="47,56" path="m1985,-1640l2008,-1612,1985,-1584,1962,-1612,1985,-1640xe" filled="false" stroked="true" strokeweight=".258305pt" strokecolor="#0000ff">
              <v:path arrowok="t"/>
              <v:stroke dashstyle="solid"/>
            </v:shape>
            <v:shape style="position:absolute;left:2085;top:-1480;width:47;height:56" coordorigin="2085,-1480" coordsize="47,56" path="m2109,-1480l2085,-1452,2109,-1424,2131,-1452,2109,-1480xe" filled="true" fillcolor="#0000ff" stroked="false">
              <v:path arrowok="t"/>
              <v:fill type="solid"/>
            </v:shape>
            <v:shape style="position:absolute;left:2085;top:-1480;width:47;height:56" coordorigin="2085,-1480" coordsize="47,56" path="m2109,-1480l2131,-1452,2109,-1424,2085,-1452,2109,-1480xe" filled="false" stroked="true" strokeweight=".258305pt" strokecolor="#0000ff">
              <v:path arrowok="t"/>
              <v:stroke dashstyle="solid"/>
            </v:shape>
            <v:shape style="position:absolute;left:3065;top:-1036;width:47;height:56" coordorigin="3066,-1036" coordsize="47,56" path="m3089,-1036l3066,-1008,3089,-980,3112,-1008,3089,-1036xe" filled="true" fillcolor="#0000ff" stroked="false">
              <v:path arrowok="t"/>
              <v:fill type="solid"/>
            </v:shape>
            <v:shape style="position:absolute;left:3065;top:-1036;width:47;height:56" coordorigin="3066,-1036" coordsize="47,56" path="m3089,-1036l3112,-1008,3089,-980,3066,-1008,3089,-1036xe" filled="false" stroked="true" strokeweight=".258305pt" strokecolor="#0000ff">
              <v:path arrowok="t"/>
              <v:stroke dashstyle="solid"/>
            </v:shape>
            <v:shape style="position:absolute;left:3253;top:-1308;width:47;height:56" coordorigin="3254,-1307" coordsize="47,56" path="m3277,-1307l3254,-1279,3277,-1252,3300,-1279,3277,-1307xe" filled="true" fillcolor="#0000ff" stroked="false">
              <v:path arrowok="t"/>
              <v:fill type="solid"/>
            </v:shape>
            <v:shape style="position:absolute;left:3253;top:-1308;width:47;height:56" coordorigin="3254,-1307" coordsize="47,56" path="m3277,-1307l3300,-1279,3277,-1252,3254,-1279,3277,-1307xe" filled="false" stroked="true" strokeweight=".258305pt" strokecolor="#0000ff">
              <v:path arrowok="t"/>
              <v:stroke dashstyle="solid"/>
            </v:shape>
            <v:shape style="position:absolute;left:3347;top:-1327;width:47;height:56" coordorigin="3347,-1326" coordsize="47,56" path="m3371,-1326l3347,-1298,3371,-1271,3393,-1298,3371,-1326xe" filled="true" fillcolor="#0000ff" stroked="false">
              <v:path arrowok="t"/>
              <v:fill type="solid"/>
            </v:shape>
            <v:shape style="position:absolute;left:3347;top:-1327;width:47;height:56" coordorigin="3347,-1326" coordsize="47,56" path="m3371,-1326l3393,-1298,3371,-1271,3347,-1298,3371,-1326xe" filled="false" stroked="true" strokeweight=".258305pt" strokecolor="#0000ff">
              <v:path arrowok="t"/>
              <v:stroke dashstyle="solid"/>
            </v:shape>
            <v:shape style="position:absolute;left:3334;top:-1205;width:47;height:56" coordorigin="3335,-1205" coordsize="47,56" path="m3358,-1205l3335,-1177,3358,-1149,3381,-1177,3358,-1205xe" filled="true" fillcolor="#0000ff" stroked="false">
              <v:path arrowok="t"/>
              <v:fill type="solid"/>
            </v:shape>
            <v:shape style="position:absolute;left:3334;top:-1205;width:47;height:56" coordorigin="3335,-1205" coordsize="47,56" path="m3358,-1205l3381,-1177,3358,-1149,3335,-1177,3358,-1205xe" filled="false" stroked="true" strokeweight=".258305pt" strokecolor="#0000ff">
              <v:path arrowok="t"/>
              <v:stroke dashstyle="solid"/>
            </v:shape>
            <v:shape style="position:absolute;left:3133;top:-1175;width:47;height:56" coordorigin="3134,-1175" coordsize="47,56" path="m3157,-1175l3134,-1147,3157,-1119,3180,-1147,3157,-1175xe" filled="true" fillcolor="#0000ff" stroked="false">
              <v:path arrowok="t"/>
              <v:fill type="solid"/>
            </v:shape>
            <v:shape style="position:absolute;left:3133;top:-1175;width:47;height:56" coordorigin="3134,-1175" coordsize="47,56" path="m3157,-1175l3180,-1147,3157,-1119,3134,-1147,3157,-1175xe" filled="false" stroked="true" strokeweight=".258305pt" strokecolor="#0000ff">
              <v:path arrowok="t"/>
              <v:stroke dashstyle="solid"/>
            </v:shape>
            <v:shape style="position:absolute;left:2457;top:-1184;width:47;height:56" coordorigin="2458,-1183" coordsize="47,56" path="m2481,-1183l2458,-1155,2481,-1128,2504,-1155,2481,-1183xe" filled="true" fillcolor="#0000ff" stroked="false">
              <v:path arrowok="t"/>
              <v:fill type="solid"/>
            </v:shape>
            <v:shape style="position:absolute;left:2457;top:-1184;width:47;height:56" coordorigin="2458,-1183" coordsize="47,56" path="m2481,-1183l2504,-1155,2481,-1128,2458,-1155,2481,-1183xe" filled="false" stroked="true" strokeweight=".258305pt" strokecolor="#0000ff">
              <v:path arrowok="t"/>
              <v:stroke dashstyle="solid"/>
            </v:shape>
            <v:shape style="position:absolute;left:1995;top:-1359;width:47;height:56" coordorigin="1996,-1358" coordsize="47,56" path="m2019,-1358l1996,-1330,2019,-1302,2042,-1330,2019,-1358xe" filled="true" fillcolor="#0000ff" stroked="false">
              <v:path arrowok="t"/>
              <v:fill type="solid"/>
            </v:shape>
            <v:shape style="position:absolute;left:1995;top:-1359;width:47;height:56" coordorigin="1996,-1358" coordsize="47,56" path="m2019,-1358l2042,-1330,2019,-1302,1996,-1330,2019,-1358xe" filled="false" stroked="true" strokeweight=".258305pt" strokecolor="#0000ff">
              <v:path arrowok="t"/>
              <v:stroke dashstyle="solid"/>
            </v:shape>
            <v:shape style="position:absolute;left:1743;top:-1339;width:47;height:56" coordorigin="1743,-1339" coordsize="47,56" path="m1766,-1339l1743,-1311,1766,-1283,1789,-1311,1766,-1339xe" filled="true" fillcolor="#0000ff" stroked="false">
              <v:path arrowok="t"/>
              <v:fill type="solid"/>
            </v:shape>
            <v:shape style="position:absolute;left:1743;top:-1339;width:47;height:56" coordorigin="1743,-1339" coordsize="47,56" path="m1766,-1339l1789,-1311,1766,-1283,1743,-1311,1766,-1339xe" filled="false" stroked="true" strokeweight=".258305pt" strokecolor="#0000ff">
              <v:path arrowok="t"/>
              <v:stroke dashstyle="solid"/>
            </v:shape>
            <v:shape style="position:absolute;left:1490;top:-1320;width:47;height:56" coordorigin="1491,-1320" coordsize="47,56" path="m1514,-1320l1491,-1292,1514,-1264,1537,-1292,1514,-1320xe" filled="true" fillcolor="#0000ff" stroked="false">
              <v:path arrowok="t"/>
              <v:fill type="solid"/>
            </v:shape>
            <v:shape style="position:absolute;left:1490;top:-1320;width:47;height:56" coordorigin="1491,-1320" coordsize="47,56" path="m1514,-1320l1537,-1292,1514,-1264,1491,-1292,1514,-1320xe" filled="false" stroked="true" strokeweight=".258305pt" strokecolor="#0000ff">
              <v:path arrowok="t"/>
              <v:stroke dashstyle="solid"/>
            </v:shape>
            <v:rect style="position:absolute;left:677;top:-4001;width:4845;height:3823" filled="false" stroked="true" strokeweight=".268739pt" strokecolor="#858585">
              <v:stroke dashstyle="solid"/>
            </v:rect>
            <v:shape style="position:absolute;left:1623;top:-1730;width:497;height:384" coordorigin="1623,-1729" coordsize="497,384" path="m1623,-1537l1636,-1598,1671,-1651,1725,-1692,1793,-1720,1872,-1729,1950,-1720,2018,-1692,2072,-1651,2107,-1598,2120,-1537,2107,-1477,2072,-1424,2018,-1383,1950,-1355,1872,-1346,1793,-1355,1725,-1383,1671,-1424,1636,-1477,1623,-1537xe" filled="false" stroked="true" strokeweight=".358935pt" strokecolor="#000000">
              <v:path arrowok="t"/>
              <v:stroke dashstyle="shortdash"/>
            </v:shape>
            <v:rect style="position:absolute;left:6152;top:-3863;width:4635;height:2505" filled="false" stroked="true" strokeweight=".278727pt" strokecolor="#000000">
              <v:stroke dashstyle="solid"/>
            </v:rect>
            <v:rect style="position:absolute;left:6346;top:-3302;width:257;height:1944" filled="true" fillcolor="#ff00ff" stroked="false">
              <v:fill type="solid"/>
            </v:rect>
            <v:rect style="position:absolute;left:6346;top:-3302;width:257;height:1944" filled="false" stroked="true" strokeweight=".246874pt" strokecolor="#ff00ff">
              <v:stroke dashstyle="solid"/>
            </v:rect>
            <v:rect style="position:absolute;left:7504;top:-3273;width:258;height:1915" filled="true" fillcolor="#ff00ff" stroked="false">
              <v:fill type="solid"/>
            </v:rect>
            <v:rect style="position:absolute;left:7504;top:-3273;width:258;height:1915" filled="false" stroked="true" strokeweight=".2469pt" strokecolor="#ff00ff">
              <v:stroke dashstyle="solid"/>
            </v:rect>
            <v:rect style="position:absolute;left:8662;top:-3183;width:258;height:1825" filled="true" fillcolor="#ff00ff" stroked="false">
              <v:fill type="solid"/>
            </v:rect>
            <v:rect style="position:absolute;left:8662;top:-3183;width:258;height:1825" filled="false" stroked="true" strokeweight=".246974pt" strokecolor="#ff00ff">
              <v:stroke dashstyle="solid"/>
            </v:rect>
            <v:rect style="position:absolute;left:9821;top:-3163;width:258;height:1805" filled="true" fillcolor="#ff00ff" stroked="false">
              <v:fill type="solid"/>
            </v:rect>
            <v:rect style="position:absolute;left:9821;top:-3163;width:258;height:1805" filled="false" stroked="true" strokeweight=".246992pt" strokecolor="#ff00ff">
              <v:stroke dashstyle="solid"/>
            </v:rect>
            <v:rect style="position:absolute;left:6603;top:-2729;width:258;height:1372" filled="true" fillcolor="#0000ff" stroked="false">
              <v:fill type="solid"/>
            </v:rect>
            <v:rect style="position:absolute;left:6603;top:-2729;width:258;height:1372" filled="false" stroked="true" strokeweight=".247587pt" strokecolor="#0000ff">
              <v:stroke dashstyle="solid"/>
            </v:rect>
            <v:rect style="position:absolute;left:7761;top:-2973;width:258;height:1615" filled="true" fillcolor="#0000ff" stroked="false">
              <v:fill type="solid"/>
            </v:rect>
            <v:rect style="position:absolute;left:7761;top:-2973;width:258;height:1615" filled="false" stroked="true" strokeweight=".247197pt" strokecolor="#0000ff">
              <v:stroke dashstyle="solid"/>
            </v:rect>
            <v:rect style="position:absolute;left:8920;top:-2766;width:258;height:1408" filled="true" fillcolor="#0000ff" stroked="false">
              <v:fill type="solid"/>
            </v:rect>
            <v:rect style="position:absolute;left:8920;top:-2766;width:258;height:1408" filled="false" stroked="true" strokeweight=".247516pt" strokecolor="#0000ff">
              <v:stroke dashstyle="solid"/>
            </v:rect>
            <v:rect style="position:absolute;left:10079;top:-2999;width:258;height:1642" filled="true" fillcolor="#0000ff" stroked="false">
              <v:fill type="solid"/>
            </v:rect>
            <v:rect style="position:absolute;left:10079;top:-2999;width:258;height:1642" filled="false" stroked="true" strokeweight=".247164pt" strokecolor="#0000ff">
              <v:stroke dashstyle="solid"/>
            </v:rect>
            <v:rect style="position:absolute;left:6861;top:-2525;width:258;height:1167" filled="true" fillcolor="#66ff33" stroked="false">
              <v:fill type="solid"/>
            </v:rect>
            <v:rect style="position:absolute;left:6861;top:-2525;width:258;height:1167" filled="false" stroked="true" strokeweight=".248109pt" strokecolor="#66ff33">
              <v:stroke dashstyle="solid"/>
            </v:rect>
            <v:rect style="position:absolute;left:8019;top:-2300;width:258;height:942" filled="true" fillcolor="#66ff33" stroked="false">
              <v:fill type="solid"/>
            </v:rect>
            <v:rect style="position:absolute;left:8019;top:-2300;width:258;height:942" filled="false" stroked="true" strokeweight=".249083pt" strokecolor="#66ff33">
              <v:stroke dashstyle="solid"/>
            </v:rect>
            <v:rect style="position:absolute;left:9178;top:-2583;width:258;height:1226" filled="true" fillcolor="#66ff33" stroked="false">
              <v:fill type="solid"/>
            </v:rect>
            <v:rect style="position:absolute;left:9178;top:-2583;width:258;height:1226" filled="false" stroked="true" strokeweight=".247934pt" strokecolor="#66ff33">
              <v:stroke dashstyle="solid"/>
            </v:rect>
            <v:rect style="position:absolute;left:10336;top:-2308;width:258;height:950" filled="true" fillcolor="#66ff33" stroked="false">
              <v:fill type="solid"/>
            </v:rect>
            <v:rect style="position:absolute;left:10336;top:-2308;width:258;height:950" filled="false" stroked="true" strokeweight=".249039pt" strokecolor="#66ff33">
              <v:stroke dashstyle="solid"/>
            </v:rect>
            <v:shape style="position:absolute;left:945;top:960;width:152;height:6257" coordorigin="946,960" coordsize="152,6257" path="m6153,-1358l6153,-3863m6101,-1358l6153,-1358m6101,-1715l6153,-1715m6101,-2074l6153,-2074m6101,-2431l6153,-2431m6101,-2789l6153,-2789m6101,-3147l6153,-3147m6101,-3504l6153,-3504m6101,-3863l6153,-3863e" filled="false" stroked="true" strokeweight=".267197pt" strokecolor="#858585">
              <v:path arrowok="t"/>
              <v:stroke dashstyle="solid"/>
            </v:shape>
            <v:line style="position:absolute" from="6153,-1358" to="10787,-1358" stroked="true" strokeweight=".288243pt" strokecolor="#858585">
              <v:stroke dashstyle="solid"/>
            </v:line>
            <v:rect style="position:absolute;left:6777;top:-3724;width:90;height:106" filled="true" fillcolor="#ff00ff" stroked="false">
              <v:fill type="solid"/>
            </v:rect>
            <v:rect style="position:absolute;left:6777;top:-3724;width:90;height:106" filled="false" stroked="true" strokeweight=".263715pt" strokecolor="#ff00ff">
              <v:stroke dashstyle="solid"/>
            </v:rect>
            <v:rect style="position:absolute;left:8676;top:-3724;width:91;height:106" filled="true" fillcolor="#0000ff" stroked="false">
              <v:fill type="solid"/>
            </v:rect>
            <v:rect style="position:absolute;left:8676;top:-3724;width:91;height:106" filled="false" stroked="true" strokeweight=".263902pt" strokecolor="#0000ff">
              <v:stroke dashstyle="solid"/>
            </v:rect>
            <v:rect style="position:absolute;left:6777;top:-3399;width:90;height:106" filled="true" fillcolor="#66ff33" stroked="false">
              <v:fill type="solid"/>
            </v:rect>
            <v:rect style="position:absolute;left:6777;top:-3399;width:90;height:106" filled="false" stroked="true" strokeweight=".263715pt" strokecolor="#66ff33">
              <v:stroke dashstyle="solid"/>
            </v:rect>
            <v:rect style="position:absolute;left:5780;top:-4001;width:5007;height:3825" filled="false" stroked="true" strokeweight=".272735pt" strokecolor="#858585">
              <v:stroke dashstyle="solid"/>
            </v:rect>
            <v:shape style="position:absolute;left:5790;top:-3952;width:231;height:2698" type="#_x0000_t202" filled="false" stroked="false">
              <v:textbox inset="0,0,0,0">
                <w:txbxContent>
                  <w:p>
                    <w:pPr>
                      <w:spacing w:line="195" w:lineRule="exact" w:before="0"/>
                      <w:ind w:left="0" w:right="0" w:firstLine="0"/>
                      <w:jc w:val="left"/>
                      <w:rPr>
                        <w:rFonts w:ascii="Calibri"/>
                        <w:b/>
                        <w:sz w:val="19"/>
                      </w:rPr>
                    </w:pPr>
                    <w:r>
                      <w:rPr>
                        <w:rFonts w:ascii="Calibri"/>
                        <w:b/>
                        <w:w w:val="90"/>
                        <w:sz w:val="19"/>
                      </w:rPr>
                      <w:t>1.4</w:t>
                    </w:r>
                  </w:p>
                  <w:p>
                    <w:pPr>
                      <w:spacing w:before="126"/>
                      <w:ind w:left="0" w:right="0" w:firstLine="0"/>
                      <w:jc w:val="left"/>
                      <w:rPr>
                        <w:rFonts w:ascii="Calibri"/>
                        <w:b/>
                        <w:sz w:val="19"/>
                      </w:rPr>
                    </w:pPr>
                    <w:r>
                      <w:rPr>
                        <w:rFonts w:ascii="Calibri"/>
                        <w:b/>
                        <w:w w:val="90"/>
                        <w:sz w:val="19"/>
                      </w:rPr>
                      <w:t>1.2</w:t>
                    </w:r>
                  </w:p>
                  <w:p>
                    <w:pPr>
                      <w:spacing w:before="125"/>
                      <w:ind w:left="0" w:right="0" w:firstLine="0"/>
                      <w:jc w:val="left"/>
                      <w:rPr>
                        <w:rFonts w:ascii="Calibri"/>
                        <w:b/>
                        <w:sz w:val="19"/>
                      </w:rPr>
                    </w:pPr>
                    <w:r>
                      <w:rPr>
                        <w:rFonts w:ascii="Calibri"/>
                        <w:b/>
                        <w:w w:val="90"/>
                        <w:sz w:val="19"/>
                      </w:rPr>
                      <w:t>1.0</w:t>
                    </w:r>
                  </w:p>
                  <w:p>
                    <w:pPr>
                      <w:spacing w:before="127"/>
                      <w:ind w:left="0" w:right="0" w:firstLine="0"/>
                      <w:jc w:val="left"/>
                      <w:rPr>
                        <w:rFonts w:ascii="Calibri"/>
                        <w:b/>
                        <w:sz w:val="19"/>
                      </w:rPr>
                    </w:pPr>
                    <w:r>
                      <w:rPr>
                        <w:rFonts w:ascii="Calibri"/>
                        <w:b/>
                        <w:w w:val="90"/>
                        <w:sz w:val="19"/>
                      </w:rPr>
                      <w:t>0.8</w:t>
                    </w:r>
                  </w:p>
                  <w:p>
                    <w:pPr>
                      <w:spacing w:before="125"/>
                      <w:ind w:left="0" w:right="0" w:firstLine="0"/>
                      <w:jc w:val="left"/>
                      <w:rPr>
                        <w:rFonts w:ascii="Calibri"/>
                        <w:b/>
                        <w:sz w:val="19"/>
                      </w:rPr>
                    </w:pPr>
                    <w:r>
                      <w:rPr>
                        <w:rFonts w:ascii="Calibri"/>
                        <w:b/>
                        <w:w w:val="90"/>
                        <w:sz w:val="19"/>
                      </w:rPr>
                      <w:t>0.6</w:t>
                    </w:r>
                  </w:p>
                  <w:p>
                    <w:pPr>
                      <w:spacing w:before="126"/>
                      <w:ind w:left="0" w:right="0" w:firstLine="0"/>
                      <w:jc w:val="left"/>
                      <w:rPr>
                        <w:rFonts w:ascii="Calibri"/>
                        <w:b/>
                        <w:sz w:val="19"/>
                      </w:rPr>
                    </w:pPr>
                    <w:r>
                      <w:rPr>
                        <w:rFonts w:ascii="Calibri"/>
                        <w:b/>
                        <w:w w:val="90"/>
                        <w:sz w:val="19"/>
                      </w:rPr>
                      <w:t>0.4</w:t>
                    </w:r>
                  </w:p>
                  <w:p>
                    <w:pPr>
                      <w:spacing w:before="126"/>
                      <w:ind w:left="0" w:right="0" w:firstLine="0"/>
                      <w:jc w:val="left"/>
                      <w:rPr>
                        <w:rFonts w:ascii="Calibri"/>
                        <w:b/>
                        <w:sz w:val="19"/>
                      </w:rPr>
                    </w:pPr>
                    <w:r>
                      <w:rPr>
                        <w:rFonts w:ascii="Calibri"/>
                        <w:b/>
                        <w:w w:val="90"/>
                        <w:sz w:val="19"/>
                      </w:rPr>
                      <w:t>0.2</w:t>
                    </w:r>
                  </w:p>
                  <w:p>
                    <w:pPr>
                      <w:spacing w:line="229" w:lineRule="exact" w:before="126"/>
                      <w:ind w:left="0" w:right="0" w:firstLine="0"/>
                      <w:jc w:val="left"/>
                      <w:rPr>
                        <w:rFonts w:ascii="Calibri"/>
                        <w:b/>
                        <w:sz w:val="19"/>
                      </w:rPr>
                    </w:pPr>
                    <w:r>
                      <w:rPr>
                        <w:rFonts w:ascii="Calibri"/>
                        <w:b/>
                        <w:w w:val="90"/>
                        <w:sz w:val="19"/>
                      </w:rPr>
                      <w:t>0.0</w:t>
                    </w:r>
                  </w:p>
                </w:txbxContent>
              </v:textbox>
              <w10:wrap type="none"/>
            </v:shape>
            <v:shape style="position:absolute;left:6145;top:-1197;width:2293;height:193"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10-Year</w:t>
                    </w:r>
                    <w:r>
                      <w:rPr>
                        <w:rFonts w:ascii="Calibri"/>
                        <w:b/>
                        <w:spacing w:val="-21"/>
                        <w:w w:val="90"/>
                        <w:sz w:val="19"/>
                      </w:rPr>
                      <w:t> </w:t>
                    </w:r>
                    <w:r>
                      <w:rPr>
                        <w:rFonts w:ascii="Calibri"/>
                        <w:b/>
                        <w:w w:val="90"/>
                        <w:sz w:val="19"/>
                      </w:rPr>
                      <w:t>Window 7-Year</w:t>
                    </w:r>
                    <w:r>
                      <w:rPr>
                        <w:rFonts w:ascii="Calibri"/>
                        <w:b/>
                        <w:spacing w:val="-20"/>
                        <w:w w:val="90"/>
                        <w:sz w:val="19"/>
                      </w:rPr>
                      <w:t> </w:t>
                    </w:r>
                    <w:r>
                      <w:rPr>
                        <w:rFonts w:ascii="Calibri"/>
                        <w:b/>
                        <w:w w:val="90"/>
                        <w:sz w:val="19"/>
                      </w:rPr>
                      <w:t>Window</w:t>
                    </w:r>
                  </w:p>
                </w:txbxContent>
              </v:textbox>
              <w10:wrap type="none"/>
            </v:shape>
            <v:shape style="position:absolute;left:6299;top:-963;width:2026;height:662" type="#_x0000_t202" filled="false" stroked="false">
              <v:textbox inset="0,0,0,0">
                <w:txbxContent>
                  <w:p>
                    <w:pPr>
                      <w:tabs>
                        <w:tab w:pos="1176" w:val="left" w:leader="none"/>
                      </w:tabs>
                      <w:spacing w:line="195" w:lineRule="exact" w:before="0"/>
                      <w:ind w:left="0" w:right="18" w:firstLine="0"/>
                      <w:jc w:val="center"/>
                      <w:rPr>
                        <w:rFonts w:ascii="Calibri"/>
                        <w:b/>
                        <w:sz w:val="19"/>
                      </w:rPr>
                    </w:pPr>
                    <w:r>
                      <w:rPr>
                        <w:rFonts w:ascii="Calibri"/>
                        <w:b/>
                        <w:w w:val="95"/>
                        <w:sz w:val="19"/>
                      </w:rPr>
                      <w:t>With</w:t>
                      <w:tab/>
                      <w:t>With</w:t>
                    </w:r>
                  </w:p>
                  <w:p>
                    <w:pPr>
                      <w:tabs>
                        <w:tab w:pos="1176" w:val="left" w:leader="none"/>
                      </w:tabs>
                      <w:spacing w:line="242" w:lineRule="auto" w:before="2"/>
                      <w:ind w:left="0" w:right="18" w:firstLine="0"/>
                      <w:jc w:val="center"/>
                      <w:rPr>
                        <w:rFonts w:ascii="Calibri"/>
                        <w:b/>
                        <w:sz w:val="19"/>
                      </w:rPr>
                    </w:pPr>
                    <w:r>
                      <w:rPr>
                        <w:rFonts w:ascii="Calibri"/>
                        <w:b/>
                        <w:w w:val="90"/>
                        <w:sz w:val="19"/>
                      </w:rPr>
                      <w:t>Productivity</w:t>
                      <w:tab/>
                    </w:r>
                    <w:r>
                      <w:rPr>
                        <w:rFonts w:ascii="Calibri"/>
                        <w:b/>
                        <w:spacing w:val="-3"/>
                        <w:w w:val="85"/>
                        <w:sz w:val="19"/>
                      </w:rPr>
                      <w:t>Productivity </w:t>
                    </w:r>
                    <w:r>
                      <w:rPr>
                        <w:rFonts w:ascii="Calibri"/>
                        <w:b/>
                        <w:w w:val="95"/>
                        <w:sz w:val="19"/>
                      </w:rPr>
                      <w:t>Effects</w:t>
                      <w:tab/>
                      <w:t>Effects</w:t>
                    </w:r>
                  </w:p>
                </w:txbxContent>
              </v:textbox>
              <w10:wrap type="none"/>
            </v:shape>
            <v:shape style="position:absolute;left:8605;top:-1197;width:2171;height:896" type="#_x0000_t202" filled="false" stroked="false">
              <v:textbox inset="0,0,0,0">
                <w:txbxContent>
                  <w:p>
                    <w:pPr>
                      <w:tabs>
                        <w:tab w:pos="1054" w:val="left" w:leader="none"/>
                      </w:tabs>
                      <w:spacing w:line="195" w:lineRule="exact" w:before="0"/>
                      <w:ind w:left="164" w:right="0" w:firstLine="0"/>
                      <w:jc w:val="left"/>
                      <w:rPr>
                        <w:rFonts w:ascii="Calibri"/>
                        <w:b/>
                        <w:sz w:val="19"/>
                      </w:rPr>
                    </w:pPr>
                    <w:r>
                      <w:rPr>
                        <w:rFonts w:ascii="Calibri"/>
                        <w:b/>
                        <w:w w:val="95"/>
                        <w:sz w:val="19"/>
                      </w:rPr>
                      <w:t>10-Year</w:t>
                      <w:tab/>
                    </w:r>
                    <w:r>
                      <w:rPr>
                        <w:rFonts w:ascii="Calibri"/>
                        <w:b/>
                        <w:w w:val="85"/>
                        <w:sz w:val="19"/>
                      </w:rPr>
                      <w:t>7-Year</w:t>
                    </w:r>
                    <w:r>
                      <w:rPr>
                        <w:rFonts w:ascii="Calibri"/>
                        <w:b/>
                        <w:spacing w:val="10"/>
                        <w:w w:val="85"/>
                        <w:sz w:val="19"/>
                      </w:rPr>
                      <w:t> </w:t>
                    </w:r>
                    <w:r>
                      <w:rPr>
                        <w:rFonts w:ascii="Calibri"/>
                        <w:b/>
                        <w:w w:val="85"/>
                        <w:sz w:val="19"/>
                      </w:rPr>
                      <w:t>Window,</w:t>
                    </w:r>
                  </w:p>
                  <w:p>
                    <w:pPr>
                      <w:tabs>
                        <w:tab w:pos="1072" w:val="left" w:leader="none"/>
                        <w:tab w:pos="1374" w:val="left" w:leader="none"/>
                      </w:tabs>
                      <w:spacing w:line="242" w:lineRule="auto" w:before="2"/>
                      <w:ind w:left="11" w:right="35" w:hanging="12"/>
                      <w:jc w:val="left"/>
                      <w:rPr>
                        <w:rFonts w:ascii="Calibri"/>
                        <w:b/>
                        <w:sz w:val="19"/>
                      </w:rPr>
                    </w:pPr>
                    <w:r>
                      <w:rPr>
                        <w:rFonts w:ascii="Calibri"/>
                        <w:b/>
                        <w:w w:val="95"/>
                        <w:sz w:val="19"/>
                      </w:rPr>
                      <w:t>Window,</w:t>
                    </w:r>
                    <w:r>
                      <w:rPr>
                        <w:rFonts w:ascii="Calibri"/>
                        <w:b/>
                        <w:spacing w:val="-26"/>
                        <w:w w:val="95"/>
                        <w:sz w:val="19"/>
                      </w:rPr>
                      <w:t> </w:t>
                    </w:r>
                    <w:r>
                      <w:rPr>
                        <w:rFonts w:ascii="Calibri"/>
                        <w:b/>
                        <w:w w:val="95"/>
                        <w:sz w:val="19"/>
                      </w:rPr>
                      <w:t>No</w:t>
                      <w:tab/>
                    </w:r>
                    <w:r>
                      <w:rPr>
                        <w:rFonts w:ascii="Calibri"/>
                        <w:b/>
                        <w:w w:val="85"/>
                        <w:sz w:val="19"/>
                      </w:rPr>
                      <w:t>No Productivity </w:t>
                    </w:r>
                    <w:r>
                      <w:rPr>
                        <w:rFonts w:ascii="Calibri"/>
                        <w:b/>
                        <w:w w:val="90"/>
                        <w:sz w:val="19"/>
                      </w:rPr>
                      <w:t>Productivity</w:t>
                      <w:tab/>
                      <w:tab/>
                    </w:r>
                    <w:r>
                      <w:rPr>
                        <w:rFonts w:ascii="Calibri"/>
                        <w:b/>
                        <w:w w:val="95"/>
                        <w:sz w:val="19"/>
                      </w:rPr>
                      <w:t>Effects</w:t>
                    </w:r>
                  </w:p>
                  <w:p>
                    <w:pPr>
                      <w:spacing w:line="229" w:lineRule="exact" w:before="1"/>
                      <w:ind w:left="196" w:right="0" w:firstLine="0"/>
                      <w:jc w:val="left"/>
                      <w:rPr>
                        <w:rFonts w:ascii="Calibri"/>
                        <w:b/>
                        <w:sz w:val="19"/>
                      </w:rPr>
                    </w:pPr>
                    <w:r>
                      <w:rPr>
                        <w:rFonts w:ascii="Calibri"/>
                        <w:b/>
                        <w:w w:val="95"/>
                        <w:sz w:val="19"/>
                      </w:rPr>
                      <w:t>Effects</w:t>
                    </w:r>
                  </w:p>
                </w:txbxContent>
              </v:textbox>
              <w10:wrap type="none"/>
            </v:shape>
            <v:shape style="position:absolute;left:8809;top:-3761;width:1334;height:193"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Period</w:t>
                    </w:r>
                    <w:r>
                      <w:rPr>
                        <w:rFonts w:ascii="Calibri"/>
                        <w:b/>
                        <w:spacing w:val="-24"/>
                        <w:w w:val="90"/>
                        <w:sz w:val="19"/>
                      </w:rPr>
                      <w:t> </w:t>
                    </w:r>
                    <w:r>
                      <w:rPr>
                        <w:rFonts w:ascii="Calibri"/>
                        <w:b/>
                        <w:w w:val="90"/>
                        <w:sz w:val="19"/>
                      </w:rPr>
                      <w:t>Ending</w:t>
                    </w:r>
                    <w:r>
                      <w:rPr>
                        <w:rFonts w:ascii="Calibri"/>
                        <w:b/>
                        <w:spacing w:val="-23"/>
                        <w:w w:val="90"/>
                        <w:sz w:val="19"/>
                      </w:rPr>
                      <w:t> </w:t>
                    </w:r>
                    <w:r>
                      <w:rPr>
                        <w:rFonts w:ascii="Calibri"/>
                        <w:b/>
                        <w:w w:val="90"/>
                        <w:sz w:val="19"/>
                      </w:rPr>
                      <w:t>2014</w:t>
                    </w:r>
                  </w:p>
                </w:txbxContent>
              </v:textbox>
              <w10:wrap type="none"/>
            </v:shape>
            <v:shape style="position:absolute;left:6909;top:-3761;width:1334;height:518" type="#_x0000_t202" filled="false" stroked="false">
              <v:textbox inset="0,0,0,0">
                <w:txbxContent>
                  <w:p>
                    <w:pPr>
                      <w:spacing w:line="195" w:lineRule="exact" w:before="0"/>
                      <w:ind w:left="0" w:right="0" w:firstLine="0"/>
                      <w:jc w:val="left"/>
                      <w:rPr>
                        <w:rFonts w:ascii="Calibri"/>
                        <w:b/>
                        <w:sz w:val="19"/>
                      </w:rPr>
                    </w:pPr>
                    <w:r>
                      <w:rPr>
                        <w:rFonts w:ascii="Calibri"/>
                        <w:b/>
                        <w:w w:val="85"/>
                        <w:sz w:val="19"/>
                      </w:rPr>
                      <w:t>Period Ending</w:t>
                    </w:r>
                    <w:r>
                      <w:rPr>
                        <w:rFonts w:ascii="Calibri"/>
                        <w:b/>
                        <w:spacing w:val="14"/>
                        <w:w w:val="85"/>
                        <w:sz w:val="19"/>
                      </w:rPr>
                      <w:t> </w:t>
                    </w:r>
                    <w:r>
                      <w:rPr>
                        <w:rFonts w:ascii="Calibri"/>
                        <w:b/>
                        <w:w w:val="85"/>
                        <w:sz w:val="19"/>
                      </w:rPr>
                      <w:t>2011</w:t>
                    </w:r>
                  </w:p>
                  <w:p>
                    <w:pPr>
                      <w:spacing w:line="229" w:lineRule="exact" w:before="93"/>
                      <w:ind w:left="0" w:right="0" w:firstLine="0"/>
                      <w:jc w:val="left"/>
                      <w:rPr>
                        <w:rFonts w:ascii="Calibri"/>
                        <w:b/>
                        <w:sz w:val="19"/>
                      </w:rPr>
                    </w:pPr>
                    <w:r>
                      <w:rPr>
                        <w:rFonts w:ascii="Calibri"/>
                        <w:b/>
                        <w:w w:val="85"/>
                        <w:sz w:val="19"/>
                      </w:rPr>
                      <w:t>Period Ending</w:t>
                    </w:r>
                    <w:r>
                      <w:rPr>
                        <w:rFonts w:ascii="Calibri"/>
                        <w:b/>
                        <w:spacing w:val="14"/>
                        <w:w w:val="85"/>
                        <w:sz w:val="19"/>
                      </w:rPr>
                      <w:t> </w:t>
                    </w:r>
                    <w:r>
                      <w:rPr>
                        <w:rFonts w:ascii="Calibri"/>
                        <w:b/>
                        <w:w w:val="85"/>
                        <w:sz w:val="19"/>
                      </w:rPr>
                      <w:t>2017</w:t>
                    </w:r>
                  </w:p>
                </w:txbxContent>
              </v:textbox>
              <w10:wrap type="none"/>
            </v:shape>
            <v:shape style="position:absolute;left:6244;top:-3724;width:196;height:193"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pp</w:t>
                    </w:r>
                  </w:p>
                </w:txbxContent>
              </v:textbox>
              <w10:wrap type="none"/>
            </v:shape>
            <v:shape style="position:absolute;left:3814;top:-648;width:1681;height:235" type="#_x0000_t202" filled="false" stroked="false">
              <v:textbox inset="0,0,0,0">
                <w:txbxContent>
                  <w:p>
                    <w:pPr>
                      <w:tabs>
                        <w:tab w:pos="473" w:val="left" w:leader="none"/>
                        <w:tab w:pos="986" w:val="left" w:leader="none"/>
                        <w:tab w:pos="1500" w:val="left" w:leader="none"/>
                      </w:tabs>
                      <w:spacing w:line="234" w:lineRule="exact" w:before="0"/>
                      <w:ind w:left="0" w:right="0" w:firstLine="0"/>
                      <w:jc w:val="left"/>
                      <w:rPr>
                        <w:rFonts w:ascii="Calibri"/>
                        <w:b/>
                        <w:sz w:val="19"/>
                      </w:rPr>
                    </w:pPr>
                    <w:r>
                      <w:rPr>
                        <w:rFonts w:ascii="Calibri"/>
                        <w:b/>
                        <w:w w:val="95"/>
                        <w:sz w:val="19"/>
                      </w:rPr>
                      <w:t>9</w:t>
                      <w:tab/>
                      <w:t>10</w:t>
                      <w:tab/>
                      <w:t>11</w:t>
                    </w:r>
                    <w:r>
                      <w:rPr>
                        <w:rFonts w:ascii="Calibri"/>
                        <w:w w:val="95"/>
                        <w:position w:val="7"/>
                        <w:sz w:val="16"/>
                      </w:rPr>
                      <w:t>%</w:t>
                      <w:tab/>
                    </w:r>
                    <w:r>
                      <w:rPr>
                        <w:rFonts w:ascii="Calibri"/>
                        <w:b/>
                        <w:w w:val="90"/>
                        <w:sz w:val="19"/>
                      </w:rPr>
                      <w:t>12</w:t>
                    </w:r>
                  </w:p>
                </w:txbxContent>
              </v:textbox>
              <w10:wrap type="none"/>
            </v:shape>
            <v:shape style="position:absolute;left:3301;top:-606;width:101;height:192" type="#_x0000_t202" filled="false" stroked="false">
              <v:textbox inset="0,0,0,0">
                <w:txbxContent>
                  <w:p>
                    <w:pPr>
                      <w:spacing w:line="192" w:lineRule="exact" w:before="0"/>
                      <w:ind w:left="0" w:right="0" w:firstLine="0"/>
                      <w:jc w:val="left"/>
                      <w:rPr>
                        <w:rFonts w:ascii="Calibri"/>
                        <w:b/>
                        <w:sz w:val="19"/>
                      </w:rPr>
                    </w:pPr>
                    <w:r>
                      <w:rPr>
                        <w:rFonts w:ascii="Calibri"/>
                        <w:b/>
                        <w:w w:val="83"/>
                        <w:sz w:val="19"/>
                      </w:rPr>
                      <w:t>8</w:t>
                    </w:r>
                  </w:p>
                </w:txbxContent>
              </v:textbox>
              <w10:wrap type="none"/>
            </v:shape>
            <v:shape style="position:absolute;left:2366;top:-606;width:865;height:346" type="#_x0000_t202" filled="false" stroked="false">
              <v:textbox inset="0,0,0,0">
                <w:txbxContent>
                  <w:p>
                    <w:pPr>
                      <w:spacing w:line="156" w:lineRule="exact" w:before="0"/>
                      <w:ind w:left="59" w:right="0" w:firstLine="0"/>
                      <w:jc w:val="center"/>
                      <w:rPr>
                        <w:rFonts w:ascii="Calibri"/>
                        <w:b/>
                        <w:sz w:val="19"/>
                      </w:rPr>
                    </w:pPr>
                    <w:r>
                      <w:rPr>
                        <w:rFonts w:ascii="Calibri"/>
                        <w:b/>
                        <w:w w:val="83"/>
                        <w:sz w:val="19"/>
                      </w:rPr>
                      <w:t>7</w:t>
                    </w:r>
                  </w:p>
                  <w:p>
                    <w:pPr>
                      <w:spacing w:line="190" w:lineRule="exact" w:before="0"/>
                      <w:ind w:left="0" w:right="18" w:firstLine="0"/>
                      <w:jc w:val="center"/>
                      <w:rPr>
                        <w:rFonts w:ascii="Calibri"/>
                        <w:b/>
                        <w:sz w:val="19"/>
                      </w:rPr>
                    </w:pPr>
                    <w:r>
                      <w:rPr>
                        <w:rFonts w:ascii="Calibri"/>
                        <w:b/>
                        <w:w w:val="85"/>
                        <w:sz w:val="19"/>
                      </w:rPr>
                      <w:t>Jobless Rate</w:t>
                    </w:r>
                  </w:p>
                </w:txbxContent>
              </v:textbox>
              <w10:wrap type="none"/>
            </v:shape>
            <v:shape style="position:absolute;left:1247;top:-606;width:1128;height:192" type="#_x0000_t202" filled="false" stroked="false">
              <v:textbox inset="0,0,0,0">
                <w:txbxContent>
                  <w:p>
                    <w:pPr>
                      <w:tabs>
                        <w:tab w:pos="513" w:val="left" w:leader="none"/>
                        <w:tab w:pos="1026" w:val="left" w:leader="none"/>
                      </w:tabs>
                      <w:spacing w:line="192" w:lineRule="exact" w:before="0"/>
                      <w:ind w:left="0" w:right="0" w:firstLine="0"/>
                      <w:jc w:val="left"/>
                      <w:rPr>
                        <w:rFonts w:ascii="Calibri"/>
                        <w:b/>
                        <w:sz w:val="19"/>
                      </w:rPr>
                    </w:pPr>
                    <w:r>
                      <w:rPr>
                        <w:rFonts w:ascii="Calibri"/>
                        <w:b/>
                        <w:w w:val="95"/>
                        <w:sz w:val="19"/>
                      </w:rPr>
                      <w:t>4</w:t>
                      <w:tab/>
                      <w:t>5</w:t>
                      <w:tab/>
                      <w:t>6</w:t>
                    </w:r>
                  </w:p>
                </w:txbxContent>
              </v:textbox>
              <w10:wrap type="none"/>
            </v:shape>
            <v:shape style="position:absolute;left:3355;top:-1134;width:341;height:192"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2012</w:t>
                    </w:r>
                  </w:p>
                </w:txbxContent>
              </v:textbox>
              <w10:wrap type="none"/>
            </v:shape>
            <v:shape style="position:absolute;left:4540;top:-1316;width:341;height:192"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1993</w:t>
                    </w:r>
                  </w:p>
                </w:txbxContent>
              </v:textbox>
              <w10:wrap type="none"/>
            </v:shape>
            <v:shape style="position:absolute;left:1287;top:-1197;width:341;height:192"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2017</w:t>
                    </w:r>
                  </w:p>
                </w:txbxContent>
              </v:textbox>
              <w10:wrap type="none"/>
            </v:shape>
            <v:shape style="position:absolute;left:5086;top:-1658;width:342;height:193"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1984</w:t>
                    </w:r>
                  </w:p>
                </w:txbxContent>
              </v:textbox>
              <w10:wrap type="none"/>
            </v:shape>
            <v:shape style="position:absolute;left:1593;top:-2035;width:550;height:192"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2000-07</w:t>
                    </w:r>
                  </w:p>
                </w:txbxContent>
              </v:textbox>
              <w10:wrap type="none"/>
            </v:shape>
            <v:shape style="position:absolute;left:2594;top:-2400;width:341;height:193"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1990</w:t>
                    </w:r>
                  </w:p>
                </w:txbxContent>
              </v:textbox>
              <w10:wrap type="none"/>
            </v:shape>
            <v:shape style="position:absolute;left:2295;top:-3533;width:341;height:193"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1980</w:t>
                    </w:r>
                  </w:p>
                </w:txbxContent>
              </v:textbox>
              <w10:wrap type="none"/>
            </v:shape>
            <v:shape style="position:absolute;left:1372;top:-3626;width:136;height:192" type="#_x0000_t202" filled="false" stroked="false">
              <v:textbox inset="0,0,0,0">
                <w:txbxContent>
                  <w:p>
                    <w:pPr>
                      <w:spacing w:line="192" w:lineRule="exact" w:before="0"/>
                      <w:ind w:left="0" w:right="0" w:firstLine="0"/>
                      <w:jc w:val="left"/>
                      <w:rPr>
                        <w:rFonts w:ascii="Calibri"/>
                        <w:b/>
                        <w:sz w:val="19"/>
                      </w:rPr>
                    </w:pPr>
                    <w:r>
                      <w:rPr>
                        <w:rFonts w:ascii="Calibri"/>
                        <w:b/>
                        <w:w w:val="83"/>
                        <w:sz w:val="19"/>
                      </w:rPr>
                      <w:t>%</w:t>
                    </w:r>
                  </w:p>
                </w:txbxContent>
              </v:textbox>
              <w10:wrap type="none"/>
            </v:shape>
            <v:shape style="position:absolute;left:979;top:-3817;width:181;height:3154" type="#_x0000_t202" filled="false" stroked="false">
              <v:textbox inset="0,0,0,0">
                <w:txbxContent>
                  <w:p>
                    <w:pPr>
                      <w:spacing w:line="195" w:lineRule="exact" w:before="0"/>
                      <w:ind w:left="0" w:right="0" w:firstLine="0"/>
                      <w:jc w:val="left"/>
                      <w:rPr>
                        <w:rFonts w:ascii="Calibri"/>
                        <w:b/>
                        <w:sz w:val="19"/>
                      </w:rPr>
                    </w:pPr>
                    <w:r>
                      <w:rPr>
                        <w:rFonts w:ascii="Calibri"/>
                        <w:b/>
                        <w:w w:val="90"/>
                        <w:sz w:val="19"/>
                      </w:rPr>
                      <w:t>22</w:t>
                    </w:r>
                  </w:p>
                  <w:p>
                    <w:pPr>
                      <w:spacing w:before="14"/>
                      <w:ind w:left="0" w:right="0" w:firstLine="0"/>
                      <w:jc w:val="left"/>
                      <w:rPr>
                        <w:rFonts w:ascii="Calibri"/>
                        <w:b/>
                        <w:sz w:val="19"/>
                      </w:rPr>
                    </w:pPr>
                    <w:r>
                      <w:rPr>
                        <w:rFonts w:ascii="Calibri"/>
                        <w:b/>
                        <w:w w:val="90"/>
                        <w:sz w:val="19"/>
                      </w:rPr>
                      <w:t>20</w:t>
                    </w:r>
                  </w:p>
                  <w:p>
                    <w:pPr>
                      <w:spacing w:before="15"/>
                      <w:ind w:left="0" w:right="0" w:firstLine="0"/>
                      <w:jc w:val="left"/>
                      <w:rPr>
                        <w:rFonts w:ascii="Calibri"/>
                        <w:b/>
                        <w:sz w:val="19"/>
                      </w:rPr>
                    </w:pPr>
                    <w:r>
                      <w:rPr>
                        <w:rFonts w:ascii="Calibri"/>
                        <w:b/>
                        <w:w w:val="90"/>
                        <w:sz w:val="19"/>
                      </w:rPr>
                      <w:t>18</w:t>
                    </w:r>
                  </w:p>
                  <w:p>
                    <w:pPr>
                      <w:spacing w:before="15"/>
                      <w:ind w:left="0" w:right="0" w:firstLine="0"/>
                      <w:jc w:val="left"/>
                      <w:rPr>
                        <w:rFonts w:ascii="Calibri"/>
                        <w:b/>
                        <w:sz w:val="19"/>
                      </w:rPr>
                    </w:pPr>
                    <w:r>
                      <w:rPr>
                        <w:rFonts w:ascii="Calibri"/>
                        <w:b/>
                        <w:w w:val="90"/>
                        <w:sz w:val="19"/>
                      </w:rPr>
                      <w:t>16</w:t>
                    </w:r>
                  </w:p>
                  <w:p>
                    <w:pPr>
                      <w:spacing w:before="15"/>
                      <w:ind w:left="0" w:right="0" w:firstLine="0"/>
                      <w:jc w:val="left"/>
                      <w:rPr>
                        <w:rFonts w:ascii="Calibri"/>
                        <w:b/>
                        <w:sz w:val="19"/>
                      </w:rPr>
                    </w:pPr>
                    <w:r>
                      <w:rPr>
                        <w:rFonts w:ascii="Calibri"/>
                        <w:b/>
                        <w:w w:val="90"/>
                        <w:sz w:val="19"/>
                      </w:rPr>
                      <w:t>14</w:t>
                    </w:r>
                  </w:p>
                  <w:p>
                    <w:pPr>
                      <w:spacing w:before="15"/>
                      <w:ind w:left="0" w:right="0" w:firstLine="0"/>
                      <w:jc w:val="left"/>
                      <w:rPr>
                        <w:rFonts w:ascii="Calibri"/>
                        <w:b/>
                        <w:sz w:val="19"/>
                      </w:rPr>
                    </w:pPr>
                    <w:r>
                      <w:rPr>
                        <w:rFonts w:ascii="Calibri"/>
                        <w:b/>
                        <w:w w:val="90"/>
                        <w:sz w:val="19"/>
                      </w:rPr>
                      <w:t>12</w:t>
                    </w:r>
                  </w:p>
                  <w:p>
                    <w:pPr>
                      <w:spacing w:before="15"/>
                      <w:ind w:left="0" w:right="0" w:firstLine="0"/>
                      <w:jc w:val="left"/>
                      <w:rPr>
                        <w:rFonts w:ascii="Calibri"/>
                        <w:b/>
                        <w:sz w:val="19"/>
                      </w:rPr>
                    </w:pPr>
                    <w:r>
                      <w:rPr>
                        <w:rFonts w:ascii="Calibri"/>
                        <w:b/>
                        <w:w w:val="90"/>
                        <w:sz w:val="19"/>
                      </w:rPr>
                      <w:t>10</w:t>
                    </w:r>
                  </w:p>
                  <w:p>
                    <w:pPr>
                      <w:spacing w:before="15"/>
                      <w:ind w:left="80" w:right="0" w:firstLine="0"/>
                      <w:jc w:val="left"/>
                      <w:rPr>
                        <w:rFonts w:ascii="Calibri"/>
                        <w:b/>
                        <w:sz w:val="19"/>
                      </w:rPr>
                    </w:pPr>
                    <w:r>
                      <w:rPr>
                        <w:rFonts w:ascii="Calibri"/>
                        <w:b/>
                        <w:w w:val="83"/>
                        <w:sz w:val="19"/>
                      </w:rPr>
                      <w:t>8</w:t>
                    </w:r>
                  </w:p>
                  <w:p>
                    <w:pPr>
                      <w:spacing w:before="15"/>
                      <w:ind w:left="80" w:right="0" w:firstLine="0"/>
                      <w:jc w:val="left"/>
                      <w:rPr>
                        <w:rFonts w:ascii="Calibri"/>
                        <w:b/>
                        <w:sz w:val="19"/>
                      </w:rPr>
                    </w:pPr>
                    <w:r>
                      <w:rPr>
                        <w:rFonts w:ascii="Calibri"/>
                        <w:b/>
                        <w:w w:val="83"/>
                        <w:sz w:val="19"/>
                      </w:rPr>
                      <w:t>6</w:t>
                    </w:r>
                  </w:p>
                  <w:p>
                    <w:pPr>
                      <w:spacing w:before="14"/>
                      <w:ind w:left="80" w:right="0" w:firstLine="0"/>
                      <w:jc w:val="left"/>
                      <w:rPr>
                        <w:rFonts w:ascii="Calibri"/>
                        <w:b/>
                        <w:sz w:val="19"/>
                      </w:rPr>
                    </w:pPr>
                    <w:r>
                      <w:rPr>
                        <w:rFonts w:ascii="Calibri"/>
                        <w:b/>
                        <w:w w:val="83"/>
                        <w:sz w:val="19"/>
                      </w:rPr>
                      <w:t>4</w:t>
                    </w:r>
                  </w:p>
                  <w:p>
                    <w:pPr>
                      <w:spacing w:before="15"/>
                      <w:ind w:left="80" w:right="0" w:firstLine="0"/>
                      <w:jc w:val="left"/>
                      <w:rPr>
                        <w:rFonts w:ascii="Calibri"/>
                        <w:b/>
                        <w:sz w:val="19"/>
                      </w:rPr>
                    </w:pPr>
                    <w:r>
                      <w:rPr>
                        <w:rFonts w:ascii="Calibri"/>
                        <w:b/>
                        <w:w w:val="83"/>
                        <w:sz w:val="19"/>
                      </w:rPr>
                      <w:t>2</w:t>
                    </w:r>
                  </w:p>
                  <w:p>
                    <w:pPr>
                      <w:spacing w:before="15"/>
                      <w:ind w:left="80" w:right="0" w:firstLine="0"/>
                      <w:jc w:val="left"/>
                      <w:rPr>
                        <w:rFonts w:ascii="Calibri"/>
                        <w:b/>
                        <w:sz w:val="19"/>
                      </w:rPr>
                    </w:pPr>
                    <w:r>
                      <w:rPr>
                        <w:rFonts w:ascii="Calibri"/>
                        <w:b/>
                        <w:w w:val="83"/>
                        <w:sz w:val="19"/>
                      </w:rPr>
                      <w:t>0</w:t>
                    </w:r>
                  </w:p>
                  <w:p>
                    <w:pPr>
                      <w:spacing w:line="229" w:lineRule="exact" w:before="15"/>
                      <w:ind w:left="31" w:right="0" w:firstLine="0"/>
                      <w:jc w:val="left"/>
                      <w:rPr>
                        <w:rFonts w:ascii="Calibri"/>
                        <w:b/>
                        <w:sz w:val="19"/>
                      </w:rPr>
                    </w:pPr>
                    <w:r>
                      <w:rPr>
                        <w:rFonts w:ascii="Calibri"/>
                        <w:b/>
                        <w:w w:val="90"/>
                        <w:sz w:val="19"/>
                      </w:rPr>
                      <w:t>-2</w:t>
                    </w:r>
                  </w:p>
                </w:txbxContent>
              </v:textbox>
              <w10:wrap type="none"/>
            </v:shape>
            <v:shape style="position:absolute;left:5675;top:-5033;width:5202;height:1021" type="#_x0000_t202" filled="false" stroked="false">
              <v:textbox inset="0,0,0,0">
                <w:txbxContent>
                  <w:p>
                    <w:pPr>
                      <w:spacing w:line="352" w:lineRule="auto" w:before="108"/>
                      <w:ind w:left="103" w:right="0" w:firstLine="0"/>
                      <w:jc w:val="left"/>
                      <w:rPr>
                        <w:sz w:val="20"/>
                      </w:rPr>
                    </w:pPr>
                    <w:r>
                      <w:rPr>
                        <w:sz w:val="20"/>
                      </w:rPr>
                      <w:t>Figure 14. UK – Average of Regional Coefficients for Response of Pay Growth to a 1pp Drop in Jobless Rate,</w:t>
                    </w:r>
                  </w:p>
                  <w:p>
                    <w:pPr>
                      <w:spacing w:before="3"/>
                      <w:ind w:left="103" w:right="0" w:firstLine="0"/>
                      <w:jc w:val="left"/>
                      <w:rPr>
                        <w:sz w:val="20"/>
                      </w:rPr>
                    </w:pPr>
                    <w:r>
                      <w:rPr>
                        <w:sz w:val="20"/>
                      </w:rPr>
                      <w:t>2001-17</w:t>
                    </w:r>
                  </w:p>
                </w:txbxContent>
              </v:textbox>
              <w10:wrap type="none"/>
            </v:shape>
            <v:shape style="position:absolute;left:571;top:-5033;width:5095;height:1021" type="#_x0000_t202" filled="false" stroked="false">
              <v:textbox inset="0,0,0,0">
                <w:txbxContent>
                  <w:p>
                    <w:pPr>
                      <w:spacing w:line="352" w:lineRule="auto" w:before="108"/>
                      <w:ind w:left="103" w:right="458" w:firstLine="0"/>
                      <w:jc w:val="left"/>
                      <w:rPr>
                        <w:sz w:val="20"/>
                      </w:rPr>
                    </w:pPr>
                    <w:r>
                      <w:rPr>
                        <w:sz w:val="20"/>
                      </w:rPr>
                      <w:t>Figure 13. UK – Jobless Rate and Average Weekly Earnings Growth, 1980-17</w:t>
                    </w:r>
                  </w:p>
                </w:txbxContent>
              </v:textbox>
              <w10:wrap type="none"/>
            </v:shape>
            <w10:wrap type="none"/>
          </v:group>
        </w:pict>
      </w:r>
      <w:r>
        <w:rPr/>
        <w:pict>
          <v:group style="position:absolute;margin-left:49.374031pt;margin-top:119.204979pt;width:224.4pt;height:148.8pt;mso-position-horizontal-relative:page;mso-position-vertical-relative:paragraph;z-index:-253429760" coordorigin="987,2384" coordsize="4488,2976">
            <v:rect style="position:absolute;left:1037;top:2386;width:4435;height:2970" filled="false" stroked="true" strokeweight=".272208pt" strokecolor="#000000">
              <v:stroke dashstyle="solid"/>
            </v:rect>
            <v:rect style="position:absolute;left:1196;top:3979;width:211;height:1378" filled="true" fillcolor="#ff00ff" stroked="false">
              <v:fill type="solid"/>
            </v:rect>
            <v:rect style="position:absolute;left:1196;top:3979;width:211;height:1378" filled="false" stroked="true" strokeweight=".239067pt" strokecolor="#ff00ff">
              <v:stroke dashstyle="solid"/>
            </v:rect>
            <v:rect style="position:absolute;left:1935;top:4103;width:211;height:1253" filled="true" fillcolor="#ff00ff" stroked="false">
              <v:fill type="solid"/>
            </v:rect>
            <v:rect style="position:absolute;left:1935;top:4103;width:211;height:1253" filled="false" stroked="true" strokeweight=".239298pt" strokecolor="#ff00ff">
              <v:stroke dashstyle="solid"/>
            </v:rect>
            <v:rect style="position:absolute;left:2674;top:4665;width:211;height:692" filled="true" fillcolor="#ff00ff" stroked="false">
              <v:fill type="solid"/>
            </v:rect>
            <v:rect style="position:absolute;left:2674;top:4665;width:211;height:692" filled="false" stroked="true" strokeweight=".242161pt" strokecolor="#ff00ff">
              <v:stroke dashstyle="solid"/>
            </v:rect>
            <v:rect style="position:absolute;left:3413;top:4687;width:211;height:670" filled="true" fillcolor="#ff00ff" stroked="false">
              <v:fill type="solid"/>
            </v:rect>
            <v:rect style="position:absolute;left:3413;top:4687;width:211;height:670" filled="false" stroked="true" strokeweight=".242419pt" strokecolor="#ff00ff">
              <v:stroke dashstyle="solid"/>
            </v:rect>
            <v:rect style="position:absolute;left:4151;top:4609;width:212;height:747" filled="true" fillcolor="#ff00ff" stroked="false">
              <v:fill type="solid"/>
            </v:rect>
            <v:rect style="position:absolute;left:4151;top:4609;width:212;height:747" filled="false" stroked="true" strokeweight=".241625pt" strokecolor="#ff00ff">
              <v:stroke dashstyle="solid"/>
            </v:rect>
            <v:rect style="position:absolute;left:4891;top:4496;width:212;height:860" filled="true" fillcolor="#ff00ff" stroked="false">
              <v:fill type="solid"/>
            </v:rect>
            <v:rect style="position:absolute;left:4891;top:4496;width:212;height:860" filled="false" stroked="true" strokeweight=".240768pt" strokecolor="#ff00ff">
              <v:stroke dashstyle="solid"/>
            </v:rect>
            <v:rect style="position:absolute;left:1407;top:2624;width:211;height:2732" filled="true" fillcolor="#0000ff" stroked="false">
              <v:fill type="solid"/>
            </v:rect>
            <v:rect style="position:absolute;left:1407;top:2624;width:211;height:2732" filled="false" stroked="true" strokeweight=".238224pt" strokecolor="#0000ff">
              <v:stroke dashstyle="solid"/>
            </v:rect>
            <v:rect style="position:absolute;left:2146;top:3142;width:211;height:2215" filled="true" fillcolor="#0000ff" stroked="false">
              <v:fill type="solid"/>
            </v:rect>
            <v:rect style="position:absolute;left:2146;top:3142;width:211;height:2215" filled="false" stroked="true" strokeweight=".238376pt" strokecolor="#0000ff">
              <v:stroke dashstyle="solid"/>
            </v:rect>
            <v:rect style="position:absolute;left:2885;top:3994;width:211;height:1363" filled="true" fillcolor="#0000ff" stroked="false">
              <v:fill type="solid"/>
            </v:rect>
            <v:rect style="position:absolute;left:2885;top:3994;width:211;height:1363" filled="false" stroked="true" strokeweight=".239092pt" strokecolor="#0000ff">
              <v:stroke dashstyle="solid"/>
            </v:rect>
            <v:rect style="position:absolute;left:3624;top:3688;width:211;height:1668" filled="true" fillcolor="#0000ff" stroked="false">
              <v:fill type="solid"/>
            </v:rect>
            <v:rect style="position:absolute;left:3624;top:3688;width:211;height:1668" filled="false" stroked="true" strokeweight=".238711pt" strokecolor="#0000ff">
              <v:stroke dashstyle="solid"/>
            </v:rect>
            <v:rect style="position:absolute;left:4363;top:3177;width:211;height:2179" filled="true" fillcolor="#0000ff" stroked="false">
              <v:fill type="solid"/>
            </v:rect>
            <v:rect style="position:absolute;left:4363;top:3177;width:211;height:2179" filled="false" stroked="true" strokeweight=".238391pt" strokecolor="#0000ff">
              <v:stroke dashstyle="solid"/>
            </v:rect>
            <v:rect style="position:absolute;left:5102;top:2724;width:211;height:2633" filled="true" fillcolor="#0000ff" stroked="false">
              <v:fill type="solid"/>
            </v:rect>
            <v:rect style="position:absolute;left:5102;top:2724;width:211;height:2633" filled="false" stroked="true" strokeweight=".238246pt" strokecolor="#0000ff">
              <v:stroke dashstyle="solid"/>
            </v:rect>
            <v:shape style="position:absolute;left:945;top:950;width:13572;height:7436" coordorigin="946,950" coordsize="13572,7436" path="m1037,5357l1037,2387m987,5357l1037,5357m987,5027l1037,5027m987,4697l1037,4697m987,4367l1037,4367m987,4038l1037,4038m987,3707l1037,3707m987,3377l1037,3377m987,3047l1037,3047m987,2718l1037,2718m987,2387l1037,2387m1037,5357l5472,5357e" filled="false" stroked="true" strokeweight=".262753pt" strokecolor="#858585">
              <v:path arrowok="t"/>
              <v:stroke dashstyle="solid"/>
            </v:shape>
            <v:rect style="position:absolute;left:2537;top:2569;width:88;height:106" filled="true" fillcolor="#ff00ff" stroked="false">
              <v:fill type="solid"/>
            </v:rect>
            <v:rect style="position:absolute;left:2537;top:2569;width:88;height:106" filled="false" stroked="true" strokeweight=".258104pt" strokecolor="#ff00ff">
              <v:stroke dashstyle="solid"/>
            </v:rect>
            <v:rect style="position:absolute;left:2537;top:3109;width:88;height:106" filled="true" fillcolor="#0000ff" stroked="false">
              <v:fill type="solid"/>
            </v:rect>
            <v:rect style="position:absolute;left:2537;top:3109;width:88;height:106" filled="false" stroked="true" strokeweight=".258104pt" strokecolor="#0000ff">
              <v:stroke dashstyle="solid"/>
            </v:rect>
            <w10:wrap type="none"/>
          </v:group>
        </w:pict>
      </w:r>
      <w:r>
        <w:rPr/>
        <w:pict>
          <v:group style="position:absolute;margin-left:303.974030pt;margin-top:119.415497pt;width:212.4pt;height:165.6pt;mso-position-horizontal-relative:page;mso-position-vertical-relative:paragraph;z-index:-253428736" coordorigin="6079,2388" coordsize="4248,3312">
            <v:rect style="position:absolute;left:6129;top:2391;width:4195;height:3306" filled="false" stroked="true" strokeweight=".274131pt" strokecolor="#000000">
              <v:stroke dashstyle="solid"/>
            </v:rect>
            <v:shape style="position:absolute;left:945;top:950;width:12845;height:8024" coordorigin="946,950" coordsize="12845,8024" path="m6129,5696l6129,2391m6079,5696l6129,5696m6079,5283l6129,5283m6079,4870l6129,4870m6079,4457l6129,4457m6079,4044l6129,4044m6079,3631l6129,3631m6079,3218l6129,3218m6079,2805l6129,2805m6079,2391l6129,2391m6129,5696l10324,5696e" filled="false" stroked="true" strokeweight=".267268pt" strokecolor="#858585">
              <v:path arrowok="t"/>
              <v:stroke dashstyle="solid"/>
            </v:shape>
            <v:shape style="position:absolute;left:6345;top:2795;width:3887;height:2824" coordorigin="6345,2796" coordsize="3887,2824" path="m6345,2796l6407,2848,6469,3119,6531,3260,6592,3316,6654,3123,6716,3333,6777,3081,6839,3307,6900,3174,6962,3108,7024,2996,7086,3164,7147,3713,7209,3683,7271,3934,7333,3996,7394,4006,7456,3702,7517,4403,7579,3860,7641,3923,7702,3605,7764,3898,7826,3752,7888,3355,7949,3971,8011,4346,8073,4622,8134,5196,8195,5608,8257,5619,8319,5533,8381,5107,8443,5352,8504,5094,8566,5074,8628,5514,8690,5376,8751,5177,8812,5311,8874,5251,8936,4889,8997,4790,9059,4760,9121,4628,9183,4931,9245,4857,9306,4529,9368,4291,9430,4009,9491,4411,9552,4173,9614,4202,9676,4108,9738,3849,9799,4298,9861,3913,9923,3727,9985,3613,10047,3999,10108,3662,10169,3792,10231,3809e" filled="false" stroked="true" strokeweight="1.013218pt" strokecolor="#0000ff">
              <v:path arrowok="t"/>
              <v:stroke dashstyle="solid"/>
            </v:shape>
            <v:line style="position:absolute" from="6152,3484" to="10240,3484" stroked="true" strokeweight="1.087558pt" strokecolor="#ff00ff">
              <v:stroke dashstyle="dash"/>
            </v:line>
            <v:shape style="position:absolute;left:9277;top:3018;width:54;height:409" coordorigin="9277,3018" coordsize="54,409" path="m9281,3365l9279,3366,9278,3367,9277,3369,9278,3371,9304,3426,9308,3419,9301,3419,9301,3404,9283,3365,9281,3365xm9301,3404l9301,3419,9307,3419,9307,3417,9302,3417,9304,3411,9301,3404xm9327,3365l9325,3365,9325,3367,9307,3404,9307,3419,9308,3419,9330,3371,9331,3369,9330,3367,9329,3366,9327,3365xm9304,3411l9302,3417,9307,3417,9304,3411xm9307,3404l9304,3411,9307,3417,9307,3417,9307,3404xm9307,3018l9301,3018,9301,3404,9304,3411,9307,3404,9307,3018xe" filled="true" fillcolor="#000000" stroked="false">
              <v:path arrowok="t"/>
              <v:fill type="solid"/>
            </v:shape>
            <w10:wrap type="none"/>
          </v:group>
        </w:pict>
      </w:r>
      <w:r>
        <w:rPr/>
        <w:pict>
          <v:shape style="position:absolute;margin-left:38.472656pt;margin-top:-130.753845pt;width:9.950pt;height:66.2pt;mso-position-horizontal-relative:page;mso-position-vertical-relative:paragraph;z-index:251744256" type="#_x0000_t202" filled="false" stroked="false">
            <v:textbox inset="0,0,0,0" style="layout-flow:vertical;mso-layout-flow-alt:bottom-to-top">
              <w:txbxContent>
                <w:p>
                  <w:pPr>
                    <w:spacing w:line="182" w:lineRule="exact" w:before="0"/>
                    <w:ind w:left="20" w:right="0" w:firstLine="0"/>
                    <w:jc w:val="left"/>
                    <w:rPr>
                      <w:rFonts w:ascii="Calibri"/>
                      <w:b/>
                      <w:sz w:val="16"/>
                    </w:rPr>
                  </w:pPr>
                  <w:r>
                    <w:rPr>
                      <w:rFonts w:ascii="Calibri"/>
                      <w:b/>
                      <w:w w:val="120"/>
                      <w:sz w:val="16"/>
                    </w:rPr>
                    <w:t>YoY Pay Growth</w:t>
                  </w:r>
                </w:p>
              </w:txbxContent>
            </v:textbox>
            <w10:wrap type="none"/>
          </v:shape>
        </w:pict>
      </w:r>
      <w:r>
        <w:rPr>
          <w:sz w:val="16"/>
        </w:rPr>
        <w:t>Note: In the left chart, the 2017 average assumes the data are unchanged in the last two months of the year, for which data are not yet (at the time of writing) published. In the right chart, we show the average coefficient for regional Phillips curves estimated across the 12 standard UK regions. The trend is similar using lagged CPI inflation rather than productivity. Sources: ONS and BoE</w:t>
      </w:r>
    </w:p>
    <w:p>
      <w:pPr>
        <w:pStyle w:val="BodyText"/>
        <w:spacing w:before="3"/>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840"/>
        <w:gridCol w:w="140"/>
        <w:gridCol w:w="111"/>
        <w:gridCol w:w="4840"/>
        <w:gridCol w:w="207"/>
      </w:tblGrid>
      <w:tr>
        <w:trPr>
          <w:trHeight w:val="1019" w:hRule="atLeast"/>
        </w:trPr>
        <w:tc>
          <w:tcPr>
            <w:tcW w:w="5091" w:type="dxa"/>
            <w:gridSpan w:val="3"/>
            <w:tcBorders>
              <w:bottom w:val="single" w:sz="6" w:space="0" w:color="000000"/>
            </w:tcBorders>
          </w:tcPr>
          <w:p>
            <w:pPr>
              <w:pStyle w:val="TableParagraph"/>
              <w:spacing w:before="107"/>
              <w:ind w:left="107"/>
              <w:rPr>
                <w:rFonts w:ascii="Arial" w:hAnsi="Arial"/>
                <w:sz w:val="20"/>
              </w:rPr>
            </w:pPr>
            <w:r>
              <w:rPr>
                <w:rFonts w:ascii="Arial" w:hAnsi="Arial"/>
                <w:sz w:val="20"/>
              </w:rPr>
              <w:t>Figure 15. UK – Median Annual Pay Growth for Job-</w:t>
            </w:r>
          </w:p>
          <w:p>
            <w:pPr>
              <w:pStyle w:val="TableParagraph"/>
              <w:spacing w:line="340" w:lineRule="atLeast" w:before="1"/>
              <w:ind w:left="107" w:right="307"/>
              <w:rPr>
                <w:rFonts w:ascii="Arial"/>
                <w:sz w:val="20"/>
              </w:rPr>
            </w:pPr>
            <w:r>
              <w:rPr>
                <w:rFonts w:ascii="Arial"/>
                <w:sz w:val="20"/>
              </w:rPr>
              <w:t>Switchers and People Who Stay in Same Job, 1993- 2017</w:t>
            </w:r>
          </w:p>
        </w:tc>
        <w:tc>
          <w:tcPr>
            <w:tcW w:w="5158" w:type="dxa"/>
            <w:gridSpan w:val="3"/>
            <w:tcBorders>
              <w:bottom w:val="single" w:sz="6" w:space="0" w:color="000000"/>
            </w:tcBorders>
          </w:tcPr>
          <w:p>
            <w:pPr>
              <w:pStyle w:val="TableParagraph"/>
              <w:spacing w:line="355" w:lineRule="auto" w:before="107"/>
              <w:ind w:left="111" w:right="32"/>
              <w:rPr>
                <w:rFonts w:ascii="Arial" w:hAnsi="Arial"/>
                <w:sz w:val="20"/>
              </w:rPr>
            </w:pPr>
            <w:r>
              <w:rPr>
                <w:rFonts w:ascii="Arial" w:hAnsi="Arial"/>
                <w:sz w:val="20"/>
              </w:rPr>
              <w:t>Figure 16. UK – Job-to-Job Flows as Pct of People (Aged 16-69 Years) in Work, 2001-17</w:t>
            </w:r>
          </w:p>
        </w:tc>
      </w:tr>
      <w:tr>
        <w:trPr>
          <w:trHeight w:val="3811" w:hRule="atLeast"/>
        </w:trPr>
        <w:tc>
          <w:tcPr>
            <w:tcW w:w="111" w:type="dxa"/>
            <w:tcBorders>
              <w:bottom w:val="nil"/>
              <w:right w:val="single" w:sz="4" w:space="0" w:color="858585"/>
            </w:tcBorders>
          </w:tcPr>
          <w:p>
            <w:pPr>
              <w:pStyle w:val="TableParagraph"/>
              <w:rPr>
                <w:rFonts w:ascii="Times New Roman"/>
                <w:sz w:val="16"/>
              </w:rPr>
            </w:pPr>
          </w:p>
        </w:tc>
        <w:tc>
          <w:tcPr>
            <w:tcW w:w="4840" w:type="dxa"/>
            <w:tcBorders>
              <w:top w:val="single" w:sz="6" w:space="0" w:color="000000"/>
              <w:left w:val="single" w:sz="4" w:space="0" w:color="858585"/>
              <w:bottom w:val="single" w:sz="4" w:space="0" w:color="858585"/>
              <w:right w:val="single" w:sz="4" w:space="0" w:color="858585"/>
            </w:tcBorders>
          </w:tcPr>
          <w:p>
            <w:pPr>
              <w:pStyle w:val="TableParagraph"/>
              <w:spacing w:line="213" w:lineRule="exact" w:before="8"/>
              <w:ind w:left="9"/>
              <w:rPr>
                <w:b/>
                <w:sz w:val="19"/>
              </w:rPr>
            </w:pPr>
            <w:r>
              <w:rPr>
                <w:b/>
                <w:w w:val="95"/>
                <w:sz w:val="19"/>
              </w:rPr>
              <w:t>9.0</w:t>
            </w:r>
          </w:p>
          <w:p>
            <w:pPr>
              <w:pStyle w:val="TableParagraph"/>
              <w:tabs>
                <w:tab w:pos="1989" w:val="left" w:leader="none"/>
              </w:tabs>
              <w:spacing w:line="185" w:lineRule="exact"/>
              <w:ind w:left="395"/>
              <w:rPr>
                <w:b/>
                <w:sz w:val="19"/>
              </w:rPr>
            </w:pPr>
            <w:r>
              <w:rPr>
                <w:b/>
                <w:w w:val="95"/>
                <w:position w:val="4"/>
                <w:sz w:val="19"/>
              </w:rPr>
              <w:t>%</w:t>
              <w:tab/>
            </w:r>
            <w:r>
              <w:rPr>
                <w:b/>
                <w:w w:val="95"/>
                <w:sz w:val="19"/>
              </w:rPr>
              <w:t>People</w:t>
            </w:r>
            <w:r>
              <w:rPr>
                <w:b/>
                <w:spacing w:val="-14"/>
                <w:w w:val="95"/>
                <w:sz w:val="19"/>
              </w:rPr>
              <w:t> </w:t>
            </w:r>
            <w:r>
              <w:rPr>
                <w:b/>
                <w:w w:val="95"/>
                <w:sz w:val="19"/>
              </w:rPr>
              <w:t>Who</w:t>
            </w:r>
            <w:r>
              <w:rPr>
                <w:b/>
                <w:spacing w:val="-14"/>
                <w:w w:val="95"/>
                <w:sz w:val="19"/>
              </w:rPr>
              <w:t> </w:t>
            </w:r>
            <w:r>
              <w:rPr>
                <w:b/>
                <w:w w:val="95"/>
                <w:sz w:val="19"/>
              </w:rPr>
              <w:t>Stay</w:t>
            </w:r>
            <w:r>
              <w:rPr>
                <w:b/>
                <w:spacing w:val="-13"/>
                <w:w w:val="95"/>
                <w:sz w:val="19"/>
              </w:rPr>
              <w:t> </w:t>
            </w:r>
            <w:r>
              <w:rPr>
                <w:b/>
                <w:w w:val="95"/>
                <w:sz w:val="19"/>
              </w:rPr>
              <w:t>in</w:t>
            </w:r>
            <w:r>
              <w:rPr>
                <w:b/>
                <w:spacing w:val="-14"/>
                <w:w w:val="95"/>
                <w:sz w:val="19"/>
              </w:rPr>
              <w:t> </w:t>
            </w:r>
            <w:r>
              <w:rPr>
                <w:b/>
                <w:w w:val="95"/>
                <w:sz w:val="19"/>
              </w:rPr>
              <w:t>Same</w:t>
            </w:r>
            <w:r>
              <w:rPr>
                <w:b/>
                <w:spacing w:val="-13"/>
                <w:w w:val="95"/>
                <w:sz w:val="19"/>
              </w:rPr>
              <w:t> </w:t>
            </w:r>
            <w:r>
              <w:rPr>
                <w:b/>
                <w:w w:val="95"/>
                <w:sz w:val="19"/>
              </w:rPr>
              <w:t>Job</w:t>
            </w:r>
          </w:p>
          <w:p>
            <w:pPr>
              <w:pStyle w:val="TableParagraph"/>
              <w:spacing w:line="164" w:lineRule="exact"/>
              <w:ind w:left="9"/>
              <w:rPr>
                <w:b/>
                <w:sz w:val="19"/>
              </w:rPr>
            </w:pPr>
            <w:r>
              <w:rPr>
                <w:b/>
                <w:w w:val="95"/>
                <w:sz w:val="19"/>
              </w:rPr>
              <w:t>8.0</w:t>
            </w:r>
          </w:p>
          <w:p>
            <w:pPr>
              <w:pStyle w:val="TableParagraph"/>
              <w:tabs>
                <w:tab w:pos="1989" w:val="left" w:leader="none"/>
              </w:tabs>
              <w:spacing w:line="343" w:lineRule="exact" w:before="93"/>
              <w:ind w:left="9"/>
              <w:rPr>
                <w:b/>
                <w:sz w:val="19"/>
              </w:rPr>
            </w:pPr>
            <w:r>
              <w:rPr>
                <w:b/>
                <w:w w:val="95"/>
                <w:position w:val="12"/>
                <w:sz w:val="19"/>
              </w:rPr>
              <w:t>7.0</w:t>
              <w:tab/>
            </w:r>
            <w:r>
              <w:rPr>
                <w:b/>
                <w:w w:val="95"/>
                <w:sz w:val="19"/>
              </w:rPr>
              <w:t>People Who Move</w:t>
            </w:r>
            <w:r>
              <w:rPr>
                <w:b/>
                <w:spacing w:val="-32"/>
                <w:w w:val="95"/>
                <w:sz w:val="19"/>
              </w:rPr>
              <w:t> </w:t>
            </w:r>
            <w:r>
              <w:rPr>
                <w:b/>
                <w:w w:val="95"/>
                <w:sz w:val="19"/>
              </w:rPr>
              <w:t>Job</w:t>
            </w:r>
          </w:p>
          <w:p>
            <w:pPr>
              <w:pStyle w:val="TableParagraph"/>
              <w:spacing w:line="223" w:lineRule="exact"/>
              <w:ind w:left="9"/>
              <w:rPr>
                <w:b/>
                <w:sz w:val="19"/>
              </w:rPr>
            </w:pPr>
            <w:r>
              <w:rPr>
                <w:b/>
                <w:w w:val="95"/>
                <w:sz w:val="19"/>
              </w:rPr>
              <w:t>6.0</w:t>
            </w:r>
          </w:p>
          <w:p>
            <w:pPr>
              <w:pStyle w:val="TableParagraph"/>
              <w:spacing w:before="98"/>
              <w:ind w:left="9"/>
              <w:rPr>
                <w:b/>
                <w:sz w:val="19"/>
              </w:rPr>
            </w:pPr>
            <w:r>
              <w:rPr>
                <w:b/>
                <w:w w:val="95"/>
                <w:sz w:val="19"/>
              </w:rPr>
              <w:t>5.0</w:t>
            </w:r>
          </w:p>
          <w:p>
            <w:pPr>
              <w:pStyle w:val="TableParagraph"/>
              <w:spacing w:before="98"/>
              <w:ind w:left="9"/>
              <w:rPr>
                <w:b/>
                <w:sz w:val="19"/>
              </w:rPr>
            </w:pPr>
            <w:r>
              <w:rPr>
                <w:b/>
                <w:w w:val="95"/>
                <w:sz w:val="19"/>
              </w:rPr>
              <w:t>4.0</w:t>
            </w:r>
          </w:p>
          <w:p>
            <w:pPr>
              <w:pStyle w:val="TableParagraph"/>
              <w:spacing w:before="98"/>
              <w:ind w:left="9"/>
              <w:rPr>
                <w:b/>
                <w:sz w:val="19"/>
              </w:rPr>
            </w:pPr>
            <w:r>
              <w:rPr>
                <w:b/>
                <w:w w:val="95"/>
                <w:sz w:val="19"/>
              </w:rPr>
              <w:t>3.0</w:t>
            </w:r>
          </w:p>
          <w:p>
            <w:pPr>
              <w:pStyle w:val="TableParagraph"/>
              <w:spacing w:before="99"/>
              <w:ind w:left="9"/>
              <w:rPr>
                <w:b/>
                <w:sz w:val="19"/>
              </w:rPr>
            </w:pPr>
            <w:r>
              <w:rPr>
                <w:b/>
                <w:w w:val="95"/>
                <w:sz w:val="19"/>
              </w:rPr>
              <w:t>2.0</w:t>
            </w:r>
          </w:p>
          <w:p>
            <w:pPr>
              <w:pStyle w:val="TableParagraph"/>
              <w:spacing w:before="98"/>
              <w:ind w:left="9"/>
              <w:rPr>
                <w:b/>
                <w:sz w:val="19"/>
              </w:rPr>
            </w:pPr>
            <w:r>
              <w:rPr>
                <w:b/>
                <w:w w:val="95"/>
                <w:sz w:val="19"/>
              </w:rPr>
              <w:t>1.0</w:t>
            </w:r>
          </w:p>
          <w:p>
            <w:pPr>
              <w:pStyle w:val="TableParagraph"/>
              <w:spacing w:before="98"/>
              <w:ind w:left="9"/>
              <w:rPr>
                <w:b/>
                <w:sz w:val="19"/>
              </w:rPr>
            </w:pPr>
            <w:r>
              <w:rPr>
                <w:b/>
                <w:w w:val="95"/>
                <w:sz w:val="19"/>
              </w:rPr>
              <w:t>0.0</w:t>
            </w:r>
          </w:p>
          <w:p>
            <w:pPr>
              <w:pStyle w:val="TableParagraph"/>
              <w:tabs>
                <w:tab w:pos="1942" w:val="left" w:leader="none"/>
                <w:tab w:pos="2681" w:val="left" w:leader="none"/>
                <w:tab w:pos="3420" w:val="left" w:leader="none"/>
                <w:tab w:pos="4159" w:val="left" w:leader="none"/>
              </w:tabs>
              <w:spacing w:before="17"/>
              <w:ind w:left="383"/>
              <w:rPr>
                <w:b/>
                <w:sz w:val="19"/>
              </w:rPr>
            </w:pPr>
            <w:r>
              <w:rPr>
                <w:b/>
                <w:w w:val="90"/>
                <w:sz w:val="19"/>
              </w:rPr>
              <w:t>1993-2007</w:t>
            </w:r>
            <w:r>
              <w:rPr>
                <w:b/>
                <w:spacing w:val="38"/>
                <w:w w:val="90"/>
                <w:sz w:val="19"/>
              </w:rPr>
              <w:t> </w:t>
            </w:r>
            <w:r>
              <w:rPr>
                <w:b/>
                <w:w w:val="90"/>
                <w:sz w:val="19"/>
              </w:rPr>
              <w:t>2008-09</w:t>
              <w:tab/>
            </w:r>
            <w:r>
              <w:rPr>
                <w:b/>
                <w:w w:val="95"/>
                <w:sz w:val="19"/>
              </w:rPr>
              <w:t>2010-11</w:t>
              <w:tab/>
              <w:t>2012-13</w:t>
              <w:tab/>
              <w:t>2014-15</w:t>
              <w:tab/>
              <w:t>2016-17</w:t>
            </w:r>
          </w:p>
          <w:p>
            <w:pPr>
              <w:pStyle w:val="TableParagraph"/>
              <w:spacing w:before="2"/>
              <w:ind w:left="459"/>
              <w:rPr>
                <w:b/>
                <w:sz w:val="19"/>
              </w:rPr>
            </w:pPr>
            <w:r>
              <w:rPr>
                <w:b/>
                <w:w w:val="95"/>
                <w:sz w:val="19"/>
              </w:rPr>
              <w:t>Average   Average   Average   Average   Average</w:t>
            </w:r>
            <w:r>
              <w:rPr>
                <w:b/>
                <w:spacing w:val="-4"/>
                <w:w w:val="95"/>
                <w:sz w:val="19"/>
              </w:rPr>
              <w:t> </w:t>
            </w:r>
            <w:r>
              <w:rPr>
                <w:b/>
                <w:w w:val="95"/>
                <w:sz w:val="19"/>
              </w:rPr>
              <w:t>Average</w:t>
            </w:r>
          </w:p>
        </w:tc>
        <w:tc>
          <w:tcPr>
            <w:tcW w:w="140" w:type="dxa"/>
            <w:vMerge w:val="restart"/>
            <w:tcBorders>
              <w:left w:val="single" w:sz="4" w:space="0" w:color="858585"/>
            </w:tcBorders>
          </w:tcPr>
          <w:p>
            <w:pPr>
              <w:pStyle w:val="TableParagraph"/>
              <w:rPr>
                <w:rFonts w:ascii="Times New Roman"/>
                <w:sz w:val="16"/>
              </w:rPr>
            </w:pPr>
          </w:p>
        </w:tc>
        <w:tc>
          <w:tcPr>
            <w:tcW w:w="111" w:type="dxa"/>
            <w:vMerge w:val="restart"/>
            <w:tcBorders>
              <w:right w:val="single" w:sz="4" w:space="0" w:color="858585"/>
            </w:tcBorders>
          </w:tcPr>
          <w:p>
            <w:pPr>
              <w:pStyle w:val="TableParagraph"/>
              <w:rPr>
                <w:rFonts w:ascii="Times New Roman"/>
                <w:sz w:val="16"/>
              </w:rPr>
            </w:pPr>
          </w:p>
        </w:tc>
        <w:tc>
          <w:tcPr>
            <w:tcW w:w="4840" w:type="dxa"/>
            <w:vMerge w:val="restart"/>
            <w:tcBorders>
              <w:top w:val="single" w:sz="6" w:space="0" w:color="000000"/>
              <w:left w:val="single" w:sz="4" w:space="0" w:color="858585"/>
              <w:right w:val="single" w:sz="4" w:space="0" w:color="858585"/>
            </w:tcBorders>
          </w:tcPr>
          <w:p>
            <w:pPr>
              <w:pStyle w:val="TableParagraph"/>
              <w:spacing w:before="14"/>
              <w:ind w:left="10"/>
              <w:rPr>
                <w:b/>
                <w:sz w:val="19"/>
              </w:rPr>
            </w:pPr>
            <w:r>
              <w:rPr>
                <w:b/>
                <w:w w:val="95"/>
                <w:sz w:val="19"/>
              </w:rPr>
              <w:t>3.2</w:t>
            </w:r>
          </w:p>
          <w:p>
            <w:pPr>
              <w:pStyle w:val="TableParagraph"/>
              <w:tabs>
                <w:tab w:pos="3247" w:val="left" w:leader="none"/>
              </w:tabs>
              <w:spacing w:line="202" w:lineRule="exact" w:before="14"/>
              <w:ind w:left="453"/>
              <w:rPr>
                <w:b/>
                <w:sz w:val="19"/>
              </w:rPr>
            </w:pPr>
            <w:r>
              <w:rPr>
                <w:b/>
                <w:w w:val="95"/>
                <w:position w:val="1"/>
                <w:sz w:val="19"/>
              </w:rPr>
              <w:t>%</w:t>
              <w:tab/>
            </w:r>
            <w:r>
              <w:rPr>
                <w:b/>
                <w:w w:val="95"/>
                <w:sz w:val="19"/>
              </w:rPr>
              <w:t>2001-07</w:t>
            </w:r>
          </w:p>
          <w:p>
            <w:pPr>
              <w:pStyle w:val="TableParagraph"/>
              <w:tabs>
                <w:tab w:pos="3247" w:val="left" w:leader="none"/>
              </w:tabs>
              <w:spacing w:line="282" w:lineRule="exact"/>
              <w:ind w:left="10"/>
              <w:rPr>
                <w:b/>
                <w:sz w:val="19"/>
              </w:rPr>
            </w:pPr>
            <w:r>
              <w:rPr>
                <w:b/>
                <w:w w:val="95"/>
                <w:position w:val="9"/>
                <w:sz w:val="19"/>
              </w:rPr>
              <w:t>3.0</w:t>
              <w:tab/>
            </w:r>
            <w:r>
              <w:rPr>
                <w:b/>
                <w:w w:val="95"/>
                <w:sz w:val="19"/>
              </w:rPr>
              <w:t>Average</w:t>
            </w:r>
          </w:p>
          <w:p>
            <w:pPr>
              <w:pStyle w:val="TableParagraph"/>
              <w:spacing w:before="96"/>
              <w:ind w:left="10"/>
              <w:rPr>
                <w:b/>
                <w:sz w:val="19"/>
              </w:rPr>
            </w:pPr>
            <w:r>
              <w:rPr>
                <w:b/>
                <w:w w:val="95"/>
                <w:sz w:val="19"/>
              </w:rPr>
              <w:t>2.8</w:t>
            </w:r>
          </w:p>
          <w:p>
            <w:pPr>
              <w:pStyle w:val="TableParagraph"/>
              <w:spacing w:before="8"/>
              <w:rPr>
                <w:rFonts w:ascii="Arial"/>
                <w:sz w:val="15"/>
              </w:rPr>
            </w:pPr>
          </w:p>
          <w:p>
            <w:pPr>
              <w:pStyle w:val="TableParagraph"/>
              <w:spacing w:before="1"/>
              <w:ind w:left="10"/>
              <w:rPr>
                <w:b/>
                <w:sz w:val="19"/>
              </w:rPr>
            </w:pPr>
            <w:r>
              <w:rPr>
                <w:b/>
                <w:w w:val="95"/>
                <w:sz w:val="19"/>
              </w:rPr>
              <w:t>2.6</w:t>
            </w:r>
          </w:p>
          <w:p>
            <w:pPr>
              <w:pStyle w:val="TableParagraph"/>
              <w:spacing w:before="8"/>
              <w:rPr>
                <w:rFonts w:ascii="Arial"/>
                <w:sz w:val="15"/>
              </w:rPr>
            </w:pPr>
          </w:p>
          <w:p>
            <w:pPr>
              <w:pStyle w:val="TableParagraph"/>
              <w:ind w:left="10"/>
              <w:rPr>
                <w:b/>
                <w:sz w:val="19"/>
              </w:rPr>
            </w:pPr>
            <w:r>
              <w:rPr>
                <w:b/>
                <w:w w:val="95"/>
                <w:sz w:val="19"/>
              </w:rPr>
              <w:t>2.4</w:t>
            </w:r>
          </w:p>
          <w:p>
            <w:pPr>
              <w:pStyle w:val="TableParagraph"/>
              <w:spacing w:before="9"/>
              <w:rPr>
                <w:rFonts w:ascii="Arial"/>
                <w:sz w:val="15"/>
              </w:rPr>
            </w:pPr>
          </w:p>
          <w:p>
            <w:pPr>
              <w:pStyle w:val="TableParagraph"/>
              <w:ind w:left="10"/>
              <w:rPr>
                <w:b/>
                <w:sz w:val="19"/>
              </w:rPr>
            </w:pPr>
            <w:r>
              <w:rPr>
                <w:b/>
                <w:w w:val="95"/>
                <w:sz w:val="19"/>
              </w:rPr>
              <w:t>2.2</w:t>
            </w:r>
          </w:p>
          <w:p>
            <w:pPr>
              <w:pStyle w:val="TableParagraph"/>
              <w:spacing w:before="9"/>
              <w:rPr>
                <w:rFonts w:ascii="Arial"/>
                <w:sz w:val="15"/>
              </w:rPr>
            </w:pPr>
          </w:p>
          <w:p>
            <w:pPr>
              <w:pStyle w:val="TableParagraph"/>
              <w:ind w:left="10"/>
              <w:rPr>
                <w:b/>
                <w:sz w:val="19"/>
              </w:rPr>
            </w:pPr>
            <w:r>
              <w:rPr>
                <w:b/>
                <w:w w:val="95"/>
                <w:sz w:val="19"/>
              </w:rPr>
              <w:t>2.0</w:t>
            </w:r>
          </w:p>
          <w:p>
            <w:pPr>
              <w:pStyle w:val="TableParagraph"/>
              <w:spacing w:before="8"/>
              <w:rPr>
                <w:rFonts w:ascii="Arial"/>
                <w:sz w:val="15"/>
              </w:rPr>
            </w:pPr>
          </w:p>
          <w:p>
            <w:pPr>
              <w:pStyle w:val="TableParagraph"/>
              <w:spacing w:before="1"/>
              <w:ind w:left="10"/>
              <w:rPr>
                <w:b/>
                <w:sz w:val="19"/>
              </w:rPr>
            </w:pPr>
            <w:r>
              <w:rPr>
                <w:b/>
                <w:w w:val="95"/>
                <w:sz w:val="19"/>
              </w:rPr>
              <w:t>1.8</w:t>
            </w:r>
          </w:p>
          <w:p>
            <w:pPr>
              <w:pStyle w:val="TableParagraph"/>
              <w:spacing w:before="8"/>
              <w:rPr>
                <w:rFonts w:ascii="Arial"/>
                <w:sz w:val="15"/>
              </w:rPr>
            </w:pPr>
          </w:p>
          <w:p>
            <w:pPr>
              <w:pStyle w:val="TableParagraph"/>
              <w:ind w:left="10"/>
              <w:rPr>
                <w:b/>
                <w:sz w:val="19"/>
              </w:rPr>
            </w:pPr>
            <w:r>
              <w:rPr>
                <w:b/>
                <w:w w:val="95"/>
                <w:sz w:val="19"/>
              </w:rPr>
              <w:t>1.6</w:t>
            </w:r>
          </w:p>
          <w:p>
            <w:pPr>
              <w:pStyle w:val="TableParagraph"/>
              <w:spacing w:before="25"/>
              <w:ind w:left="231"/>
              <w:rPr>
                <w:b/>
                <w:sz w:val="19"/>
              </w:rPr>
            </w:pPr>
            <w:r>
              <w:rPr>
                <w:b/>
                <w:w w:val="95"/>
                <w:sz w:val="19"/>
              </w:rPr>
              <w:t>2001 2003 2005 2007 2009 2011 2013 2015 2017</w:t>
            </w:r>
          </w:p>
        </w:tc>
        <w:tc>
          <w:tcPr>
            <w:tcW w:w="207" w:type="dxa"/>
            <w:vMerge w:val="restart"/>
            <w:tcBorders>
              <w:left w:val="single" w:sz="4" w:space="0" w:color="858585"/>
            </w:tcBorders>
          </w:tcPr>
          <w:p>
            <w:pPr>
              <w:pStyle w:val="TableParagraph"/>
              <w:rPr>
                <w:rFonts w:ascii="Times New Roman"/>
                <w:sz w:val="16"/>
              </w:rPr>
            </w:pPr>
          </w:p>
        </w:tc>
      </w:tr>
      <w:tr>
        <w:trPr>
          <w:trHeight w:val="133" w:hRule="atLeast"/>
        </w:trPr>
        <w:tc>
          <w:tcPr>
            <w:tcW w:w="111" w:type="dxa"/>
            <w:tcBorders>
              <w:top w:val="nil"/>
              <w:right w:val="nil"/>
            </w:tcBorders>
          </w:tcPr>
          <w:p>
            <w:pPr>
              <w:pStyle w:val="TableParagraph"/>
              <w:rPr>
                <w:rFonts w:ascii="Times New Roman"/>
                <w:sz w:val="8"/>
              </w:rPr>
            </w:pPr>
          </w:p>
        </w:tc>
        <w:tc>
          <w:tcPr>
            <w:tcW w:w="4840" w:type="dxa"/>
            <w:tcBorders>
              <w:top w:val="single" w:sz="4" w:space="0" w:color="858585"/>
              <w:left w:val="nil"/>
              <w:right w:val="nil"/>
            </w:tcBorders>
          </w:tcPr>
          <w:p>
            <w:pPr>
              <w:pStyle w:val="TableParagraph"/>
              <w:rPr>
                <w:rFonts w:ascii="Times New Roman"/>
                <w:sz w:val="8"/>
              </w:rPr>
            </w:pPr>
          </w:p>
        </w:tc>
        <w:tc>
          <w:tcPr>
            <w:tcW w:w="140" w:type="dxa"/>
            <w:vMerge/>
            <w:tcBorders>
              <w:top w:val="nil"/>
              <w:left w:val="single" w:sz="4" w:space="0" w:color="858585"/>
            </w:tcBorders>
          </w:tcPr>
          <w:p>
            <w:pPr>
              <w:rPr>
                <w:sz w:val="2"/>
                <w:szCs w:val="2"/>
              </w:rPr>
            </w:pPr>
          </w:p>
        </w:tc>
        <w:tc>
          <w:tcPr>
            <w:tcW w:w="111" w:type="dxa"/>
            <w:vMerge/>
            <w:tcBorders>
              <w:top w:val="nil"/>
              <w:right w:val="single" w:sz="4" w:space="0" w:color="858585"/>
            </w:tcBorders>
          </w:tcPr>
          <w:p>
            <w:pPr>
              <w:rPr>
                <w:sz w:val="2"/>
                <w:szCs w:val="2"/>
              </w:rPr>
            </w:pPr>
          </w:p>
        </w:tc>
        <w:tc>
          <w:tcPr>
            <w:tcW w:w="4840" w:type="dxa"/>
            <w:vMerge/>
            <w:tcBorders>
              <w:top w:val="nil"/>
              <w:left w:val="single" w:sz="4" w:space="0" w:color="858585"/>
              <w:right w:val="single" w:sz="4" w:space="0" w:color="858585"/>
            </w:tcBorders>
          </w:tcPr>
          <w:p>
            <w:pPr>
              <w:rPr>
                <w:sz w:val="2"/>
                <w:szCs w:val="2"/>
              </w:rPr>
            </w:pPr>
          </w:p>
        </w:tc>
        <w:tc>
          <w:tcPr>
            <w:tcW w:w="207" w:type="dxa"/>
            <w:vMerge/>
            <w:tcBorders>
              <w:top w:val="nil"/>
              <w:left w:val="single" w:sz="4" w:space="0" w:color="858585"/>
            </w:tcBorders>
          </w:tcPr>
          <w:p>
            <w:pPr>
              <w:rPr>
                <w:sz w:val="2"/>
                <w:szCs w:val="2"/>
              </w:rPr>
            </w:pPr>
          </w:p>
        </w:tc>
      </w:tr>
    </w:tbl>
    <w:p>
      <w:pPr>
        <w:spacing w:line="446" w:lineRule="auto" w:before="152"/>
        <w:ind w:left="673" w:right="1180" w:firstLine="0"/>
        <w:jc w:val="both"/>
        <w:rPr>
          <w:sz w:val="16"/>
        </w:rPr>
      </w:pPr>
      <w:r>
        <w:rPr>
          <w:sz w:val="16"/>
        </w:rPr>
        <w:t>Note: The left chart shows the median change in pay over a year for people who stayed in the same job at the same firm for that period, and those who moved job over that period. Sources: ONS and BoE</w:t>
      </w:r>
    </w:p>
    <w:p>
      <w:pPr>
        <w:spacing w:after="0" w:line="446" w:lineRule="auto"/>
        <w:jc w:val="both"/>
        <w:rPr>
          <w:sz w:val="16"/>
        </w:rPr>
        <w:sectPr>
          <w:pgSz w:w="11910" w:h="16840"/>
          <w:pgMar w:header="0" w:footer="1338" w:top="1580" w:bottom="1520" w:left="460" w:right="0"/>
        </w:sectPr>
      </w:pPr>
    </w:p>
    <w:p>
      <w:pPr>
        <w:pStyle w:val="BodyText"/>
      </w:pPr>
    </w:p>
    <w:p>
      <w:pPr>
        <w:pStyle w:val="BodyText"/>
        <w:spacing w:before="3" w:after="1"/>
        <w:rPr>
          <w:sz w:val="1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15"/>
        <w:gridCol w:w="111"/>
        <w:gridCol w:w="109"/>
        <w:gridCol w:w="4870"/>
        <w:gridCol w:w="133"/>
      </w:tblGrid>
      <w:tr>
        <w:trPr>
          <w:trHeight w:val="1017" w:hRule="atLeast"/>
        </w:trPr>
        <w:tc>
          <w:tcPr>
            <w:tcW w:w="5137" w:type="dxa"/>
            <w:gridSpan w:val="3"/>
            <w:tcBorders>
              <w:bottom w:val="single" w:sz="8" w:space="0" w:color="000000"/>
            </w:tcBorders>
          </w:tcPr>
          <w:p>
            <w:pPr>
              <w:pStyle w:val="TableParagraph"/>
              <w:spacing w:line="355" w:lineRule="auto" w:before="107"/>
              <w:ind w:left="107"/>
              <w:rPr>
                <w:rFonts w:ascii="Arial" w:hAnsi="Arial"/>
                <w:sz w:val="20"/>
              </w:rPr>
            </w:pPr>
            <w:r>
              <w:rPr>
                <w:rFonts w:ascii="Arial" w:hAnsi="Arial"/>
                <w:sz w:val="20"/>
              </w:rPr>
              <w:t>Figure 17. UK – Average Earnings Growth YoY, and Adjusted for Composition Effects, 2001-17</w:t>
            </w:r>
          </w:p>
        </w:tc>
        <w:tc>
          <w:tcPr>
            <w:tcW w:w="5112" w:type="dxa"/>
            <w:gridSpan w:val="3"/>
            <w:tcBorders>
              <w:bottom w:val="single" w:sz="8" w:space="0" w:color="000000"/>
            </w:tcBorders>
          </w:tcPr>
          <w:p>
            <w:pPr>
              <w:pStyle w:val="TableParagraph"/>
              <w:spacing w:line="340" w:lineRule="exact" w:before="23"/>
              <w:ind w:left="108" w:right="151"/>
              <w:rPr>
                <w:rFonts w:ascii="Arial" w:hAnsi="Arial"/>
                <w:sz w:val="20"/>
              </w:rPr>
            </w:pPr>
            <w:r>
              <w:rPr>
                <w:rFonts w:ascii="Arial" w:hAnsi="Arial"/>
                <w:sz w:val="20"/>
              </w:rPr>
              <w:t>Figure 18. UK – Annual Growth of Private Sector Labour Costs, Wages and Non-Wage Costs Per Hour, 2001-17</w:t>
            </w:r>
          </w:p>
        </w:tc>
      </w:tr>
      <w:tr>
        <w:trPr>
          <w:trHeight w:val="3691" w:hRule="atLeast"/>
        </w:trPr>
        <w:tc>
          <w:tcPr>
            <w:tcW w:w="111" w:type="dxa"/>
            <w:tcBorders>
              <w:right w:val="single" w:sz="4" w:space="0" w:color="858585"/>
            </w:tcBorders>
          </w:tcPr>
          <w:p>
            <w:pPr>
              <w:pStyle w:val="TableParagraph"/>
              <w:rPr>
                <w:rFonts w:ascii="Times New Roman"/>
                <w:sz w:val="16"/>
              </w:rPr>
            </w:pPr>
          </w:p>
        </w:tc>
        <w:tc>
          <w:tcPr>
            <w:tcW w:w="4915" w:type="dxa"/>
            <w:tcBorders>
              <w:top w:val="single" w:sz="8" w:space="0" w:color="000000"/>
              <w:left w:val="single" w:sz="4" w:space="0" w:color="858585"/>
              <w:right w:val="single" w:sz="4" w:space="0" w:color="858585"/>
            </w:tcBorders>
          </w:tcPr>
          <w:p>
            <w:pPr>
              <w:pStyle w:val="TableParagraph"/>
              <w:spacing w:line="204" w:lineRule="exact"/>
              <w:ind w:left="59"/>
              <w:rPr>
                <w:b/>
                <w:sz w:val="18"/>
              </w:rPr>
            </w:pPr>
            <w:r>
              <w:rPr>
                <w:b/>
                <w:sz w:val="18"/>
              </w:rPr>
              <w:t>6%</w:t>
            </w:r>
          </w:p>
          <w:p>
            <w:pPr>
              <w:pStyle w:val="TableParagraph"/>
              <w:spacing w:line="219" w:lineRule="exact"/>
              <w:ind w:left="2753"/>
              <w:rPr>
                <w:b/>
                <w:sz w:val="18"/>
              </w:rPr>
            </w:pPr>
            <w:r>
              <w:rPr>
                <w:b/>
                <w:sz w:val="18"/>
              </w:rPr>
              <w:t>Actual AWE YoY</w:t>
            </w:r>
          </w:p>
          <w:p>
            <w:pPr>
              <w:pStyle w:val="TableParagraph"/>
              <w:spacing w:before="6"/>
              <w:ind w:left="59"/>
              <w:rPr>
                <w:b/>
                <w:sz w:val="18"/>
              </w:rPr>
            </w:pPr>
            <w:r>
              <w:rPr>
                <w:b/>
                <w:sz w:val="18"/>
              </w:rPr>
              <w:t>5%</w:t>
            </w:r>
          </w:p>
          <w:p>
            <w:pPr>
              <w:pStyle w:val="TableParagraph"/>
              <w:spacing w:line="197" w:lineRule="exact" w:before="50"/>
              <w:ind w:left="2753"/>
              <w:rPr>
                <w:b/>
                <w:sz w:val="18"/>
              </w:rPr>
            </w:pPr>
            <w:r>
              <w:rPr>
                <w:b/>
                <w:sz w:val="18"/>
              </w:rPr>
              <w:t>Adjusted AWE YoY</w:t>
            </w:r>
          </w:p>
          <w:p>
            <w:pPr>
              <w:pStyle w:val="TableParagraph"/>
              <w:spacing w:line="197" w:lineRule="exact"/>
              <w:ind w:left="59"/>
              <w:rPr>
                <w:b/>
                <w:sz w:val="18"/>
              </w:rPr>
            </w:pPr>
            <w:r>
              <w:rPr>
                <w:b/>
                <w:sz w:val="18"/>
              </w:rPr>
              <w:t>4%</w:t>
            </w:r>
          </w:p>
          <w:p>
            <w:pPr>
              <w:pStyle w:val="TableParagraph"/>
              <w:tabs>
                <w:tab w:pos="2752" w:val="left" w:leader="none"/>
              </w:tabs>
              <w:spacing w:line="158" w:lineRule="auto" w:before="119"/>
              <w:ind w:left="59"/>
              <w:rPr>
                <w:b/>
                <w:sz w:val="18"/>
              </w:rPr>
            </w:pPr>
            <w:r>
              <w:rPr>
                <w:b/>
                <w:position w:val="-11"/>
                <w:sz w:val="18"/>
              </w:rPr>
              <w:t>3%</w:t>
              <w:tab/>
            </w:r>
            <w:r>
              <w:rPr>
                <w:b/>
                <w:sz w:val="18"/>
              </w:rPr>
              <w:t>Gap</w:t>
            </w:r>
            <w:r>
              <w:rPr>
                <w:b/>
                <w:spacing w:val="-11"/>
                <w:sz w:val="18"/>
              </w:rPr>
              <w:t> </w:t>
            </w:r>
            <w:r>
              <w:rPr>
                <w:b/>
                <w:sz w:val="18"/>
              </w:rPr>
              <w:t>(Composition</w:t>
            </w:r>
          </w:p>
          <w:p>
            <w:pPr>
              <w:pStyle w:val="TableParagraph"/>
              <w:spacing w:line="164" w:lineRule="exact"/>
              <w:ind w:left="2753"/>
              <w:rPr>
                <w:b/>
                <w:sz w:val="18"/>
              </w:rPr>
            </w:pPr>
            <w:r>
              <w:rPr>
                <w:b/>
                <w:sz w:val="18"/>
              </w:rPr>
              <w:t>Effect)</w:t>
            </w:r>
          </w:p>
          <w:p>
            <w:pPr>
              <w:pStyle w:val="TableParagraph"/>
              <w:spacing w:before="119"/>
              <w:ind w:left="59"/>
              <w:rPr>
                <w:b/>
                <w:sz w:val="18"/>
              </w:rPr>
            </w:pPr>
            <w:r>
              <w:rPr>
                <w:b/>
                <w:sz w:val="18"/>
              </w:rPr>
              <w:t>2%</w:t>
            </w:r>
          </w:p>
          <w:p>
            <w:pPr>
              <w:pStyle w:val="TableParagraph"/>
              <w:spacing w:before="5"/>
              <w:rPr>
                <w:rFonts w:ascii="Arial"/>
                <w:sz w:val="19"/>
              </w:rPr>
            </w:pPr>
          </w:p>
          <w:p>
            <w:pPr>
              <w:pStyle w:val="TableParagraph"/>
              <w:ind w:left="59"/>
              <w:rPr>
                <w:b/>
                <w:sz w:val="18"/>
              </w:rPr>
            </w:pPr>
            <w:r>
              <w:rPr>
                <w:b/>
                <w:sz w:val="18"/>
              </w:rPr>
              <w:t>1%</w:t>
            </w:r>
          </w:p>
          <w:p>
            <w:pPr>
              <w:pStyle w:val="TableParagraph"/>
              <w:spacing w:before="5"/>
              <w:rPr>
                <w:rFonts w:ascii="Arial"/>
                <w:sz w:val="19"/>
              </w:rPr>
            </w:pPr>
          </w:p>
          <w:p>
            <w:pPr>
              <w:pStyle w:val="TableParagraph"/>
              <w:ind w:left="59"/>
              <w:rPr>
                <w:b/>
                <w:sz w:val="18"/>
              </w:rPr>
            </w:pPr>
            <w:r>
              <w:rPr>
                <w:b/>
                <w:sz w:val="18"/>
              </w:rPr>
              <w:t>0%</w:t>
            </w:r>
          </w:p>
          <w:p>
            <w:pPr>
              <w:pStyle w:val="TableParagraph"/>
              <w:spacing w:before="5"/>
              <w:rPr>
                <w:rFonts w:ascii="Arial"/>
                <w:sz w:val="19"/>
              </w:rPr>
            </w:pPr>
          </w:p>
          <w:p>
            <w:pPr>
              <w:pStyle w:val="TableParagraph"/>
              <w:ind w:left="9"/>
              <w:rPr>
                <w:b/>
                <w:sz w:val="18"/>
              </w:rPr>
            </w:pPr>
            <w:r>
              <w:rPr>
                <w:b/>
                <w:sz w:val="18"/>
              </w:rPr>
              <w:t>-1%</w:t>
            </w:r>
          </w:p>
          <w:p>
            <w:pPr>
              <w:pStyle w:val="TableParagraph"/>
              <w:spacing w:before="22"/>
              <w:ind w:left="276"/>
              <w:rPr>
                <w:b/>
                <w:sz w:val="18"/>
              </w:rPr>
            </w:pPr>
            <w:r>
              <w:rPr>
                <w:b/>
                <w:sz w:val="18"/>
              </w:rPr>
              <w:t>2001 2003 2005 2007 2009 2011 2013 2015 2017</w:t>
            </w:r>
          </w:p>
        </w:tc>
        <w:tc>
          <w:tcPr>
            <w:tcW w:w="111" w:type="dxa"/>
            <w:tcBorders>
              <w:left w:val="single" w:sz="4" w:space="0" w:color="858585"/>
            </w:tcBorders>
          </w:tcPr>
          <w:p>
            <w:pPr>
              <w:pStyle w:val="TableParagraph"/>
              <w:rPr>
                <w:rFonts w:ascii="Times New Roman"/>
                <w:sz w:val="16"/>
              </w:rPr>
            </w:pPr>
          </w:p>
        </w:tc>
        <w:tc>
          <w:tcPr>
            <w:tcW w:w="109" w:type="dxa"/>
            <w:tcBorders>
              <w:right w:val="single" w:sz="4" w:space="0" w:color="858585"/>
            </w:tcBorders>
          </w:tcPr>
          <w:p>
            <w:pPr>
              <w:pStyle w:val="TableParagraph"/>
              <w:rPr>
                <w:rFonts w:ascii="Times New Roman"/>
                <w:sz w:val="16"/>
              </w:rPr>
            </w:pPr>
          </w:p>
        </w:tc>
        <w:tc>
          <w:tcPr>
            <w:tcW w:w="4870" w:type="dxa"/>
            <w:tcBorders>
              <w:top w:val="single" w:sz="8" w:space="0" w:color="000000"/>
              <w:left w:val="single" w:sz="4" w:space="0" w:color="858585"/>
              <w:right w:val="single" w:sz="4" w:space="0" w:color="858585"/>
            </w:tcBorders>
          </w:tcPr>
          <w:p>
            <w:pPr>
              <w:pStyle w:val="TableParagraph"/>
              <w:spacing w:line="203" w:lineRule="exact"/>
              <w:ind w:left="10"/>
              <w:rPr>
                <w:b/>
                <w:sz w:val="18"/>
              </w:rPr>
            </w:pPr>
            <w:r>
              <w:rPr>
                <w:b/>
                <w:sz w:val="18"/>
              </w:rPr>
              <w:t>7.0</w:t>
            </w:r>
          </w:p>
          <w:p>
            <w:pPr>
              <w:pStyle w:val="TableParagraph"/>
              <w:tabs>
                <w:tab w:pos="550" w:val="left" w:leader="none"/>
                <w:tab w:pos="2186" w:val="left" w:leader="none"/>
              </w:tabs>
              <w:spacing w:line="270" w:lineRule="atLeast" w:before="57"/>
              <w:ind w:left="2186" w:right="829" w:hanging="2176"/>
              <w:rPr>
                <w:b/>
                <w:sz w:val="18"/>
              </w:rPr>
            </w:pPr>
            <w:r>
              <w:rPr>
                <w:b/>
                <w:position w:val="-12"/>
                <w:sz w:val="18"/>
              </w:rPr>
              <w:t>6.0</w:t>
              <w:tab/>
            </w:r>
            <w:r>
              <w:rPr>
                <w:b/>
                <w:position w:val="-3"/>
                <w:sz w:val="18"/>
              </w:rPr>
              <w:t>%</w:t>
              <w:tab/>
            </w:r>
            <w:r>
              <w:rPr>
                <w:b/>
                <w:w w:val="90"/>
                <w:sz w:val="18"/>
              </w:rPr>
              <w:t>Total</w:t>
            </w:r>
            <w:r>
              <w:rPr>
                <w:b/>
                <w:spacing w:val="-10"/>
                <w:w w:val="90"/>
                <w:sz w:val="18"/>
              </w:rPr>
              <w:t> </w:t>
            </w:r>
            <w:r>
              <w:rPr>
                <w:b/>
                <w:w w:val="90"/>
                <w:sz w:val="18"/>
              </w:rPr>
              <w:t>Labour</w:t>
            </w:r>
            <w:r>
              <w:rPr>
                <w:b/>
                <w:spacing w:val="-10"/>
                <w:w w:val="90"/>
                <w:sz w:val="18"/>
              </w:rPr>
              <w:t> </w:t>
            </w:r>
            <w:r>
              <w:rPr>
                <w:b/>
                <w:w w:val="90"/>
                <w:sz w:val="18"/>
              </w:rPr>
              <w:t>Costs</w:t>
            </w:r>
            <w:r>
              <w:rPr>
                <w:b/>
                <w:spacing w:val="-10"/>
                <w:w w:val="90"/>
                <w:sz w:val="18"/>
              </w:rPr>
              <w:t> </w:t>
            </w:r>
            <w:r>
              <w:rPr>
                <w:b/>
                <w:w w:val="90"/>
                <w:sz w:val="18"/>
              </w:rPr>
              <w:t>Per</w:t>
            </w:r>
            <w:r>
              <w:rPr>
                <w:b/>
                <w:spacing w:val="-10"/>
                <w:w w:val="90"/>
                <w:sz w:val="18"/>
              </w:rPr>
              <w:t> </w:t>
            </w:r>
            <w:r>
              <w:rPr>
                <w:b/>
                <w:w w:val="90"/>
                <w:sz w:val="18"/>
              </w:rPr>
              <w:t>Hour </w:t>
            </w:r>
            <w:r>
              <w:rPr>
                <w:b/>
                <w:sz w:val="18"/>
              </w:rPr>
              <w:t>Wage</w:t>
            </w:r>
            <w:r>
              <w:rPr>
                <w:b/>
                <w:spacing w:val="-16"/>
                <w:sz w:val="18"/>
              </w:rPr>
              <w:t> </w:t>
            </w:r>
            <w:r>
              <w:rPr>
                <w:b/>
                <w:sz w:val="18"/>
              </w:rPr>
              <w:t>Costs</w:t>
            </w:r>
            <w:r>
              <w:rPr>
                <w:b/>
                <w:spacing w:val="-16"/>
                <w:sz w:val="18"/>
              </w:rPr>
              <w:t> </w:t>
            </w:r>
            <w:r>
              <w:rPr>
                <w:b/>
                <w:sz w:val="18"/>
              </w:rPr>
              <w:t>Per</w:t>
            </w:r>
            <w:r>
              <w:rPr>
                <w:b/>
                <w:spacing w:val="-16"/>
                <w:sz w:val="18"/>
              </w:rPr>
              <w:t> </w:t>
            </w:r>
            <w:r>
              <w:rPr>
                <w:b/>
                <w:sz w:val="18"/>
              </w:rPr>
              <w:t>Hour</w:t>
            </w:r>
          </w:p>
          <w:p>
            <w:pPr>
              <w:pStyle w:val="TableParagraph"/>
              <w:spacing w:line="138" w:lineRule="exact"/>
              <w:ind w:left="10"/>
              <w:rPr>
                <w:b/>
                <w:sz w:val="18"/>
              </w:rPr>
            </w:pPr>
            <w:r>
              <w:rPr>
                <w:b/>
                <w:sz w:val="18"/>
              </w:rPr>
              <w:t>5.0</w:t>
            </w:r>
          </w:p>
          <w:p>
            <w:pPr>
              <w:pStyle w:val="TableParagraph"/>
              <w:spacing w:line="175" w:lineRule="exact" w:before="58"/>
              <w:ind w:left="2186"/>
              <w:rPr>
                <w:b/>
                <w:sz w:val="18"/>
              </w:rPr>
            </w:pPr>
            <w:r>
              <w:rPr>
                <w:b/>
                <w:sz w:val="18"/>
              </w:rPr>
              <w:t>Non-Wage Costs</w:t>
            </w:r>
          </w:p>
          <w:p>
            <w:pPr>
              <w:pStyle w:val="TableParagraph"/>
              <w:spacing w:line="175" w:lineRule="exact"/>
              <w:ind w:left="10"/>
              <w:rPr>
                <w:b/>
                <w:sz w:val="18"/>
              </w:rPr>
            </w:pPr>
            <w:r>
              <w:rPr>
                <w:b/>
                <w:sz w:val="18"/>
              </w:rPr>
              <w:t>4.0</w:t>
            </w:r>
          </w:p>
          <w:p>
            <w:pPr>
              <w:pStyle w:val="TableParagraph"/>
              <w:spacing w:before="3"/>
              <w:rPr>
                <w:rFonts w:ascii="Arial"/>
                <w:sz w:val="16"/>
              </w:rPr>
            </w:pPr>
          </w:p>
          <w:p>
            <w:pPr>
              <w:pStyle w:val="TableParagraph"/>
              <w:spacing w:before="1"/>
              <w:ind w:left="10"/>
              <w:rPr>
                <w:b/>
                <w:sz w:val="18"/>
              </w:rPr>
            </w:pPr>
            <w:r>
              <w:rPr>
                <w:b/>
                <w:sz w:val="18"/>
              </w:rPr>
              <w:t>3.0</w:t>
            </w:r>
          </w:p>
          <w:p>
            <w:pPr>
              <w:pStyle w:val="TableParagraph"/>
              <w:spacing w:before="4"/>
              <w:rPr>
                <w:rFonts w:ascii="Arial"/>
                <w:sz w:val="16"/>
              </w:rPr>
            </w:pPr>
          </w:p>
          <w:p>
            <w:pPr>
              <w:pStyle w:val="TableParagraph"/>
              <w:ind w:left="10"/>
              <w:rPr>
                <w:b/>
                <w:sz w:val="18"/>
              </w:rPr>
            </w:pPr>
            <w:r>
              <w:rPr>
                <w:b/>
                <w:sz w:val="18"/>
              </w:rPr>
              <w:t>2.0</w:t>
            </w:r>
          </w:p>
          <w:p>
            <w:pPr>
              <w:pStyle w:val="TableParagraph"/>
              <w:spacing w:before="4"/>
              <w:rPr>
                <w:rFonts w:ascii="Arial"/>
                <w:sz w:val="16"/>
              </w:rPr>
            </w:pPr>
          </w:p>
          <w:p>
            <w:pPr>
              <w:pStyle w:val="TableParagraph"/>
              <w:ind w:left="10"/>
              <w:rPr>
                <w:b/>
                <w:sz w:val="18"/>
              </w:rPr>
            </w:pPr>
            <w:r>
              <w:rPr>
                <w:b/>
                <w:sz w:val="18"/>
              </w:rPr>
              <w:t>1.0</w:t>
            </w:r>
          </w:p>
          <w:p>
            <w:pPr>
              <w:pStyle w:val="TableParagraph"/>
              <w:spacing w:before="4"/>
              <w:rPr>
                <w:rFonts w:ascii="Arial"/>
                <w:sz w:val="16"/>
              </w:rPr>
            </w:pPr>
          </w:p>
          <w:p>
            <w:pPr>
              <w:pStyle w:val="TableParagraph"/>
              <w:ind w:left="10"/>
              <w:rPr>
                <w:b/>
                <w:sz w:val="18"/>
              </w:rPr>
            </w:pPr>
            <w:r>
              <w:rPr>
                <w:b/>
                <w:sz w:val="18"/>
              </w:rPr>
              <w:t>0.0</w:t>
            </w:r>
          </w:p>
          <w:p>
            <w:pPr>
              <w:pStyle w:val="TableParagraph"/>
              <w:tabs>
                <w:tab w:pos="1596" w:val="left" w:leader="none"/>
                <w:tab w:pos="2731" w:val="left" w:leader="none"/>
                <w:tab w:pos="3795" w:val="left" w:leader="none"/>
              </w:tabs>
              <w:spacing w:before="19"/>
              <w:ind w:left="622"/>
              <w:rPr>
                <w:b/>
                <w:sz w:val="18"/>
              </w:rPr>
            </w:pPr>
            <w:r>
              <w:rPr>
                <w:b/>
                <w:sz w:val="18"/>
              </w:rPr>
              <w:t>2001-08</w:t>
              <w:tab/>
            </w:r>
            <w:r>
              <w:rPr>
                <w:b/>
                <w:w w:val="95"/>
                <w:sz w:val="18"/>
              </w:rPr>
              <w:t>2009-2014</w:t>
              <w:tab/>
            </w:r>
            <w:r>
              <w:rPr>
                <w:b/>
                <w:sz w:val="18"/>
              </w:rPr>
              <w:t>2015-16</w:t>
              <w:tab/>
              <w:t>2017Q3</w:t>
            </w:r>
          </w:p>
          <w:p>
            <w:pPr>
              <w:pStyle w:val="TableParagraph"/>
              <w:tabs>
                <w:tab w:pos="1672" w:val="left" w:leader="none"/>
                <w:tab w:pos="2726" w:val="left" w:leader="none"/>
              </w:tabs>
              <w:spacing w:before="5"/>
              <w:ind w:left="618"/>
              <w:rPr>
                <w:b/>
                <w:sz w:val="18"/>
              </w:rPr>
            </w:pPr>
            <w:r>
              <w:rPr>
                <w:b/>
                <w:sz w:val="18"/>
              </w:rPr>
              <w:t>Average</w:t>
              <w:tab/>
              <w:t>Average</w:t>
              <w:tab/>
              <w:t>Average</w:t>
            </w:r>
          </w:p>
        </w:tc>
        <w:tc>
          <w:tcPr>
            <w:tcW w:w="133" w:type="dxa"/>
            <w:tcBorders>
              <w:left w:val="single" w:sz="4" w:space="0" w:color="858585"/>
            </w:tcBorders>
          </w:tcPr>
          <w:p>
            <w:pPr>
              <w:pStyle w:val="TableParagraph"/>
              <w:rPr>
                <w:rFonts w:ascii="Times New Roman"/>
                <w:sz w:val="16"/>
              </w:rPr>
            </w:pPr>
          </w:p>
        </w:tc>
      </w:tr>
    </w:tbl>
    <w:p>
      <w:pPr>
        <w:spacing w:line="441" w:lineRule="auto" w:before="152"/>
        <w:ind w:left="673" w:right="1188" w:firstLine="0"/>
        <w:jc w:val="left"/>
        <w:rPr>
          <w:sz w:val="16"/>
        </w:rPr>
      </w:pPr>
      <w:r>
        <w:rPr/>
        <w:pict>
          <v:group style="position:absolute;margin-left:51.709953pt;margin-top:-180.072479pt;width:215.7pt;height:156.1pt;mso-position-horizontal-relative:page;mso-position-vertical-relative:paragraph;z-index:-253426688" coordorigin="1034,-3601" coordsize="4314,3122">
            <v:rect style="position:absolute;left:1084;top:-3599;width:4260;height:3105" filled="false" stroked="true" strokeweight=".265745pt" strokecolor="#000000">
              <v:stroke dashstyle="solid"/>
            </v:rect>
            <v:shape style="position:absolute;left:1070;top:879;width:12845;height:8024" coordorigin="1070,879" coordsize="12845,8024" path="m1085,-495l1085,-3599m1034,-495l1085,-495m1034,-938l1085,-938m1034,-1381l1085,-1381m1034,-1825l1085,-1825m1034,-2268l1085,-2268m1034,-2712l1085,-2712m1034,-3155l1085,-3155m1034,-3599l1085,-3599m1085,-938l5345,-938e" filled="false" stroked="true" strokeweight=".260086pt" strokecolor="#858585">
              <v:path arrowok="t"/>
              <v:stroke dashstyle="solid"/>
            </v:shape>
            <v:shape style="position:absolute;left:1117;top:-3262;width:4197;height:2080" coordorigin="1117,-3262" coordsize="4197,2080" path="m1117,-2676l1181,-3184,1244,-3262,1308,-3014,1372,-3111,1435,-2804,1499,-2486,1562,-2274,1625,-2271,1689,-2328,1753,-2440,1816,-2682,1880,-2435,1943,-2535,2007,-2608,2071,-2667,2134,-2856,2198,-2777,2262,-2918,2325,-2733,2389,-2709,2452,-2726,2516,-2497,2579,-2734,2643,-2672,2706,-2772,2770,-3003,2833,-2728,2897,-2804,2961,-2690,3024,-2419,3088,-2417,3152,-2029,3215,-1854,3279,-1539,3342,-1434,3406,-1739,3470,-1532,3533,-1925,3596,-1911,3660,-1831,3723,-1887,3787,-1653,3851,-1765,3914,-1600,3978,-1717,4041,-1744,4105,-1501,4169,-1304,4232,-1369,4296,-1250,4360,-1330,4423,-1429,4487,-1182,4550,-1457,4613,-1718,4677,-1987,4741,-2225,4804,-2085,4868,-1862,4931,-1987,4995,-1960,5059,-2011,5122,-2081,5186,-1738,5250,-1858,5313,-1911e" filled="false" stroked="true" strokeweight=".994663pt" strokecolor="#ff00ff">
              <v:path arrowok="t"/>
              <v:stroke dashstyle="solid"/>
            </v:shape>
            <v:shape style="position:absolute;left:1116;top:-3460;width:4197;height:2398" coordorigin="1117,-3460" coordsize="4197,2398" path="m1117,-2669l1180,-3182,1244,-3460,1308,-3181,1371,-2984,1435,-2788,1499,-2536,1562,-2369,1626,-2393,1689,-2458,1753,-2457,1817,-2821,1880,-2480,1944,-2398,2007,-2672,2070,-2556,2134,-2688,2198,-2854,2261,-2809,2325,-2510,2388,-2590,2452,-2564,2516,-2489,2579,-2842,2643,-2708,2707,-2959,2770,-3046,2834,-2714,2897,-3049,2961,-2597,3025,-2354,3088,-2385,3151,-1962,3215,-1617,3278,-1323,3342,-1128,3406,-1316,3469,-1336,3533,-1933,3597,-1943,3660,-1603,3724,-1812,3787,-1573,3851,-1719,3915,-1775,3978,-1697,4042,-1472,4105,-1407,4168,-1062,4232,-1217,4296,-1093,4359,-1313,4423,-1507,4486,-1630,4550,-1747,4614,-2088,4677,-2378,4741,-2432,4805,-2432,4868,-1947,4932,-2081,4995,-1810,5059,-1920,5122,-2113,5186,-1741,5249,-2168,5313,-2113e" filled="false" stroked="true" strokeweight="1.122775pt" strokecolor="#0033cc">
              <v:path arrowok="t"/>
              <v:stroke dashstyle="solid"/>
            </v:shape>
            <v:shape style="position:absolute;left:1116;top:-1362;width:4197;height:871" coordorigin="1117,-1361" coordsize="4197,871" path="m1117,-945l1180,-940,1244,-739,1308,-771,1371,-1065,1435,-955,1499,-889,1562,-843,1626,-816,1689,-809,1753,-921,1817,-800,1880,-893,1944,-1076,2007,-875,2070,-1049,2134,-1106,2198,-862,2261,-1048,2325,-1162,2388,-1058,2452,-1100,2516,-948,2579,-830,2643,-902,2707,-752,2770,-896,2834,-952,2897,-693,2961,-1030,3025,-1004,3088,-970,3151,-1007,3215,-1176,3278,-1154,3342,-1244,3406,-1361,3469,-1134,3533,-930,3597,-905,3660,-1166,3724,-1014,3787,-1019,3851,-984,3915,-763,3978,-958,4042,-1211,4105,-1033,4168,-1180,4232,-1091,4296,-1096,4359,-955,4423,-860,4486,-491,4550,-648,4614,-568,4677,-547,4741,-732,4805,-592,4868,-853,4932,-843,4995,-1087,5059,-1029,5122,-907,5186,-934,5249,-629,5313,-736e" filled="false" stroked="true" strokeweight="1.154316pt" strokecolor="#66ff33">
              <v:path arrowok="t"/>
              <v:stroke dashstyle="solid"/>
            </v:shape>
            <v:line style="position:absolute" from="3288,-3380" to="3417,-3380" stroked="true" strokeweight="1.021382pt" strokecolor="#ff00ff">
              <v:stroke dashstyle="solid"/>
            </v:line>
            <v:line style="position:absolute" from="3288,-2886" to="3417,-2886" stroked="true" strokeweight="1.160661pt" strokecolor="#0033cc">
              <v:stroke dashstyle="solid"/>
            </v:line>
            <v:line style="position:absolute" from="3288,-2390" to="3417,-2390" stroked="true" strokeweight="1.160661pt" strokecolor="#66ff33">
              <v:stroke dashstyle="solid"/>
            </v:line>
            <w10:wrap type="none"/>
          </v:group>
        </w:pict>
      </w:r>
      <w:r>
        <w:rPr/>
        <w:pict>
          <v:group style="position:absolute;margin-left:306.247559pt;margin-top:-180.090408pt;width:213.45pt;height:143pt;mso-position-horizontal-relative:page;mso-position-vertical-relative:paragraph;z-index:-253425664" coordorigin="6125,-3602" coordsize="4269,2860">
            <v:rect style="position:absolute;left:6175;top:-3600;width:4217;height:2854" filled="false" stroked="true" strokeweight=".264272pt" strokecolor="#000000">
              <v:stroke dashstyle="solid"/>
            </v:rect>
            <v:rect style="position:absolute;left:6351;top:-2644;width:235;height:1899" filled="true" fillcolor="#ff00ff" stroked="false">
              <v:fill type="solid"/>
            </v:rect>
            <v:rect style="position:absolute;left:6351;top:-2644;width:235;height:1899" filled="false" stroked="true" strokeweight=".239601pt" strokecolor="#ff00ff">
              <v:stroke dashstyle="solid"/>
            </v:rect>
            <v:rect style="position:absolute;left:7404;top:-1274;width:235;height:529" filled="true" fillcolor="#ff00ff" stroked="false">
              <v:fill type="solid"/>
            </v:rect>
            <v:rect style="position:absolute;left:7404;top:-1274;width:235;height:529" filled="false" stroked="true" strokeweight=".245086pt" strokecolor="#ff00ff">
              <v:stroke dashstyle="solid"/>
            </v:rect>
            <v:rect style="position:absolute;left:8458;top:-2066;width:235;height:1321" filled="true" fillcolor="#ff00ff" stroked="false">
              <v:fill type="solid"/>
            </v:rect>
            <v:rect style="position:absolute;left:8458;top:-2066;width:235;height:1321" filled="false" stroked="true" strokeweight=".240172pt" strokecolor="#ff00ff">
              <v:stroke dashstyle="solid"/>
            </v:rect>
            <v:rect style="position:absolute;left:9513;top:-1969;width:235;height:1224" filled="true" fillcolor="#ff00ff" stroked="false">
              <v:fill type="solid"/>
            </v:rect>
            <v:rect style="position:absolute;left:9513;top:-1969;width:235;height:1224" filled="false" stroked="true" strokeweight=".24035pt" strokecolor="#ff00ff">
              <v:stroke dashstyle="solid"/>
            </v:rect>
            <v:rect style="position:absolute;left:6585;top:-2521;width:235;height:1776" filled="true" fillcolor="#0000ff" stroked="false">
              <v:fill type="solid"/>
            </v:rect>
            <v:rect style="position:absolute;left:6585;top:-2521;width:235;height:1776" filled="false" stroked="true" strokeweight=".239679pt" strokecolor="#0000ff">
              <v:stroke dashstyle="solid"/>
            </v:rect>
            <v:rect style="position:absolute;left:7638;top:-1281;width:235;height:536" filled="true" fillcolor="#0000ff" stroked="false">
              <v:fill type="solid"/>
            </v:rect>
            <v:rect style="position:absolute;left:7638;top:-1281;width:235;height:536" filled="false" stroked="true" strokeweight=".244965pt" strokecolor="#0000ff">
              <v:stroke dashstyle="solid"/>
            </v:rect>
            <v:rect style="position:absolute;left:8693;top:-1959;width:235;height:1214" filled="true" fillcolor="#0000ff" stroked="false">
              <v:fill type="solid"/>
            </v:rect>
            <v:rect style="position:absolute;left:8693;top:-1959;width:235;height:1214" filled="false" stroked="true" strokeweight=".240371pt" strokecolor="#0000ff">
              <v:stroke dashstyle="solid"/>
            </v:rect>
            <v:rect style="position:absolute;left:9747;top:-1847;width:235;height:1102" filled="true" fillcolor="#0000ff" stroked="false">
              <v:fill type="solid"/>
            </v:rect>
            <v:rect style="position:absolute;left:9747;top:-1847;width:235;height:1102" filled="false" stroked="true" strokeweight=".240641pt" strokecolor="#0000ff">
              <v:stroke dashstyle="solid"/>
            </v:rect>
            <v:rect style="position:absolute;left:6819;top:-3458;width:235;height:2713" filled="true" fillcolor="#66ff33" stroked="false">
              <v:fill type="solid"/>
            </v:rect>
            <v:rect style="position:absolute;left:6819;top:-3458;width:235;height:2713" filled="false" stroked="true" strokeweight=".239322pt" strokecolor="#66ff33">
              <v:stroke dashstyle="solid"/>
            </v:rect>
            <v:rect style="position:absolute;left:7873;top:-1281;width:235;height:536" filled="true" fillcolor="#66ff33" stroked="false">
              <v:fill type="solid"/>
            </v:rect>
            <v:rect style="position:absolute;left:7873;top:-1281;width:235;height:536" filled="false" stroked="true" strokeweight=".244965pt" strokecolor="#66ff33">
              <v:stroke dashstyle="solid"/>
            </v:rect>
            <v:rect style="position:absolute;left:8927;top:-2357;width:235;height:1611" filled="true" fillcolor="#66ff33" stroked="false">
              <v:fill type="solid"/>
            </v:rect>
            <v:rect style="position:absolute;left:8927;top:-2357;width:235;height:1611" filled="false" stroked="true" strokeweight=".239811pt" strokecolor="#66ff33">
              <v:stroke dashstyle="solid"/>
            </v:rect>
            <v:rect style="position:absolute;left:9981;top:-2621;width:235;height:1876" filled="true" fillcolor="#66ff33" stroked="false">
              <v:fill type="solid"/>
            </v:rect>
            <v:rect style="position:absolute;left:9981;top:-2621;width:235;height:1876" filled="false" stroked="true" strokeweight=".239614pt" strokecolor="#66ff33">
              <v:stroke dashstyle="solid"/>
            </v:rect>
            <v:shape style="position:absolute;left:945;top:865;width:12850;height:7450" coordorigin="946,865" coordsize="12850,7450" path="m6175,-745l6175,-3599m6125,-745l6175,-745m6125,-1153l6175,-1153m6125,-1561l6175,-1561m6125,-1969l6175,-1969m6125,-2376l6175,-2376m6125,-2784l6175,-2784m6125,-3192l6175,-3192m6125,-3599l6175,-3599m6175,-745l10391,-745e" filled="false" stroked="true" strokeweight=".257439pt" strokecolor="#858585">
              <v:path arrowok="t"/>
              <v:stroke dashstyle="solid"/>
            </v:shape>
            <v:rect style="position:absolute;left:7869;top:-3372;width:88;height:101" filled="true" fillcolor="#ff00ff" stroked="false">
              <v:fill type="solid"/>
            </v:rect>
            <v:rect style="position:absolute;left:7869;top:-3372;width:88;height:101" filled="false" stroked="true" strokeweight=".25499pt" strokecolor="#ff00ff">
              <v:stroke dashstyle="solid"/>
            </v:rect>
            <v:rect style="position:absolute;left:7869;top:-2965;width:88;height:102" filled="true" fillcolor="#0000ff" stroked="false">
              <v:fill type="solid"/>
            </v:rect>
            <v:rect style="position:absolute;left:7869;top:-2965;width:88;height:102" filled="false" stroked="true" strokeweight=".254825pt" strokecolor="#0000ff">
              <v:stroke dashstyle="solid"/>
            </v:rect>
            <v:rect style="position:absolute;left:7869;top:-2558;width:88;height:102" filled="true" fillcolor="#66ff33" stroked="false">
              <v:fill type="solid"/>
            </v:rect>
            <v:rect style="position:absolute;left:7869;top:-2558;width:88;height:102" filled="false" stroked="true" strokeweight=".254825pt" strokecolor="#66ff33">
              <v:stroke dashstyle="solid"/>
            </v:rect>
            <w10:wrap type="none"/>
          </v:group>
        </w:pict>
      </w:r>
      <w:r>
        <w:rPr>
          <w:sz w:val="16"/>
        </w:rPr>
        <w:t>Note: In the left chart, AWE growth is measured excluding bonuses. The composition effects are normalised to average zero over time. Sources: ONS and BoE</w:t>
      </w:r>
    </w:p>
    <w:sectPr>
      <w:pgSz w:w="11910" w:h="16840"/>
      <w:pgMar w:header="0" w:footer="1338" w:top="1580" w:bottom="1520" w:left="4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13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5127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3511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77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76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pt;height:13.15pt;mso-position-horizontal-relative:page;mso-position-vertical-relative:page;z-index:-253475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74816" type="#_x0000_t202" filled="false" stroked="false">
          <v:textbox inset="0,0,0,0">
            <w:txbxContent>
              <w:p>
                <w:pPr>
                  <w:pStyle w:val="BodyText"/>
                  <w:spacing w:before="12"/>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10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096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pt;height:13.15pt;mso-position-horizontal-relative:page;mso-position-vertical-relative:page;z-index:-253508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5075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06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055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5pt;height:13.15pt;mso-position-horizontal-relative:page;mso-position-vertical-relative:page;z-index:-253504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5034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02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5014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5pt;height:13.15pt;mso-position-horizontal-relative:page;mso-position-vertical-relative:page;z-index:-2535004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993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98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973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5pt;height:13.15pt;mso-position-horizontal-relative:page;mso-position-vertical-relative:page;z-index:-2534963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952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94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9324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5pt;height:13.15pt;mso-position-horizontal-relative:page;mso-position-vertical-relative:page;z-index:-253492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912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90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8915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5pt;height:13.15pt;mso-position-horizontal-relative:page;mso-position-vertical-relative:page;z-index:-253488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8710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86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8505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5pt;height:13.15pt;mso-position-horizontal-relative:page;mso-position-vertical-relative:page;z-index:-253484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8300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81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480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5pt;height:13.15pt;mso-position-horizontal-relative:page;mso-position-vertical-relative:page;z-index:-253479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78912"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67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www.resolutionfoundation.org/publications/the-pay-deficit-measuring-the-effect-of-pension-deficit-payments-on-workers-wages/" TargetMode="External"/><Relationship Id="rId17" Type="http://schemas.openxmlformats.org/officeDocument/2006/relationships/hyperlink" Target="https://www.econstor.eu/bitstream/10419/33847/1/543755940.pdf" TargetMode="External"/><Relationship Id="rId18" Type="http://schemas.openxmlformats.org/officeDocument/2006/relationships/hyperlink" Target="https://www.bankofengland.co.uk/speech/2015/compositional-shifts-in-the-labour-market" TargetMode="External"/><Relationship Id="rId19" Type="http://schemas.openxmlformats.org/officeDocument/2006/relationships/hyperlink" Target="https://www.bankofengland.co.uk/speech/2017/de-globalisation-and-inflation" TargetMode="External"/><Relationship Id="rId20" Type="http://schemas.openxmlformats.org/officeDocument/2006/relationships/hyperlink" Target="https://www.bankofengland.co.uk/speech/2017/work-wages-and-monetary-policy" TargetMode="External"/><Relationship Id="rId21" Type="http://schemas.openxmlformats.org/officeDocument/2006/relationships/hyperlink" Target="https://www.imf.org/en/Publications/WEO/Issues/2017/09/19/world-economic-outlook-october-2017" TargetMode="External"/><Relationship Id="rId22" Type="http://schemas.openxmlformats.org/officeDocument/2006/relationships/hyperlink" Target="http://www.frbsf.org/economic-research/publications/economic-letter/2017/october/has-wage-phillips-curve-gone-dormant/" TargetMode="External"/><Relationship Id="rId23" Type="http://schemas.openxmlformats.org/officeDocument/2006/relationships/hyperlink" Target="https://www.gov.uk/government/uploads/system/uploads/attachment_data/file/473293/2013_Extensive_Intensive_margins_FINAL_03_Dec_13.pdf" TargetMode="External"/><Relationship Id="rId24" Type="http://schemas.openxmlformats.org/officeDocument/2006/relationships/hyperlink" Target="https://www.bankofengland.co.uk/working-paper/2015/the-impact-of-immigration-on-occupational-wages-evidence-from-britain" TargetMode="External"/><Relationship Id="rId25" Type="http://schemas.openxmlformats.org/officeDocument/2006/relationships/hyperlink" Target="http://www.oecd-ilibrary.org/docserver/download/1206031e.pdf?expires=1516098986&amp;id=id&amp;accname=ocid42009749&amp;checksum=4F2577C29BD50E4267FD71D5B78D2596" TargetMode="External"/><Relationship Id="rId26" Type="http://schemas.openxmlformats.org/officeDocument/2006/relationships/hyperlink" Target="http://www.oecd.org/eco/the-economic-consequences-of-brexit-a-taxing-decision.htm" TargetMode="External"/><Relationship Id="rId27" Type="http://schemas.openxmlformats.org/officeDocument/2006/relationships/hyperlink" Target="https://www.bankofengland.co.uk/speech/2017/the-labour-market" TargetMode="External"/><Relationship Id="rId28" Type="http://schemas.openxmlformats.org/officeDocument/2006/relationships/hyperlink" Target="https://www.bankofengland.co.uk/speech/2018/silvana-tenreyro-2018-peston-lecture" TargetMode="External"/><Relationship Id="rId29" Type="http://schemas.openxmlformats.org/officeDocument/2006/relationships/hyperlink" Target="https://www.bankofengland.co.uk/speech/2017/real-interest-rates-and-ris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Michael Saunders at the The Launch of Financial Intermediary and Broker Association at BAFTA, London, on Wednesday 17 January 2018</dc:subject>
  <dc:title>Speech by Michael Saunders at the The Launch of Financial Intermediary and Broker Association at BAFTA, London, on Wednesday 17 January 2018</dc:title>
  <dcterms:created xsi:type="dcterms:W3CDTF">2020-06-02T18:48:37Z</dcterms:created>
  <dcterms:modified xsi:type="dcterms:W3CDTF">2020-06-02T18:48:37Z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LastSaved">
    <vt:filetime>2020-06-02T00:00:00Z</vt:filetime>
  </property>
</Properties>
</file>