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Recent Performance of the UK Labour Market</w:t>
      </w:r>
    </w:p>
    <w:p>
      <w:pPr>
        <w:pStyle w:val="BodyText"/>
        <w:spacing w:before="281"/>
        <w:ind w:left="352"/>
        <w:rPr>
          <w:rFonts w:ascii="Arial"/>
        </w:rPr>
      </w:pPr>
      <w:r>
        <w:rPr>
          <w:rFonts w:ascii="Arial"/>
        </w:rPr>
        <w:t>Speech given by</w:t>
      </w:r>
    </w:p>
    <w:p>
      <w:pPr>
        <w:pStyle w:val="BodyText"/>
        <w:spacing w:line="720" w:lineRule="auto" w:before="136"/>
        <w:ind w:left="352" w:right="2293"/>
        <w:rPr>
          <w:rFonts w:ascii="Arial"/>
        </w:rPr>
      </w:pPr>
      <w:r>
        <w:rPr>
          <w:rFonts w:ascii="Arial"/>
        </w:rPr>
        <w:t>Stephen Nickell, Bank of England and London School of Economics Glenda Quintini, Credit Suisse First Boston</w:t>
      </w:r>
    </w:p>
    <w:p>
      <w:pPr>
        <w:pStyle w:val="BodyText"/>
        <w:spacing w:line="360" w:lineRule="auto" w:before="1"/>
        <w:ind w:left="352" w:right="480"/>
        <w:rPr>
          <w:rFonts w:ascii="Arial"/>
        </w:rPr>
      </w:pPr>
      <w:r>
        <w:rPr>
          <w:rFonts w:ascii="Arial"/>
        </w:rPr>
        <w:t>To the Economics Section of the British Association for the Advancement of Science, Glasgow</w:t>
      </w:r>
    </w:p>
    <w:p>
      <w:pPr>
        <w:pStyle w:val="BodyText"/>
        <w:ind w:left="352"/>
        <w:rPr>
          <w:rFonts w:ascii="Arial"/>
        </w:rPr>
      </w:pPr>
      <w:r>
        <w:rPr>
          <w:rFonts w:ascii="Arial"/>
        </w:rPr>
        <w:t>4 September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3"/>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ListParagraph"/>
        <w:numPr>
          <w:ilvl w:val="0"/>
          <w:numId w:val="1"/>
        </w:numPr>
        <w:tabs>
          <w:tab w:pos="3957" w:val="left" w:leader="none"/>
        </w:tabs>
        <w:spacing w:line="240" w:lineRule="auto" w:before="76" w:after="0"/>
        <w:ind w:left="3956" w:right="68" w:hanging="3957"/>
        <w:jc w:val="left"/>
        <w:rPr>
          <w:sz w:val="24"/>
        </w:rPr>
      </w:pPr>
      <w:r>
        <w:rPr>
          <w:sz w:val="24"/>
          <w:u w:val="single"/>
        </w:rPr>
        <w:t>Introduction</w:t>
      </w:r>
    </w:p>
    <w:p>
      <w:pPr>
        <w:pStyle w:val="BodyText"/>
        <w:rPr>
          <w:sz w:val="20"/>
        </w:rPr>
      </w:pPr>
    </w:p>
    <w:p>
      <w:pPr>
        <w:pStyle w:val="BodyText"/>
        <w:spacing w:before="10"/>
        <w:rPr>
          <w:sz w:val="19"/>
        </w:rPr>
      </w:pPr>
    </w:p>
    <w:p>
      <w:pPr>
        <w:pStyle w:val="BodyText"/>
        <w:spacing w:line="360" w:lineRule="auto" w:before="90"/>
        <w:ind w:left="235" w:right="379"/>
      </w:pPr>
      <w:r>
        <w:rPr/>
        <w:t>‘Employment opportunity for all is the modern definition of full employment’. So says the Chancellor of the Exchequer in </w:t>
      </w:r>
      <w:r>
        <w:rPr>
          <w:u w:val="single"/>
        </w:rPr>
        <w:t>Spending Review 2000</w:t>
      </w:r>
      <w:r>
        <w:rPr/>
        <w:t>, the Treasury’s</w:t>
      </w:r>
      <w:r>
        <w:rPr>
          <w:spacing w:val="-39"/>
        </w:rPr>
        <w:t> </w:t>
      </w:r>
      <w:r>
        <w:rPr/>
        <w:t>public </w:t>
      </w:r>
      <w:r>
        <w:rPr>
          <w:spacing w:val="-3"/>
        </w:rPr>
        <w:t>spending plans </w:t>
      </w:r>
      <w:r>
        <w:rPr/>
        <w:t>for the </w:t>
      </w:r>
      <w:r>
        <w:rPr>
          <w:spacing w:val="-3"/>
        </w:rPr>
        <w:t>first four years </w:t>
      </w:r>
      <w:r>
        <w:rPr/>
        <w:t>of the </w:t>
      </w:r>
      <w:r>
        <w:rPr>
          <w:spacing w:val="-3"/>
        </w:rPr>
        <w:t>21</w:t>
      </w:r>
      <w:r>
        <w:rPr>
          <w:spacing w:val="-3"/>
          <w:vertAlign w:val="superscript"/>
        </w:rPr>
        <w:t>st</w:t>
      </w:r>
      <w:r>
        <w:rPr>
          <w:spacing w:val="-3"/>
          <w:vertAlign w:val="baseline"/>
        </w:rPr>
        <w:t>  century.   There </w:t>
      </w:r>
      <w:r>
        <w:rPr>
          <w:vertAlign w:val="baseline"/>
        </w:rPr>
        <w:t>is no </w:t>
      </w:r>
      <w:r>
        <w:rPr>
          <w:spacing w:val="-3"/>
          <w:vertAlign w:val="baseline"/>
        </w:rPr>
        <w:t>question that  </w:t>
      </w:r>
      <w:r>
        <w:rPr>
          <w:vertAlign w:val="baseline"/>
        </w:rPr>
        <w:t>one of the major challenges facing any industrialised country is to ensure that </w:t>
      </w:r>
      <w:r>
        <w:rPr>
          <w:spacing w:val="-2"/>
          <w:vertAlign w:val="baseline"/>
        </w:rPr>
        <w:t>its </w:t>
      </w:r>
      <w:r>
        <w:rPr>
          <w:vertAlign w:val="baseline"/>
        </w:rPr>
        <w:t>labour market operates so as to enable people who want to work to do so at a reasonable rate of pay. So this will be our focus in what</w:t>
      </w:r>
      <w:r>
        <w:rPr>
          <w:spacing w:val="29"/>
          <w:vertAlign w:val="baseline"/>
        </w:rPr>
        <w:t> </w:t>
      </w:r>
      <w:r>
        <w:rPr>
          <w:vertAlign w:val="baseline"/>
        </w:rPr>
        <w:t>follows.</w:t>
      </w:r>
    </w:p>
    <w:p>
      <w:pPr>
        <w:pStyle w:val="BodyText"/>
        <w:spacing w:before="9"/>
        <w:rPr>
          <w:sz w:val="35"/>
        </w:rPr>
      </w:pPr>
    </w:p>
    <w:p>
      <w:pPr>
        <w:pStyle w:val="BodyText"/>
        <w:spacing w:line="360" w:lineRule="auto"/>
        <w:ind w:left="235" w:right="360"/>
      </w:pPr>
      <w:r>
        <w:rPr/>
        <w:t>In fact we consider two major issues. The first refers to the performance of the labour market from the macroeconomic point of view, and this we cover in Section 2. Here we look at unemployment and inflation, explaining why recent history from this perspective looks relatively benign and asking about the future consequences of some of the significant policy changes since 1997. The second major issue, dealt with in Section 3, concerns the imbalances in the labour market across different skill groups, focusing particularly on the problem of worklessness facing the unskilled. Again, we attempt to analyse why this problem has arisen and the main thrust of recent policy in attempting to resolve it. We then conclude with a summary of what we have learned.</w:t>
      </w:r>
    </w:p>
    <w:p>
      <w:pPr>
        <w:spacing w:after="0" w:line="360" w:lineRule="auto"/>
        <w:sectPr>
          <w:footerReference w:type="default" r:id="rId7"/>
          <w:pgSz w:w="11920" w:h="16840"/>
          <w:pgMar w:footer="779" w:header="0" w:top="1360" w:bottom="960" w:left="1580" w:right="1460"/>
          <w:pgNumType w:start="2"/>
        </w:sectPr>
      </w:pPr>
    </w:p>
    <w:p>
      <w:pPr>
        <w:pStyle w:val="ListParagraph"/>
        <w:numPr>
          <w:ilvl w:val="0"/>
          <w:numId w:val="1"/>
        </w:numPr>
        <w:tabs>
          <w:tab w:pos="2446" w:val="left" w:leader="none"/>
        </w:tabs>
        <w:spacing w:line="240" w:lineRule="auto" w:before="76" w:after="0"/>
        <w:ind w:left="2445" w:right="113" w:hanging="2446"/>
        <w:jc w:val="left"/>
        <w:rPr>
          <w:sz w:val="24"/>
        </w:rPr>
      </w:pPr>
      <w:r>
        <w:rPr>
          <w:sz w:val="24"/>
          <w:u w:val="single"/>
        </w:rPr>
        <w:t>The Macroeconomics of the Labour</w:t>
      </w:r>
      <w:r>
        <w:rPr>
          <w:spacing w:val="4"/>
          <w:sz w:val="24"/>
          <w:u w:val="single"/>
        </w:rPr>
        <w:t> </w:t>
      </w:r>
      <w:r>
        <w:rPr>
          <w:spacing w:val="-2"/>
          <w:sz w:val="24"/>
          <w:u w:val="single"/>
        </w:rPr>
        <w:t>Market</w:t>
      </w:r>
    </w:p>
    <w:p>
      <w:pPr>
        <w:pStyle w:val="BodyText"/>
        <w:rPr>
          <w:sz w:val="20"/>
        </w:rPr>
      </w:pPr>
    </w:p>
    <w:p>
      <w:pPr>
        <w:pStyle w:val="BodyText"/>
        <w:spacing w:before="10"/>
        <w:rPr>
          <w:sz w:val="19"/>
        </w:rPr>
      </w:pPr>
    </w:p>
    <w:p>
      <w:pPr>
        <w:pStyle w:val="BodyText"/>
        <w:spacing w:line="357" w:lineRule="auto" w:before="90"/>
        <w:ind w:left="235" w:right="360"/>
      </w:pPr>
      <w:r>
        <w:rPr/>
        <w:t>From the macroeconomic point of view, the UK labour market has looked remarkably healthy in recent years. Just to put the situation into a historical context, in Figure 1 we present the history of unemployment, inflation, inflation expectations and real wage growth. Since 1997, the following key factors stand out. Unemployment has continued to fall until the time of writing, reaching its lowest level for a generation.</w:t>
      </w:r>
    </w:p>
    <w:p>
      <w:pPr>
        <w:pStyle w:val="BodyText"/>
        <w:spacing w:line="357" w:lineRule="auto" w:before="14"/>
        <w:ind w:left="235" w:right="360"/>
      </w:pPr>
      <w:r>
        <w:rPr/>
        <w:t>Inflation has remained remarkably low and inflation expectations among key wage bargainers have remained stable over the same period. Finally, real wage growth has been relatively healthy, so macroeconomic stability has not been purchased at the expense of cuts in average living standards. It is perhaps worth remarking that these trends since 1997 are essentially a continuation of what has been happening since 1993. However, the fact that unemployment on the ILO measure has fallen to 5 percent without any noticeable take-off in inflation is a fact of some significance.</w:t>
      </w:r>
    </w:p>
    <w:p>
      <w:pPr>
        <w:pStyle w:val="BodyText"/>
        <w:rPr>
          <w:sz w:val="38"/>
        </w:rPr>
      </w:pPr>
    </w:p>
    <w:p>
      <w:pPr>
        <w:pStyle w:val="BodyText"/>
        <w:spacing w:line="357" w:lineRule="auto"/>
        <w:ind w:left="235" w:right="374"/>
      </w:pPr>
      <w:r>
        <w:rPr>
          <w:spacing w:val="-3"/>
        </w:rPr>
        <w:t>Part </w:t>
      </w:r>
      <w:r>
        <w:rPr/>
        <w:t>of </w:t>
      </w:r>
      <w:r>
        <w:rPr>
          <w:spacing w:val="-3"/>
        </w:rPr>
        <w:t>this happy state </w:t>
      </w:r>
      <w:r>
        <w:rPr/>
        <w:t>of </w:t>
      </w:r>
      <w:r>
        <w:rPr>
          <w:spacing w:val="-3"/>
        </w:rPr>
        <w:t>affairs </w:t>
      </w:r>
      <w:r>
        <w:rPr/>
        <w:t>is </w:t>
      </w:r>
      <w:r>
        <w:rPr>
          <w:spacing w:val="-3"/>
        </w:rPr>
        <w:t>down </w:t>
      </w:r>
      <w:r>
        <w:rPr/>
        <w:t>to the </w:t>
      </w:r>
      <w:r>
        <w:rPr>
          <w:spacing w:val="-3"/>
        </w:rPr>
        <w:t>monetary </w:t>
      </w:r>
      <w:r>
        <w:rPr/>
        <w:t>and </w:t>
      </w:r>
      <w:r>
        <w:rPr>
          <w:spacing w:val="-3"/>
        </w:rPr>
        <w:t>fiscal </w:t>
      </w:r>
      <w:r>
        <w:rPr/>
        <w:t>policies which have been pursued and these we leave to others to discuss. The particular question we shall consider here is why unemployment has been able to fall to such a low level by the standards of recent history without any significant inflationary pressure. This suggests that the equilibrium unemployment rate, that is the level of </w:t>
      </w:r>
      <w:r>
        <w:rPr>
          <w:spacing w:val="-2"/>
        </w:rPr>
        <w:t>unemployment </w:t>
      </w:r>
      <w:r>
        <w:rPr/>
        <w:t>consistent with the stable </w:t>
      </w:r>
      <w:r>
        <w:rPr>
          <w:spacing w:val="-3"/>
        </w:rPr>
        <w:t>inflation</w:t>
      </w:r>
      <w:r>
        <w:rPr>
          <w:spacing w:val="-3"/>
          <w:vertAlign w:val="superscript"/>
        </w:rPr>
        <w:t>1</w:t>
      </w:r>
      <w:r>
        <w:rPr>
          <w:spacing w:val="-3"/>
          <w:vertAlign w:val="baseline"/>
        </w:rPr>
        <w:t>, </w:t>
      </w:r>
      <w:r>
        <w:rPr>
          <w:vertAlign w:val="baseline"/>
        </w:rPr>
        <w:t>has fallen since the 1980s. So we begin by looking at the recent history of the equilibrium</w:t>
      </w:r>
      <w:r>
        <w:rPr>
          <w:spacing w:val="29"/>
          <w:vertAlign w:val="baseline"/>
        </w:rPr>
        <w:t> </w:t>
      </w:r>
      <w:r>
        <w:rPr>
          <w:vertAlign w:val="baseline"/>
        </w:rPr>
        <w:t>rate.</w:t>
      </w:r>
    </w:p>
    <w:p>
      <w:pPr>
        <w:pStyle w:val="BodyText"/>
        <w:spacing w:before="7"/>
        <w:rPr>
          <w:sz w:val="36"/>
        </w:rPr>
      </w:pPr>
    </w:p>
    <w:p>
      <w:pPr>
        <w:pStyle w:val="BodyText"/>
        <w:ind w:left="235"/>
      </w:pPr>
      <w:r>
        <w:rPr>
          <w:u w:val="single"/>
        </w:rPr>
        <w:t>Recent Changes in UK Unemployment</w:t>
      </w:r>
    </w:p>
    <w:p>
      <w:pPr>
        <w:pStyle w:val="BodyText"/>
        <w:rPr>
          <w:sz w:val="20"/>
        </w:rPr>
      </w:pPr>
    </w:p>
    <w:p>
      <w:pPr>
        <w:pStyle w:val="BodyText"/>
        <w:spacing w:before="3"/>
        <w:rPr>
          <w:sz w:val="21"/>
        </w:rPr>
      </w:pPr>
    </w:p>
    <w:p>
      <w:pPr>
        <w:pStyle w:val="BodyText"/>
        <w:spacing w:line="357" w:lineRule="auto" w:before="90"/>
        <w:ind w:left="235" w:right="332"/>
      </w:pPr>
      <w:r>
        <w:rPr/>
        <w:t>Before going into detail about recent shifts in equilibrium unemployment, it helps to set the scene if we have some idea of the recent history of British unemployment. In Figure 1a, we showed the path of unemployment since 1970, using the standard ILO definition (that is, an unemployed person is someone without work who is actively searching for work and is available to take up a job). We can see that unemployment was moving gradually upwards in the early 70s, surging upwards rapidly after the first oil shock in 1974, again after the second oil shock in 1979, came down rapidly in the Lawson boom of the late 1980s and rose equally rapidly after 1990. Since 1993 it has gradually subsided so that by 2000 it reached its lowest level since the 1970s.</w:t>
      </w:r>
    </w:p>
    <w:p>
      <w:pPr>
        <w:spacing w:after="0" w:line="357" w:lineRule="auto"/>
        <w:sectPr>
          <w:pgSz w:w="11920" w:h="16840"/>
          <w:pgMar w:header="0" w:footer="779" w:top="1360" w:bottom="960" w:left="1580" w:right="1460"/>
        </w:sectPr>
      </w:pPr>
    </w:p>
    <w:p>
      <w:pPr>
        <w:pStyle w:val="Heading1"/>
        <w:spacing w:line="240" w:lineRule="auto" w:before="76"/>
        <w:ind w:left="768" w:right="880" w:firstLine="0"/>
        <w:jc w:val="center"/>
      </w:pPr>
      <w:r>
        <w:rPr>
          <w:u w:val="thick"/>
        </w:rPr>
        <w:t>Figure 1</w:t>
      </w:r>
    </w:p>
    <w:p>
      <w:pPr>
        <w:pStyle w:val="BodyText"/>
        <w:spacing w:before="5"/>
        <w:rPr>
          <w:b/>
          <w:sz w:val="16"/>
        </w:rPr>
      </w:pPr>
    </w:p>
    <w:p>
      <w:pPr>
        <w:pStyle w:val="BodyText"/>
        <w:spacing w:before="90"/>
        <w:ind w:left="768" w:right="881"/>
        <w:jc w:val="center"/>
      </w:pPr>
      <w:r>
        <w:rPr>
          <w:u w:val="single"/>
        </w:rPr>
        <w:t>The Recent Macroeconomic Changes in the UK Labour Market</w:t>
      </w:r>
    </w:p>
    <w:p>
      <w:pPr>
        <w:pStyle w:val="BodyText"/>
        <w:rPr>
          <w:sz w:val="20"/>
        </w:rPr>
      </w:pPr>
    </w:p>
    <w:p>
      <w:pPr>
        <w:pStyle w:val="BodyText"/>
        <w:rPr>
          <w:sz w:val="20"/>
        </w:rPr>
      </w:pPr>
    </w:p>
    <w:p>
      <w:pPr>
        <w:spacing w:after="0"/>
        <w:rPr>
          <w:sz w:val="20"/>
        </w:rPr>
        <w:sectPr>
          <w:pgSz w:w="11920" w:h="16840"/>
          <w:pgMar w:header="0" w:footer="779" w:top="1360" w:bottom="960" w:left="1580" w:right="1460"/>
        </w:sectPr>
      </w:pPr>
    </w:p>
    <w:p>
      <w:pPr>
        <w:pStyle w:val="ListParagraph"/>
        <w:numPr>
          <w:ilvl w:val="0"/>
          <w:numId w:val="2"/>
        </w:numPr>
        <w:tabs>
          <w:tab w:pos="758" w:val="left" w:leader="none"/>
        </w:tabs>
        <w:spacing w:line="240" w:lineRule="exact" w:before="218" w:after="0"/>
        <w:ind w:left="757" w:right="0" w:hanging="268"/>
        <w:jc w:val="left"/>
        <w:rPr>
          <w:b/>
          <w:sz w:val="23"/>
        </w:rPr>
      </w:pPr>
      <w:r>
        <w:rPr>
          <w:b/>
          <w:spacing w:val="-18"/>
          <w:w w:val="105"/>
          <w:sz w:val="23"/>
        </w:rPr>
        <w:t>Unemployment</w:t>
      </w:r>
    </w:p>
    <w:p>
      <w:pPr>
        <w:spacing w:line="199" w:lineRule="auto" w:before="0"/>
        <w:ind w:left="3160" w:right="0" w:firstLine="0"/>
        <w:jc w:val="left"/>
        <w:rPr>
          <w:sz w:val="16"/>
        </w:rPr>
      </w:pPr>
      <w:r>
        <w:rPr/>
        <w:pict>
          <v:group style="position:absolute;margin-left:104.625pt;margin-top:8.27875pt;width:155.25pt;height:120.75pt;mso-position-horizontal-relative:page;mso-position-vertical-relative:paragraph;z-index:-253958144" coordorigin="2093,166" coordsize="3105,2415">
            <v:shape style="position:absolute;left:2100;top:173;width:3090;height:2400" coordorigin="2100,173" coordsize="3090,2400" path="m5190,173l5190,2573m5145,2573l5190,2573m5145,2243l5190,2243m5145,1898l5190,1898m5145,1553l5190,1553m5145,1208l5190,1208m5145,863l5190,863m5145,518l5190,518m5145,173l5190,173m2100,2573l5190,2573m2100,2573l2100,2528m2700,2573l2700,2528m3300,2573l3300,2528m3915,2573l3915,2528m4515,2573l4515,2528m5115,2573l5115,2528e" filled="false" stroked="true" strokeweight=".75pt" strokecolor="#000000">
              <v:path arrowok="t"/>
              <v:stroke dashstyle="solid"/>
            </v:shape>
            <v:shape style="position:absolute;left:2100;top:413;width:3075;height:1725" coordorigin="2100,413" coordsize="3075,1725" path="m2100,2063l2130,2063,2145,2063,2175,2048,2205,2033,2220,1973,2250,1928,2280,1898,2295,1853,2325,1883,2355,1913,2370,1943,2400,2018,2430,2048,2445,2078,2475,2138,2505,2108,2520,2093,2550,2078,2580,2063,2595,1973,2625,1898,2655,1793,2670,1703,2700,1658,2730,1613,2745,1598,2775,1583,2805,1583,2835,1568,2850,1538,2880,1523,2910,1538,2925,1553,2955,1568,2985,1598,3000,1703,3030,1718,3060,1733,3075,1733,3105,1673,3135,1568,3150,1418,3180,1223,3210,1073,3225,938,3255,833,3285,758,3300,728,3330,698,3360,608,3375,578,3405,473,3435,428,3450,413,3480,473,3510,533,3525,578,3555,593,3585,593,3600,623,3630,653,3660,668,3690,668,3705,668,3735,653,3765,638,3780,653,3810,698,3840,758,3855,848,3885,953,3915,983,3930,1073,3960,1118,3990,1178,4005,1238,4035,1328,4065,1358,4080,1373,4110,1373,4140,1388,4155,1373,4185,1328,4215,1223,4230,1088,4260,998,4290,968,4320,908,4335,863,4365,848,4380,773,4410,743,4440,773,4455,788,4485,833,4515,848,4545,893,4560,953,4590,1013,4635,1073,4665,1088,4695,1118,4710,1133,4740,1148,4770,1193,4785,1223,4815,1328,4845,1343,4860,1418,4890,1448,4920,1478,4935,1493,4965,1493,4995,1523,5010,1523,5040,1553,5070,1568,5085,1568,5115,1583,5145,1628,5175,1658e" filled="false" stroked="true" strokeweight=".75pt" strokecolor="#ff00ff">
              <v:path arrowok="t"/>
              <v:stroke dashstyle="solid"/>
            </v:shape>
            <v:line style="position:absolute" from="5175,1658" to="5190,1673" stroked="true" strokeweight=".75pt" strokecolor="#ff00ff">
              <v:stroke dashstyle="solid"/>
            </v:line>
            <w10:wrap type="none"/>
          </v:group>
        </w:pict>
      </w:r>
      <w:r>
        <w:rPr>
          <w:spacing w:val="-6"/>
          <w:sz w:val="16"/>
        </w:rPr>
        <w:t>Per cent </w:t>
      </w:r>
      <w:r>
        <w:rPr>
          <w:spacing w:val="7"/>
          <w:sz w:val="16"/>
        </w:rPr>
        <w:t> </w:t>
      </w:r>
      <w:r>
        <w:rPr>
          <w:spacing w:val="-5"/>
          <w:position w:val="-10"/>
          <w:sz w:val="16"/>
        </w:rPr>
        <w:t>14</w:t>
      </w:r>
    </w:p>
    <w:p>
      <w:pPr>
        <w:spacing w:before="161"/>
        <w:ind w:left="0" w:right="38" w:firstLine="0"/>
        <w:jc w:val="right"/>
        <w:rPr>
          <w:sz w:val="16"/>
        </w:rPr>
      </w:pPr>
      <w:r>
        <w:rPr>
          <w:spacing w:val="-5"/>
          <w:w w:val="95"/>
          <w:sz w:val="16"/>
        </w:rPr>
        <w:t>12</w:t>
      </w:r>
    </w:p>
    <w:p>
      <w:pPr>
        <w:spacing w:before="161"/>
        <w:ind w:left="0" w:right="38" w:firstLine="0"/>
        <w:jc w:val="right"/>
        <w:rPr>
          <w:sz w:val="16"/>
        </w:rPr>
      </w:pPr>
      <w:r>
        <w:rPr>
          <w:spacing w:val="-5"/>
          <w:w w:val="95"/>
          <w:sz w:val="16"/>
        </w:rPr>
        <w:t>10</w:t>
      </w:r>
    </w:p>
    <w:p>
      <w:pPr>
        <w:spacing w:before="161"/>
        <w:ind w:left="0" w:right="108" w:firstLine="0"/>
        <w:jc w:val="right"/>
        <w:rPr>
          <w:sz w:val="16"/>
        </w:rPr>
      </w:pPr>
      <w:r>
        <w:rPr>
          <w:w w:val="99"/>
          <w:sz w:val="16"/>
        </w:rPr>
        <w:t>8</w:t>
      </w:r>
    </w:p>
    <w:p>
      <w:pPr>
        <w:spacing w:before="146"/>
        <w:ind w:left="0" w:right="108" w:firstLine="0"/>
        <w:jc w:val="right"/>
        <w:rPr>
          <w:sz w:val="16"/>
        </w:rPr>
      </w:pPr>
      <w:r>
        <w:rPr>
          <w:w w:val="99"/>
          <w:sz w:val="16"/>
        </w:rPr>
        <w:t>6</w:t>
      </w:r>
    </w:p>
    <w:p>
      <w:pPr>
        <w:spacing w:before="161"/>
        <w:ind w:left="0" w:right="108" w:firstLine="0"/>
        <w:jc w:val="right"/>
        <w:rPr>
          <w:sz w:val="16"/>
        </w:rPr>
      </w:pPr>
      <w:r>
        <w:rPr>
          <w:w w:val="99"/>
          <w:sz w:val="16"/>
        </w:rPr>
        <w:t>4</w:t>
      </w:r>
    </w:p>
    <w:p>
      <w:pPr>
        <w:spacing w:before="161"/>
        <w:ind w:left="0" w:right="108" w:firstLine="0"/>
        <w:jc w:val="right"/>
        <w:rPr>
          <w:sz w:val="16"/>
        </w:rPr>
      </w:pPr>
      <w:r>
        <w:rPr>
          <w:w w:val="99"/>
          <w:sz w:val="16"/>
        </w:rPr>
        <w:t>2</w:t>
      </w:r>
    </w:p>
    <w:p>
      <w:pPr>
        <w:spacing w:before="161"/>
        <w:ind w:left="0" w:right="108" w:firstLine="0"/>
        <w:jc w:val="right"/>
        <w:rPr>
          <w:sz w:val="16"/>
        </w:rPr>
      </w:pPr>
      <w:r>
        <w:rPr>
          <w:w w:val="99"/>
          <w:sz w:val="16"/>
        </w:rPr>
        <w:t>0</w:t>
      </w:r>
    </w:p>
    <w:p>
      <w:pPr>
        <w:pStyle w:val="ListParagraph"/>
        <w:numPr>
          <w:ilvl w:val="0"/>
          <w:numId w:val="2"/>
        </w:numPr>
        <w:tabs>
          <w:tab w:pos="795" w:val="left" w:leader="none"/>
        </w:tabs>
        <w:spacing w:line="240" w:lineRule="exact" w:before="218" w:after="0"/>
        <w:ind w:left="794" w:right="0" w:hanging="305"/>
        <w:jc w:val="left"/>
        <w:rPr>
          <w:b/>
          <w:sz w:val="23"/>
        </w:rPr>
      </w:pPr>
      <w:r>
        <w:rPr>
          <w:b/>
          <w:spacing w:val="-11"/>
          <w:w w:val="102"/>
          <w:sz w:val="23"/>
        </w:rPr>
        <w:br w:type="column"/>
      </w:r>
      <w:r>
        <w:rPr>
          <w:b/>
          <w:spacing w:val="-11"/>
          <w:w w:val="105"/>
          <w:sz w:val="23"/>
        </w:rPr>
        <w:t>Inflation</w:t>
      </w:r>
    </w:p>
    <w:p>
      <w:pPr>
        <w:spacing w:line="199" w:lineRule="auto" w:before="0"/>
        <w:ind w:left="3265" w:right="0" w:firstLine="0"/>
        <w:jc w:val="left"/>
        <w:rPr>
          <w:sz w:val="16"/>
        </w:rPr>
      </w:pPr>
      <w:r>
        <w:rPr/>
        <w:pict>
          <v:group style="position:absolute;margin-left:305.625pt;margin-top:8.27875pt;width:161.25pt;height:121.5pt;mso-position-horizontal-relative:page;mso-position-vertical-relative:paragraph;z-index:-253957120" coordorigin="6113,166" coordsize="3225,2430">
            <v:shape style="position:absolute;left:6120;top:173;width:3210;height:2415" coordorigin="6120,173" coordsize="3210,2415" path="m9330,173l9330,2588m9285,2588l9330,2588m9285,2198l9330,2198m9285,1793l9330,1793m9285,1388l9330,1388m9285,983l9330,983m9285,578l9330,578m9285,173l9330,173m6120,2588l9330,2588m6120,2588l6120,2543m6750,2588l6750,2543m7365,2588l7365,2543m7995,2588l7995,2543m8625,2588l8625,2543m9255,2588l9255,2543e" filled="false" stroked="true" strokeweight=".75pt" strokecolor="#000000">
              <v:path arrowok="t"/>
              <v:stroke dashstyle="solid"/>
            </v:shape>
            <v:shape style="position:absolute;left:6120;top:188;width:3195;height:2370" coordorigin="6120,188" coordsize="3195,2370" path="m6120,2213l6135,1958,6165,1853,6195,1838,6225,1763,6240,1853,6270,1808,6300,1808,6330,1763,6345,1733,6375,1778,6405,1748,6435,1853,6450,1913,6480,1973,6510,1853,6540,1898,6555,1568,6585,1148,6615,953,6645,188,6660,218,6690,278,6720,578,6750,1223,6765,1373,6795,1613,6825,1598,6855,1403,6870,1463,6900,1538,6930,1643,6960,1613,6975,1673,7005,1643,7035,1718,7065,1733,7080,1748,7110,1463,7140,1223,7170,1088,7185,848,7215,1133,7245,1103,7260,1553,7290,1838,7320,1763,7350,1943,7365,2033,7395,1883,7425,2048,7455,2108,7470,1943,7500,2183,7530,2138,7560,2183,7575,2363,7605,2108,7635,2213,7665,2153,7680,2048,7710,2138,7740,2093,7770,2198,7785,2273,7815,2408,7845,2468,7875,2438,7890,2258,7920,2153,7950,2108,7980,2108,7995,2198,8025,2198,8055,2093,8085,1958,8100,1913,8130,1958,8160,1958,8190,2003,8205,2078,8235,1928,8265,1898,8280,2018,8310,1973,8340,2123,8370,2258,8385,2183,8415,2213,8445,2138,8475,2243,8490,2408,8520,2348,8550,2453,8580,2363,8595,2348,8625,2423,8655,2498,8685,2558,8700,2438,8730,2498,8760,2423,8790,2378,8805,2423,8835,2318,8865,2318,8895,2303,8910,2348,8940,2348,8970,2393,9000,2423,9015,2348,9045,2378,9075,2363,9105,2393,9120,2438,9150,2513,9180,2453,9210,2438,9225,2393,9255,2438,9285,2453,9315,2438e" filled="false" stroked="true" strokeweight=".75pt" strokecolor="#ff00ff">
              <v:path arrowok="t"/>
              <v:stroke dashstyle="solid"/>
            </v:shape>
            <v:line style="position:absolute" from="9315,2438" to="9330,2468" stroked="true" strokeweight=".75pt" strokecolor="#ff00ff">
              <v:stroke dashstyle="solid"/>
            </v:line>
            <w10:wrap type="none"/>
          </v:group>
        </w:pict>
      </w:r>
      <w:r>
        <w:rPr>
          <w:spacing w:val="-6"/>
          <w:sz w:val="16"/>
        </w:rPr>
        <w:t>Per cen  </w:t>
      </w:r>
      <w:r>
        <w:rPr>
          <w:spacing w:val="27"/>
          <w:sz w:val="16"/>
        </w:rPr>
        <w:t> </w:t>
      </w:r>
      <w:r>
        <w:rPr>
          <w:spacing w:val="-5"/>
          <w:position w:val="-10"/>
          <w:sz w:val="16"/>
        </w:rPr>
        <w:t>30</w:t>
      </w:r>
    </w:p>
    <w:p>
      <w:pPr>
        <w:spacing w:before="221"/>
        <w:ind w:left="0" w:right="874" w:firstLine="0"/>
        <w:jc w:val="right"/>
        <w:rPr>
          <w:sz w:val="16"/>
        </w:rPr>
      </w:pPr>
      <w:r>
        <w:rPr>
          <w:spacing w:val="-6"/>
          <w:sz w:val="16"/>
        </w:rPr>
        <w:t>25</w:t>
      </w:r>
    </w:p>
    <w:p>
      <w:pPr>
        <w:pStyle w:val="BodyText"/>
        <w:spacing w:before="2"/>
        <w:rPr>
          <w:sz w:val="19"/>
        </w:rPr>
      </w:pPr>
    </w:p>
    <w:p>
      <w:pPr>
        <w:spacing w:before="0"/>
        <w:ind w:left="0" w:right="874" w:firstLine="0"/>
        <w:jc w:val="right"/>
        <w:rPr>
          <w:sz w:val="16"/>
        </w:rPr>
      </w:pPr>
      <w:r>
        <w:rPr>
          <w:spacing w:val="-6"/>
          <w:sz w:val="16"/>
        </w:rPr>
        <w:t>20</w:t>
      </w:r>
    </w:p>
    <w:p>
      <w:pPr>
        <w:pStyle w:val="BodyText"/>
        <w:spacing w:before="3"/>
        <w:rPr>
          <w:sz w:val="19"/>
        </w:rPr>
      </w:pPr>
    </w:p>
    <w:p>
      <w:pPr>
        <w:spacing w:before="0"/>
        <w:ind w:left="0" w:right="874" w:firstLine="0"/>
        <w:jc w:val="right"/>
        <w:rPr>
          <w:sz w:val="16"/>
        </w:rPr>
      </w:pPr>
      <w:r>
        <w:rPr>
          <w:spacing w:val="-6"/>
          <w:sz w:val="16"/>
        </w:rPr>
        <w:t>15</w:t>
      </w:r>
    </w:p>
    <w:p>
      <w:pPr>
        <w:pStyle w:val="BodyText"/>
        <w:spacing w:before="10"/>
        <w:rPr>
          <w:sz w:val="17"/>
        </w:rPr>
      </w:pPr>
    </w:p>
    <w:p>
      <w:pPr>
        <w:spacing w:before="1"/>
        <w:ind w:left="0" w:right="874" w:firstLine="0"/>
        <w:jc w:val="right"/>
        <w:rPr>
          <w:sz w:val="16"/>
        </w:rPr>
      </w:pPr>
      <w:r>
        <w:rPr>
          <w:spacing w:val="-6"/>
          <w:sz w:val="16"/>
        </w:rPr>
        <w:t>10</w:t>
      </w:r>
    </w:p>
    <w:p>
      <w:pPr>
        <w:pStyle w:val="BodyText"/>
        <w:spacing w:before="2"/>
        <w:rPr>
          <w:sz w:val="19"/>
        </w:rPr>
      </w:pPr>
    </w:p>
    <w:p>
      <w:pPr>
        <w:spacing w:before="0"/>
        <w:ind w:left="0" w:right="943" w:firstLine="0"/>
        <w:jc w:val="right"/>
        <w:rPr>
          <w:sz w:val="16"/>
        </w:rPr>
      </w:pPr>
      <w:r>
        <w:rPr>
          <w:w w:val="99"/>
          <w:sz w:val="16"/>
        </w:rPr>
        <w:t>5</w:t>
      </w:r>
    </w:p>
    <w:p>
      <w:pPr>
        <w:pStyle w:val="BodyText"/>
        <w:spacing w:before="2"/>
        <w:rPr>
          <w:sz w:val="19"/>
        </w:rPr>
      </w:pPr>
    </w:p>
    <w:p>
      <w:pPr>
        <w:spacing w:before="1"/>
        <w:ind w:left="0" w:right="943" w:firstLine="0"/>
        <w:jc w:val="right"/>
        <w:rPr>
          <w:sz w:val="16"/>
        </w:rPr>
      </w:pPr>
      <w:r>
        <w:rPr>
          <w:w w:val="99"/>
          <w:sz w:val="16"/>
        </w:rPr>
        <w:t>0</w:t>
      </w:r>
    </w:p>
    <w:p>
      <w:pPr>
        <w:spacing w:after="0"/>
        <w:jc w:val="right"/>
        <w:rPr>
          <w:sz w:val="16"/>
        </w:rPr>
        <w:sectPr>
          <w:type w:val="continuous"/>
          <w:pgSz w:w="11920" w:h="16840"/>
          <w:pgMar w:top="1180" w:bottom="280" w:left="1580" w:right="1460"/>
          <w:cols w:num="2" w:equalWidth="0">
            <w:col w:w="3906" w:space="114"/>
            <w:col w:w="4860"/>
          </w:cols>
        </w:sectPr>
      </w:pPr>
    </w:p>
    <w:p>
      <w:pPr>
        <w:tabs>
          <w:tab w:pos="939" w:val="left" w:leader="none"/>
          <w:tab w:pos="1539" w:val="left" w:leader="none"/>
          <w:tab w:pos="2139" w:val="left" w:leader="none"/>
          <w:tab w:pos="2739" w:val="left" w:leader="none"/>
          <w:tab w:pos="3354" w:val="left" w:leader="none"/>
        </w:tabs>
        <w:spacing w:before="41"/>
        <w:ind w:left="340" w:right="0" w:firstLine="0"/>
        <w:jc w:val="left"/>
        <w:rPr>
          <w:sz w:val="16"/>
        </w:rPr>
      </w:pPr>
      <w:r>
        <w:rPr>
          <w:spacing w:val="-10"/>
          <w:sz w:val="16"/>
        </w:rPr>
        <w:t>Y1970</w:t>
        <w:tab/>
        <w:t>Y1976</w:t>
        <w:tab/>
      </w:r>
      <w:r>
        <w:rPr>
          <w:spacing w:val="-12"/>
          <w:sz w:val="16"/>
        </w:rPr>
        <w:t>Y1982</w:t>
        <w:tab/>
      </w:r>
      <w:r>
        <w:rPr>
          <w:spacing w:val="-8"/>
          <w:sz w:val="16"/>
        </w:rPr>
        <w:t>Y1988</w:t>
        <w:tab/>
        <w:t>Y1994</w:t>
        <w:tab/>
      </w:r>
      <w:r>
        <w:rPr>
          <w:spacing w:val="-12"/>
          <w:sz w:val="16"/>
        </w:rPr>
        <w:t>Y2000</w:t>
      </w:r>
    </w:p>
    <w:p>
      <w:pPr>
        <w:pStyle w:val="BodyText"/>
        <w:rPr>
          <w:sz w:val="18"/>
        </w:rPr>
      </w:pPr>
    </w:p>
    <w:p>
      <w:pPr>
        <w:pStyle w:val="BodyText"/>
        <w:rPr>
          <w:sz w:val="26"/>
        </w:rPr>
      </w:pPr>
    </w:p>
    <w:p>
      <w:pPr>
        <w:pStyle w:val="Heading1"/>
        <w:numPr>
          <w:ilvl w:val="0"/>
          <w:numId w:val="2"/>
        </w:numPr>
        <w:tabs>
          <w:tab w:pos="752" w:val="left" w:leader="none"/>
        </w:tabs>
        <w:spacing w:line="250" w:lineRule="exact" w:before="0" w:after="0"/>
        <w:ind w:left="751" w:right="0" w:hanging="262"/>
        <w:jc w:val="left"/>
      </w:pPr>
      <w:r>
        <w:rPr>
          <w:spacing w:val="-16"/>
        </w:rPr>
        <w:t>Inflation</w:t>
      </w:r>
      <w:r>
        <w:rPr>
          <w:spacing w:val="-32"/>
        </w:rPr>
        <w:t> </w:t>
      </w:r>
      <w:r>
        <w:rPr>
          <w:spacing w:val="-17"/>
        </w:rPr>
        <w:t>Expectations</w:t>
      </w:r>
    </w:p>
    <w:p>
      <w:pPr>
        <w:spacing w:line="196" w:lineRule="auto" w:before="0"/>
        <w:ind w:left="3190" w:right="0" w:firstLine="0"/>
        <w:jc w:val="left"/>
        <w:rPr>
          <w:sz w:val="16"/>
        </w:rPr>
      </w:pPr>
      <w:r>
        <w:rPr/>
        <w:pict>
          <v:group style="position:absolute;margin-left:104.625pt;margin-top:9.009063pt;width:157.5pt;height:123pt;mso-position-horizontal-relative:page;mso-position-vertical-relative:paragraph;z-index:-253956096" coordorigin="2093,180" coordsize="3150,2460">
            <v:shape style="position:absolute;left:2100;top:187;width:3135;height:2445" coordorigin="2100,188" coordsize="3135,2445" path="m5235,188l5235,2633m5190,2633l5235,2633m5190,2333l5235,2333m5190,2018l5235,2018m5190,1718l5235,1718m5190,1403l5235,1403m5190,1103l5235,1103m5190,788l5235,788m5190,488l5235,488m5190,188l5235,188m2100,2633l5235,2633m2100,2633l2100,2588m2565,2633l2565,2588m3045,2633l3045,2588m3510,2633l3510,2588m3990,2633l3990,2588m4470,2633l4470,2588m4935,2633l4935,2588e" filled="false" stroked="true" strokeweight=".75pt" strokecolor="#000000">
              <v:path arrowok="t"/>
              <v:stroke dashstyle="solid"/>
            </v:shape>
            <v:shape style="position:absolute;left:2100;top:217;width:3075;height:1650" coordorigin="2100,218" coordsize="3075,1650" path="m2100,1118l2160,1118,2220,1013,2280,878,2340,743,2385,548,2445,503,2505,503,2565,413,2625,353,2685,233,2745,218,2805,278,2865,473,2925,773,2985,938,3045,1043,3105,1088,3165,1178,3225,1238,3285,1373,3345,1508,3405,1538,3450,1583,3510,1598,3570,1583,3630,1538,3690,1553,3750,1538,3810,1508,3870,1538,3930,1493,3990,1538,4050,1598,4110,1598,4170,1598,4230,1583,4290,1553,4350,1553,4410,1553,4470,1538,4530,1538,4590,1583,4635,1643,4695,1703,4755,1763,4815,1823,4875,1853,4935,1868,4995,1853,5055,1823,5115,1808,5175,1808e" filled="false" stroked="true" strokeweight=".75pt" strokecolor="#ff00ff">
              <v:path arrowok="t"/>
              <v:stroke dashstyle="solid"/>
            </v:shape>
            <v:line style="position:absolute" from="5175,1808" to="5235,1823" stroked="true" strokeweight=".75pt" strokecolor="#ff00ff">
              <v:stroke dashstyle="solid"/>
            </v:line>
            <v:shape style="position:absolute;left:2100;top:1552;width:3135;height:615" coordorigin="2100,1553" coordsize="3135,615" path="m2100,2168l5235,2168m2100,1553l5235,1553e" filled="false" stroked="true" strokeweight=".75pt" strokecolor="#000000">
              <v:path arrowok="t"/>
              <v:stroke dashstyle="shortdot"/>
            </v:shape>
            <w10:wrap type="none"/>
          </v:group>
        </w:pict>
      </w:r>
      <w:r>
        <w:rPr>
          <w:sz w:val="16"/>
        </w:rPr>
        <w:t>Per cent </w:t>
      </w:r>
      <w:r>
        <w:rPr>
          <w:position w:val="-10"/>
          <w:sz w:val="16"/>
        </w:rPr>
        <w:t>8</w:t>
      </w:r>
    </w:p>
    <w:p>
      <w:pPr>
        <w:spacing w:before="132"/>
        <w:ind w:left="0" w:right="38" w:firstLine="0"/>
        <w:jc w:val="right"/>
        <w:rPr>
          <w:sz w:val="16"/>
        </w:rPr>
      </w:pPr>
      <w:r>
        <w:rPr>
          <w:w w:val="100"/>
          <w:sz w:val="16"/>
        </w:rPr>
        <w:t>7</w:t>
      </w:r>
    </w:p>
    <w:p>
      <w:pPr>
        <w:spacing w:before="116"/>
        <w:ind w:left="0" w:right="38" w:firstLine="0"/>
        <w:jc w:val="right"/>
        <w:rPr>
          <w:sz w:val="16"/>
        </w:rPr>
      </w:pPr>
      <w:r>
        <w:rPr>
          <w:w w:val="100"/>
          <w:sz w:val="16"/>
        </w:rPr>
        <w:t>6</w:t>
      </w:r>
    </w:p>
    <w:p>
      <w:pPr>
        <w:spacing w:before="116"/>
        <w:ind w:left="0" w:right="38" w:firstLine="0"/>
        <w:jc w:val="right"/>
        <w:rPr>
          <w:sz w:val="16"/>
        </w:rPr>
      </w:pPr>
      <w:r>
        <w:rPr>
          <w:w w:val="100"/>
          <w:sz w:val="16"/>
        </w:rPr>
        <w:t>5</w:t>
      </w:r>
    </w:p>
    <w:p>
      <w:pPr>
        <w:spacing w:before="131"/>
        <w:ind w:left="0" w:right="38" w:firstLine="0"/>
        <w:jc w:val="right"/>
        <w:rPr>
          <w:sz w:val="16"/>
        </w:rPr>
      </w:pPr>
      <w:r>
        <w:rPr>
          <w:w w:val="100"/>
          <w:sz w:val="16"/>
        </w:rPr>
        <w:t>4</w:t>
      </w:r>
    </w:p>
    <w:p>
      <w:pPr>
        <w:spacing w:before="116"/>
        <w:ind w:left="0" w:right="38" w:firstLine="0"/>
        <w:jc w:val="right"/>
        <w:rPr>
          <w:sz w:val="16"/>
        </w:rPr>
      </w:pPr>
      <w:r>
        <w:rPr>
          <w:w w:val="100"/>
          <w:sz w:val="16"/>
        </w:rPr>
        <w:t>3</w:t>
      </w:r>
    </w:p>
    <w:p>
      <w:pPr>
        <w:spacing w:before="131"/>
        <w:ind w:left="0" w:right="38" w:firstLine="0"/>
        <w:jc w:val="right"/>
        <w:rPr>
          <w:sz w:val="16"/>
        </w:rPr>
      </w:pPr>
      <w:r>
        <w:rPr>
          <w:w w:val="100"/>
          <w:sz w:val="16"/>
        </w:rPr>
        <w:t>2</w:t>
      </w:r>
    </w:p>
    <w:p>
      <w:pPr>
        <w:spacing w:before="116"/>
        <w:ind w:left="0" w:right="38" w:firstLine="0"/>
        <w:jc w:val="right"/>
        <w:rPr>
          <w:sz w:val="16"/>
        </w:rPr>
      </w:pPr>
      <w:r>
        <w:rPr>
          <w:w w:val="100"/>
          <w:sz w:val="16"/>
        </w:rPr>
        <w:t>1</w:t>
      </w:r>
    </w:p>
    <w:p>
      <w:pPr>
        <w:spacing w:before="131"/>
        <w:ind w:left="0" w:right="38" w:firstLine="0"/>
        <w:jc w:val="right"/>
        <w:rPr>
          <w:sz w:val="16"/>
        </w:rPr>
      </w:pPr>
      <w:r>
        <w:rPr>
          <w:w w:val="100"/>
          <w:sz w:val="16"/>
        </w:rPr>
        <w:t>0</w:t>
      </w:r>
    </w:p>
    <w:p>
      <w:pPr>
        <w:tabs>
          <w:tab w:pos="969" w:val="left" w:leader="none"/>
          <w:tab w:pos="1584" w:val="left" w:leader="none"/>
          <w:tab w:pos="2214" w:val="left" w:leader="none"/>
          <w:tab w:pos="2844" w:val="left" w:leader="none"/>
          <w:tab w:pos="3474" w:val="left" w:leader="none"/>
        </w:tabs>
        <w:spacing w:before="56"/>
        <w:ind w:left="340" w:right="0" w:firstLine="0"/>
        <w:jc w:val="left"/>
        <w:rPr>
          <w:sz w:val="16"/>
        </w:rPr>
      </w:pPr>
      <w:r>
        <w:rPr/>
        <w:br w:type="column"/>
      </w:r>
      <w:r>
        <w:rPr>
          <w:spacing w:val="-8"/>
          <w:sz w:val="16"/>
        </w:rPr>
        <w:t>Y1970</w:t>
        <w:tab/>
        <w:t>Y1976</w:t>
        <w:tab/>
      </w:r>
      <w:r>
        <w:rPr>
          <w:spacing w:val="-10"/>
          <w:sz w:val="16"/>
        </w:rPr>
        <w:t>Y1982</w:t>
        <w:tab/>
        <w:t>Y1988</w:t>
        <w:tab/>
        <w:t>Y1994</w:t>
        <w:tab/>
      </w:r>
      <w:r>
        <w:rPr>
          <w:spacing w:val="-12"/>
          <w:sz w:val="16"/>
        </w:rPr>
        <w:t>Y2000</w:t>
      </w:r>
    </w:p>
    <w:p>
      <w:pPr>
        <w:pStyle w:val="BodyText"/>
        <w:rPr>
          <w:sz w:val="18"/>
        </w:rPr>
      </w:pPr>
    </w:p>
    <w:p>
      <w:pPr>
        <w:pStyle w:val="BodyText"/>
        <w:spacing w:before="8"/>
      </w:pPr>
    </w:p>
    <w:p>
      <w:pPr>
        <w:pStyle w:val="Heading1"/>
        <w:numPr>
          <w:ilvl w:val="0"/>
          <w:numId w:val="2"/>
        </w:numPr>
        <w:tabs>
          <w:tab w:pos="801" w:val="left" w:leader="none"/>
        </w:tabs>
        <w:spacing w:line="250" w:lineRule="exact" w:before="0" w:after="0"/>
        <w:ind w:left="800" w:right="0" w:hanging="296"/>
        <w:jc w:val="left"/>
      </w:pPr>
      <w:r>
        <w:rPr>
          <w:spacing w:val="-12"/>
        </w:rPr>
        <w:t>Real Wage</w:t>
      </w:r>
      <w:r>
        <w:rPr>
          <w:spacing w:val="-40"/>
        </w:rPr>
        <w:t> </w:t>
      </w:r>
      <w:r>
        <w:rPr>
          <w:spacing w:val="-16"/>
        </w:rPr>
        <w:t>Growth</w:t>
      </w:r>
    </w:p>
    <w:p>
      <w:pPr>
        <w:spacing w:line="196" w:lineRule="auto" w:before="0"/>
        <w:ind w:left="3295" w:right="0" w:firstLine="0"/>
        <w:jc w:val="left"/>
        <w:rPr>
          <w:sz w:val="16"/>
        </w:rPr>
      </w:pPr>
      <w:r>
        <w:rPr/>
        <w:pict>
          <v:group style="position:absolute;margin-left:305.625pt;margin-top:9.009063pt;width:162.75pt;height:123pt;mso-position-horizontal-relative:page;mso-position-vertical-relative:paragraph;z-index:-253955072" coordorigin="6113,180" coordsize="3255,2460">
            <v:shape style="position:absolute;left:6120;top:187;width:3240;height:2445" coordorigin="6120,188" coordsize="3240,2445" path="m9360,188l9360,2633m9315,2633l9360,2633m9315,2333l9360,2333m9315,2018l9360,2018m9315,1718l9360,1718m9315,1403l9360,1403m9315,1103l9360,1103m9315,788l9360,788m9315,488l9360,488m9315,188l9360,188m6120,1403l9360,1403m6120,1403l6120,1358m6750,1403l6750,1358m7380,1403l7380,1358m8010,1403l8010,1358m8655,1403l8655,1358m9285,1403l9285,1358e" filled="false" stroked="true" strokeweight=".75pt" strokecolor="#000000">
              <v:path arrowok="t"/>
              <v:stroke dashstyle="shortdot"/>
            </v:shape>
            <v:shape style="position:absolute;left:6120;top:367;width:3210;height:2100" coordorigin="6120,368" coordsize="3210,2100" path="m6120,968l6135,833,6165,713,6195,518,6225,488,6240,638,6270,818,6300,1118,6330,1298,6345,1118,6375,938,6405,578,6435,368,6465,413,6480,413,6510,683,6540,1043,6570,1268,6585,1373,6615,1148,6645,608,6675,413,6690,533,6720,983,6750,1493,6780,1598,6795,1553,6825,1478,6855,1613,6885,2003,6900,2378,6930,2468,6960,2228,6990,1658,7005,1088,7035,683,7065,548,7095,653,7110,908,7140,1103,7170,1223,7200,1358,7230,1118,7245,998,7275,908,7305,848,7335,1058,7350,1253,7380,1388,7410,1403,7440,1388,7455,1283,7485,1133,7515,953,7545,863,7560,848,7590,968,7620,1163,7650,1223,7665,1238,7695,1208,7725,1133,7755,1058,7770,1058,7800,998,7830,863,7860,788,7875,698,7905,698,7935,788,7965,833,7995,863,8010,803,8040,773,8070,773,8100,818,8115,938,8145,1058,8175,1133,8205,1193,8220,1223,8250,1238,8280,1313,8310,1373,8325,1403,8355,1343,8385,1238,8415,1118,8445,998,8460,998,8490,1028,8520,1058,8550,1148,8565,1148,8595,1163,8625,1178,8655,1178,8670,1208,8700,1223,8730,1238,8760,1283,8775,1313,8805,1403,8835,1448,8865,1448,8880,1403,8910,1298,8940,1238,8970,1178,8985,1178,9015,1223,9045,1238,9075,1223,9090,1208,9120,1163,9150,1133,9180,1118,9195,1058,9225,998,9255,908,9285,878,9315,953,9330,1058e" filled="false" stroked="true" strokeweight=".75pt" strokecolor="#ff00ff">
              <v:path arrowok="t"/>
              <v:stroke dashstyle="shortdot"/>
            </v:shape>
            <v:line style="position:absolute" from="9330,1058" to="9360,1163" stroked="true" strokeweight=".75pt" strokecolor="#ff00ff">
              <v:stroke dashstyle="shortdot"/>
            </v:line>
            <w10:wrap type="none"/>
          </v:group>
        </w:pict>
      </w:r>
      <w:r>
        <w:rPr>
          <w:sz w:val="16"/>
        </w:rPr>
        <w:t>Per cent </w:t>
      </w:r>
      <w:r>
        <w:rPr>
          <w:position w:val="-10"/>
          <w:sz w:val="16"/>
        </w:rPr>
        <w:t>8</w:t>
      </w:r>
    </w:p>
    <w:p>
      <w:pPr>
        <w:spacing w:before="132"/>
        <w:ind w:left="0" w:right="912" w:firstLine="0"/>
        <w:jc w:val="right"/>
        <w:rPr>
          <w:sz w:val="16"/>
        </w:rPr>
      </w:pPr>
      <w:r>
        <w:rPr>
          <w:w w:val="100"/>
          <w:sz w:val="16"/>
        </w:rPr>
        <w:t>6</w:t>
      </w:r>
    </w:p>
    <w:p>
      <w:pPr>
        <w:spacing w:before="116"/>
        <w:ind w:left="0" w:right="912" w:firstLine="0"/>
        <w:jc w:val="right"/>
        <w:rPr>
          <w:sz w:val="16"/>
        </w:rPr>
      </w:pPr>
      <w:r>
        <w:rPr>
          <w:w w:val="100"/>
          <w:sz w:val="16"/>
        </w:rPr>
        <w:t>4</w:t>
      </w:r>
    </w:p>
    <w:p>
      <w:pPr>
        <w:spacing w:before="116"/>
        <w:ind w:left="0" w:right="912" w:firstLine="0"/>
        <w:jc w:val="right"/>
        <w:rPr>
          <w:sz w:val="16"/>
        </w:rPr>
      </w:pPr>
      <w:r>
        <w:rPr>
          <w:w w:val="100"/>
          <w:sz w:val="16"/>
        </w:rPr>
        <w:t>2</w:t>
      </w:r>
    </w:p>
    <w:p>
      <w:pPr>
        <w:spacing w:before="131"/>
        <w:ind w:left="0" w:right="912" w:firstLine="0"/>
        <w:jc w:val="right"/>
        <w:rPr>
          <w:sz w:val="16"/>
        </w:rPr>
      </w:pPr>
      <w:r>
        <w:rPr>
          <w:w w:val="100"/>
          <w:sz w:val="16"/>
        </w:rPr>
        <w:t>0</w:t>
      </w:r>
    </w:p>
    <w:p>
      <w:pPr>
        <w:spacing w:before="116"/>
        <w:ind w:left="0" w:right="874" w:firstLine="0"/>
        <w:jc w:val="right"/>
        <w:rPr>
          <w:sz w:val="16"/>
        </w:rPr>
      </w:pPr>
      <w:r>
        <w:rPr>
          <w:spacing w:val="-8"/>
          <w:sz w:val="16"/>
        </w:rPr>
        <w:t>-2</w:t>
      </w:r>
    </w:p>
    <w:p>
      <w:pPr>
        <w:spacing w:before="131"/>
        <w:ind w:left="0" w:right="874" w:firstLine="0"/>
        <w:jc w:val="right"/>
        <w:rPr>
          <w:sz w:val="16"/>
        </w:rPr>
      </w:pPr>
      <w:r>
        <w:rPr>
          <w:spacing w:val="-8"/>
          <w:sz w:val="16"/>
        </w:rPr>
        <w:t>-4</w:t>
      </w:r>
    </w:p>
    <w:p>
      <w:pPr>
        <w:spacing w:before="116"/>
        <w:ind w:left="0" w:right="874" w:firstLine="0"/>
        <w:jc w:val="right"/>
        <w:rPr>
          <w:sz w:val="16"/>
        </w:rPr>
      </w:pPr>
      <w:r>
        <w:rPr>
          <w:spacing w:val="-8"/>
          <w:sz w:val="16"/>
        </w:rPr>
        <w:t>-6</w:t>
      </w:r>
    </w:p>
    <w:p>
      <w:pPr>
        <w:spacing w:before="131"/>
        <w:ind w:left="0" w:right="874" w:firstLine="0"/>
        <w:jc w:val="right"/>
        <w:rPr>
          <w:sz w:val="16"/>
        </w:rPr>
      </w:pPr>
      <w:r>
        <w:rPr>
          <w:spacing w:val="-8"/>
          <w:sz w:val="16"/>
        </w:rPr>
        <w:t>-8</w:t>
      </w:r>
    </w:p>
    <w:p>
      <w:pPr>
        <w:spacing w:after="0"/>
        <w:jc w:val="right"/>
        <w:rPr>
          <w:sz w:val="16"/>
        </w:rPr>
        <w:sectPr>
          <w:type w:val="continuous"/>
          <w:pgSz w:w="11920" w:h="16840"/>
          <w:pgMar w:top="1180" w:bottom="280" w:left="1580" w:right="1460"/>
          <w:cols w:num="2" w:equalWidth="0">
            <w:col w:w="3881" w:space="124"/>
            <w:col w:w="4875"/>
          </w:cols>
        </w:sectPr>
      </w:pPr>
    </w:p>
    <w:p>
      <w:pPr>
        <w:tabs>
          <w:tab w:pos="4344" w:val="left" w:leader="none"/>
          <w:tab w:pos="4974" w:val="left" w:leader="none"/>
          <w:tab w:pos="5604" w:val="left" w:leader="none"/>
          <w:tab w:pos="6234" w:val="left" w:leader="none"/>
          <w:tab w:pos="6879" w:val="left" w:leader="none"/>
          <w:tab w:pos="7509" w:val="left" w:leader="none"/>
        </w:tabs>
        <w:spacing w:before="56"/>
        <w:ind w:left="325" w:right="0" w:firstLine="0"/>
        <w:jc w:val="left"/>
        <w:rPr>
          <w:sz w:val="16"/>
        </w:rPr>
      </w:pPr>
      <w:r>
        <w:rPr>
          <w:spacing w:val="-8"/>
          <w:sz w:val="16"/>
        </w:rPr>
        <w:t>Y1988   </w:t>
      </w:r>
      <w:r>
        <w:rPr>
          <w:spacing w:val="-13"/>
          <w:sz w:val="16"/>
        </w:rPr>
        <w:t>Y1990    </w:t>
      </w:r>
      <w:r>
        <w:rPr>
          <w:spacing w:val="-11"/>
          <w:sz w:val="16"/>
        </w:rPr>
        <w:t>Y1992   </w:t>
      </w:r>
      <w:r>
        <w:rPr>
          <w:spacing w:val="-13"/>
          <w:sz w:val="16"/>
        </w:rPr>
        <w:t>Y1994    </w:t>
      </w:r>
      <w:r>
        <w:rPr>
          <w:spacing w:val="-11"/>
          <w:sz w:val="16"/>
        </w:rPr>
        <w:t>Y1996 </w:t>
      </w:r>
      <w:r>
        <w:rPr>
          <w:spacing w:val="-7"/>
          <w:sz w:val="16"/>
        </w:rPr>
        <w:t> </w:t>
      </w:r>
      <w:r>
        <w:rPr>
          <w:spacing w:val="-13"/>
          <w:sz w:val="16"/>
        </w:rPr>
        <w:t>Y1998    </w:t>
      </w:r>
      <w:r>
        <w:rPr>
          <w:spacing w:val="-11"/>
          <w:sz w:val="16"/>
        </w:rPr>
        <w:t>Y2000</w:t>
        <w:tab/>
      </w:r>
      <w:r>
        <w:rPr>
          <w:spacing w:val="-8"/>
          <w:sz w:val="16"/>
        </w:rPr>
        <w:t>Y1970</w:t>
        <w:tab/>
        <w:t>Y1976</w:t>
        <w:tab/>
        <w:t>Y1982</w:t>
        <w:tab/>
      </w:r>
      <w:r>
        <w:rPr>
          <w:spacing w:val="-11"/>
          <w:sz w:val="16"/>
        </w:rPr>
        <w:t>Y1988</w:t>
        <w:tab/>
      </w:r>
      <w:r>
        <w:rPr>
          <w:spacing w:val="-8"/>
          <w:sz w:val="16"/>
        </w:rPr>
        <w:t>Y1994</w:t>
        <w:tab/>
      </w:r>
      <w:r>
        <w:rPr>
          <w:spacing w:val="-10"/>
          <w:sz w:val="16"/>
        </w:rPr>
        <w:t>Y2000</w:t>
      </w:r>
    </w:p>
    <w:p>
      <w:pPr>
        <w:pStyle w:val="BodyText"/>
        <w:rPr>
          <w:sz w:val="20"/>
        </w:rPr>
      </w:pPr>
    </w:p>
    <w:p>
      <w:pPr>
        <w:pStyle w:val="BodyText"/>
        <w:spacing w:before="3"/>
        <w:rPr>
          <w:sz w:val="29"/>
        </w:rPr>
      </w:pPr>
    </w:p>
    <w:p>
      <w:pPr>
        <w:pStyle w:val="BodyText"/>
        <w:spacing w:before="90"/>
        <w:ind w:left="235"/>
      </w:pPr>
      <w:r>
        <w:rPr/>
        <w:t>Notes:</w:t>
      </w:r>
    </w:p>
    <w:p>
      <w:pPr>
        <w:pStyle w:val="ListParagraph"/>
        <w:numPr>
          <w:ilvl w:val="0"/>
          <w:numId w:val="3"/>
        </w:numPr>
        <w:tabs>
          <w:tab w:pos="954" w:val="left" w:leader="none"/>
          <w:tab w:pos="955" w:val="left" w:leader="none"/>
        </w:tabs>
        <w:spacing w:line="273" w:lineRule="exact" w:before="9" w:after="0"/>
        <w:ind w:left="955" w:right="0" w:hanging="720"/>
        <w:jc w:val="left"/>
        <w:rPr>
          <w:sz w:val="24"/>
        </w:rPr>
      </w:pPr>
      <w:r>
        <w:rPr>
          <w:sz w:val="24"/>
        </w:rPr>
        <w:t>Unemployment rate is the ILO</w:t>
      </w:r>
      <w:r>
        <w:rPr>
          <w:spacing w:val="28"/>
          <w:sz w:val="24"/>
        </w:rPr>
        <w:t> </w:t>
      </w:r>
      <w:r>
        <w:rPr>
          <w:sz w:val="24"/>
        </w:rPr>
        <w:t>measure.</w:t>
      </w:r>
    </w:p>
    <w:p>
      <w:pPr>
        <w:pStyle w:val="ListParagraph"/>
        <w:numPr>
          <w:ilvl w:val="0"/>
          <w:numId w:val="3"/>
        </w:numPr>
        <w:tabs>
          <w:tab w:pos="954" w:val="left" w:leader="none"/>
          <w:tab w:pos="955" w:val="left" w:leader="none"/>
        </w:tabs>
        <w:spacing w:line="273" w:lineRule="exact" w:before="0" w:after="0"/>
        <w:ind w:left="955" w:right="0" w:hanging="720"/>
        <w:jc w:val="left"/>
        <w:rPr>
          <w:sz w:val="24"/>
        </w:rPr>
      </w:pPr>
      <w:r>
        <w:rPr>
          <w:sz w:val="24"/>
        </w:rPr>
        <w:t>Inflation refers to the GDP</w:t>
      </w:r>
      <w:r>
        <w:rPr>
          <w:spacing w:val="-9"/>
          <w:sz w:val="24"/>
        </w:rPr>
        <w:t> </w:t>
      </w:r>
      <w:r>
        <w:rPr>
          <w:sz w:val="24"/>
        </w:rPr>
        <w:t>deflator</w:t>
      </w:r>
    </w:p>
    <w:p>
      <w:pPr>
        <w:pStyle w:val="ListParagraph"/>
        <w:numPr>
          <w:ilvl w:val="0"/>
          <w:numId w:val="3"/>
        </w:numPr>
        <w:tabs>
          <w:tab w:pos="954" w:val="left" w:leader="none"/>
          <w:tab w:pos="955" w:val="left" w:leader="none"/>
        </w:tabs>
        <w:spacing w:line="235" w:lineRule="auto" w:before="13" w:after="0"/>
        <w:ind w:left="955" w:right="1083" w:hanging="720"/>
        <w:jc w:val="left"/>
        <w:rPr>
          <w:sz w:val="24"/>
        </w:rPr>
      </w:pPr>
      <w:r>
        <w:rPr>
          <w:sz w:val="24"/>
        </w:rPr>
        <w:t>Inflation</w:t>
      </w:r>
      <w:r>
        <w:rPr>
          <w:spacing w:val="-7"/>
          <w:sz w:val="24"/>
        </w:rPr>
        <w:t> </w:t>
      </w:r>
      <w:r>
        <w:rPr>
          <w:sz w:val="24"/>
        </w:rPr>
        <w:t>expectations</w:t>
      </w:r>
      <w:r>
        <w:rPr>
          <w:spacing w:val="-7"/>
          <w:sz w:val="24"/>
        </w:rPr>
        <w:t> </w:t>
      </w:r>
      <w:r>
        <w:rPr>
          <w:sz w:val="24"/>
        </w:rPr>
        <w:t>refers</w:t>
      </w:r>
      <w:r>
        <w:rPr>
          <w:spacing w:val="-7"/>
          <w:sz w:val="24"/>
        </w:rPr>
        <w:t> </w:t>
      </w:r>
      <w:r>
        <w:rPr>
          <w:sz w:val="24"/>
        </w:rPr>
        <w:t>to</w:t>
      </w:r>
      <w:r>
        <w:rPr>
          <w:spacing w:val="-7"/>
          <w:sz w:val="24"/>
        </w:rPr>
        <w:t> </w:t>
      </w:r>
      <w:r>
        <w:rPr>
          <w:sz w:val="24"/>
        </w:rPr>
        <w:t>those</w:t>
      </w:r>
      <w:r>
        <w:rPr>
          <w:spacing w:val="-6"/>
          <w:sz w:val="24"/>
        </w:rPr>
        <w:t> </w:t>
      </w:r>
      <w:r>
        <w:rPr>
          <w:sz w:val="24"/>
        </w:rPr>
        <w:t>of</w:t>
      </w:r>
      <w:r>
        <w:rPr>
          <w:spacing w:val="-7"/>
          <w:sz w:val="24"/>
        </w:rPr>
        <w:t> </w:t>
      </w:r>
      <w:r>
        <w:rPr>
          <w:sz w:val="24"/>
        </w:rPr>
        <w:t>Trade</w:t>
      </w:r>
      <w:r>
        <w:rPr>
          <w:spacing w:val="-7"/>
          <w:sz w:val="24"/>
        </w:rPr>
        <w:t> </w:t>
      </w:r>
      <w:r>
        <w:rPr>
          <w:sz w:val="24"/>
        </w:rPr>
        <w:t>Union</w:t>
      </w:r>
      <w:r>
        <w:rPr>
          <w:spacing w:val="-7"/>
          <w:sz w:val="24"/>
        </w:rPr>
        <w:t> </w:t>
      </w:r>
      <w:r>
        <w:rPr>
          <w:sz w:val="24"/>
        </w:rPr>
        <w:t>negotiators</w:t>
      </w:r>
      <w:r>
        <w:rPr>
          <w:spacing w:val="-6"/>
          <w:sz w:val="24"/>
        </w:rPr>
        <w:t> </w:t>
      </w:r>
      <w:r>
        <w:rPr>
          <w:spacing w:val="-2"/>
          <w:sz w:val="24"/>
        </w:rPr>
        <w:t>twelve </w:t>
      </w:r>
      <w:r>
        <w:rPr>
          <w:sz w:val="24"/>
        </w:rPr>
        <w:t>months</w:t>
      </w:r>
      <w:r>
        <w:rPr>
          <w:spacing w:val="-3"/>
          <w:sz w:val="24"/>
        </w:rPr>
        <w:t> </w:t>
      </w:r>
      <w:r>
        <w:rPr>
          <w:spacing w:val="-2"/>
          <w:sz w:val="24"/>
        </w:rPr>
        <w:t>ahead.</w:t>
      </w:r>
    </w:p>
    <w:p>
      <w:pPr>
        <w:pStyle w:val="ListParagraph"/>
        <w:numPr>
          <w:ilvl w:val="0"/>
          <w:numId w:val="3"/>
        </w:numPr>
        <w:tabs>
          <w:tab w:pos="954" w:val="left" w:leader="none"/>
          <w:tab w:pos="955" w:val="left" w:leader="none"/>
        </w:tabs>
        <w:spacing w:line="271" w:lineRule="exact" w:before="0" w:after="0"/>
        <w:ind w:left="955" w:right="0" w:hanging="720"/>
        <w:jc w:val="left"/>
        <w:rPr>
          <w:sz w:val="24"/>
        </w:rPr>
      </w:pPr>
      <w:r>
        <w:rPr>
          <w:spacing w:val="-3"/>
          <w:sz w:val="24"/>
        </w:rPr>
        <w:t>Real wage growth refers </w:t>
      </w:r>
      <w:r>
        <w:rPr>
          <w:sz w:val="24"/>
        </w:rPr>
        <w:t>to the </w:t>
      </w:r>
      <w:r>
        <w:rPr>
          <w:spacing w:val="-3"/>
          <w:sz w:val="24"/>
        </w:rPr>
        <w:t>Average Earnings Index relative </w:t>
      </w:r>
      <w:r>
        <w:rPr>
          <w:sz w:val="24"/>
        </w:rPr>
        <w:t>to</w:t>
      </w:r>
      <w:r>
        <w:rPr>
          <w:spacing w:val="54"/>
          <w:sz w:val="24"/>
        </w:rPr>
        <w:t> </w:t>
      </w:r>
      <w:r>
        <w:rPr>
          <w:sz w:val="24"/>
        </w:rPr>
        <w:t>the </w:t>
      </w:r>
      <w:r>
        <w:rPr>
          <w:spacing w:val="-4"/>
          <w:sz w:val="24"/>
        </w:rPr>
        <w:t>RPI.</w:t>
      </w:r>
    </w:p>
    <w:p>
      <w:pPr>
        <w:spacing w:after="0" w:line="271" w:lineRule="exact"/>
        <w:jc w:val="left"/>
        <w:rPr>
          <w:sz w:val="24"/>
        </w:rPr>
        <w:sectPr>
          <w:type w:val="continuous"/>
          <w:pgSz w:w="11920" w:h="16840"/>
          <w:pgMar w:top="1180" w:bottom="280" w:left="1580" w:right="1460"/>
        </w:sectPr>
      </w:pPr>
    </w:p>
    <w:p>
      <w:pPr>
        <w:pStyle w:val="BodyText"/>
        <w:spacing w:line="357" w:lineRule="auto" w:before="76"/>
        <w:ind w:left="235" w:right="397"/>
      </w:pPr>
      <w:r>
        <w:rPr/>
        <w:t>To gain some understanding of these fluctuations, let us consider the period since the mid-1980s. In 1986, unemployment had been in excess of 11 percent since 1982. By the Spring of 1990, it had fallen below 7 percent. This dramatic fall was produced in part by expansionary fiscal and monetary policy, in part by an international boom and in part by a large fall in commodity prices in the mid-1980s. So why did the fall in unemployment come to an end? Basically because inflation, as measured by the rise in the price of UK output (GDP deflator), rose from 2.5 percent per annum in 1986 to</w:t>
      </w:r>
    </w:p>
    <w:p>
      <w:pPr>
        <w:pStyle w:val="BodyText"/>
        <w:spacing w:line="357" w:lineRule="auto" w:before="16"/>
        <w:ind w:left="235" w:right="360"/>
      </w:pPr>
      <w:r>
        <w:rPr/>
        <w:t>7.6 percent in 1990. Indeed during one month in 1990, the headline RPI rate reached double figures. Furthermore, by 1990, the trade balance was in deficit to the tune of 4 percent of GDP.</w:t>
      </w:r>
    </w:p>
    <w:p>
      <w:pPr>
        <w:pStyle w:val="BodyText"/>
        <w:spacing w:before="2"/>
        <w:rPr>
          <w:sz w:val="36"/>
        </w:rPr>
      </w:pPr>
    </w:p>
    <w:p>
      <w:pPr>
        <w:pStyle w:val="BodyText"/>
        <w:spacing w:line="360" w:lineRule="auto" w:before="1"/>
        <w:ind w:left="235" w:right="407"/>
      </w:pPr>
      <w:r>
        <w:rPr/>
        <w:t>Anxiety about these trends had set in by 1988 and the short term interest rate rose from around 8 percent in the Spring of 1988 to 15 percent by the Winter of 1989. This tightening of monetary policy had its effect on inflation and unemployment after 1990 and by 1993, unemployment had risen to over 10 percent with GDP price inflation falling to 2.7 percent. Again by 1992, the government was getting anxious about rapidly rising unemployment and once the UK had left the European Exchange Rate Mechanism, monetary policy loosened with short rates falling from over 10 to around 6.5 percent during 1992. Unemployment then started to fall and from 1994, GDP inflation started to rise, peaking in 1996. Since 1996, we have been in </w:t>
      </w:r>
      <w:r>
        <w:rPr>
          <w:spacing w:val="-2"/>
        </w:rPr>
        <w:t>the </w:t>
      </w:r>
      <w:r>
        <w:rPr/>
        <w:t>benign state of falling unemployment and stable or gradually falling</w:t>
      </w:r>
      <w:r>
        <w:rPr>
          <w:spacing w:val="-2"/>
        </w:rPr>
        <w:t> </w:t>
      </w:r>
      <w:r>
        <w:rPr/>
        <w:t>inflation.</w:t>
      </w:r>
    </w:p>
    <w:p>
      <w:pPr>
        <w:pStyle w:val="BodyText"/>
        <w:ind w:left="235"/>
      </w:pPr>
      <w:r>
        <w:rPr/>
        <w:t>However, the balance of payments deficit has been gradually worsening since 1997.</w:t>
      </w:r>
    </w:p>
    <w:p>
      <w:pPr>
        <w:pStyle w:val="BodyText"/>
        <w:rPr>
          <w:sz w:val="26"/>
        </w:rPr>
      </w:pPr>
    </w:p>
    <w:p>
      <w:pPr>
        <w:pStyle w:val="BodyText"/>
        <w:spacing w:before="8"/>
        <w:rPr>
          <w:sz w:val="21"/>
        </w:rPr>
      </w:pPr>
    </w:p>
    <w:p>
      <w:pPr>
        <w:pStyle w:val="BodyText"/>
        <w:spacing w:line="360" w:lineRule="auto" w:before="1"/>
        <w:ind w:left="235" w:right="333"/>
      </w:pPr>
      <w:r>
        <w:rPr/>
        <w:t>What does this story reveal? Basically it is consistent with a standard open economy natural rate view of the world. Thus, if economic activity gets too high and unemployment gets too low, inflation starts to rise. If unemployment gets too high, inflation starts to fall. Then we define equilibrium unemployment as that level which is neither too high nor too low and which is thus consistent with stable inflation. In practice, things are a bit more complicated because a high exchange rate can act to suppress inflationary pressure essentially by enhancing the effective level of foreign competition facing UK firms as well as by making imports cheaper. So, if the exchange rate is high, which usually shows up in the form of a larger trade deficit, this may prevent inflation rising even if unemployment is below the equilibrium rate.</w:t>
      </w:r>
    </w:p>
    <w:p>
      <w:pPr>
        <w:pStyle w:val="BodyText"/>
        <w:ind w:left="235"/>
      </w:pPr>
      <w:r>
        <w:rPr/>
        <w:t>Formally, what this means is that there is a three way trade off between</w:t>
      </w:r>
    </w:p>
    <w:p>
      <w:pPr>
        <w:spacing w:after="0"/>
        <w:sectPr>
          <w:pgSz w:w="11920" w:h="16840"/>
          <w:pgMar w:header="0" w:footer="779" w:top="1360" w:bottom="960" w:left="1580" w:right="1460"/>
        </w:sectPr>
      </w:pPr>
    </w:p>
    <w:p>
      <w:pPr>
        <w:pStyle w:val="BodyText"/>
        <w:spacing w:line="360" w:lineRule="auto" w:before="76"/>
        <w:ind w:left="235" w:right="360"/>
      </w:pPr>
      <w:r>
        <w:rPr/>
        <w:t>unemployment, changes in inflation and the balance of payments. If unemployment is below the equilibrium rate, either inflation rises and there is no balance of payments deficit or inflation is stable and there is a payments deficit or there is some combination of the two (see Layard et al., 1991, Chapter 8 or Nickell, 1990). So here we define the equilibrium rate as that consistent with stable inflation and a zero balance of payments deficit.</w:t>
      </w:r>
    </w:p>
    <w:p>
      <w:pPr>
        <w:pStyle w:val="BodyText"/>
        <w:spacing w:before="8"/>
        <w:rPr>
          <w:sz w:val="35"/>
        </w:rPr>
      </w:pPr>
    </w:p>
    <w:p>
      <w:pPr>
        <w:pStyle w:val="BodyText"/>
        <w:spacing w:line="357" w:lineRule="auto"/>
        <w:ind w:left="235" w:right="360"/>
      </w:pPr>
      <w:r>
        <w:rPr/>
        <w:t>Despite its name, the equilibrium unemployment rate may change quite significantly from one decade to the next. How and why it might have changed we shall discuss below. What is important to understand here is that, broadly speaking, it cannot be changed by monetary policy. This simply influences the way in which actual unemployment fluctuates around the equilibrium rate.</w:t>
      </w:r>
    </w:p>
    <w:p>
      <w:pPr>
        <w:pStyle w:val="BodyText"/>
        <w:spacing w:before="5"/>
        <w:rPr>
          <w:sz w:val="36"/>
        </w:rPr>
      </w:pPr>
    </w:p>
    <w:p>
      <w:pPr>
        <w:pStyle w:val="BodyText"/>
        <w:spacing w:line="360" w:lineRule="auto"/>
        <w:ind w:left="235" w:right="348"/>
      </w:pPr>
      <w:r>
        <w:rPr/>
        <w:t>Finally, although it is easy enough to talk about equilibrium unemployment, pinning down the number is less straightforward. Basically, it is influenced by any factor which systematically affects inflationary pressure in the labour market </w:t>
      </w:r>
      <w:r>
        <w:rPr>
          <w:u w:val="single"/>
        </w:rPr>
        <w:t>at a given leve</w:t>
      </w:r>
      <w:r>
        <w:rPr/>
        <w:t>l </w:t>
      </w:r>
      <w:r>
        <w:rPr>
          <w:u w:val="single"/>
        </w:rPr>
        <w:t>of </w:t>
      </w:r>
      <w:r>
        <w:rPr>
          <w:spacing w:val="-3"/>
          <w:u w:val="single"/>
        </w:rPr>
        <w:t>unemployment</w:t>
      </w:r>
      <w:r>
        <w:rPr>
          <w:spacing w:val="-3"/>
        </w:rPr>
        <w:t>.  </w:t>
      </w:r>
      <w:r>
        <w:rPr/>
        <w:t>For example, changes in the power of trade unions, the operation of the benefit system, the match between the skill requirements of job vacancies </w:t>
      </w:r>
      <w:r>
        <w:rPr>
          <w:spacing w:val="-2"/>
        </w:rPr>
        <w:t>and </w:t>
      </w:r>
      <w:r>
        <w:rPr/>
        <w:t>the available skills of unemployed job searchers, labour taxes, product market competition, minimum wages can all change the equilibrium rate. Furthermore, changes such as these do not act on the equilibrium rate instantaneously. Individual behaviour takes time to adjust to changes in the economic environment, so that </w:t>
      </w:r>
      <w:r>
        <w:rPr>
          <w:spacing w:val="-2"/>
        </w:rPr>
        <w:t>the </w:t>
      </w:r>
      <w:r>
        <w:rPr/>
        <w:t>impact of changes of the type listed above on the equilibrium rate will tend to </w:t>
      </w:r>
      <w:r>
        <w:rPr>
          <w:spacing w:val="-2"/>
        </w:rPr>
        <w:t>emerge </w:t>
      </w:r>
      <w:r>
        <w:rPr/>
        <w:t>gradually over a number of</w:t>
      </w:r>
      <w:r>
        <w:rPr>
          <w:spacing w:val="17"/>
        </w:rPr>
        <w:t> </w:t>
      </w:r>
      <w:r>
        <w:rPr>
          <w:spacing w:val="-2"/>
        </w:rPr>
        <w:t>years.</w:t>
      </w:r>
    </w:p>
    <w:p>
      <w:pPr>
        <w:pStyle w:val="BodyText"/>
        <w:spacing w:before="1"/>
        <w:rPr>
          <w:sz w:val="37"/>
        </w:rPr>
      </w:pPr>
    </w:p>
    <w:p>
      <w:pPr>
        <w:pStyle w:val="BodyText"/>
        <w:ind w:left="235"/>
      </w:pPr>
      <w:r>
        <w:rPr>
          <w:u w:val="single"/>
        </w:rPr>
        <w:t>Recent Movements in Equilibrium Unemployment</w:t>
      </w:r>
    </w:p>
    <w:p>
      <w:pPr>
        <w:pStyle w:val="BodyText"/>
        <w:rPr>
          <w:sz w:val="20"/>
        </w:rPr>
      </w:pPr>
    </w:p>
    <w:p>
      <w:pPr>
        <w:pStyle w:val="BodyText"/>
        <w:spacing w:before="11"/>
        <w:rPr>
          <w:sz w:val="19"/>
        </w:rPr>
      </w:pPr>
    </w:p>
    <w:p>
      <w:pPr>
        <w:pStyle w:val="BodyText"/>
        <w:spacing w:line="357" w:lineRule="auto" w:before="90"/>
        <w:ind w:left="235" w:right="400"/>
      </w:pPr>
      <w:r>
        <w:rPr/>
        <w:t>The easiest way of estimating the equilibrium unemployment rate is to take the actual rate and make a downward (upward) adjustment if inflation is falling (rising) or if the balance of payments is in surplus (deficit). The calibration of the size of the adjustment must be generated by some estimated model. In Table 1 we present some estimates of the equilibrium rate based on this method for various periods since 1969.</w:t>
      </w:r>
    </w:p>
    <w:p>
      <w:pPr>
        <w:spacing w:after="0" w:line="357" w:lineRule="auto"/>
        <w:sectPr>
          <w:pgSz w:w="11920" w:h="16840"/>
          <w:pgMar w:header="0" w:footer="779" w:top="1360" w:bottom="960" w:left="1580" w:right="1460"/>
        </w:sectPr>
      </w:pPr>
    </w:p>
    <w:p>
      <w:pPr>
        <w:pStyle w:val="BodyText"/>
        <w:spacing w:line="360" w:lineRule="auto" w:before="76"/>
        <w:ind w:left="235" w:right="360"/>
      </w:pPr>
      <w:r>
        <w:rPr/>
        <w:t>We use periods of at least four years in order to smooth out year to year fluctuations. As we can see, for the most recent four year period, equilibrium unemployment is estimated to be 5.7 percent, although it should be recognised that there are considerable uncertainties surrounding this number. Over the period 1997-2000, the average level of actual unemployment is above this and the balance of payments is in deficit which is consistent with the falling rate of inflation. In fact, in the most recent year (2000), unemployment has fallen below 5.7 percent but this has not been associated with rising inflation because the high level of the exchange rate has helped to suppress inflationary pressure. In 2000, this was associated with a payments deficit of around 2 percent of GDP.</w:t>
      </w:r>
    </w:p>
    <w:p>
      <w:pPr>
        <w:pStyle w:val="BodyText"/>
        <w:rPr>
          <w:sz w:val="20"/>
        </w:rPr>
      </w:pPr>
    </w:p>
    <w:p>
      <w:pPr>
        <w:pStyle w:val="BodyText"/>
        <w:spacing w:before="7"/>
        <w:rPr>
          <w:sz w:val="15"/>
        </w:rPr>
      </w:pPr>
      <w:r>
        <w:rPr/>
        <w:pict>
          <v:shape style="position:absolute;margin-left:89.25pt;margin-top:11.718554pt;width:418.5pt;height:.1pt;mso-position-horizontal-relative:page;mso-position-vertical-relative:paragraph;z-index:-251652096;mso-wrap-distance-left:0;mso-wrap-distance-right:0" coordorigin="1785,234" coordsize="8370,0" path="m1785,234l10155,234e" filled="false" stroked="true" strokeweight="1.5pt" strokecolor="#000000">
            <v:path arrowok="t"/>
            <v:stroke dashstyle="solid"/>
            <w10:wrap type="topAndBottom"/>
          </v:shape>
        </w:pict>
      </w:r>
    </w:p>
    <w:p>
      <w:pPr>
        <w:pStyle w:val="BodyText"/>
        <w:spacing w:before="7"/>
        <w:rPr>
          <w:sz w:val="23"/>
        </w:rPr>
      </w:pPr>
    </w:p>
    <w:p>
      <w:pPr>
        <w:pStyle w:val="BodyText"/>
        <w:spacing w:before="90"/>
        <w:ind w:left="768" w:right="879"/>
        <w:jc w:val="center"/>
      </w:pPr>
      <w:r>
        <w:rPr>
          <w:u w:val="single"/>
        </w:rPr>
        <w:t>TABLE 1</w:t>
      </w:r>
    </w:p>
    <w:p>
      <w:pPr>
        <w:pStyle w:val="BodyText"/>
        <w:spacing w:before="144"/>
        <w:ind w:left="768" w:right="865"/>
        <w:jc w:val="center"/>
      </w:pPr>
      <w:r>
        <w:rPr>
          <w:u w:val="single"/>
        </w:rPr>
        <w:t>Estimates of Equilibrium Unemployment</w:t>
      </w:r>
    </w:p>
    <w:p>
      <w:pPr>
        <w:pStyle w:val="BodyText"/>
        <w:rPr>
          <w:sz w:val="20"/>
        </w:rPr>
      </w:pPr>
    </w:p>
    <w:p>
      <w:pPr>
        <w:pStyle w:val="BodyText"/>
        <w:spacing w:before="6"/>
        <w:rPr>
          <w:sz w:val="29"/>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997"/>
        <w:gridCol w:w="967"/>
        <w:gridCol w:w="930"/>
        <w:gridCol w:w="938"/>
        <w:gridCol w:w="976"/>
        <w:gridCol w:w="969"/>
        <w:gridCol w:w="1071"/>
      </w:tblGrid>
      <w:tr>
        <w:trPr>
          <w:trHeight w:val="312" w:hRule="atLeast"/>
        </w:trPr>
        <w:tc>
          <w:tcPr>
            <w:tcW w:w="1745" w:type="dxa"/>
          </w:tcPr>
          <w:p>
            <w:pPr>
              <w:pStyle w:val="TableParagraph"/>
              <w:rPr>
                <w:sz w:val="22"/>
              </w:rPr>
            </w:pPr>
          </w:p>
        </w:tc>
        <w:tc>
          <w:tcPr>
            <w:tcW w:w="997" w:type="dxa"/>
          </w:tcPr>
          <w:p>
            <w:pPr>
              <w:pStyle w:val="TableParagraph"/>
              <w:spacing w:line="215" w:lineRule="exact"/>
              <w:ind w:left="149" w:right="142"/>
              <w:jc w:val="center"/>
              <w:rPr>
                <w:sz w:val="19"/>
              </w:rPr>
            </w:pPr>
            <w:r>
              <w:rPr>
                <w:w w:val="105"/>
                <w:sz w:val="19"/>
              </w:rPr>
              <w:t>1969-73</w:t>
            </w:r>
          </w:p>
        </w:tc>
        <w:tc>
          <w:tcPr>
            <w:tcW w:w="967" w:type="dxa"/>
          </w:tcPr>
          <w:p>
            <w:pPr>
              <w:pStyle w:val="TableParagraph"/>
              <w:spacing w:line="215" w:lineRule="exact"/>
              <w:ind w:left="142" w:right="119"/>
              <w:jc w:val="center"/>
              <w:rPr>
                <w:sz w:val="19"/>
              </w:rPr>
            </w:pPr>
            <w:r>
              <w:rPr>
                <w:w w:val="105"/>
                <w:sz w:val="19"/>
              </w:rPr>
              <w:t>1974-81</w:t>
            </w:r>
          </w:p>
        </w:tc>
        <w:tc>
          <w:tcPr>
            <w:tcW w:w="930" w:type="dxa"/>
          </w:tcPr>
          <w:p>
            <w:pPr>
              <w:pStyle w:val="TableParagraph"/>
              <w:spacing w:line="215" w:lineRule="exact"/>
              <w:ind w:left="120" w:right="104"/>
              <w:jc w:val="center"/>
              <w:rPr>
                <w:sz w:val="19"/>
              </w:rPr>
            </w:pPr>
            <w:r>
              <w:rPr>
                <w:w w:val="105"/>
                <w:sz w:val="19"/>
              </w:rPr>
              <w:t>1981-86</w:t>
            </w:r>
          </w:p>
        </w:tc>
        <w:tc>
          <w:tcPr>
            <w:tcW w:w="938" w:type="dxa"/>
          </w:tcPr>
          <w:p>
            <w:pPr>
              <w:pStyle w:val="TableParagraph"/>
              <w:spacing w:line="215" w:lineRule="exact"/>
              <w:ind w:left="107" w:right="126"/>
              <w:jc w:val="center"/>
              <w:rPr>
                <w:sz w:val="19"/>
              </w:rPr>
            </w:pPr>
            <w:r>
              <w:rPr>
                <w:w w:val="105"/>
                <w:sz w:val="19"/>
              </w:rPr>
              <w:t>1986-90</w:t>
            </w:r>
          </w:p>
        </w:tc>
        <w:tc>
          <w:tcPr>
            <w:tcW w:w="976" w:type="dxa"/>
          </w:tcPr>
          <w:p>
            <w:pPr>
              <w:pStyle w:val="TableParagraph"/>
              <w:spacing w:line="215" w:lineRule="exact"/>
              <w:ind w:left="129" w:right="142"/>
              <w:jc w:val="center"/>
              <w:rPr>
                <w:sz w:val="19"/>
              </w:rPr>
            </w:pPr>
            <w:r>
              <w:rPr>
                <w:w w:val="105"/>
                <w:sz w:val="19"/>
              </w:rPr>
              <w:t>1991-97</w:t>
            </w:r>
          </w:p>
        </w:tc>
        <w:tc>
          <w:tcPr>
            <w:tcW w:w="969" w:type="dxa"/>
          </w:tcPr>
          <w:p>
            <w:pPr>
              <w:pStyle w:val="TableParagraph"/>
              <w:spacing w:line="215" w:lineRule="exact"/>
              <w:ind w:left="141" w:right="122"/>
              <w:jc w:val="center"/>
              <w:rPr>
                <w:sz w:val="19"/>
              </w:rPr>
            </w:pPr>
            <w:r>
              <w:rPr>
                <w:w w:val="105"/>
                <w:sz w:val="19"/>
              </w:rPr>
              <w:t>1994-98</w:t>
            </w:r>
          </w:p>
        </w:tc>
        <w:tc>
          <w:tcPr>
            <w:tcW w:w="1071" w:type="dxa"/>
          </w:tcPr>
          <w:p>
            <w:pPr>
              <w:pStyle w:val="TableParagraph"/>
              <w:spacing w:line="215" w:lineRule="exact"/>
              <w:ind w:left="130" w:right="36"/>
              <w:jc w:val="center"/>
              <w:rPr>
                <w:sz w:val="19"/>
              </w:rPr>
            </w:pPr>
            <w:r>
              <w:rPr>
                <w:w w:val="105"/>
                <w:sz w:val="19"/>
              </w:rPr>
              <w:t>1997-2000</w:t>
            </w:r>
          </w:p>
        </w:tc>
      </w:tr>
      <w:tr>
        <w:trPr>
          <w:trHeight w:val="357" w:hRule="atLeast"/>
        </w:trPr>
        <w:tc>
          <w:tcPr>
            <w:tcW w:w="1745" w:type="dxa"/>
          </w:tcPr>
          <w:p>
            <w:pPr>
              <w:pStyle w:val="TableParagraph"/>
              <w:spacing w:line="246" w:lineRule="exact" w:before="91"/>
              <w:ind w:left="50"/>
              <w:rPr>
                <w:sz w:val="22"/>
              </w:rPr>
            </w:pPr>
            <w:r>
              <w:rPr>
                <w:sz w:val="22"/>
              </w:rPr>
              <w:t>Unemployment</w:t>
            </w:r>
          </w:p>
        </w:tc>
        <w:tc>
          <w:tcPr>
            <w:tcW w:w="997" w:type="dxa"/>
          </w:tcPr>
          <w:p>
            <w:pPr>
              <w:pStyle w:val="TableParagraph"/>
              <w:spacing w:line="250" w:lineRule="exact" w:before="87"/>
              <w:ind w:left="149" w:right="126"/>
              <w:jc w:val="center"/>
              <w:rPr>
                <w:sz w:val="24"/>
              </w:rPr>
            </w:pPr>
            <w:r>
              <w:rPr>
                <w:sz w:val="24"/>
              </w:rPr>
              <w:t>3.4</w:t>
            </w:r>
          </w:p>
        </w:tc>
        <w:tc>
          <w:tcPr>
            <w:tcW w:w="967" w:type="dxa"/>
          </w:tcPr>
          <w:p>
            <w:pPr>
              <w:pStyle w:val="TableParagraph"/>
              <w:spacing w:line="250" w:lineRule="exact" w:before="87"/>
              <w:ind w:left="142" w:right="103"/>
              <w:jc w:val="center"/>
              <w:rPr>
                <w:sz w:val="24"/>
              </w:rPr>
            </w:pPr>
            <w:r>
              <w:rPr>
                <w:sz w:val="24"/>
              </w:rPr>
              <w:t>5.8</w:t>
            </w:r>
          </w:p>
        </w:tc>
        <w:tc>
          <w:tcPr>
            <w:tcW w:w="930" w:type="dxa"/>
          </w:tcPr>
          <w:p>
            <w:pPr>
              <w:pStyle w:val="TableParagraph"/>
              <w:spacing w:line="250" w:lineRule="exact" w:before="87"/>
              <w:ind w:left="106" w:right="104"/>
              <w:jc w:val="center"/>
              <w:rPr>
                <w:sz w:val="24"/>
              </w:rPr>
            </w:pPr>
            <w:r>
              <w:rPr>
                <w:sz w:val="24"/>
              </w:rPr>
              <w:t>11.3</w:t>
            </w:r>
          </w:p>
        </w:tc>
        <w:tc>
          <w:tcPr>
            <w:tcW w:w="938" w:type="dxa"/>
          </w:tcPr>
          <w:p>
            <w:pPr>
              <w:pStyle w:val="TableParagraph"/>
              <w:spacing w:line="250" w:lineRule="exact" w:before="87"/>
              <w:ind w:left="91" w:right="126"/>
              <w:jc w:val="center"/>
              <w:rPr>
                <w:sz w:val="24"/>
              </w:rPr>
            </w:pPr>
            <w:r>
              <w:rPr>
                <w:sz w:val="24"/>
              </w:rPr>
              <w:t>8.9</w:t>
            </w:r>
          </w:p>
        </w:tc>
        <w:tc>
          <w:tcPr>
            <w:tcW w:w="976" w:type="dxa"/>
          </w:tcPr>
          <w:p>
            <w:pPr>
              <w:pStyle w:val="TableParagraph"/>
              <w:spacing w:line="250" w:lineRule="exact" w:before="87"/>
              <w:ind w:left="129" w:right="129"/>
              <w:jc w:val="center"/>
              <w:rPr>
                <w:sz w:val="24"/>
              </w:rPr>
            </w:pPr>
            <w:r>
              <w:rPr>
                <w:sz w:val="24"/>
              </w:rPr>
              <w:t>8.8</w:t>
            </w:r>
          </w:p>
        </w:tc>
        <w:tc>
          <w:tcPr>
            <w:tcW w:w="969" w:type="dxa"/>
          </w:tcPr>
          <w:p>
            <w:pPr>
              <w:pStyle w:val="TableParagraph"/>
              <w:spacing w:line="250" w:lineRule="exact" w:before="87"/>
              <w:ind w:left="141" w:right="106"/>
              <w:jc w:val="center"/>
              <w:rPr>
                <w:sz w:val="24"/>
              </w:rPr>
            </w:pPr>
            <w:r>
              <w:rPr>
                <w:sz w:val="24"/>
              </w:rPr>
              <w:t>7.9</w:t>
            </w:r>
          </w:p>
        </w:tc>
        <w:tc>
          <w:tcPr>
            <w:tcW w:w="1071" w:type="dxa"/>
          </w:tcPr>
          <w:p>
            <w:pPr>
              <w:pStyle w:val="TableParagraph"/>
              <w:spacing w:line="250" w:lineRule="exact" w:before="87"/>
              <w:ind w:left="130" w:right="5"/>
              <w:jc w:val="center"/>
              <w:rPr>
                <w:sz w:val="24"/>
              </w:rPr>
            </w:pPr>
            <w:r>
              <w:rPr>
                <w:sz w:val="24"/>
              </w:rPr>
              <w:t>6.1</w:t>
            </w:r>
          </w:p>
        </w:tc>
      </w:tr>
      <w:tr>
        <w:trPr>
          <w:trHeight w:val="502" w:hRule="atLeast"/>
        </w:trPr>
        <w:tc>
          <w:tcPr>
            <w:tcW w:w="1745" w:type="dxa"/>
          </w:tcPr>
          <w:p>
            <w:pPr>
              <w:pStyle w:val="TableParagraph"/>
              <w:spacing w:line="235" w:lineRule="exact"/>
              <w:ind w:left="50"/>
              <w:rPr>
                <w:sz w:val="22"/>
              </w:rPr>
            </w:pPr>
            <w:r>
              <w:rPr>
                <w:sz w:val="22"/>
              </w:rPr>
              <w:t>(%)</w:t>
            </w:r>
          </w:p>
          <w:p>
            <w:pPr>
              <w:pStyle w:val="TableParagraph"/>
              <w:spacing w:line="246" w:lineRule="exact"/>
              <w:ind w:left="50"/>
              <w:rPr>
                <w:sz w:val="22"/>
              </w:rPr>
            </w:pPr>
            <w:r>
              <w:rPr>
                <w:sz w:val="22"/>
              </w:rPr>
              <w:t>Change in</w:t>
            </w:r>
          </w:p>
        </w:tc>
        <w:tc>
          <w:tcPr>
            <w:tcW w:w="997" w:type="dxa"/>
          </w:tcPr>
          <w:p>
            <w:pPr>
              <w:pStyle w:val="TableParagraph"/>
              <w:spacing w:before="10"/>
              <w:rPr>
                <w:sz w:val="20"/>
              </w:rPr>
            </w:pPr>
          </w:p>
          <w:p>
            <w:pPr>
              <w:pStyle w:val="TableParagraph"/>
              <w:spacing w:line="242" w:lineRule="exact"/>
              <w:ind w:left="149" w:right="126"/>
              <w:jc w:val="center"/>
              <w:rPr>
                <w:sz w:val="24"/>
              </w:rPr>
            </w:pPr>
            <w:r>
              <w:rPr>
                <w:sz w:val="24"/>
              </w:rPr>
              <w:t>1.5</w:t>
            </w:r>
          </w:p>
        </w:tc>
        <w:tc>
          <w:tcPr>
            <w:tcW w:w="967" w:type="dxa"/>
          </w:tcPr>
          <w:p>
            <w:pPr>
              <w:pStyle w:val="TableParagraph"/>
              <w:spacing w:before="10"/>
              <w:rPr>
                <w:sz w:val="20"/>
              </w:rPr>
            </w:pPr>
          </w:p>
          <w:p>
            <w:pPr>
              <w:pStyle w:val="TableParagraph"/>
              <w:spacing w:line="242" w:lineRule="exact"/>
              <w:ind w:left="142" w:right="103"/>
              <w:jc w:val="center"/>
              <w:rPr>
                <w:sz w:val="24"/>
              </w:rPr>
            </w:pPr>
            <w:r>
              <w:rPr>
                <w:sz w:val="24"/>
              </w:rPr>
              <w:t>1.1</w:t>
            </w:r>
          </w:p>
        </w:tc>
        <w:tc>
          <w:tcPr>
            <w:tcW w:w="930" w:type="dxa"/>
          </w:tcPr>
          <w:p>
            <w:pPr>
              <w:pStyle w:val="TableParagraph"/>
              <w:spacing w:before="10"/>
              <w:rPr>
                <w:sz w:val="20"/>
              </w:rPr>
            </w:pPr>
          </w:p>
          <w:p>
            <w:pPr>
              <w:pStyle w:val="TableParagraph"/>
              <w:spacing w:line="242" w:lineRule="exact"/>
              <w:ind w:left="106" w:right="104"/>
              <w:jc w:val="center"/>
              <w:rPr>
                <w:sz w:val="24"/>
              </w:rPr>
            </w:pPr>
            <w:r>
              <w:rPr>
                <w:sz w:val="24"/>
              </w:rPr>
              <w:t>-1.2</w:t>
            </w:r>
          </w:p>
        </w:tc>
        <w:tc>
          <w:tcPr>
            <w:tcW w:w="938" w:type="dxa"/>
          </w:tcPr>
          <w:p>
            <w:pPr>
              <w:pStyle w:val="TableParagraph"/>
              <w:spacing w:before="10"/>
              <w:rPr>
                <w:sz w:val="20"/>
              </w:rPr>
            </w:pPr>
          </w:p>
          <w:p>
            <w:pPr>
              <w:pStyle w:val="TableParagraph"/>
              <w:spacing w:line="242" w:lineRule="exact"/>
              <w:ind w:left="91" w:right="126"/>
              <w:jc w:val="center"/>
              <w:rPr>
                <w:sz w:val="24"/>
              </w:rPr>
            </w:pPr>
            <w:r>
              <w:rPr>
                <w:sz w:val="24"/>
              </w:rPr>
              <w:t>0.5</w:t>
            </w:r>
          </w:p>
        </w:tc>
        <w:tc>
          <w:tcPr>
            <w:tcW w:w="976" w:type="dxa"/>
          </w:tcPr>
          <w:p>
            <w:pPr>
              <w:pStyle w:val="TableParagraph"/>
              <w:spacing w:before="10"/>
              <w:rPr>
                <w:sz w:val="20"/>
              </w:rPr>
            </w:pPr>
          </w:p>
          <w:p>
            <w:pPr>
              <w:pStyle w:val="TableParagraph"/>
              <w:spacing w:line="242" w:lineRule="exact"/>
              <w:ind w:left="129" w:right="129"/>
              <w:jc w:val="center"/>
              <w:rPr>
                <w:sz w:val="24"/>
              </w:rPr>
            </w:pPr>
            <w:r>
              <w:rPr>
                <w:sz w:val="24"/>
              </w:rPr>
              <w:t>-0.7</w:t>
            </w:r>
          </w:p>
        </w:tc>
        <w:tc>
          <w:tcPr>
            <w:tcW w:w="969" w:type="dxa"/>
          </w:tcPr>
          <w:p>
            <w:pPr>
              <w:pStyle w:val="TableParagraph"/>
              <w:spacing w:before="10"/>
              <w:rPr>
                <w:sz w:val="20"/>
              </w:rPr>
            </w:pPr>
          </w:p>
          <w:p>
            <w:pPr>
              <w:pStyle w:val="TableParagraph"/>
              <w:spacing w:line="242" w:lineRule="exact"/>
              <w:ind w:left="141" w:right="106"/>
              <w:jc w:val="center"/>
              <w:rPr>
                <w:sz w:val="24"/>
              </w:rPr>
            </w:pPr>
            <w:r>
              <w:rPr>
                <w:sz w:val="24"/>
              </w:rPr>
              <w:t>-0.04</w:t>
            </w:r>
          </w:p>
        </w:tc>
        <w:tc>
          <w:tcPr>
            <w:tcW w:w="1071" w:type="dxa"/>
          </w:tcPr>
          <w:p>
            <w:pPr>
              <w:pStyle w:val="TableParagraph"/>
              <w:spacing w:before="10"/>
              <w:rPr>
                <w:sz w:val="20"/>
              </w:rPr>
            </w:pPr>
          </w:p>
          <w:p>
            <w:pPr>
              <w:pStyle w:val="TableParagraph"/>
              <w:spacing w:line="242" w:lineRule="exact"/>
              <w:ind w:left="130" w:right="5"/>
              <w:jc w:val="center"/>
              <w:rPr>
                <w:sz w:val="24"/>
              </w:rPr>
            </w:pPr>
            <w:r>
              <w:rPr>
                <w:sz w:val="24"/>
              </w:rPr>
              <w:t>-0.4</w:t>
            </w:r>
          </w:p>
        </w:tc>
      </w:tr>
      <w:tr>
        <w:trPr>
          <w:trHeight w:val="238" w:hRule="atLeast"/>
        </w:trPr>
        <w:tc>
          <w:tcPr>
            <w:tcW w:w="1745" w:type="dxa"/>
          </w:tcPr>
          <w:p>
            <w:pPr>
              <w:pStyle w:val="TableParagraph"/>
              <w:spacing w:line="218" w:lineRule="exact"/>
              <w:ind w:left="50"/>
              <w:rPr>
                <w:sz w:val="22"/>
              </w:rPr>
            </w:pPr>
            <w:r>
              <w:rPr>
                <w:sz w:val="22"/>
              </w:rPr>
              <w:t>inflation (% p.a.)</w:t>
            </w:r>
          </w:p>
        </w:tc>
        <w:tc>
          <w:tcPr>
            <w:tcW w:w="997" w:type="dxa"/>
          </w:tcPr>
          <w:p>
            <w:pPr>
              <w:pStyle w:val="TableParagraph"/>
              <w:rPr>
                <w:sz w:val="16"/>
              </w:rPr>
            </w:pPr>
          </w:p>
        </w:tc>
        <w:tc>
          <w:tcPr>
            <w:tcW w:w="967" w:type="dxa"/>
          </w:tcPr>
          <w:p>
            <w:pPr>
              <w:pStyle w:val="TableParagraph"/>
              <w:rPr>
                <w:sz w:val="16"/>
              </w:rPr>
            </w:pPr>
          </w:p>
        </w:tc>
        <w:tc>
          <w:tcPr>
            <w:tcW w:w="930" w:type="dxa"/>
          </w:tcPr>
          <w:p>
            <w:pPr>
              <w:pStyle w:val="TableParagraph"/>
              <w:rPr>
                <w:sz w:val="16"/>
              </w:rPr>
            </w:pPr>
          </w:p>
        </w:tc>
        <w:tc>
          <w:tcPr>
            <w:tcW w:w="938" w:type="dxa"/>
          </w:tcPr>
          <w:p>
            <w:pPr>
              <w:pStyle w:val="TableParagraph"/>
              <w:rPr>
                <w:sz w:val="16"/>
              </w:rPr>
            </w:pPr>
          </w:p>
        </w:tc>
        <w:tc>
          <w:tcPr>
            <w:tcW w:w="976" w:type="dxa"/>
          </w:tcPr>
          <w:p>
            <w:pPr>
              <w:pStyle w:val="TableParagraph"/>
              <w:rPr>
                <w:sz w:val="16"/>
              </w:rPr>
            </w:pPr>
          </w:p>
        </w:tc>
        <w:tc>
          <w:tcPr>
            <w:tcW w:w="969" w:type="dxa"/>
          </w:tcPr>
          <w:p>
            <w:pPr>
              <w:pStyle w:val="TableParagraph"/>
              <w:rPr>
                <w:sz w:val="16"/>
              </w:rPr>
            </w:pPr>
          </w:p>
        </w:tc>
        <w:tc>
          <w:tcPr>
            <w:tcW w:w="1071" w:type="dxa"/>
          </w:tcPr>
          <w:p>
            <w:pPr>
              <w:pStyle w:val="TableParagraph"/>
              <w:rPr>
                <w:sz w:val="16"/>
              </w:rPr>
            </w:pPr>
          </w:p>
        </w:tc>
      </w:tr>
      <w:tr>
        <w:trPr>
          <w:trHeight w:val="510" w:hRule="atLeast"/>
        </w:trPr>
        <w:tc>
          <w:tcPr>
            <w:tcW w:w="1745" w:type="dxa"/>
          </w:tcPr>
          <w:p>
            <w:pPr>
              <w:pStyle w:val="TableParagraph"/>
              <w:spacing w:line="251" w:lineRule="exact"/>
              <w:ind w:left="50"/>
              <w:rPr>
                <w:sz w:val="22"/>
              </w:rPr>
            </w:pPr>
            <w:r>
              <w:rPr>
                <w:sz w:val="22"/>
              </w:rPr>
              <w:t>Balance of</w:t>
            </w:r>
          </w:p>
          <w:p>
            <w:pPr>
              <w:pStyle w:val="TableParagraph"/>
              <w:spacing w:line="237" w:lineRule="exact" w:before="2"/>
              <w:ind w:left="50"/>
              <w:rPr>
                <w:sz w:val="22"/>
              </w:rPr>
            </w:pPr>
            <w:r>
              <w:rPr>
                <w:sz w:val="22"/>
              </w:rPr>
              <w:t>payments deficit</w:t>
            </w:r>
          </w:p>
        </w:tc>
        <w:tc>
          <w:tcPr>
            <w:tcW w:w="997" w:type="dxa"/>
          </w:tcPr>
          <w:p>
            <w:pPr>
              <w:pStyle w:val="TableParagraph"/>
              <w:spacing w:before="9"/>
              <w:ind w:left="149" w:right="126"/>
              <w:jc w:val="center"/>
              <w:rPr>
                <w:sz w:val="24"/>
              </w:rPr>
            </w:pPr>
            <w:r>
              <w:rPr>
                <w:sz w:val="24"/>
              </w:rPr>
              <w:t>-0.7</w:t>
            </w:r>
          </w:p>
        </w:tc>
        <w:tc>
          <w:tcPr>
            <w:tcW w:w="967" w:type="dxa"/>
          </w:tcPr>
          <w:p>
            <w:pPr>
              <w:pStyle w:val="TableParagraph"/>
              <w:spacing w:before="9"/>
              <w:ind w:left="142" w:right="103"/>
              <w:jc w:val="center"/>
              <w:rPr>
                <w:sz w:val="24"/>
              </w:rPr>
            </w:pPr>
            <w:r>
              <w:rPr>
                <w:sz w:val="24"/>
              </w:rPr>
              <w:t>0.9</w:t>
            </w:r>
          </w:p>
        </w:tc>
        <w:tc>
          <w:tcPr>
            <w:tcW w:w="930" w:type="dxa"/>
          </w:tcPr>
          <w:p>
            <w:pPr>
              <w:pStyle w:val="TableParagraph"/>
              <w:spacing w:before="9"/>
              <w:ind w:left="106" w:right="104"/>
              <w:jc w:val="center"/>
              <w:rPr>
                <w:sz w:val="24"/>
              </w:rPr>
            </w:pPr>
            <w:r>
              <w:rPr>
                <w:sz w:val="24"/>
              </w:rPr>
              <w:t>-1.3</w:t>
            </w:r>
          </w:p>
        </w:tc>
        <w:tc>
          <w:tcPr>
            <w:tcW w:w="938" w:type="dxa"/>
          </w:tcPr>
          <w:p>
            <w:pPr>
              <w:pStyle w:val="TableParagraph"/>
              <w:spacing w:before="9"/>
              <w:ind w:left="91" w:right="126"/>
              <w:jc w:val="center"/>
              <w:rPr>
                <w:sz w:val="24"/>
              </w:rPr>
            </w:pPr>
            <w:r>
              <w:rPr>
                <w:sz w:val="24"/>
              </w:rPr>
              <w:t>0.8</w:t>
            </w:r>
          </w:p>
        </w:tc>
        <w:tc>
          <w:tcPr>
            <w:tcW w:w="976" w:type="dxa"/>
          </w:tcPr>
          <w:p>
            <w:pPr>
              <w:pStyle w:val="TableParagraph"/>
              <w:spacing w:before="9"/>
              <w:ind w:left="129" w:right="129"/>
              <w:jc w:val="center"/>
              <w:rPr>
                <w:sz w:val="24"/>
              </w:rPr>
            </w:pPr>
            <w:r>
              <w:rPr>
                <w:sz w:val="24"/>
              </w:rPr>
              <w:t>0.7</w:t>
            </w:r>
          </w:p>
        </w:tc>
        <w:tc>
          <w:tcPr>
            <w:tcW w:w="969" w:type="dxa"/>
          </w:tcPr>
          <w:p>
            <w:pPr>
              <w:pStyle w:val="TableParagraph"/>
              <w:spacing w:before="9"/>
              <w:ind w:left="141" w:right="106"/>
              <w:jc w:val="center"/>
              <w:rPr>
                <w:sz w:val="24"/>
              </w:rPr>
            </w:pPr>
            <w:r>
              <w:rPr>
                <w:sz w:val="24"/>
              </w:rPr>
              <w:t>-0.1</w:t>
            </w:r>
          </w:p>
        </w:tc>
        <w:tc>
          <w:tcPr>
            <w:tcW w:w="1071" w:type="dxa"/>
          </w:tcPr>
          <w:p>
            <w:pPr>
              <w:pStyle w:val="TableParagraph"/>
              <w:spacing w:before="9"/>
              <w:ind w:left="130" w:right="5"/>
              <w:jc w:val="center"/>
              <w:rPr>
                <w:sz w:val="24"/>
              </w:rPr>
            </w:pPr>
            <w:r>
              <w:rPr>
                <w:sz w:val="24"/>
              </w:rPr>
              <w:t>0.5</w:t>
            </w:r>
          </w:p>
        </w:tc>
      </w:tr>
      <w:tr>
        <w:trPr>
          <w:trHeight w:val="255" w:hRule="atLeast"/>
        </w:trPr>
        <w:tc>
          <w:tcPr>
            <w:tcW w:w="1745" w:type="dxa"/>
          </w:tcPr>
          <w:p>
            <w:pPr>
              <w:pStyle w:val="TableParagraph"/>
              <w:spacing w:line="235" w:lineRule="exact"/>
              <w:ind w:left="50"/>
              <w:rPr>
                <w:sz w:val="22"/>
              </w:rPr>
            </w:pPr>
            <w:r>
              <w:rPr>
                <w:sz w:val="22"/>
              </w:rPr>
              <w:t>(% of potential</w:t>
            </w:r>
          </w:p>
        </w:tc>
        <w:tc>
          <w:tcPr>
            <w:tcW w:w="997" w:type="dxa"/>
          </w:tcPr>
          <w:p>
            <w:pPr>
              <w:pStyle w:val="TableParagraph"/>
              <w:rPr>
                <w:sz w:val="18"/>
              </w:rPr>
            </w:pPr>
          </w:p>
        </w:tc>
        <w:tc>
          <w:tcPr>
            <w:tcW w:w="967" w:type="dxa"/>
          </w:tcPr>
          <w:p>
            <w:pPr>
              <w:pStyle w:val="TableParagraph"/>
              <w:rPr>
                <w:sz w:val="18"/>
              </w:rPr>
            </w:pPr>
          </w:p>
        </w:tc>
        <w:tc>
          <w:tcPr>
            <w:tcW w:w="930" w:type="dxa"/>
          </w:tcPr>
          <w:p>
            <w:pPr>
              <w:pStyle w:val="TableParagraph"/>
              <w:rPr>
                <w:sz w:val="18"/>
              </w:rPr>
            </w:pPr>
          </w:p>
        </w:tc>
        <w:tc>
          <w:tcPr>
            <w:tcW w:w="938" w:type="dxa"/>
          </w:tcPr>
          <w:p>
            <w:pPr>
              <w:pStyle w:val="TableParagraph"/>
              <w:rPr>
                <w:sz w:val="18"/>
              </w:rPr>
            </w:pPr>
          </w:p>
        </w:tc>
        <w:tc>
          <w:tcPr>
            <w:tcW w:w="976" w:type="dxa"/>
          </w:tcPr>
          <w:p>
            <w:pPr>
              <w:pStyle w:val="TableParagraph"/>
              <w:rPr>
                <w:sz w:val="18"/>
              </w:rPr>
            </w:pPr>
          </w:p>
        </w:tc>
        <w:tc>
          <w:tcPr>
            <w:tcW w:w="969" w:type="dxa"/>
          </w:tcPr>
          <w:p>
            <w:pPr>
              <w:pStyle w:val="TableParagraph"/>
              <w:rPr>
                <w:sz w:val="18"/>
              </w:rPr>
            </w:pPr>
          </w:p>
        </w:tc>
        <w:tc>
          <w:tcPr>
            <w:tcW w:w="1071" w:type="dxa"/>
          </w:tcPr>
          <w:p>
            <w:pPr>
              <w:pStyle w:val="TableParagraph"/>
              <w:rPr>
                <w:sz w:val="18"/>
              </w:rPr>
            </w:pPr>
          </w:p>
        </w:tc>
      </w:tr>
      <w:tr>
        <w:trPr>
          <w:trHeight w:val="255" w:hRule="atLeast"/>
        </w:trPr>
        <w:tc>
          <w:tcPr>
            <w:tcW w:w="1745" w:type="dxa"/>
          </w:tcPr>
          <w:p>
            <w:pPr>
              <w:pStyle w:val="TableParagraph"/>
              <w:spacing w:line="235" w:lineRule="exact"/>
              <w:ind w:left="50"/>
              <w:rPr>
                <w:sz w:val="22"/>
              </w:rPr>
            </w:pPr>
            <w:r>
              <w:rPr>
                <w:sz w:val="22"/>
              </w:rPr>
              <w:t>GDP)</w:t>
            </w:r>
          </w:p>
        </w:tc>
        <w:tc>
          <w:tcPr>
            <w:tcW w:w="997" w:type="dxa"/>
          </w:tcPr>
          <w:p>
            <w:pPr>
              <w:pStyle w:val="TableParagraph"/>
              <w:rPr>
                <w:sz w:val="18"/>
              </w:rPr>
            </w:pPr>
          </w:p>
        </w:tc>
        <w:tc>
          <w:tcPr>
            <w:tcW w:w="967" w:type="dxa"/>
          </w:tcPr>
          <w:p>
            <w:pPr>
              <w:pStyle w:val="TableParagraph"/>
              <w:rPr>
                <w:sz w:val="18"/>
              </w:rPr>
            </w:pPr>
          </w:p>
        </w:tc>
        <w:tc>
          <w:tcPr>
            <w:tcW w:w="930" w:type="dxa"/>
          </w:tcPr>
          <w:p>
            <w:pPr>
              <w:pStyle w:val="TableParagraph"/>
              <w:rPr>
                <w:sz w:val="18"/>
              </w:rPr>
            </w:pPr>
          </w:p>
        </w:tc>
        <w:tc>
          <w:tcPr>
            <w:tcW w:w="938" w:type="dxa"/>
          </w:tcPr>
          <w:p>
            <w:pPr>
              <w:pStyle w:val="TableParagraph"/>
              <w:rPr>
                <w:sz w:val="18"/>
              </w:rPr>
            </w:pPr>
          </w:p>
        </w:tc>
        <w:tc>
          <w:tcPr>
            <w:tcW w:w="976" w:type="dxa"/>
          </w:tcPr>
          <w:p>
            <w:pPr>
              <w:pStyle w:val="TableParagraph"/>
              <w:rPr>
                <w:sz w:val="18"/>
              </w:rPr>
            </w:pPr>
          </w:p>
        </w:tc>
        <w:tc>
          <w:tcPr>
            <w:tcW w:w="969" w:type="dxa"/>
          </w:tcPr>
          <w:p>
            <w:pPr>
              <w:pStyle w:val="TableParagraph"/>
              <w:rPr>
                <w:sz w:val="18"/>
              </w:rPr>
            </w:pPr>
          </w:p>
        </w:tc>
        <w:tc>
          <w:tcPr>
            <w:tcW w:w="1071" w:type="dxa"/>
          </w:tcPr>
          <w:p>
            <w:pPr>
              <w:pStyle w:val="TableParagraph"/>
              <w:rPr>
                <w:sz w:val="18"/>
              </w:rPr>
            </w:pPr>
          </w:p>
        </w:tc>
      </w:tr>
      <w:tr>
        <w:trPr>
          <w:trHeight w:val="747" w:hRule="atLeast"/>
        </w:trPr>
        <w:tc>
          <w:tcPr>
            <w:tcW w:w="1745" w:type="dxa"/>
          </w:tcPr>
          <w:p>
            <w:pPr>
              <w:pStyle w:val="TableParagraph"/>
              <w:spacing w:line="251" w:lineRule="exact"/>
              <w:ind w:left="50"/>
              <w:rPr>
                <w:sz w:val="22"/>
              </w:rPr>
            </w:pPr>
            <w:r>
              <w:rPr>
                <w:sz w:val="22"/>
              </w:rPr>
              <w:t>Equilibrium</w:t>
            </w:r>
          </w:p>
          <w:p>
            <w:pPr>
              <w:pStyle w:val="TableParagraph"/>
              <w:spacing w:line="240" w:lineRule="exact" w:before="15"/>
              <w:ind w:left="50" w:right="65"/>
              <w:rPr>
                <w:sz w:val="22"/>
              </w:rPr>
            </w:pPr>
            <w:r>
              <w:rPr>
                <w:sz w:val="22"/>
              </w:rPr>
              <w:t>unemployment (%)</w:t>
            </w:r>
          </w:p>
        </w:tc>
        <w:tc>
          <w:tcPr>
            <w:tcW w:w="997" w:type="dxa"/>
          </w:tcPr>
          <w:p>
            <w:pPr>
              <w:pStyle w:val="TableParagraph"/>
              <w:spacing w:line="270" w:lineRule="exact"/>
              <w:ind w:left="149" w:right="126"/>
              <w:jc w:val="center"/>
              <w:rPr>
                <w:sz w:val="24"/>
              </w:rPr>
            </w:pPr>
            <w:r>
              <w:rPr>
                <w:sz w:val="24"/>
              </w:rPr>
              <w:t>3.8</w:t>
            </w:r>
          </w:p>
        </w:tc>
        <w:tc>
          <w:tcPr>
            <w:tcW w:w="967" w:type="dxa"/>
          </w:tcPr>
          <w:p>
            <w:pPr>
              <w:pStyle w:val="TableParagraph"/>
              <w:spacing w:line="270" w:lineRule="exact"/>
              <w:ind w:left="142" w:right="103"/>
              <w:jc w:val="center"/>
              <w:rPr>
                <w:sz w:val="24"/>
              </w:rPr>
            </w:pPr>
            <w:r>
              <w:rPr>
                <w:sz w:val="24"/>
              </w:rPr>
              <w:t>7.5</w:t>
            </w:r>
          </w:p>
        </w:tc>
        <w:tc>
          <w:tcPr>
            <w:tcW w:w="930" w:type="dxa"/>
          </w:tcPr>
          <w:p>
            <w:pPr>
              <w:pStyle w:val="TableParagraph"/>
              <w:spacing w:line="270" w:lineRule="exact"/>
              <w:ind w:left="106" w:right="104"/>
              <w:jc w:val="center"/>
              <w:rPr>
                <w:sz w:val="24"/>
              </w:rPr>
            </w:pPr>
            <w:r>
              <w:rPr>
                <w:sz w:val="24"/>
              </w:rPr>
              <w:t>9.5</w:t>
            </w:r>
          </w:p>
        </w:tc>
        <w:tc>
          <w:tcPr>
            <w:tcW w:w="938" w:type="dxa"/>
          </w:tcPr>
          <w:p>
            <w:pPr>
              <w:pStyle w:val="TableParagraph"/>
              <w:spacing w:line="270" w:lineRule="exact"/>
              <w:ind w:left="91" w:right="126"/>
              <w:jc w:val="center"/>
              <w:rPr>
                <w:sz w:val="24"/>
              </w:rPr>
            </w:pPr>
            <w:r>
              <w:rPr>
                <w:sz w:val="24"/>
              </w:rPr>
              <w:t>9.6</w:t>
            </w:r>
          </w:p>
        </w:tc>
        <w:tc>
          <w:tcPr>
            <w:tcW w:w="976" w:type="dxa"/>
          </w:tcPr>
          <w:p>
            <w:pPr>
              <w:pStyle w:val="TableParagraph"/>
              <w:spacing w:line="270" w:lineRule="exact"/>
              <w:ind w:left="129" w:right="129"/>
              <w:jc w:val="center"/>
              <w:rPr>
                <w:sz w:val="24"/>
              </w:rPr>
            </w:pPr>
            <w:r>
              <w:rPr>
                <w:sz w:val="24"/>
              </w:rPr>
              <w:t>8.9</w:t>
            </w:r>
          </w:p>
        </w:tc>
        <w:tc>
          <w:tcPr>
            <w:tcW w:w="969" w:type="dxa"/>
          </w:tcPr>
          <w:p>
            <w:pPr>
              <w:pStyle w:val="TableParagraph"/>
              <w:spacing w:line="270" w:lineRule="exact"/>
              <w:ind w:left="141" w:right="106"/>
              <w:jc w:val="center"/>
              <w:rPr>
                <w:sz w:val="24"/>
              </w:rPr>
            </w:pPr>
            <w:r>
              <w:rPr>
                <w:sz w:val="24"/>
              </w:rPr>
              <w:t>6.9</w:t>
            </w:r>
          </w:p>
        </w:tc>
        <w:tc>
          <w:tcPr>
            <w:tcW w:w="1071" w:type="dxa"/>
          </w:tcPr>
          <w:p>
            <w:pPr>
              <w:pStyle w:val="TableParagraph"/>
              <w:spacing w:line="270" w:lineRule="exact"/>
              <w:ind w:left="130" w:right="5"/>
              <w:jc w:val="center"/>
              <w:rPr>
                <w:sz w:val="24"/>
              </w:rPr>
            </w:pPr>
            <w:r>
              <w:rPr>
                <w:sz w:val="24"/>
              </w:rPr>
              <w:t>5.7</w:t>
            </w:r>
          </w:p>
        </w:tc>
      </w:tr>
    </w:tbl>
    <w:p>
      <w:pPr>
        <w:pStyle w:val="BodyText"/>
        <w:spacing w:before="5"/>
        <w:rPr>
          <w:sz w:val="28"/>
        </w:rPr>
      </w:pPr>
    </w:p>
    <w:p>
      <w:pPr>
        <w:pStyle w:val="BodyText"/>
        <w:spacing w:line="360" w:lineRule="auto" w:before="90"/>
        <w:ind w:left="235" w:right="422"/>
      </w:pPr>
      <w:r>
        <w:rPr>
          <w:u w:val="single"/>
        </w:rPr>
        <w:t>Sources</w:t>
      </w:r>
      <w:r>
        <w:rPr/>
        <w:t>: unemployment, inflation, balance of payments, GDP, </w:t>
      </w:r>
      <w:r>
        <w:rPr>
          <w:spacing w:val="-3"/>
          <w:u w:val="single"/>
        </w:rPr>
        <w:t>Economic Trends</w:t>
      </w:r>
      <w:r>
        <w:rPr>
          <w:spacing w:val="-3"/>
        </w:rPr>
        <w:t>. </w:t>
      </w:r>
      <w:r>
        <w:rPr/>
        <w:t>Unemployment refers to the ILO rate, inflation to the GDP deflator. Potential </w:t>
      </w:r>
      <w:r>
        <w:rPr>
          <w:spacing w:val="-2"/>
        </w:rPr>
        <w:t>GDP </w:t>
      </w:r>
      <w:r>
        <w:rPr/>
        <w:t>refers to actual GDP corrected for unemployment fluctuations. The equilibrium rate is calculated exactly as described in Layard et al. (1991), pp. 442-5 or Nickell</w:t>
      </w:r>
      <w:r>
        <w:rPr>
          <w:spacing w:val="-30"/>
        </w:rPr>
        <w:t> </w:t>
      </w:r>
      <w:r>
        <w:rPr/>
        <w:t>(1990). As well as adjusting for inflation changes and the payments deficit, there is also an adjustment for unemployment</w:t>
      </w:r>
      <w:r>
        <w:rPr>
          <w:spacing w:val="21"/>
        </w:rPr>
        <w:t> </w:t>
      </w:r>
      <w:r>
        <w:rPr/>
        <w:t>dynamics.</w:t>
      </w:r>
    </w:p>
    <w:p>
      <w:pPr>
        <w:pStyle w:val="BodyText"/>
        <w:spacing w:before="9"/>
        <w:rPr>
          <w:sz w:val="35"/>
        </w:rPr>
      </w:pPr>
    </w:p>
    <w:p>
      <w:pPr>
        <w:pStyle w:val="BodyText"/>
        <w:spacing w:line="352" w:lineRule="auto"/>
        <w:ind w:left="235" w:right="360"/>
      </w:pPr>
      <w:r>
        <w:rPr>
          <w:u w:val="single"/>
        </w:rPr>
        <w:t>Notes</w:t>
      </w:r>
      <w:r>
        <w:rPr/>
        <w:t>: Prior to 1990, the values of inflation changes and the trade balance are lagged one year and two years respectively to account for the time taken for these factors to</w:t>
      </w:r>
    </w:p>
    <w:p>
      <w:pPr>
        <w:spacing w:after="0" w:line="352" w:lineRule="auto"/>
        <w:sectPr>
          <w:pgSz w:w="11920" w:h="16840"/>
          <w:pgMar w:header="0" w:footer="779" w:top="1360" w:bottom="960" w:left="1580" w:right="1460"/>
        </w:sectPr>
      </w:pPr>
    </w:p>
    <w:p>
      <w:pPr>
        <w:pStyle w:val="BodyText"/>
        <w:spacing w:line="364" w:lineRule="auto" w:before="76"/>
        <w:ind w:left="235" w:right="360"/>
      </w:pPr>
      <w:r>
        <w:rPr/>
        <w:pict>
          <v:shape style="position:absolute;margin-left:89.25pt;margin-top:48.003124pt;width:418.5pt;height:.1pt;mso-position-horizontal-relative:page;mso-position-vertical-relative:paragraph;z-index:-251651072;mso-wrap-distance-left:0;mso-wrap-distance-right:0" coordorigin="1785,960" coordsize="8370,0" path="m1785,960l10155,960e" filled="false" stroked="true" strokeweight="1.5pt" strokecolor="#000000">
            <v:path arrowok="t"/>
            <v:stroke dashstyle="solid"/>
            <w10:wrap type="topAndBottom"/>
          </v:shape>
        </w:pict>
      </w:r>
      <w:r>
        <w:rPr/>
        <w:t>feed into unemployment. After 1990, we use current values because the reaction of unemployment to economic conditions increased in rapidity.</w:t>
      </w:r>
    </w:p>
    <w:p>
      <w:pPr>
        <w:pStyle w:val="BodyText"/>
        <w:spacing w:before="7"/>
        <w:rPr>
          <w:sz w:val="23"/>
        </w:rPr>
      </w:pPr>
    </w:p>
    <w:p>
      <w:pPr>
        <w:pStyle w:val="BodyText"/>
        <w:spacing w:line="360" w:lineRule="auto" w:before="90"/>
        <w:ind w:left="235" w:right="474"/>
      </w:pPr>
      <w:r>
        <w:rPr/>
        <w:t>For our purposes, the key feature of Table 1 is the steady decline in the equilibrium unemployment rate from its peak level of the 1980s, a decline which accelerated in the second half of the 1990s. The obvious question is what has brought this about. And the obvious place to look for an answer is at the workings of the labour market. Before going into detail, it is worth recalling that we should not expect shifts in the operation of the labour market to impact instantaneously on the equilibrium rate. As is well-known, it takes a considerable time for individual and organisational behaviour to respond fully to changes in the economic environment. That said, we shall now investigate successively changes in industrial relations, the benefit system and labour taxes.</w:t>
      </w:r>
    </w:p>
    <w:p>
      <w:pPr>
        <w:pStyle w:val="BodyText"/>
        <w:spacing w:before="3"/>
        <w:rPr>
          <w:sz w:val="35"/>
        </w:rPr>
      </w:pPr>
    </w:p>
    <w:p>
      <w:pPr>
        <w:pStyle w:val="BodyText"/>
        <w:ind w:left="235"/>
      </w:pPr>
      <w:r>
        <w:rPr>
          <w:u w:val="single"/>
        </w:rPr>
        <w:t>Changes in the system wage determination</w:t>
      </w:r>
    </w:p>
    <w:p>
      <w:pPr>
        <w:pStyle w:val="BodyText"/>
        <w:rPr>
          <w:sz w:val="20"/>
        </w:rPr>
      </w:pPr>
    </w:p>
    <w:p>
      <w:pPr>
        <w:pStyle w:val="BodyText"/>
        <w:spacing w:before="11"/>
        <w:rPr>
          <w:sz w:val="19"/>
        </w:rPr>
      </w:pPr>
    </w:p>
    <w:p>
      <w:pPr>
        <w:pStyle w:val="BodyText"/>
        <w:spacing w:line="360" w:lineRule="auto" w:before="90"/>
        <w:ind w:left="235" w:right="427"/>
      </w:pPr>
      <w:r>
        <w:rPr/>
        <w:t>In most European countries, the majority of employees have their wages determined by Trade Union collective bargaining. In those countries where this bargaining operates in an uncoordinated and adversarial fashion, this tends to generate upward pressure on inflation at given levels of labour market slack leading to higher levels of equilibrium unemployment</w:t>
      </w:r>
      <w:r>
        <w:rPr>
          <w:vertAlign w:val="superscript"/>
        </w:rPr>
        <w:t>2</w:t>
      </w:r>
      <w:r>
        <w:rPr>
          <w:vertAlign w:val="baseline"/>
        </w:rPr>
        <w:t>. In the 1970s and early 1980s, Britain was one such country. For a variety of reasons, which include the Trade Union Legislation introduced in the 1980s, the structure of wage determination in Britain has changed dramatically over the last 20 years. This is reflected in the numbers presented in Tables 2 and 3.</w:t>
      </w:r>
    </w:p>
    <w:p>
      <w:pPr>
        <w:pStyle w:val="BodyText"/>
        <w:rPr>
          <w:sz w:val="36"/>
        </w:rPr>
      </w:pPr>
    </w:p>
    <w:p>
      <w:pPr>
        <w:pStyle w:val="BodyText"/>
        <w:spacing w:line="360" w:lineRule="auto"/>
        <w:ind w:left="235" w:right="367"/>
      </w:pPr>
      <w:r>
        <w:rPr/>
        <w:t>These data reveal that the proportion of workers covered by Trade Union collective agreements has halved from its peak of 70 percent in 1980 and this decline has almost been matched by the fall in union membership. Looking at the private sector alone, which is the driving force behind wage inflation</w:t>
      </w:r>
      <w:r>
        <w:rPr>
          <w:vertAlign w:val="superscript"/>
        </w:rPr>
        <w:t>3</w:t>
      </w:r>
      <w:r>
        <w:rPr>
          <w:vertAlign w:val="baseline"/>
        </w:rPr>
        <w:t>, we see that by 1999 membership is down below 20 percent with only a small minority of private sector workers being covered by collective agreements.</w:t>
      </w:r>
    </w:p>
    <w:p>
      <w:pPr>
        <w:spacing w:after="0" w:line="360" w:lineRule="auto"/>
        <w:sectPr>
          <w:pgSz w:w="11920" w:h="16840"/>
          <w:pgMar w:header="0" w:footer="779" w:top="1360" w:bottom="960" w:left="1580" w:right="1460"/>
        </w:sectPr>
      </w:pPr>
    </w:p>
    <w:p>
      <w:pPr>
        <w:pStyle w:val="BodyText"/>
        <w:spacing w:before="9"/>
      </w:pPr>
    </w:p>
    <w:p>
      <w:pPr>
        <w:pStyle w:val="BodyText"/>
        <w:spacing w:line="30" w:lineRule="exact"/>
        <w:ind w:left="190"/>
        <w:rPr>
          <w:sz w:val="3"/>
        </w:rPr>
      </w:pPr>
      <w:r>
        <w:rPr>
          <w:position w:val="0"/>
          <w:sz w:val="3"/>
        </w:rPr>
        <w:pict>
          <v:group style="width:418.5pt;height:1.5pt;mso-position-horizontal-relative:char;mso-position-vertical-relative:line" coordorigin="0,0" coordsize="8370,30">
            <v:line style="position:absolute" from="0,15" to="8370,15" stroked="true" strokeweight="1.5pt" strokecolor="#000000">
              <v:stroke dashstyle="solid"/>
            </v:line>
          </v:group>
        </w:pict>
      </w:r>
      <w:r>
        <w:rPr>
          <w:position w:val="0"/>
          <w:sz w:val="3"/>
        </w:rPr>
      </w:r>
    </w:p>
    <w:p>
      <w:pPr>
        <w:pStyle w:val="BodyText"/>
        <w:spacing w:before="2"/>
        <w:rPr>
          <w:sz w:val="26"/>
        </w:rPr>
      </w:pPr>
    </w:p>
    <w:p>
      <w:pPr>
        <w:pStyle w:val="BodyText"/>
        <w:spacing w:before="90"/>
        <w:ind w:left="768" w:right="879"/>
        <w:jc w:val="center"/>
      </w:pPr>
      <w:r>
        <w:rPr>
          <w:u w:val="single"/>
        </w:rPr>
        <w:t>TABLE 2</w:t>
      </w:r>
    </w:p>
    <w:p>
      <w:pPr>
        <w:pStyle w:val="BodyText"/>
        <w:rPr>
          <w:sz w:val="20"/>
        </w:rPr>
      </w:pPr>
    </w:p>
    <w:p>
      <w:pPr>
        <w:pStyle w:val="BodyText"/>
        <w:spacing w:before="10"/>
        <w:rPr>
          <w:sz w:val="19"/>
        </w:rPr>
      </w:pPr>
    </w:p>
    <w:p>
      <w:pPr>
        <w:pStyle w:val="BodyText"/>
        <w:spacing w:before="90"/>
        <w:ind w:left="768" w:right="867"/>
        <w:jc w:val="center"/>
      </w:pPr>
      <w:r>
        <w:rPr>
          <w:u w:val="single"/>
        </w:rPr>
        <w:t>The Spread of Trade Unionism in Britain 1970-99</w:t>
      </w:r>
      <w:r>
        <w:rPr/>
        <w:t> (%)</w:t>
      </w:r>
    </w:p>
    <w:p>
      <w:pPr>
        <w:pStyle w:val="BodyText"/>
        <w:rPr>
          <w:sz w:val="20"/>
        </w:rPr>
      </w:pPr>
    </w:p>
    <w:p>
      <w:pPr>
        <w:pStyle w:val="BodyText"/>
        <w:rPr>
          <w:sz w:val="20"/>
        </w:rPr>
      </w:pPr>
    </w:p>
    <w:p>
      <w:pPr>
        <w:pStyle w:val="BodyText"/>
        <w:spacing w:before="3"/>
        <w:rPr>
          <w:sz w:val="11"/>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5"/>
        <w:gridCol w:w="825"/>
        <w:gridCol w:w="810"/>
        <w:gridCol w:w="810"/>
        <w:gridCol w:w="803"/>
        <w:gridCol w:w="803"/>
        <w:gridCol w:w="811"/>
        <w:gridCol w:w="811"/>
        <w:gridCol w:w="811"/>
        <w:gridCol w:w="756"/>
      </w:tblGrid>
      <w:tr>
        <w:trPr>
          <w:trHeight w:val="335" w:hRule="atLeast"/>
        </w:trPr>
        <w:tc>
          <w:tcPr>
            <w:tcW w:w="1115" w:type="dxa"/>
          </w:tcPr>
          <w:p>
            <w:pPr>
              <w:pStyle w:val="TableParagraph"/>
              <w:rPr>
                <w:sz w:val="24"/>
              </w:rPr>
            </w:pPr>
          </w:p>
        </w:tc>
        <w:tc>
          <w:tcPr>
            <w:tcW w:w="825" w:type="dxa"/>
          </w:tcPr>
          <w:p>
            <w:pPr>
              <w:pStyle w:val="TableParagraph"/>
              <w:spacing w:line="266" w:lineRule="exact"/>
              <w:ind w:left="180"/>
              <w:rPr>
                <w:sz w:val="24"/>
              </w:rPr>
            </w:pPr>
            <w:r>
              <w:rPr>
                <w:sz w:val="24"/>
              </w:rPr>
              <w:t>1970</w:t>
            </w:r>
          </w:p>
        </w:tc>
        <w:tc>
          <w:tcPr>
            <w:tcW w:w="810" w:type="dxa"/>
          </w:tcPr>
          <w:p>
            <w:pPr>
              <w:pStyle w:val="TableParagraph"/>
              <w:spacing w:line="266" w:lineRule="exact"/>
              <w:ind w:left="165"/>
              <w:rPr>
                <w:sz w:val="24"/>
              </w:rPr>
            </w:pPr>
            <w:r>
              <w:rPr>
                <w:sz w:val="24"/>
              </w:rPr>
              <w:t>1975</w:t>
            </w:r>
          </w:p>
        </w:tc>
        <w:tc>
          <w:tcPr>
            <w:tcW w:w="810" w:type="dxa"/>
          </w:tcPr>
          <w:p>
            <w:pPr>
              <w:pStyle w:val="TableParagraph"/>
              <w:spacing w:line="266" w:lineRule="exact"/>
              <w:ind w:left="165"/>
              <w:rPr>
                <w:sz w:val="24"/>
              </w:rPr>
            </w:pPr>
            <w:r>
              <w:rPr>
                <w:sz w:val="24"/>
              </w:rPr>
              <w:t>1980</w:t>
            </w:r>
          </w:p>
        </w:tc>
        <w:tc>
          <w:tcPr>
            <w:tcW w:w="803" w:type="dxa"/>
          </w:tcPr>
          <w:p>
            <w:pPr>
              <w:pStyle w:val="TableParagraph"/>
              <w:spacing w:line="266" w:lineRule="exact"/>
              <w:ind w:left="165"/>
              <w:rPr>
                <w:sz w:val="24"/>
              </w:rPr>
            </w:pPr>
            <w:r>
              <w:rPr>
                <w:sz w:val="24"/>
              </w:rPr>
              <w:t>1985</w:t>
            </w:r>
          </w:p>
        </w:tc>
        <w:tc>
          <w:tcPr>
            <w:tcW w:w="803" w:type="dxa"/>
          </w:tcPr>
          <w:p>
            <w:pPr>
              <w:pStyle w:val="TableParagraph"/>
              <w:spacing w:line="266" w:lineRule="exact"/>
              <w:ind w:left="157"/>
              <w:rPr>
                <w:sz w:val="24"/>
              </w:rPr>
            </w:pPr>
            <w:r>
              <w:rPr>
                <w:sz w:val="24"/>
              </w:rPr>
              <w:t>1990</w:t>
            </w:r>
          </w:p>
        </w:tc>
        <w:tc>
          <w:tcPr>
            <w:tcW w:w="811" w:type="dxa"/>
          </w:tcPr>
          <w:p>
            <w:pPr>
              <w:pStyle w:val="TableParagraph"/>
              <w:spacing w:line="266" w:lineRule="exact"/>
              <w:ind w:left="164"/>
              <w:rPr>
                <w:sz w:val="24"/>
              </w:rPr>
            </w:pPr>
            <w:r>
              <w:rPr>
                <w:sz w:val="24"/>
              </w:rPr>
              <w:t>1994</w:t>
            </w:r>
          </w:p>
        </w:tc>
        <w:tc>
          <w:tcPr>
            <w:tcW w:w="811" w:type="dxa"/>
          </w:tcPr>
          <w:p>
            <w:pPr>
              <w:pStyle w:val="TableParagraph"/>
              <w:spacing w:line="266" w:lineRule="exact"/>
              <w:ind w:left="163"/>
              <w:rPr>
                <w:sz w:val="24"/>
              </w:rPr>
            </w:pPr>
            <w:r>
              <w:rPr>
                <w:sz w:val="24"/>
              </w:rPr>
              <w:t>1996</w:t>
            </w:r>
          </w:p>
        </w:tc>
        <w:tc>
          <w:tcPr>
            <w:tcW w:w="811" w:type="dxa"/>
          </w:tcPr>
          <w:p>
            <w:pPr>
              <w:pStyle w:val="TableParagraph"/>
              <w:spacing w:line="266" w:lineRule="exact"/>
              <w:ind w:left="162"/>
              <w:rPr>
                <w:sz w:val="24"/>
              </w:rPr>
            </w:pPr>
            <w:r>
              <w:rPr>
                <w:sz w:val="24"/>
              </w:rPr>
              <w:t>1998</w:t>
            </w:r>
          </w:p>
        </w:tc>
        <w:tc>
          <w:tcPr>
            <w:tcW w:w="756" w:type="dxa"/>
          </w:tcPr>
          <w:p>
            <w:pPr>
              <w:pStyle w:val="TableParagraph"/>
              <w:spacing w:line="266" w:lineRule="exact"/>
              <w:ind w:left="161"/>
              <w:rPr>
                <w:sz w:val="24"/>
              </w:rPr>
            </w:pPr>
            <w:r>
              <w:rPr>
                <w:sz w:val="24"/>
              </w:rPr>
              <w:t>1999</w:t>
            </w:r>
          </w:p>
        </w:tc>
      </w:tr>
      <w:tr>
        <w:trPr>
          <w:trHeight w:val="412" w:hRule="atLeast"/>
        </w:trPr>
        <w:tc>
          <w:tcPr>
            <w:tcW w:w="1115" w:type="dxa"/>
          </w:tcPr>
          <w:p>
            <w:pPr>
              <w:pStyle w:val="TableParagraph"/>
              <w:spacing w:before="59"/>
              <w:ind w:left="50"/>
              <w:rPr>
                <w:sz w:val="24"/>
              </w:rPr>
            </w:pPr>
            <w:r>
              <w:rPr>
                <w:sz w:val="24"/>
              </w:rPr>
              <w:t>Coverage</w:t>
            </w:r>
          </w:p>
        </w:tc>
        <w:tc>
          <w:tcPr>
            <w:tcW w:w="825" w:type="dxa"/>
          </w:tcPr>
          <w:p>
            <w:pPr>
              <w:pStyle w:val="TableParagraph"/>
              <w:spacing w:before="59"/>
              <w:ind w:left="180"/>
              <w:rPr>
                <w:sz w:val="24"/>
              </w:rPr>
            </w:pPr>
            <w:r>
              <w:rPr>
                <w:sz w:val="24"/>
              </w:rPr>
              <w:t>68</w:t>
            </w:r>
          </w:p>
        </w:tc>
        <w:tc>
          <w:tcPr>
            <w:tcW w:w="810" w:type="dxa"/>
          </w:tcPr>
          <w:p>
            <w:pPr>
              <w:pStyle w:val="TableParagraph"/>
              <w:spacing w:before="59"/>
              <w:ind w:left="165"/>
              <w:rPr>
                <w:sz w:val="24"/>
              </w:rPr>
            </w:pPr>
            <w:r>
              <w:rPr>
                <w:w w:val="99"/>
                <w:sz w:val="24"/>
              </w:rPr>
              <w:t>-</w:t>
            </w:r>
          </w:p>
        </w:tc>
        <w:tc>
          <w:tcPr>
            <w:tcW w:w="810" w:type="dxa"/>
          </w:tcPr>
          <w:p>
            <w:pPr>
              <w:pStyle w:val="TableParagraph"/>
              <w:spacing w:before="59"/>
              <w:ind w:left="165"/>
              <w:rPr>
                <w:sz w:val="24"/>
              </w:rPr>
            </w:pPr>
            <w:r>
              <w:rPr>
                <w:sz w:val="24"/>
              </w:rPr>
              <w:t>70</w:t>
            </w:r>
          </w:p>
        </w:tc>
        <w:tc>
          <w:tcPr>
            <w:tcW w:w="803" w:type="dxa"/>
          </w:tcPr>
          <w:p>
            <w:pPr>
              <w:pStyle w:val="TableParagraph"/>
              <w:spacing w:before="59"/>
              <w:ind w:left="165"/>
              <w:rPr>
                <w:sz w:val="24"/>
              </w:rPr>
            </w:pPr>
            <w:r>
              <w:rPr>
                <w:sz w:val="24"/>
              </w:rPr>
              <w:t>64</w:t>
            </w:r>
          </w:p>
        </w:tc>
        <w:tc>
          <w:tcPr>
            <w:tcW w:w="803" w:type="dxa"/>
          </w:tcPr>
          <w:p>
            <w:pPr>
              <w:pStyle w:val="TableParagraph"/>
              <w:spacing w:before="59"/>
              <w:ind w:left="157"/>
              <w:rPr>
                <w:sz w:val="24"/>
              </w:rPr>
            </w:pPr>
            <w:r>
              <w:rPr>
                <w:sz w:val="24"/>
              </w:rPr>
              <w:t>54</w:t>
            </w:r>
          </w:p>
        </w:tc>
        <w:tc>
          <w:tcPr>
            <w:tcW w:w="811" w:type="dxa"/>
          </w:tcPr>
          <w:p>
            <w:pPr>
              <w:pStyle w:val="TableParagraph"/>
              <w:spacing w:before="59"/>
              <w:ind w:left="164"/>
              <w:rPr>
                <w:sz w:val="24"/>
              </w:rPr>
            </w:pPr>
            <w:r>
              <w:rPr>
                <w:sz w:val="24"/>
              </w:rPr>
              <w:t>40</w:t>
            </w:r>
          </w:p>
        </w:tc>
        <w:tc>
          <w:tcPr>
            <w:tcW w:w="811" w:type="dxa"/>
          </w:tcPr>
          <w:p>
            <w:pPr>
              <w:pStyle w:val="TableParagraph"/>
              <w:spacing w:before="59"/>
              <w:ind w:left="163"/>
              <w:rPr>
                <w:sz w:val="24"/>
              </w:rPr>
            </w:pPr>
            <w:r>
              <w:rPr>
                <w:sz w:val="24"/>
              </w:rPr>
              <w:t>36.5</w:t>
            </w:r>
          </w:p>
        </w:tc>
        <w:tc>
          <w:tcPr>
            <w:tcW w:w="811" w:type="dxa"/>
          </w:tcPr>
          <w:p>
            <w:pPr>
              <w:pStyle w:val="TableParagraph"/>
              <w:spacing w:before="59"/>
              <w:ind w:left="162"/>
              <w:rPr>
                <w:sz w:val="24"/>
              </w:rPr>
            </w:pPr>
            <w:r>
              <w:rPr>
                <w:sz w:val="24"/>
              </w:rPr>
              <w:t>34.5</w:t>
            </w:r>
          </w:p>
        </w:tc>
        <w:tc>
          <w:tcPr>
            <w:tcW w:w="756" w:type="dxa"/>
          </w:tcPr>
          <w:p>
            <w:pPr>
              <w:pStyle w:val="TableParagraph"/>
              <w:spacing w:before="59"/>
              <w:ind w:left="161"/>
              <w:rPr>
                <w:sz w:val="24"/>
              </w:rPr>
            </w:pPr>
            <w:r>
              <w:rPr>
                <w:sz w:val="24"/>
              </w:rPr>
              <w:t>35.8*</w:t>
            </w:r>
          </w:p>
        </w:tc>
      </w:tr>
      <w:tr>
        <w:trPr>
          <w:trHeight w:val="342" w:hRule="atLeast"/>
        </w:trPr>
        <w:tc>
          <w:tcPr>
            <w:tcW w:w="1115" w:type="dxa"/>
          </w:tcPr>
          <w:p>
            <w:pPr>
              <w:pStyle w:val="TableParagraph"/>
              <w:spacing w:line="256" w:lineRule="exact" w:before="67"/>
              <w:ind w:left="50"/>
              <w:rPr>
                <w:sz w:val="24"/>
              </w:rPr>
            </w:pPr>
            <w:r>
              <w:rPr>
                <w:sz w:val="24"/>
              </w:rPr>
              <w:t>Density</w:t>
            </w:r>
          </w:p>
        </w:tc>
        <w:tc>
          <w:tcPr>
            <w:tcW w:w="825" w:type="dxa"/>
          </w:tcPr>
          <w:p>
            <w:pPr>
              <w:pStyle w:val="TableParagraph"/>
              <w:spacing w:line="256" w:lineRule="exact" w:before="67"/>
              <w:ind w:left="180"/>
              <w:rPr>
                <w:sz w:val="24"/>
              </w:rPr>
            </w:pPr>
            <w:r>
              <w:rPr>
                <w:sz w:val="24"/>
              </w:rPr>
              <w:t>44</w:t>
            </w:r>
          </w:p>
        </w:tc>
        <w:tc>
          <w:tcPr>
            <w:tcW w:w="810" w:type="dxa"/>
          </w:tcPr>
          <w:p>
            <w:pPr>
              <w:pStyle w:val="TableParagraph"/>
              <w:spacing w:line="256" w:lineRule="exact" w:before="67"/>
              <w:ind w:left="165"/>
              <w:rPr>
                <w:sz w:val="24"/>
              </w:rPr>
            </w:pPr>
            <w:r>
              <w:rPr>
                <w:sz w:val="24"/>
              </w:rPr>
              <w:t>48</w:t>
            </w:r>
          </w:p>
        </w:tc>
        <w:tc>
          <w:tcPr>
            <w:tcW w:w="810" w:type="dxa"/>
          </w:tcPr>
          <w:p>
            <w:pPr>
              <w:pStyle w:val="TableParagraph"/>
              <w:spacing w:line="256" w:lineRule="exact" w:before="67"/>
              <w:ind w:left="165"/>
              <w:rPr>
                <w:sz w:val="24"/>
              </w:rPr>
            </w:pPr>
            <w:r>
              <w:rPr>
                <w:sz w:val="24"/>
              </w:rPr>
              <w:t>50</w:t>
            </w:r>
          </w:p>
        </w:tc>
        <w:tc>
          <w:tcPr>
            <w:tcW w:w="803" w:type="dxa"/>
          </w:tcPr>
          <w:p>
            <w:pPr>
              <w:pStyle w:val="TableParagraph"/>
              <w:spacing w:line="256" w:lineRule="exact" w:before="67"/>
              <w:ind w:left="165"/>
              <w:rPr>
                <w:sz w:val="24"/>
              </w:rPr>
            </w:pPr>
            <w:r>
              <w:rPr>
                <w:sz w:val="24"/>
              </w:rPr>
              <w:t>45</w:t>
            </w:r>
          </w:p>
        </w:tc>
        <w:tc>
          <w:tcPr>
            <w:tcW w:w="803" w:type="dxa"/>
          </w:tcPr>
          <w:p>
            <w:pPr>
              <w:pStyle w:val="TableParagraph"/>
              <w:spacing w:line="256" w:lineRule="exact" w:before="67"/>
              <w:ind w:left="157"/>
              <w:rPr>
                <w:sz w:val="24"/>
              </w:rPr>
            </w:pPr>
            <w:r>
              <w:rPr>
                <w:sz w:val="24"/>
              </w:rPr>
              <w:t>38</w:t>
            </w:r>
          </w:p>
        </w:tc>
        <w:tc>
          <w:tcPr>
            <w:tcW w:w="811" w:type="dxa"/>
          </w:tcPr>
          <w:p>
            <w:pPr>
              <w:pStyle w:val="TableParagraph"/>
              <w:spacing w:line="256" w:lineRule="exact" w:before="67"/>
              <w:ind w:left="164"/>
              <w:rPr>
                <w:sz w:val="24"/>
              </w:rPr>
            </w:pPr>
            <w:r>
              <w:rPr>
                <w:sz w:val="24"/>
              </w:rPr>
              <w:t>34</w:t>
            </w:r>
          </w:p>
        </w:tc>
        <w:tc>
          <w:tcPr>
            <w:tcW w:w="811" w:type="dxa"/>
          </w:tcPr>
          <w:p>
            <w:pPr>
              <w:pStyle w:val="TableParagraph"/>
              <w:spacing w:line="256" w:lineRule="exact" w:before="67"/>
              <w:ind w:left="163"/>
              <w:rPr>
                <w:sz w:val="24"/>
              </w:rPr>
            </w:pPr>
            <w:r>
              <w:rPr>
                <w:sz w:val="24"/>
              </w:rPr>
              <w:t>31.2</w:t>
            </w:r>
          </w:p>
        </w:tc>
        <w:tc>
          <w:tcPr>
            <w:tcW w:w="811" w:type="dxa"/>
          </w:tcPr>
          <w:p>
            <w:pPr>
              <w:pStyle w:val="TableParagraph"/>
              <w:spacing w:line="256" w:lineRule="exact" w:before="67"/>
              <w:ind w:left="162"/>
              <w:rPr>
                <w:sz w:val="24"/>
              </w:rPr>
            </w:pPr>
            <w:r>
              <w:rPr>
                <w:sz w:val="24"/>
              </w:rPr>
              <w:t>29.6</w:t>
            </w:r>
          </w:p>
        </w:tc>
        <w:tc>
          <w:tcPr>
            <w:tcW w:w="756" w:type="dxa"/>
          </w:tcPr>
          <w:p>
            <w:pPr>
              <w:pStyle w:val="TableParagraph"/>
              <w:spacing w:line="256" w:lineRule="exact" w:before="67"/>
              <w:ind w:left="161"/>
              <w:rPr>
                <w:sz w:val="24"/>
              </w:rPr>
            </w:pPr>
            <w:r>
              <w:rPr>
                <w:sz w:val="24"/>
              </w:rPr>
              <w:t>29.5</w:t>
            </w:r>
          </w:p>
        </w:tc>
      </w:tr>
    </w:tbl>
    <w:p>
      <w:pPr>
        <w:pStyle w:val="BodyText"/>
        <w:rPr>
          <w:sz w:val="20"/>
        </w:rPr>
      </w:pPr>
    </w:p>
    <w:p>
      <w:pPr>
        <w:pStyle w:val="BodyText"/>
        <w:rPr>
          <w:sz w:val="20"/>
        </w:rPr>
      </w:pPr>
    </w:p>
    <w:p>
      <w:pPr>
        <w:pStyle w:val="BodyText"/>
        <w:rPr>
          <w:sz w:val="20"/>
        </w:rPr>
      </w:pPr>
    </w:p>
    <w:p>
      <w:pPr>
        <w:pStyle w:val="BodyText"/>
        <w:spacing w:before="11"/>
        <w:rPr>
          <w:sz w:val="22"/>
        </w:rPr>
      </w:pPr>
    </w:p>
    <w:p>
      <w:pPr>
        <w:pStyle w:val="BodyText"/>
        <w:spacing w:line="357" w:lineRule="auto"/>
        <w:ind w:left="235" w:right="474"/>
      </w:pPr>
      <w:r>
        <w:rPr>
          <w:u w:val="single"/>
        </w:rPr>
        <w:t>Note</w:t>
      </w:r>
      <w:r>
        <w:rPr/>
        <w:t>: Coverage refers to the proportion of civilian employees whose pay was covered by a trade union collective agreement. Density refers to the proportion of civilian employees who are members of a trade union.</w:t>
      </w:r>
    </w:p>
    <w:p>
      <w:pPr>
        <w:pStyle w:val="BodyText"/>
        <w:spacing w:before="2"/>
        <w:rPr>
          <w:sz w:val="36"/>
        </w:rPr>
      </w:pPr>
    </w:p>
    <w:p>
      <w:pPr>
        <w:pStyle w:val="BodyText"/>
        <w:spacing w:line="352" w:lineRule="auto"/>
        <w:ind w:left="235" w:right="397"/>
      </w:pPr>
      <w:r>
        <w:rPr>
          <w:u w:val="single"/>
        </w:rPr>
        <w:t>Source</w:t>
      </w:r>
      <w:r>
        <w:rPr/>
        <w:t>: Coverage, 1970-94, estimates by W. Brown based on Milner (1995), Millward et al. (1992) and OECD (1997). 1996-99 based on Hicks (2000). Density,</w:t>
      </w:r>
    </w:p>
    <w:p>
      <w:pPr>
        <w:pStyle w:val="BodyText"/>
        <w:spacing w:line="357" w:lineRule="auto" w:before="14"/>
        <w:ind w:left="235" w:right="360"/>
      </w:pPr>
      <w:r>
        <w:rPr/>
        <w:t>1970-85 based on Visser (1996). 1990-1999, Labour Force Survey, see Hicks (2000), Table 2. Note, the coverage data in 1999 (marked with an asterisk) are based on a different question in the Labour Force Survey than that asked previously.</w:t>
      </w:r>
    </w:p>
    <w:p>
      <w:pPr>
        <w:pStyle w:val="BodyText"/>
        <w:rPr>
          <w:sz w:val="20"/>
        </w:rPr>
      </w:pPr>
    </w:p>
    <w:p>
      <w:pPr>
        <w:pStyle w:val="BodyText"/>
        <w:spacing w:before="7"/>
        <w:rPr>
          <w:sz w:val="16"/>
        </w:rPr>
      </w:pPr>
      <w:r>
        <w:rPr/>
        <w:pict>
          <v:shape style="position:absolute;margin-left:89.25pt;margin-top:12.280957pt;width:418.5pt;height:.1pt;mso-position-horizontal-relative:page;mso-position-vertical-relative:paragraph;z-index:-251649024;mso-wrap-distance-left:0;mso-wrap-distance-right:0" coordorigin="1785,246" coordsize="8370,0" path="m1785,246l10155,246e" filled="false" stroked="true" strokeweight="1.5pt" strokecolor="#000000">
            <v:path arrowok="t"/>
            <v:stroke dashstyle="solid"/>
            <w10:wrap type="topAndBottom"/>
          </v:shape>
        </w:pict>
      </w:r>
    </w:p>
    <w:p>
      <w:pPr>
        <w:pStyle w:val="BodyText"/>
        <w:spacing w:before="7"/>
        <w:rPr>
          <w:sz w:val="23"/>
        </w:rPr>
      </w:pPr>
    </w:p>
    <w:p>
      <w:pPr>
        <w:pStyle w:val="BodyText"/>
        <w:spacing w:before="90"/>
        <w:ind w:left="768" w:right="879"/>
        <w:jc w:val="center"/>
      </w:pPr>
      <w:r>
        <w:rPr>
          <w:u w:val="single"/>
        </w:rPr>
        <w:t>TABLE 3</w:t>
      </w:r>
    </w:p>
    <w:p>
      <w:pPr>
        <w:pStyle w:val="BodyText"/>
        <w:spacing w:before="6"/>
        <w:rPr>
          <w:sz w:val="29"/>
        </w:rPr>
      </w:pPr>
    </w:p>
    <w:p>
      <w:pPr>
        <w:pStyle w:val="BodyText"/>
        <w:spacing w:before="90"/>
        <w:ind w:left="768" w:right="881"/>
        <w:jc w:val="center"/>
      </w:pPr>
      <w:r>
        <w:rPr>
          <w:u w:val="single"/>
        </w:rPr>
        <w:t>Unions in Britain in 1999</w:t>
      </w:r>
    </w:p>
    <w:p>
      <w:pPr>
        <w:pStyle w:val="BodyText"/>
        <w:spacing w:before="1"/>
        <w:rPr>
          <w:sz w:val="25"/>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5"/>
        <w:gridCol w:w="680"/>
        <w:gridCol w:w="1725"/>
        <w:gridCol w:w="1223"/>
        <w:gridCol w:w="1598"/>
        <w:gridCol w:w="1056"/>
      </w:tblGrid>
      <w:tr>
        <w:trPr>
          <w:trHeight w:val="254" w:hRule="atLeast"/>
        </w:trPr>
        <w:tc>
          <w:tcPr>
            <w:tcW w:w="2555" w:type="dxa"/>
            <w:gridSpan w:val="2"/>
          </w:tcPr>
          <w:p>
            <w:pPr>
              <w:pStyle w:val="TableParagraph"/>
              <w:spacing w:line="234" w:lineRule="exact"/>
              <w:ind w:right="328"/>
              <w:jc w:val="right"/>
              <w:rPr>
                <w:sz w:val="24"/>
              </w:rPr>
            </w:pPr>
            <w:r>
              <w:rPr>
                <w:w w:val="95"/>
                <w:sz w:val="24"/>
              </w:rPr>
              <w:t>All</w:t>
            </w:r>
          </w:p>
        </w:tc>
        <w:tc>
          <w:tcPr>
            <w:tcW w:w="1725" w:type="dxa"/>
          </w:tcPr>
          <w:p>
            <w:pPr>
              <w:pStyle w:val="TableParagraph"/>
              <w:spacing w:line="234" w:lineRule="exact"/>
              <w:ind w:left="330"/>
              <w:rPr>
                <w:sz w:val="24"/>
              </w:rPr>
            </w:pPr>
            <w:r>
              <w:rPr>
                <w:sz w:val="24"/>
                <w:u w:val="single"/>
              </w:rPr>
              <w:t>Private Sector</w:t>
            </w:r>
          </w:p>
        </w:tc>
        <w:tc>
          <w:tcPr>
            <w:tcW w:w="1223" w:type="dxa"/>
          </w:tcPr>
          <w:p>
            <w:pPr>
              <w:pStyle w:val="TableParagraph"/>
              <w:rPr>
                <w:sz w:val="18"/>
              </w:rPr>
            </w:pPr>
          </w:p>
        </w:tc>
        <w:tc>
          <w:tcPr>
            <w:tcW w:w="1598" w:type="dxa"/>
          </w:tcPr>
          <w:p>
            <w:pPr>
              <w:pStyle w:val="TableParagraph"/>
              <w:spacing w:line="234" w:lineRule="exact"/>
              <w:ind w:left="232"/>
              <w:rPr>
                <w:sz w:val="24"/>
              </w:rPr>
            </w:pPr>
            <w:r>
              <w:rPr>
                <w:sz w:val="24"/>
                <w:u w:val="single"/>
              </w:rPr>
              <w:t>Public Sector</w:t>
            </w:r>
          </w:p>
        </w:tc>
        <w:tc>
          <w:tcPr>
            <w:tcW w:w="1056" w:type="dxa"/>
          </w:tcPr>
          <w:p>
            <w:pPr>
              <w:pStyle w:val="TableParagraph"/>
              <w:rPr>
                <w:sz w:val="18"/>
              </w:rPr>
            </w:pPr>
          </w:p>
        </w:tc>
      </w:tr>
      <w:tr>
        <w:trPr>
          <w:trHeight w:val="282" w:hRule="atLeast"/>
        </w:trPr>
        <w:tc>
          <w:tcPr>
            <w:tcW w:w="2555" w:type="dxa"/>
            <w:gridSpan w:val="2"/>
          </w:tcPr>
          <w:p>
            <w:pPr>
              <w:pStyle w:val="TableParagraph"/>
              <w:rPr>
                <w:sz w:val="20"/>
              </w:rPr>
            </w:pPr>
          </w:p>
        </w:tc>
        <w:tc>
          <w:tcPr>
            <w:tcW w:w="1725" w:type="dxa"/>
          </w:tcPr>
          <w:p>
            <w:pPr>
              <w:pStyle w:val="TableParagraph"/>
              <w:spacing w:line="257" w:lineRule="exact" w:before="5"/>
              <w:ind w:left="330"/>
              <w:rPr>
                <w:sz w:val="24"/>
              </w:rPr>
            </w:pPr>
            <w:r>
              <w:rPr>
                <w:sz w:val="24"/>
              </w:rPr>
              <w:t>&lt;25 emp.</w:t>
            </w:r>
          </w:p>
        </w:tc>
        <w:tc>
          <w:tcPr>
            <w:tcW w:w="1223" w:type="dxa"/>
          </w:tcPr>
          <w:p>
            <w:pPr>
              <w:pStyle w:val="TableParagraph"/>
              <w:spacing w:line="262" w:lineRule="exact"/>
              <w:ind w:left="60"/>
              <w:rPr>
                <w:sz w:val="24"/>
              </w:rPr>
            </w:pPr>
            <w:r>
              <w:rPr>
                <w:rFonts w:ascii="Symbol" w:hAnsi="Symbol"/>
                <w:sz w:val="24"/>
              </w:rPr>
              <w:t></w:t>
            </w:r>
            <w:r>
              <w:rPr>
                <w:sz w:val="24"/>
              </w:rPr>
              <w:t> 25 emp.</w:t>
            </w:r>
          </w:p>
        </w:tc>
        <w:tc>
          <w:tcPr>
            <w:tcW w:w="1598" w:type="dxa"/>
          </w:tcPr>
          <w:p>
            <w:pPr>
              <w:pStyle w:val="TableParagraph"/>
              <w:spacing w:line="257" w:lineRule="exact" w:before="5"/>
              <w:ind w:left="232"/>
              <w:rPr>
                <w:sz w:val="24"/>
              </w:rPr>
            </w:pPr>
            <w:r>
              <w:rPr>
                <w:sz w:val="24"/>
              </w:rPr>
              <w:t>&lt;25 emp.</w:t>
            </w:r>
          </w:p>
        </w:tc>
        <w:tc>
          <w:tcPr>
            <w:tcW w:w="1056" w:type="dxa"/>
          </w:tcPr>
          <w:p>
            <w:pPr>
              <w:pStyle w:val="TableParagraph"/>
              <w:spacing w:line="262" w:lineRule="exact"/>
              <w:ind w:left="74"/>
              <w:rPr>
                <w:sz w:val="24"/>
              </w:rPr>
            </w:pPr>
            <w:r>
              <w:rPr>
                <w:rFonts w:ascii="Symbol" w:hAnsi="Symbol"/>
                <w:sz w:val="24"/>
              </w:rPr>
              <w:t></w:t>
            </w:r>
            <w:r>
              <w:rPr>
                <w:sz w:val="24"/>
              </w:rPr>
              <w:t> 25 emp.</w:t>
            </w:r>
          </w:p>
        </w:tc>
      </w:tr>
      <w:tr>
        <w:trPr>
          <w:trHeight w:val="563" w:hRule="atLeast"/>
        </w:trPr>
        <w:tc>
          <w:tcPr>
            <w:tcW w:w="1875" w:type="dxa"/>
          </w:tcPr>
          <w:p>
            <w:pPr>
              <w:pStyle w:val="TableParagraph"/>
              <w:spacing w:before="2"/>
              <w:rPr>
                <w:sz w:val="24"/>
              </w:rPr>
            </w:pPr>
          </w:p>
          <w:p>
            <w:pPr>
              <w:pStyle w:val="TableParagraph"/>
              <w:spacing w:line="266" w:lineRule="exact"/>
              <w:ind w:left="50"/>
              <w:rPr>
                <w:sz w:val="24"/>
              </w:rPr>
            </w:pPr>
            <w:r>
              <w:rPr>
                <w:sz w:val="24"/>
              </w:rPr>
              <w:t>Coverage</w:t>
            </w:r>
          </w:p>
        </w:tc>
        <w:tc>
          <w:tcPr>
            <w:tcW w:w="680" w:type="dxa"/>
          </w:tcPr>
          <w:p>
            <w:pPr>
              <w:pStyle w:val="TableParagraph"/>
              <w:spacing w:before="2"/>
              <w:rPr>
                <w:sz w:val="24"/>
              </w:rPr>
            </w:pPr>
          </w:p>
          <w:p>
            <w:pPr>
              <w:pStyle w:val="TableParagraph"/>
              <w:spacing w:line="266" w:lineRule="exact"/>
              <w:ind w:left="80"/>
              <w:rPr>
                <w:sz w:val="24"/>
              </w:rPr>
            </w:pPr>
            <w:r>
              <w:rPr>
                <w:sz w:val="24"/>
              </w:rPr>
              <w:t>36</w:t>
            </w:r>
          </w:p>
        </w:tc>
        <w:tc>
          <w:tcPr>
            <w:tcW w:w="1725" w:type="dxa"/>
          </w:tcPr>
          <w:p>
            <w:pPr>
              <w:pStyle w:val="TableParagraph"/>
              <w:spacing w:before="2"/>
              <w:rPr>
                <w:sz w:val="24"/>
              </w:rPr>
            </w:pPr>
          </w:p>
          <w:p>
            <w:pPr>
              <w:pStyle w:val="TableParagraph"/>
              <w:spacing w:line="266" w:lineRule="exact"/>
              <w:ind w:left="790" w:right="655"/>
              <w:jc w:val="center"/>
              <w:rPr>
                <w:sz w:val="24"/>
              </w:rPr>
            </w:pPr>
            <w:r>
              <w:rPr>
                <w:sz w:val="24"/>
              </w:rPr>
              <w:t>10</w:t>
            </w:r>
          </w:p>
        </w:tc>
        <w:tc>
          <w:tcPr>
            <w:tcW w:w="1223" w:type="dxa"/>
          </w:tcPr>
          <w:p>
            <w:pPr>
              <w:pStyle w:val="TableParagraph"/>
              <w:spacing w:before="2"/>
              <w:rPr>
                <w:sz w:val="24"/>
              </w:rPr>
            </w:pPr>
          </w:p>
          <w:p>
            <w:pPr>
              <w:pStyle w:val="TableParagraph"/>
              <w:spacing w:line="266" w:lineRule="exact"/>
              <w:ind w:left="490" w:right="453"/>
              <w:jc w:val="center"/>
              <w:rPr>
                <w:sz w:val="24"/>
              </w:rPr>
            </w:pPr>
            <w:r>
              <w:rPr>
                <w:sz w:val="24"/>
              </w:rPr>
              <w:t>31</w:t>
            </w:r>
          </w:p>
        </w:tc>
        <w:tc>
          <w:tcPr>
            <w:tcW w:w="1598" w:type="dxa"/>
          </w:tcPr>
          <w:p>
            <w:pPr>
              <w:pStyle w:val="TableParagraph"/>
              <w:spacing w:before="2"/>
              <w:rPr>
                <w:sz w:val="24"/>
              </w:rPr>
            </w:pPr>
          </w:p>
          <w:p>
            <w:pPr>
              <w:pStyle w:val="TableParagraph"/>
              <w:spacing w:line="266" w:lineRule="exact"/>
              <w:ind w:left="692" w:right="626"/>
              <w:jc w:val="center"/>
              <w:rPr>
                <w:sz w:val="24"/>
              </w:rPr>
            </w:pPr>
            <w:r>
              <w:rPr>
                <w:sz w:val="24"/>
              </w:rPr>
              <w:t>62</w:t>
            </w:r>
          </w:p>
        </w:tc>
        <w:tc>
          <w:tcPr>
            <w:tcW w:w="1056" w:type="dxa"/>
          </w:tcPr>
          <w:p>
            <w:pPr>
              <w:pStyle w:val="TableParagraph"/>
              <w:spacing w:before="2"/>
              <w:rPr>
                <w:sz w:val="24"/>
              </w:rPr>
            </w:pPr>
          </w:p>
          <w:p>
            <w:pPr>
              <w:pStyle w:val="TableParagraph"/>
              <w:spacing w:line="266" w:lineRule="exact"/>
              <w:ind w:left="524"/>
              <w:rPr>
                <w:sz w:val="24"/>
              </w:rPr>
            </w:pPr>
            <w:r>
              <w:rPr>
                <w:sz w:val="24"/>
              </w:rPr>
              <w:t>75</w:t>
            </w:r>
          </w:p>
        </w:tc>
      </w:tr>
      <w:tr>
        <w:trPr>
          <w:trHeight w:val="275" w:hRule="atLeast"/>
        </w:trPr>
        <w:tc>
          <w:tcPr>
            <w:tcW w:w="1875" w:type="dxa"/>
          </w:tcPr>
          <w:p>
            <w:pPr>
              <w:pStyle w:val="TableParagraph"/>
              <w:spacing w:line="255" w:lineRule="exact"/>
              <w:ind w:left="50"/>
              <w:rPr>
                <w:sz w:val="24"/>
              </w:rPr>
            </w:pPr>
            <w:r>
              <w:rPr>
                <w:sz w:val="24"/>
              </w:rPr>
              <w:t>Density</w:t>
            </w:r>
          </w:p>
        </w:tc>
        <w:tc>
          <w:tcPr>
            <w:tcW w:w="680" w:type="dxa"/>
          </w:tcPr>
          <w:p>
            <w:pPr>
              <w:pStyle w:val="TableParagraph"/>
              <w:spacing w:line="255" w:lineRule="exact"/>
              <w:ind w:left="80"/>
              <w:rPr>
                <w:sz w:val="24"/>
              </w:rPr>
            </w:pPr>
            <w:r>
              <w:rPr>
                <w:sz w:val="24"/>
              </w:rPr>
              <w:t>30</w:t>
            </w:r>
          </w:p>
        </w:tc>
        <w:tc>
          <w:tcPr>
            <w:tcW w:w="1725" w:type="dxa"/>
          </w:tcPr>
          <w:p>
            <w:pPr>
              <w:pStyle w:val="TableParagraph"/>
              <w:spacing w:line="255" w:lineRule="exact"/>
              <w:ind w:left="195"/>
              <w:jc w:val="center"/>
              <w:rPr>
                <w:sz w:val="24"/>
              </w:rPr>
            </w:pPr>
            <w:r>
              <w:rPr>
                <w:sz w:val="24"/>
              </w:rPr>
              <w:t>9</w:t>
            </w:r>
          </w:p>
        </w:tc>
        <w:tc>
          <w:tcPr>
            <w:tcW w:w="1223" w:type="dxa"/>
          </w:tcPr>
          <w:p>
            <w:pPr>
              <w:pStyle w:val="TableParagraph"/>
              <w:spacing w:line="255" w:lineRule="exact"/>
              <w:ind w:left="490" w:right="453"/>
              <w:jc w:val="center"/>
              <w:rPr>
                <w:sz w:val="24"/>
              </w:rPr>
            </w:pPr>
            <w:r>
              <w:rPr>
                <w:sz w:val="24"/>
              </w:rPr>
              <w:t>26</w:t>
            </w:r>
          </w:p>
        </w:tc>
        <w:tc>
          <w:tcPr>
            <w:tcW w:w="1598" w:type="dxa"/>
          </w:tcPr>
          <w:p>
            <w:pPr>
              <w:pStyle w:val="TableParagraph"/>
              <w:spacing w:line="255" w:lineRule="exact"/>
              <w:ind w:left="692" w:right="626"/>
              <w:jc w:val="center"/>
              <w:rPr>
                <w:sz w:val="24"/>
              </w:rPr>
            </w:pPr>
            <w:r>
              <w:rPr>
                <w:sz w:val="24"/>
              </w:rPr>
              <w:t>51</w:t>
            </w:r>
          </w:p>
        </w:tc>
        <w:tc>
          <w:tcPr>
            <w:tcW w:w="1056" w:type="dxa"/>
          </w:tcPr>
          <w:p>
            <w:pPr>
              <w:pStyle w:val="TableParagraph"/>
              <w:spacing w:line="255" w:lineRule="exact"/>
              <w:ind w:left="524"/>
              <w:rPr>
                <w:sz w:val="24"/>
              </w:rPr>
            </w:pPr>
            <w:r>
              <w:rPr>
                <w:sz w:val="24"/>
              </w:rPr>
              <w:t>62</w:t>
            </w:r>
          </w:p>
        </w:tc>
      </w:tr>
    </w:tbl>
    <w:p>
      <w:pPr>
        <w:pStyle w:val="BodyText"/>
        <w:ind w:left="753" w:right="881"/>
        <w:jc w:val="center"/>
      </w:pPr>
      <w:r>
        <w:rPr/>
        <w:t>(average = 19)</w:t>
      </w:r>
    </w:p>
    <w:p>
      <w:pPr>
        <w:pStyle w:val="BodyText"/>
        <w:rPr>
          <w:sz w:val="26"/>
        </w:rPr>
      </w:pPr>
    </w:p>
    <w:p>
      <w:pPr>
        <w:pStyle w:val="BodyText"/>
        <w:spacing w:before="8"/>
        <w:rPr>
          <w:sz w:val="21"/>
        </w:rPr>
      </w:pPr>
    </w:p>
    <w:p>
      <w:pPr>
        <w:pStyle w:val="BodyText"/>
        <w:ind w:left="235"/>
      </w:pPr>
      <w:r>
        <w:rPr>
          <w:u w:val="single"/>
        </w:rPr>
        <w:t>Source</w:t>
      </w:r>
      <w:r>
        <w:rPr/>
        <w:t>: Hicks (2000) Tables 5 and 7, based on the Labour Force Survey.</w:t>
      </w:r>
    </w:p>
    <w:p>
      <w:pPr>
        <w:pStyle w:val="BodyText"/>
        <w:rPr>
          <w:sz w:val="20"/>
        </w:rPr>
      </w:pPr>
    </w:p>
    <w:p>
      <w:pPr>
        <w:pStyle w:val="BodyText"/>
        <w:spacing w:before="10"/>
        <w:rPr>
          <w:sz w:val="26"/>
        </w:rPr>
      </w:pPr>
      <w:r>
        <w:rPr/>
        <w:pict>
          <v:shape style="position:absolute;margin-left:89.25pt;margin-top:18.183741pt;width:418.5pt;height:.1pt;mso-position-horizontal-relative:page;mso-position-vertical-relative:paragraph;z-index:-251648000;mso-wrap-distance-left:0;mso-wrap-distance-right:0" coordorigin="1785,364" coordsize="8370,0" path="m1785,364l10155,364e" filled="false" stroked="true" strokeweight="1.5pt" strokecolor="#000000">
            <v:path arrowok="t"/>
            <v:stroke dashstyle="solid"/>
            <w10:wrap type="topAndBottom"/>
          </v:shape>
        </w:pict>
      </w:r>
    </w:p>
    <w:p>
      <w:pPr>
        <w:spacing w:after="0"/>
        <w:rPr>
          <w:sz w:val="26"/>
        </w:rPr>
        <w:sectPr>
          <w:pgSz w:w="11920" w:h="16840"/>
          <w:pgMar w:header="0" w:footer="779" w:top="1600" w:bottom="960" w:left="1580" w:right="1460"/>
        </w:sectPr>
      </w:pPr>
    </w:p>
    <w:p>
      <w:pPr>
        <w:pStyle w:val="BodyText"/>
        <w:spacing w:line="357" w:lineRule="auto" w:before="76"/>
        <w:ind w:left="235" w:right="360"/>
      </w:pPr>
      <w:r>
        <w:rPr/>
        <w:t>During this process, wage bargaining, even in the unionised part of the private sector, has become far less adversarial. Indeed the number of strikes is currently minimal relative to the level of disputes two decades ago.</w:t>
      </w:r>
    </w:p>
    <w:p>
      <w:pPr>
        <w:pStyle w:val="BodyText"/>
        <w:spacing w:before="2"/>
        <w:rPr>
          <w:sz w:val="36"/>
        </w:rPr>
      </w:pPr>
    </w:p>
    <w:p>
      <w:pPr>
        <w:pStyle w:val="BodyText"/>
        <w:spacing w:line="360" w:lineRule="auto"/>
        <w:ind w:left="235" w:right="599"/>
      </w:pPr>
      <w:r>
        <w:rPr/>
        <w:t>How has this change, which is almost unique in its scale among OECD countries, </w:t>
      </w:r>
      <w:r>
        <w:rPr>
          <w:spacing w:val="-3"/>
        </w:rPr>
        <w:t>come about? </w:t>
      </w:r>
      <w:r>
        <w:rPr/>
        <w:t>Two </w:t>
      </w:r>
      <w:r>
        <w:rPr>
          <w:spacing w:val="-3"/>
        </w:rPr>
        <w:t>factors </w:t>
      </w:r>
      <w:r>
        <w:rPr/>
        <w:t>are </w:t>
      </w:r>
      <w:r>
        <w:rPr>
          <w:spacing w:val="-3"/>
        </w:rPr>
        <w:t>important. First, </w:t>
      </w:r>
      <w:r>
        <w:rPr/>
        <w:t>the </w:t>
      </w:r>
      <w:r>
        <w:rPr>
          <w:spacing w:val="-3"/>
        </w:rPr>
        <w:t>Trade Union legislation </w:t>
      </w:r>
      <w:r>
        <w:rPr/>
        <w:t>of </w:t>
      </w:r>
      <w:r>
        <w:rPr>
          <w:spacing w:val="-3"/>
        </w:rPr>
        <w:t>the </w:t>
      </w:r>
      <w:r>
        <w:rPr/>
        <w:t>1980s moved the balance of power in disputes away from employees and made it </w:t>
      </w:r>
      <w:r>
        <w:rPr>
          <w:spacing w:val="-3"/>
        </w:rPr>
        <w:t>harder </w:t>
      </w:r>
      <w:r>
        <w:rPr/>
        <w:t>for </w:t>
      </w:r>
      <w:r>
        <w:rPr>
          <w:spacing w:val="-3"/>
        </w:rPr>
        <w:t>unions </w:t>
      </w:r>
      <w:r>
        <w:rPr/>
        <w:t>to </w:t>
      </w:r>
      <w:r>
        <w:rPr>
          <w:spacing w:val="-3"/>
        </w:rPr>
        <w:t>organise. This made </w:t>
      </w:r>
      <w:r>
        <w:rPr/>
        <w:t>it </w:t>
      </w:r>
      <w:r>
        <w:rPr>
          <w:spacing w:val="-3"/>
        </w:rPr>
        <w:t>less easy </w:t>
      </w:r>
      <w:r>
        <w:rPr/>
        <w:t>and </w:t>
      </w:r>
      <w:r>
        <w:rPr>
          <w:spacing w:val="-3"/>
        </w:rPr>
        <w:t>attractive </w:t>
      </w:r>
      <w:r>
        <w:rPr/>
        <w:t>to </w:t>
      </w:r>
      <w:r>
        <w:rPr>
          <w:spacing w:val="-3"/>
        </w:rPr>
        <w:t>join </w:t>
      </w:r>
      <w:r>
        <w:rPr/>
        <w:t>a </w:t>
      </w:r>
      <w:r>
        <w:rPr>
          <w:spacing w:val="-3"/>
        </w:rPr>
        <w:t>union. </w:t>
      </w:r>
      <w:r>
        <w:rPr/>
        <w:t>Second, the heavily unionised sectors of the economy have been in relative decline over the whole period (except for the public sector). This process is exemplified by the numbers presented in Table 4. These show clearly how, in the private sector, </w:t>
      </w:r>
      <w:r>
        <w:rPr>
          <w:spacing w:val="-3"/>
        </w:rPr>
        <w:t>newer establishments </w:t>
      </w:r>
      <w:r>
        <w:rPr/>
        <w:t>set up </w:t>
      </w:r>
      <w:r>
        <w:rPr>
          <w:spacing w:val="-3"/>
        </w:rPr>
        <w:t>after 1980 </w:t>
      </w:r>
      <w:r>
        <w:rPr/>
        <w:t>are far </w:t>
      </w:r>
      <w:r>
        <w:rPr>
          <w:spacing w:val="-3"/>
        </w:rPr>
        <w:t>less likely </w:t>
      </w:r>
      <w:r>
        <w:rPr/>
        <w:t>to be </w:t>
      </w:r>
      <w:r>
        <w:rPr>
          <w:spacing w:val="-3"/>
        </w:rPr>
        <w:t>unionised than those </w:t>
      </w:r>
      <w:r>
        <w:rPr/>
        <w:t>set up before</w:t>
      </w:r>
      <w:r>
        <w:rPr>
          <w:spacing w:val="8"/>
        </w:rPr>
        <w:t> </w:t>
      </w:r>
      <w:r>
        <w:rPr/>
        <w:t>1980.</w:t>
      </w:r>
    </w:p>
    <w:p>
      <w:pPr>
        <w:pStyle w:val="BodyText"/>
        <w:rPr>
          <w:sz w:val="20"/>
        </w:rPr>
      </w:pPr>
    </w:p>
    <w:p>
      <w:pPr>
        <w:pStyle w:val="BodyText"/>
        <w:spacing w:before="5"/>
        <w:rPr>
          <w:sz w:val="16"/>
        </w:rPr>
      </w:pPr>
      <w:r>
        <w:rPr/>
        <w:pict>
          <v:shape style="position:absolute;margin-left:89.25pt;margin-top:12.187793pt;width:418.5pt;height:.1pt;mso-position-horizontal-relative:page;mso-position-vertical-relative:paragraph;z-index:-251646976;mso-wrap-distance-left:0;mso-wrap-distance-right:0" coordorigin="1785,244" coordsize="8370,0" path="m1785,244l10155,244e" filled="false" stroked="true" strokeweight="1.5pt" strokecolor="#000000">
            <v:path arrowok="t"/>
            <v:stroke dashstyle="solid"/>
            <w10:wrap type="topAndBottom"/>
          </v:shape>
        </w:pict>
      </w:r>
    </w:p>
    <w:p>
      <w:pPr>
        <w:pStyle w:val="BodyText"/>
        <w:spacing w:before="7"/>
        <w:rPr>
          <w:sz w:val="23"/>
        </w:rPr>
      </w:pPr>
    </w:p>
    <w:p>
      <w:pPr>
        <w:pStyle w:val="BodyText"/>
        <w:spacing w:before="90"/>
        <w:ind w:left="768" w:right="879"/>
        <w:jc w:val="center"/>
      </w:pPr>
      <w:r>
        <w:rPr>
          <w:u w:val="single"/>
        </w:rPr>
        <w:t>TABLE 4</w:t>
      </w:r>
    </w:p>
    <w:p>
      <w:pPr>
        <w:pStyle w:val="BodyText"/>
        <w:rPr>
          <w:sz w:val="20"/>
        </w:rPr>
      </w:pPr>
    </w:p>
    <w:p>
      <w:pPr>
        <w:pStyle w:val="BodyText"/>
        <w:spacing w:before="11"/>
        <w:rPr>
          <w:sz w:val="19"/>
        </w:rPr>
      </w:pPr>
    </w:p>
    <w:p>
      <w:pPr>
        <w:pStyle w:val="BodyText"/>
        <w:spacing w:line="364" w:lineRule="auto" w:before="90"/>
        <w:ind w:left="3505" w:right="2676" w:hanging="915"/>
      </w:pPr>
      <w:r>
        <w:rPr>
          <w:u w:val="single"/>
        </w:rPr>
        <w:t>Union Recognition in Establishments</w:t>
      </w:r>
      <w:r>
        <w:rPr/>
        <w:t> </w:t>
      </w:r>
      <w:r>
        <w:rPr>
          <w:u w:val="single"/>
        </w:rPr>
        <w:t>Percent Unionised</w:t>
      </w:r>
    </w:p>
    <w:p>
      <w:pPr>
        <w:pStyle w:val="BodyText"/>
        <w:spacing w:before="9"/>
        <w:rPr>
          <w:sz w:val="28"/>
        </w:rPr>
      </w:pPr>
    </w:p>
    <w:p>
      <w:pPr>
        <w:pStyle w:val="BodyText"/>
        <w:tabs>
          <w:tab w:pos="4734" w:val="left" w:leader="none"/>
          <w:tab w:pos="7209" w:val="left" w:leader="none"/>
        </w:tabs>
        <w:spacing w:before="90"/>
        <w:ind w:left="2860"/>
      </w:pPr>
      <w:r>
        <w:rPr/>
        <w:t>All</w:t>
        <w:tab/>
      </w:r>
      <w:r>
        <w:rPr>
          <w:u w:val="single"/>
        </w:rPr>
        <w:t>Private</w:t>
      </w:r>
      <w:r>
        <w:rPr>
          <w:spacing w:val="-9"/>
          <w:u w:val="single"/>
        </w:rPr>
        <w:t> </w:t>
      </w:r>
      <w:r>
        <w:rPr>
          <w:u w:val="single"/>
        </w:rPr>
        <w:t>Sector</w:t>
      </w:r>
      <w:r>
        <w:rPr/>
        <w:tab/>
        <w:t>Public Sector</w:t>
      </w:r>
    </w:p>
    <w:p>
      <w:pPr>
        <w:pStyle w:val="BodyText"/>
        <w:spacing w:before="1"/>
        <w:rPr>
          <w:sz w:val="12"/>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1230"/>
        <w:gridCol w:w="1710"/>
        <w:gridCol w:w="1658"/>
        <w:gridCol w:w="951"/>
      </w:tblGrid>
      <w:tr>
        <w:trPr>
          <w:trHeight w:val="342" w:hRule="atLeast"/>
        </w:trPr>
        <w:tc>
          <w:tcPr>
            <w:tcW w:w="3507" w:type="dxa"/>
            <w:gridSpan w:val="2"/>
          </w:tcPr>
          <w:p>
            <w:pPr>
              <w:pStyle w:val="TableParagraph"/>
              <w:rPr>
                <w:sz w:val="24"/>
              </w:rPr>
            </w:pPr>
          </w:p>
        </w:tc>
        <w:tc>
          <w:tcPr>
            <w:tcW w:w="1710" w:type="dxa"/>
          </w:tcPr>
          <w:p>
            <w:pPr>
              <w:pStyle w:val="TableParagraph"/>
              <w:spacing w:line="266" w:lineRule="exact"/>
              <w:ind w:left="525" w:right="525"/>
              <w:jc w:val="center"/>
              <w:rPr>
                <w:sz w:val="24"/>
              </w:rPr>
            </w:pPr>
            <w:r>
              <w:rPr>
                <w:sz w:val="24"/>
              </w:rPr>
              <w:t>Manu.</w:t>
            </w:r>
          </w:p>
        </w:tc>
        <w:tc>
          <w:tcPr>
            <w:tcW w:w="1658" w:type="dxa"/>
          </w:tcPr>
          <w:p>
            <w:pPr>
              <w:pStyle w:val="TableParagraph"/>
              <w:spacing w:line="266" w:lineRule="exact"/>
              <w:ind w:left="541" w:right="636"/>
              <w:jc w:val="center"/>
              <w:rPr>
                <w:sz w:val="24"/>
              </w:rPr>
            </w:pPr>
            <w:r>
              <w:rPr>
                <w:sz w:val="24"/>
              </w:rPr>
              <w:t>Serv</w:t>
            </w:r>
          </w:p>
        </w:tc>
        <w:tc>
          <w:tcPr>
            <w:tcW w:w="951" w:type="dxa"/>
          </w:tcPr>
          <w:p>
            <w:pPr>
              <w:pStyle w:val="TableParagraph"/>
              <w:rPr>
                <w:sz w:val="24"/>
              </w:rPr>
            </w:pPr>
          </w:p>
        </w:tc>
      </w:tr>
      <w:tr>
        <w:trPr>
          <w:trHeight w:val="420" w:hRule="atLeast"/>
        </w:trPr>
        <w:tc>
          <w:tcPr>
            <w:tcW w:w="2277" w:type="dxa"/>
          </w:tcPr>
          <w:p>
            <w:pPr>
              <w:pStyle w:val="TableParagraph"/>
              <w:spacing w:before="67"/>
              <w:ind w:left="50"/>
              <w:rPr>
                <w:sz w:val="24"/>
              </w:rPr>
            </w:pPr>
            <w:r>
              <w:rPr>
                <w:sz w:val="24"/>
              </w:rPr>
              <w:t>1980</w:t>
            </w:r>
          </w:p>
        </w:tc>
        <w:tc>
          <w:tcPr>
            <w:tcW w:w="1230" w:type="dxa"/>
          </w:tcPr>
          <w:p>
            <w:pPr>
              <w:pStyle w:val="TableParagraph"/>
              <w:spacing w:before="67"/>
              <w:ind w:left="428"/>
              <w:rPr>
                <w:sz w:val="24"/>
              </w:rPr>
            </w:pPr>
            <w:r>
              <w:rPr>
                <w:sz w:val="24"/>
              </w:rPr>
              <w:t>64</w:t>
            </w:r>
          </w:p>
        </w:tc>
        <w:tc>
          <w:tcPr>
            <w:tcW w:w="1710" w:type="dxa"/>
          </w:tcPr>
          <w:p>
            <w:pPr>
              <w:pStyle w:val="TableParagraph"/>
              <w:spacing w:before="67"/>
              <w:ind w:left="525" w:right="509"/>
              <w:jc w:val="center"/>
              <w:rPr>
                <w:sz w:val="24"/>
              </w:rPr>
            </w:pPr>
            <w:r>
              <w:rPr>
                <w:sz w:val="24"/>
              </w:rPr>
              <w:t>66</w:t>
            </w:r>
          </w:p>
        </w:tc>
        <w:tc>
          <w:tcPr>
            <w:tcW w:w="1658" w:type="dxa"/>
          </w:tcPr>
          <w:p>
            <w:pPr>
              <w:pStyle w:val="TableParagraph"/>
              <w:spacing w:before="67"/>
              <w:ind w:left="525" w:right="636"/>
              <w:jc w:val="center"/>
              <w:rPr>
                <w:sz w:val="24"/>
              </w:rPr>
            </w:pPr>
            <w:r>
              <w:rPr>
                <w:sz w:val="24"/>
              </w:rPr>
              <w:t>40</w:t>
            </w:r>
          </w:p>
        </w:tc>
        <w:tc>
          <w:tcPr>
            <w:tcW w:w="951" w:type="dxa"/>
          </w:tcPr>
          <w:p>
            <w:pPr>
              <w:pStyle w:val="TableParagraph"/>
              <w:spacing w:before="67"/>
              <w:ind w:right="50"/>
              <w:jc w:val="right"/>
              <w:rPr>
                <w:sz w:val="24"/>
              </w:rPr>
            </w:pPr>
            <w:r>
              <w:rPr>
                <w:sz w:val="24"/>
              </w:rPr>
              <w:t>94</w:t>
            </w:r>
          </w:p>
        </w:tc>
      </w:tr>
      <w:tr>
        <w:trPr>
          <w:trHeight w:val="825" w:hRule="atLeast"/>
        </w:trPr>
        <w:tc>
          <w:tcPr>
            <w:tcW w:w="2277" w:type="dxa"/>
          </w:tcPr>
          <w:p>
            <w:pPr>
              <w:pStyle w:val="TableParagraph"/>
              <w:spacing w:before="67"/>
              <w:ind w:left="50"/>
              <w:rPr>
                <w:sz w:val="24"/>
              </w:rPr>
            </w:pPr>
            <w:r>
              <w:rPr>
                <w:sz w:val="24"/>
              </w:rPr>
              <w:t>1998</w:t>
            </w:r>
          </w:p>
          <w:p>
            <w:pPr>
              <w:pStyle w:val="TableParagraph"/>
              <w:spacing w:before="129"/>
              <w:ind w:left="50"/>
              <w:rPr>
                <w:sz w:val="24"/>
              </w:rPr>
            </w:pPr>
            <w:r>
              <w:rPr>
                <w:sz w:val="24"/>
              </w:rPr>
              <w:t>Set up before 1980</w:t>
            </w:r>
          </w:p>
        </w:tc>
        <w:tc>
          <w:tcPr>
            <w:tcW w:w="1230" w:type="dxa"/>
          </w:tcPr>
          <w:p>
            <w:pPr>
              <w:pStyle w:val="TableParagraph"/>
              <w:rPr>
                <w:sz w:val="26"/>
              </w:rPr>
            </w:pPr>
          </w:p>
          <w:p>
            <w:pPr>
              <w:pStyle w:val="TableParagraph"/>
              <w:spacing w:before="173"/>
              <w:ind w:left="428"/>
              <w:rPr>
                <w:sz w:val="24"/>
              </w:rPr>
            </w:pPr>
            <w:r>
              <w:rPr>
                <w:sz w:val="24"/>
              </w:rPr>
              <w:t>54</w:t>
            </w:r>
          </w:p>
        </w:tc>
        <w:tc>
          <w:tcPr>
            <w:tcW w:w="1710" w:type="dxa"/>
          </w:tcPr>
          <w:p>
            <w:pPr>
              <w:pStyle w:val="TableParagraph"/>
              <w:rPr>
                <w:sz w:val="26"/>
              </w:rPr>
            </w:pPr>
          </w:p>
          <w:p>
            <w:pPr>
              <w:pStyle w:val="TableParagraph"/>
              <w:spacing w:before="173"/>
              <w:ind w:left="525" w:right="509"/>
              <w:jc w:val="center"/>
              <w:rPr>
                <w:sz w:val="24"/>
              </w:rPr>
            </w:pPr>
            <w:r>
              <w:rPr>
                <w:sz w:val="24"/>
              </w:rPr>
              <w:t>50</w:t>
            </w:r>
          </w:p>
        </w:tc>
        <w:tc>
          <w:tcPr>
            <w:tcW w:w="1658" w:type="dxa"/>
          </w:tcPr>
          <w:p>
            <w:pPr>
              <w:pStyle w:val="TableParagraph"/>
              <w:rPr>
                <w:sz w:val="26"/>
              </w:rPr>
            </w:pPr>
          </w:p>
          <w:p>
            <w:pPr>
              <w:pStyle w:val="TableParagraph"/>
              <w:spacing w:before="173"/>
              <w:ind w:left="525" w:right="636"/>
              <w:jc w:val="center"/>
              <w:rPr>
                <w:sz w:val="24"/>
              </w:rPr>
            </w:pPr>
            <w:r>
              <w:rPr>
                <w:sz w:val="24"/>
              </w:rPr>
              <w:t>28</w:t>
            </w:r>
          </w:p>
        </w:tc>
        <w:tc>
          <w:tcPr>
            <w:tcW w:w="951" w:type="dxa"/>
          </w:tcPr>
          <w:p>
            <w:pPr>
              <w:pStyle w:val="TableParagraph"/>
              <w:rPr>
                <w:sz w:val="26"/>
              </w:rPr>
            </w:pPr>
          </w:p>
          <w:p>
            <w:pPr>
              <w:pStyle w:val="TableParagraph"/>
              <w:spacing w:before="173"/>
              <w:ind w:right="50"/>
              <w:jc w:val="right"/>
              <w:rPr>
                <w:sz w:val="24"/>
              </w:rPr>
            </w:pPr>
            <w:r>
              <w:rPr>
                <w:sz w:val="24"/>
              </w:rPr>
              <w:t>88</w:t>
            </w:r>
          </w:p>
        </w:tc>
      </w:tr>
      <w:tr>
        <w:trPr>
          <w:trHeight w:val="342" w:hRule="atLeast"/>
        </w:trPr>
        <w:tc>
          <w:tcPr>
            <w:tcW w:w="2277" w:type="dxa"/>
          </w:tcPr>
          <w:p>
            <w:pPr>
              <w:pStyle w:val="TableParagraph"/>
              <w:spacing w:line="256" w:lineRule="exact" w:before="67"/>
              <w:ind w:left="50"/>
              <w:rPr>
                <w:sz w:val="24"/>
              </w:rPr>
            </w:pPr>
            <w:r>
              <w:rPr>
                <w:sz w:val="24"/>
              </w:rPr>
              <w:t>Set up after 1980</w:t>
            </w:r>
          </w:p>
        </w:tc>
        <w:tc>
          <w:tcPr>
            <w:tcW w:w="1230" w:type="dxa"/>
          </w:tcPr>
          <w:p>
            <w:pPr>
              <w:pStyle w:val="TableParagraph"/>
              <w:spacing w:line="256" w:lineRule="exact" w:before="67"/>
              <w:ind w:left="428"/>
              <w:rPr>
                <w:sz w:val="24"/>
              </w:rPr>
            </w:pPr>
            <w:r>
              <w:rPr>
                <w:sz w:val="24"/>
              </w:rPr>
              <w:t>29</w:t>
            </w:r>
          </w:p>
        </w:tc>
        <w:tc>
          <w:tcPr>
            <w:tcW w:w="1710" w:type="dxa"/>
          </w:tcPr>
          <w:p>
            <w:pPr>
              <w:pStyle w:val="TableParagraph"/>
              <w:spacing w:line="256" w:lineRule="exact" w:before="67"/>
              <w:ind w:left="525" w:right="509"/>
              <w:jc w:val="center"/>
              <w:rPr>
                <w:sz w:val="24"/>
              </w:rPr>
            </w:pPr>
            <w:r>
              <w:rPr>
                <w:sz w:val="24"/>
              </w:rPr>
              <w:t>14</w:t>
            </w:r>
          </w:p>
        </w:tc>
        <w:tc>
          <w:tcPr>
            <w:tcW w:w="1658" w:type="dxa"/>
          </w:tcPr>
          <w:p>
            <w:pPr>
              <w:pStyle w:val="TableParagraph"/>
              <w:spacing w:line="256" w:lineRule="exact" w:before="67"/>
              <w:ind w:left="525" w:right="636"/>
              <w:jc w:val="center"/>
              <w:rPr>
                <w:sz w:val="24"/>
              </w:rPr>
            </w:pPr>
            <w:r>
              <w:rPr>
                <w:sz w:val="24"/>
              </w:rPr>
              <w:t>18</w:t>
            </w:r>
          </w:p>
        </w:tc>
        <w:tc>
          <w:tcPr>
            <w:tcW w:w="951" w:type="dxa"/>
          </w:tcPr>
          <w:p>
            <w:pPr>
              <w:pStyle w:val="TableParagraph"/>
              <w:spacing w:line="256" w:lineRule="exact" w:before="67"/>
              <w:ind w:right="50"/>
              <w:jc w:val="right"/>
              <w:rPr>
                <w:sz w:val="24"/>
              </w:rPr>
            </w:pPr>
            <w:r>
              <w:rPr>
                <w:sz w:val="24"/>
              </w:rPr>
              <w:t>85</w:t>
            </w:r>
          </w:p>
        </w:tc>
      </w:tr>
    </w:tbl>
    <w:p>
      <w:pPr>
        <w:pStyle w:val="BodyText"/>
        <w:rPr>
          <w:sz w:val="26"/>
        </w:rPr>
      </w:pPr>
    </w:p>
    <w:p>
      <w:pPr>
        <w:pStyle w:val="BodyText"/>
        <w:rPr>
          <w:sz w:val="26"/>
        </w:rPr>
      </w:pPr>
    </w:p>
    <w:p>
      <w:pPr>
        <w:pStyle w:val="BodyText"/>
        <w:spacing w:before="11"/>
        <w:rPr>
          <w:sz w:val="30"/>
        </w:rPr>
      </w:pPr>
    </w:p>
    <w:p>
      <w:pPr>
        <w:pStyle w:val="BodyText"/>
        <w:ind w:left="235"/>
      </w:pPr>
      <w:r>
        <w:rPr>
          <w:u w:val="single"/>
        </w:rPr>
        <w:t>Source</w:t>
      </w:r>
      <w:r>
        <w:rPr/>
        <w:t>: Machin (2000) Table 3. Based on Workplace Employee Relations Surveys.</w:t>
      </w:r>
    </w:p>
    <w:p>
      <w:pPr>
        <w:pStyle w:val="BodyText"/>
        <w:rPr>
          <w:sz w:val="20"/>
        </w:rPr>
      </w:pPr>
    </w:p>
    <w:p>
      <w:pPr>
        <w:pStyle w:val="BodyText"/>
        <w:spacing w:before="2"/>
        <w:rPr>
          <w:sz w:val="28"/>
        </w:rPr>
      </w:pPr>
      <w:r>
        <w:rPr/>
        <w:pict>
          <v:shape style="position:absolute;margin-left:89.25pt;margin-top:18.91045pt;width:418.5pt;height:.1pt;mso-position-horizontal-relative:page;mso-position-vertical-relative:paragraph;z-index:-251645952;mso-wrap-distance-left:0;mso-wrap-distance-right:0" coordorigin="1785,378" coordsize="8370,0" path="m1785,378l10155,378e" filled="false" stroked="true" strokeweight="1.5pt" strokecolor="#000000">
            <v:path arrowok="t"/>
            <v:stroke dashstyle="solid"/>
            <w10:wrap type="topAndBottom"/>
          </v:shape>
        </w:pict>
      </w:r>
    </w:p>
    <w:p>
      <w:pPr>
        <w:spacing w:after="0"/>
        <w:rPr>
          <w:sz w:val="28"/>
        </w:rPr>
        <w:sectPr>
          <w:pgSz w:w="11920" w:h="16840"/>
          <w:pgMar w:header="0" w:footer="779" w:top="1360" w:bottom="960" w:left="1580" w:right="1460"/>
        </w:sectPr>
      </w:pPr>
    </w:p>
    <w:p>
      <w:pPr>
        <w:pStyle w:val="BodyText"/>
        <w:spacing w:line="360" w:lineRule="auto" w:before="76"/>
        <w:ind w:left="235" w:right="552"/>
      </w:pPr>
      <w:r>
        <w:rPr/>
        <w:t>So as old establishments are replaced by new establishments, unionisation inescapably diminishes. This is almost the whole story. Derecognition in continuing </w:t>
      </w:r>
      <w:r>
        <w:rPr>
          <w:spacing w:val="-3"/>
        </w:rPr>
        <w:t>plants </w:t>
      </w:r>
      <w:r>
        <w:rPr/>
        <w:t>is </w:t>
      </w:r>
      <w:r>
        <w:rPr>
          <w:spacing w:val="-3"/>
        </w:rPr>
        <w:t>very rare (see Machin 2000, </w:t>
      </w:r>
      <w:r>
        <w:rPr/>
        <w:t>Table 2). So </w:t>
      </w:r>
      <w:r>
        <w:rPr>
          <w:spacing w:val="-3"/>
        </w:rPr>
        <w:t>whatever </w:t>
      </w:r>
      <w:r>
        <w:rPr/>
        <w:t>these changes </w:t>
      </w:r>
      <w:r>
        <w:rPr>
          <w:spacing w:val="-3"/>
        </w:rPr>
        <w:t>have  </w:t>
      </w:r>
      <w:r>
        <w:rPr/>
        <w:t>meant for the working conditions of the average employee, there seems no question that they have contributed to the decline in inflationary pressure at given levels of </w:t>
      </w:r>
      <w:r>
        <w:rPr>
          <w:spacing w:val="-3"/>
        </w:rPr>
        <w:t>labour</w:t>
      </w:r>
      <w:r>
        <w:rPr>
          <w:spacing w:val="8"/>
        </w:rPr>
        <w:t> </w:t>
      </w:r>
      <w:r>
        <w:rPr>
          <w:spacing w:val="-3"/>
        </w:rPr>
        <w:t>market</w:t>
      </w:r>
      <w:r>
        <w:rPr>
          <w:spacing w:val="8"/>
        </w:rPr>
        <w:t> </w:t>
      </w:r>
      <w:r>
        <w:rPr>
          <w:spacing w:val="-3"/>
        </w:rPr>
        <w:t>slack</w:t>
      </w:r>
      <w:r>
        <w:rPr>
          <w:spacing w:val="9"/>
        </w:rPr>
        <w:t> </w:t>
      </w:r>
      <w:r>
        <w:rPr/>
        <w:t>and</w:t>
      </w:r>
      <w:r>
        <w:rPr>
          <w:spacing w:val="8"/>
        </w:rPr>
        <w:t> </w:t>
      </w:r>
      <w:r>
        <w:rPr>
          <w:spacing w:val="-3"/>
        </w:rPr>
        <w:t>hence</w:t>
      </w:r>
      <w:r>
        <w:rPr>
          <w:spacing w:val="9"/>
        </w:rPr>
        <w:t> </w:t>
      </w:r>
      <w:r>
        <w:rPr/>
        <w:t>to</w:t>
      </w:r>
      <w:r>
        <w:rPr>
          <w:spacing w:val="8"/>
        </w:rPr>
        <w:t> </w:t>
      </w:r>
      <w:r>
        <w:rPr/>
        <w:t>the</w:t>
      </w:r>
      <w:r>
        <w:rPr>
          <w:spacing w:val="9"/>
        </w:rPr>
        <w:t> </w:t>
      </w:r>
      <w:r>
        <w:rPr>
          <w:spacing w:val="-3"/>
        </w:rPr>
        <w:t>fall</w:t>
      </w:r>
      <w:r>
        <w:rPr>
          <w:spacing w:val="8"/>
        </w:rPr>
        <w:t> </w:t>
      </w:r>
      <w:r>
        <w:rPr/>
        <w:t>in</w:t>
      </w:r>
      <w:r>
        <w:rPr>
          <w:spacing w:val="8"/>
        </w:rPr>
        <w:t> </w:t>
      </w:r>
      <w:r>
        <w:rPr>
          <w:spacing w:val="-3"/>
        </w:rPr>
        <w:t>equilibrium</w:t>
      </w:r>
      <w:r>
        <w:rPr>
          <w:spacing w:val="9"/>
        </w:rPr>
        <w:t> </w:t>
      </w:r>
      <w:r>
        <w:rPr/>
        <w:t>unemployment</w:t>
      </w:r>
      <w:r>
        <w:rPr>
          <w:vertAlign w:val="superscript"/>
        </w:rPr>
        <w:t>4</w:t>
      </w:r>
      <w:r>
        <w:rPr>
          <w:vertAlign w:val="baseline"/>
        </w:rPr>
        <w:t>.</w:t>
      </w:r>
    </w:p>
    <w:p>
      <w:pPr>
        <w:pStyle w:val="BodyText"/>
        <w:spacing w:before="8"/>
        <w:rPr>
          <w:sz w:val="35"/>
        </w:rPr>
      </w:pPr>
    </w:p>
    <w:p>
      <w:pPr>
        <w:pStyle w:val="BodyText"/>
        <w:ind w:left="235"/>
      </w:pPr>
      <w:r>
        <w:rPr>
          <w:u w:val="single"/>
        </w:rPr>
        <w:t>Changes in the benefit system</w:t>
      </w:r>
    </w:p>
    <w:p>
      <w:pPr>
        <w:pStyle w:val="BodyText"/>
        <w:rPr>
          <w:sz w:val="20"/>
        </w:rPr>
      </w:pPr>
    </w:p>
    <w:p>
      <w:pPr>
        <w:pStyle w:val="BodyText"/>
        <w:spacing w:before="11"/>
        <w:rPr>
          <w:sz w:val="19"/>
        </w:rPr>
      </w:pPr>
    </w:p>
    <w:p>
      <w:pPr>
        <w:pStyle w:val="BodyText"/>
        <w:spacing w:line="360" w:lineRule="auto" w:before="90"/>
        <w:ind w:left="235" w:right="474"/>
      </w:pPr>
      <w:r>
        <w:rPr/>
        <w:t>There are four aspects of the benefit system which influence equilibrium unemployment. These are, in turn, the level of benefit, the duration of entitlement, the coverage of the system and the strictness with which the system is operated. In Tables 5, 6, 7 we present a partial picture of how the system has changed over the years. In Table 5, we see that the actual level of benefit relative to earnings has declined quite rapidly since the late 1970s, basically because of the abolition of earnings related supplement and the switch of indexation from an earnings basis to a price basis introduced by the first Thatcher administration.</w:t>
      </w:r>
    </w:p>
    <w:p>
      <w:pPr>
        <w:pStyle w:val="BodyText"/>
        <w:rPr>
          <w:sz w:val="20"/>
        </w:rPr>
      </w:pPr>
    </w:p>
    <w:p>
      <w:pPr>
        <w:pStyle w:val="BodyText"/>
        <w:spacing w:before="11"/>
        <w:rPr>
          <w:sz w:val="15"/>
        </w:rPr>
      </w:pPr>
      <w:r>
        <w:rPr/>
        <w:pict>
          <v:shape style="position:absolute;margin-left:89.25pt;margin-top:11.880371pt;width:418.5pt;height:.1pt;mso-position-horizontal-relative:page;mso-position-vertical-relative:paragraph;z-index:-251644928;mso-wrap-distance-left:0;mso-wrap-distance-right:0" coordorigin="1785,238" coordsize="8370,0" path="m1785,238l10155,238e" filled="false" stroked="true" strokeweight="1.5pt" strokecolor="#000000">
            <v:path arrowok="t"/>
            <v:stroke dashstyle="solid"/>
            <w10:wrap type="topAndBottom"/>
          </v:shape>
        </w:pict>
      </w:r>
    </w:p>
    <w:p>
      <w:pPr>
        <w:pStyle w:val="BodyText"/>
        <w:spacing w:before="7"/>
        <w:rPr>
          <w:sz w:val="23"/>
        </w:rPr>
      </w:pPr>
    </w:p>
    <w:p>
      <w:pPr>
        <w:pStyle w:val="BodyText"/>
        <w:spacing w:before="90"/>
        <w:ind w:left="768" w:right="879"/>
        <w:jc w:val="center"/>
      </w:pPr>
      <w:r>
        <w:rPr>
          <w:u w:val="single"/>
        </w:rPr>
        <w:t>TABLE 5</w:t>
      </w:r>
    </w:p>
    <w:p>
      <w:pPr>
        <w:pStyle w:val="BodyText"/>
        <w:spacing w:before="144"/>
        <w:ind w:left="768" w:right="866"/>
        <w:jc w:val="center"/>
      </w:pPr>
      <w:r>
        <w:rPr>
          <w:u w:val="single"/>
        </w:rPr>
        <w:t>Benefit Replacement Ratio (%)</w:t>
      </w:r>
    </w:p>
    <w:p>
      <w:pPr>
        <w:pStyle w:val="BodyText"/>
        <w:rPr>
          <w:sz w:val="20"/>
        </w:rPr>
      </w:pPr>
    </w:p>
    <w:p>
      <w:pPr>
        <w:pStyle w:val="BodyText"/>
        <w:spacing w:before="6"/>
        <w:rPr>
          <w:sz w:val="29"/>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923"/>
        <w:gridCol w:w="938"/>
        <w:gridCol w:w="945"/>
        <w:gridCol w:w="945"/>
        <w:gridCol w:w="945"/>
        <w:gridCol w:w="945"/>
        <w:gridCol w:w="953"/>
        <w:gridCol w:w="613"/>
      </w:tblGrid>
      <w:tr>
        <w:trPr>
          <w:trHeight w:val="452" w:hRule="atLeast"/>
        </w:trPr>
        <w:tc>
          <w:tcPr>
            <w:tcW w:w="875" w:type="dxa"/>
          </w:tcPr>
          <w:p>
            <w:pPr>
              <w:pStyle w:val="TableParagraph"/>
              <w:rPr>
                <w:sz w:val="22"/>
              </w:rPr>
            </w:pPr>
          </w:p>
        </w:tc>
        <w:tc>
          <w:tcPr>
            <w:tcW w:w="923" w:type="dxa"/>
          </w:tcPr>
          <w:p>
            <w:pPr>
              <w:pStyle w:val="TableParagraph"/>
              <w:spacing w:line="215" w:lineRule="exact"/>
              <w:ind w:left="135"/>
              <w:rPr>
                <w:sz w:val="19"/>
              </w:rPr>
            </w:pPr>
            <w:r>
              <w:rPr>
                <w:w w:val="105"/>
                <w:sz w:val="19"/>
              </w:rPr>
              <w:t>1961-65</w:t>
            </w:r>
          </w:p>
        </w:tc>
        <w:tc>
          <w:tcPr>
            <w:tcW w:w="938" w:type="dxa"/>
          </w:tcPr>
          <w:p>
            <w:pPr>
              <w:pStyle w:val="TableParagraph"/>
              <w:spacing w:line="215" w:lineRule="exact"/>
              <w:ind w:left="141"/>
              <w:rPr>
                <w:sz w:val="19"/>
              </w:rPr>
            </w:pPr>
            <w:r>
              <w:rPr>
                <w:w w:val="105"/>
                <w:sz w:val="19"/>
              </w:rPr>
              <w:t>1966-70</w:t>
            </w:r>
          </w:p>
        </w:tc>
        <w:tc>
          <w:tcPr>
            <w:tcW w:w="945" w:type="dxa"/>
          </w:tcPr>
          <w:p>
            <w:pPr>
              <w:pStyle w:val="TableParagraph"/>
              <w:spacing w:line="215" w:lineRule="exact"/>
              <w:ind w:left="148"/>
              <w:rPr>
                <w:sz w:val="19"/>
              </w:rPr>
            </w:pPr>
            <w:r>
              <w:rPr>
                <w:w w:val="105"/>
                <w:sz w:val="19"/>
              </w:rPr>
              <w:t>1971-75</w:t>
            </w:r>
          </w:p>
        </w:tc>
        <w:tc>
          <w:tcPr>
            <w:tcW w:w="945" w:type="dxa"/>
          </w:tcPr>
          <w:p>
            <w:pPr>
              <w:pStyle w:val="TableParagraph"/>
              <w:spacing w:line="215" w:lineRule="exact"/>
              <w:ind w:left="148"/>
              <w:rPr>
                <w:sz w:val="19"/>
              </w:rPr>
            </w:pPr>
            <w:r>
              <w:rPr>
                <w:w w:val="105"/>
                <w:sz w:val="19"/>
              </w:rPr>
              <w:t>1976-80</w:t>
            </w:r>
          </w:p>
        </w:tc>
        <w:tc>
          <w:tcPr>
            <w:tcW w:w="945" w:type="dxa"/>
          </w:tcPr>
          <w:p>
            <w:pPr>
              <w:pStyle w:val="TableParagraph"/>
              <w:spacing w:line="215" w:lineRule="exact"/>
              <w:ind w:left="148"/>
              <w:rPr>
                <w:sz w:val="19"/>
              </w:rPr>
            </w:pPr>
            <w:r>
              <w:rPr>
                <w:w w:val="105"/>
                <w:sz w:val="19"/>
              </w:rPr>
              <w:t>1981-85</w:t>
            </w:r>
          </w:p>
        </w:tc>
        <w:tc>
          <w:tcPr>
            <w:tcW w:w="945" w:type="dxa"/>
          </w:tcPr>
          <w:p>
            <w:pPr>
              <w:pStyle w:val="TableParagraph"/>
              <w:spacing w:line="215" w:lineRule="exact"/>
              <w:ind w:left="148"/>
              <w:rPr>
                <w:sz w:val="19"/>
              </w:rPr>
            </w:pPr>
            <w:r>
              <w:rPr>
                <w:w w:val="105"/>
                <w:sz w:val="19"/>
              </w:rPr>
              <w:t>1986-90</w:t>
            </w:r>
          </w:p>
        </w:tc>
        <w:tc>
          <w:tcPr>
            <w:tcW w:w="953" w:type="dxa"/>
          </w:tcPr>
          <w:p>
            <w:pPr>
              <w:pStyle w:val="TableParagraph"/>
              <w:spacing w:line="215" w:lineRule="exact"/>
              <w:ind w:left="148"/>
              <w:rPr>
                <w:sz w:val="19"/>
              </w:rPr>
            </w:pPr>
            <w:r>
              <w:rPr>
                <w:w w:val="105"/>
                <w:sz w:val="19"/>
              </w:rPr>
              <w:t>1991-95</w:t>
            </w:r>
          </w:p>
        </w:tc>
        <w:tc>
          <w:tcPr>
            <w:tcW w:w="613" w:type="dxa"/>
          </w:tcPr>
          <w:p>
            <w:pPr>
              <w:pStyle w:val="TableParagraph"/>
              <w:spacing w:line="215" w:lineRule="exact"/>
              <w:ind w:left="156"/>
              <w:rPr>
                <w:sz w:val="19"/>
              </w:rPr>
            </w:pPr>
            <w:r>
              <w:rPr>
                <w:w w:val="105"/>
                <w:sz w:val="19"/>
              </w:rPr>
              <w:t>1997</w:t>
            </w:r>
          </w:p>
        </w:tc>
      </w:tr>
      <w:tr>
        <w:trPr>
          <w:trHeight w:val="1072" w:hRule="atLeast"/>
        </w:trPr>
        <w:tc>
          <w:tcPr>
            <w:tcW w:w="875" w:type="dxa"/>
          </w:tcPr>
          <w:p>
            <w:pPr>
              <w:pStyle w:val="TableParagraph"/>
              <w:spacing w:before="3"/>
              <w:rPr>
                <w:sz w:val="20"/>
              </w:rPr>
            </w:pPr>
          </w:p>
          <w:p>
            <w:pPr>
              <w:pStyle w:val="TableParagraph"/>
              <w:ind w:left="50"/>
              <w:rPr>
                <w:sz w:val="19"/>
              </w:rPr>
            </w:pPr>
            <w:r>
              <w:rPr>
                <w:w w:val="105"/>
                <w:sz w:val="19"/>
              </w:rPr>
              <w:t>OECD</w:t>
            </w:r>
          </w:p>
          <w:p>
            <w:pPr>
              <w:pStyle w:val="TableParagraph"/>
              <w:spacing w:before="127"/>
              <w:ind w:left="50"/>
              <w:rPr>
                <w:sz w:val="19"/>
              </w:rPr>
            </w:pPr>
            <w:r>
              <w:rPr>
                <w:w w:val="105"/>
                <w:sz w:val="19"/>
              </w:rPr>
              <w:t>Measure</w:t>
            </w:r>
          </w:p>
        </w:tc>
        <w:tc>
          <w:tcPr>
            <w:tcW w:w="923" w:type="dxa"/>
          </w:tcPr>
          <w:p>
            <w:pPr>
              <w:pStyle w:val="TableParagraph"/>
              <w:spacing w:before="231"/>
              <w:ind w:left="135"/>
              <w:rPr>
                <w:sz w:val="24"/>
              </w:rPr>
            </w:pPr>
            <w:r>
              <w:rPr>
                <w:sz w:val="24"/>
              </w:rPr>
              <w:t>25</w:t>
            </w:r>
          </w:p>
        </w:tc>
        <w:tc>
          <w:tcPr>
            <w:tcW w:w="938" w:type="dxa"/>
          </w:tcPr>
          <w:p>
            <w:pPr>
              <w:pStyle w:val="TableParagraph"/>
              <w:spacing w:before="231"/>
              <w:ind w:left="141"/>
              <w:rPr>
                <w:sz w:val="24"/>
              </w:rPr>
            </w:pPr>
            <w:r>
              <w:rPr>
                <w:sz w:val="24"/>
              </w:rPr>
              <w:t>27</w:t>
            </w:r>
          </w:p>
        </w:tc>
        <w:tc>
          <w:tcPr>
            <w:tcW w:w="945" w:type="dxa"/>
          </w:tcPr>
          <w:p>
            <w:pPr>
              <w:pStyle w:val="TableParagraph"/>
              <w:spacing w:before="231"/>
              <w:ind w:left="148"/>
              <w:rPr>
                <w:sz w:val="24"/>
              </w:rPr>
            </w:pPr>
            <w:r>
              <w:rPr>
                <w:sz w:val="24"/>
              </w:rPr>
              <w:t>24</w:t>
            </w:r>
          </w:p>
        </w:tc>
        <w:tc>
          <w:tcPr>
            <w:tcW w:w="945" w:type="dxa"/>
          </w:tcPr>
          <w:p>
            <w:pPr>
              <w:pStyle w:val="TableParagraph"/>
              <w:spacing w:before="231"/>
              <w:ind w:left="148"/>
              <w:rPr>
                <w:sz w:val="24"/>
              </w:rPr>
            </w:pPr>
            <w:r>
              <w:rPr>
                <w:sz w:val="24"/>
              </w:rPr>
              <w:t>24</w:t>
            </w:r>
          </w:p>
        </w:tc>
        <w:tc>
          <w:tcPr>
            <w:tcW w:w="945" w:type="dxa"/>
          </w:tcPr>
          <w:p>
            <w:pPr>
              <w:pStyle w:val="TableParagraph"/>
              <w:spacing w:before="231"/>
              <w:ind w:left="148"/>
              <w:rPr>
                <w:sz w:val="24"/>
              </w:rPr>
            </w:pPr>
            <w:r>
              <w:rPr>
                <w:sz w:val="24"/>
              </w:rPr>
              <w:t>22</w:t>
            </w:r>
          </w:p>
        </w:tc>
        <w:tc>
          <w:tcPr>
            <w:tcW w:w="945" w:type="dxa"/>
          </w:tcPr>
          <w:p>
            <w:pPr>
              <w:pStyle w:val="TableParagraph"/>
              <w:spacing w:before="231"/>
              <w:ind w:left="148"/>
              <w:rPr>
                <w:sz w:val="24"/>
              </w:rPr>
            </w:pPr>
            <w:r>
              <w:rPr>
                <w:sz w:val="24"/>
              </w:rPr>
              <w:t>18</w:t>
            </w:r>
          </w:p>
        </w:tc>
        <w:tc>
          <w:tcPr>
            <w:tcW w:w="953" w:type="dxa"/>
          </w:tcPr>
          <w:p>
            <w:pPr>
              <w:pStyle w:val="TableParagraph"/>
              <w:spacing w:before="231"/>
              <w:ind w:left="148"/>
              <w:rPr>
                <w:sz w:val="24"/>
              </w:rPr>
            </w:pPr>
            <w:r>
              <w:rPr>
                <w:sz w:val="24"/>
              </w:rPr>
              <w:t>18</w:t>
            </w:r>
          </w:p>
        </w:tc>
        <w:tc>
          <w:tcPr>
            <w:tcW w:w="613" w:type="dxa"/>
          </w:tcPr>
          <w:p>
            <w:pPr>
              <w:pStyle w:val="TableParagraph"/>
              <w:spacing w:before="231"/>
              <w:ind w:left="156"/>
              <w:rPr>
                <w:sz w:val="24"/>
              </w:rPr>
            </w:pPr>
            <w:r>
              <w:rPr>
                <w:sz w:val="24"/>
              </w:rPr>
              <w:t>18</w:t>
            </w:r>
          </w:p>
        </w:tc>
      </w:tr>
      <w:tr>
        <w:trPr>
          <w:trHeight w:val="835" w:hRule="atLeast"/>
        </w:trPr>
        <w:tc>
          <w:tcPr>
            <w:tcW w:w="875" w:type="dxa"/>
          </w:tcPr>
          <w:p>
            <w:pPr>
              <w:pStyle w:val="TableParagraph"/>
              <w:spacing w:line="340" w:lineRule="atLeast" w:before="149"/>
              <w:ind w:left="50" w:right="118"/>
              <w:rPr>
                <w:sz w:val="19"/>
              </w:rPr>
            </w:pPr>
            <w:r>
              <w:rPr>
                <w:w w:val="105"/>
                <w:sz w:val="19"/>
              </w:rPr>
              <w:t>B. of E. Measure</w:t>
            </w:r>
          </w:p>
        </w:tc>
        <w:tc>
          <w:tcPr>
            <w:tcW w:w="923" w:type="dxa"/>
          </w:tcPr>
          <w:p>
            <w:pPr>
              <w:pStyle w:val="TableParagraph"/>
              <w:spacing w:before="4"/>
              <w:rPr>
                <w:sz w:val="23"/>
              </w:rPr>
            </w:pPr>
          </w:p>
          <w:p>
            <w:pPr>
              <w:pStyle w:val="TableParagraph"/>
              <w:ind w:left="135"/>
              <w:rPr>
                <w:sz w:val="24"/>
              </w:rPr>
            </w:pPr>
            <w:r>
              <w:rPr>
                <w:sz w:val="24"/>
              </w:rPr>
              <w:t>53</w:t>
            </w:r>
          </w:p>
        </w:tc>
        <w:tc>
          <w:tcPr>
            <w:tcW w:w="938" w:type="dxa"/>
          </w:tcPr>
          <w:p>
            <w:pPr>
              <w:pStyle w:val="TableParagraph"/>
              <w:spacing w:before="4"/>
              <w:rPr>
                <w:sz w:val="23"/>
              </w:rPr>
            </w:pPr>
          </w:p>
          <w:p>
            <w:pPr>
              <w:pStyle w:val="TableParagraph"/>
              <w:ind w:left="141"/>
              <w:rPr>
                <w:sz w:val="24"/>
              </w:rPr>
            </w:pPr>
            <w:r>
              <w:rPr>
                <w:sz w:val="24"/>
              </w:rPr>
              <w:t>60</w:t>
            </w:r>
          </w:p>
        </w:tc>
        <w:tc>
          <w:tcPr>
            <w:tcW w:w="945" w:type="dxa"/>
          </w:tcPr>
          <w:p>
            <w:pPr>
              <w:pStyle w:val="TableParagraph"/>
              <w:spacing w:before="4"/>
              <w:rPr>
                <w:sz w:val="23"/>
              </w:rPr>
            </w:pPr>
          </w:p>
          <w:p>
            <w:pPr>
              <w:pStyle w:val="TableParagraph"/>
              <w:ind w:left="148"/>
              <w:rPr>
                <w:sz w:val="24"/>
              </w:rPr>
            </w:pPr>
            <w:r>
              <w:rPr>
                <w:sz w:val="24"/>
              </w:rPr>
              <w:t>57</w:t>
            </w:r>
          </w:p>
        </w:tc>
        <w:tc>
          <w:tcPr>
            <w:tcW w:w="945" w:type="dxa"/>
          </w:tcPr>
          <w:p>
            <w:pPr>
              <w:pStyle w:val="TableParagraph"/>
              <w:spacing w:before="4"/>
              <w:rPr>
                <w:sz w:val="23"/>
              </w:rPr>
            </w:pPr>
          </w:p>
          <w:p>
            <w:pPr>
              <w:pStyle w:val="TableParagraph"/>
              <w:ind w:left="148"/>
              <w:rPr>
                <w:sz w:val="24"/>
              </w:rPr>
            </w:pPr>
            <w:r>
              <w:rPr>
                <w:sz w:val="24"/>
              </w:rPr>
              <w:t>56</w:t>
            </w:r>
          </w:p>
        </w:tc>
        <w:tc>
          <w:tcPr>
            <w:tcW w:w="945" w:type="dxa"/>
          </w:tcPr>
          <w:p>
            <w:pPr>
              <w:pStyle w:val="TableParagraph"/>
              <w:spacing w:before="4"/>
              <w:rPr>
                <w:sz w:val="23"/>
              </w:rPr>
            </w:pPr>
          </w:p>
          <w:p>
            <w:pPr>
              <w:pStyle w:val="TableParagraph"/>
              <w:ind w:left="148"/>
              <w:rPr>
                <w:sz w:val="24"/>
              </w:rPr>
            </w:pPr>
            <w:r>
              <w:rPr>
                <w:sz w:val="24"/>
              </w:rPr>
              <w:t>52</w:t>
            </w:r>
          </w:p>
        </w:tc>
        <w:tc>
          <w:tcPr>
            <w:tcW w:w="945" w:type="dxa"/>
          </w:tcPr>
          <w:p>
            <w:pPr>
              <w:pStyle w:val="TableParagraph"/>
              <w:spacing w:before="4"/>
              <w:rPr>
                <w:sz w:val="23"/>
              </w:rPr>
            </w:pPr>
          </w:p>
          <w:p>
            <w:pPr>
              <w:pStyle w:val="TableParagraph"/>
              <w:ind w:left="148"/>
              <w:rPr>
                <w:sz w:val="24"/>
              </w:rPr>
            </w:pPr>
            <w:r>
              <w:rPr>
                <w:sz w:val="24"/>
              </w:rPr>
              <w:t>44</w:t>
            </w:r>
          </w:p>
        </w:tc>
        <w:tc>
          <w:tcPr>
            <w:tcW w:w="953" w:type="dxa"/>
          </w:tcPr>
          <w:p>
            <w:pPr>
              <w:pStyle w:val="TableParagraph"/>
              <w:spacing w:before="4"/>
              <w:rPr>
                <w:sz w:val="23"/>
              </w:rPr>
            </w:pPr>
          </w:p>
          <w:p>
            <w:pPr>
              <w:pStyle w:val="TableParagraph"/>
              <w:ind w:left="148"/>
              <w:rPr>
                <w:sz w:val="24"/>
              </w:rPr>
            </w:pPr>
            <w:r>
              <w:rPr>
                <w:sz w:val="24"/>
              </w:rPr>
              <w:t>43</w:t>
            </w:r>
          </w:p>
        </w:tc>
        <w:tc>
          <w:tcPr>
            <w:tcW w:w="613" w:type="dxa"/>
          </w:tcPr>
          <w:p>
            <w:pPr>
              <w:pStyle w:val="TableParagraph"/>
              <w:spacing w:before="4"/>
              <w:rPr>
                <w:sz w:val="23"/>
              </w:rPr>
            </w:pPr>
          </w:p>
          <w:p>
            <w:pPr>
              <w:pStyle w:val="TableParagraph"/>
              <w:ind w:left="156"/>
              <w:rPr>
                <w:sz w:val="24"/>
              </w:rPr>
            </w:pPr>
            <w:r>
              <w:rPr>
                <w:sz w:val="24"/>
              </w:rPr>
              <w:t>42</w:t>
            </w:r>
          </w:p>
        </w:tc>
      </w:tr>
    </w:tbl>
    <w:p>
      <w:pPr>
        <w:pStyle w:val="BodyText"/>
        <w:rPr>
          <w:sz w:val="20"/>
        </w:rPr>
      </w:pPr>
    </w:p>
    <w:p>
      <w:pPr>
        <w:pStyle w:val="BodyText"/>
        <w:spacing w:before="9"/>
        <w:rPr>
          <w:sz w:val="16"/>
        </w:rPr>
      </w:pPr>
    </w:p>
    <w:p>
      <w:pPr>
        <w:pStyle w:val="BodyText"/>
        <w:spacing w:line="360" w:lineRule="auto" w:before="90"/>
        <w:ind w:left="235" w:right="474"/>
      </w:pPr>
      <w:r>
        <w:rPr>
          <w:u w:val="single"/>
        </w:rPr>
        <w:t>Note</w:t>
      </w:r>
      <w:r>
        <w:rPr/>
        <w:t>: The OECD measure is an average of unemployment benefit entitlement relative to average gross wages for three different family types (single, with dependent spouse, with non-working spouse) over the first five years of an unemployment spell. The Bank of England measures refers to the ratio of the total</w:t>
      </w:r>
    </w:p>
    <w:p>
      <w:pPr>
        <w:spacing w:after="0" w:line="360" w:lineRule="auto"/>
        <w:sectPr>
          <w:pgSz w:w="11920" w:h="16840"/>
          <w:pgMar w:header="0" w:footer="779" w:top="1360" w:bottom="960" w:left="1580" w:right="1460"/>
        </w:sectPr>
      </w:pPr>
    </w:p>
    <w:p>
      <w:pPr>
        <w:pStyle w:val="BodyText"/>
        <w:spacing w:line="352" w:lineRule="auto" w:before="76"/>
        <w:ind w:left="235" w:right="360"/>
      </w:pPr>
      <w:r>
        <w:rPr/>
        <w:t>income while unemployed relative to the total, </w:t>
      </w:r>
      <w:r>
        <w:rPr>
          <w:u w:val="single"/>
        </w:rPr>
        <w:t>post-tax</w:t>
      </w:r>
      <w:r>
        <w:rPr/>
        <w:t> income while employed. It includes taxes and subsidies although it excludes housing benefit.</w:t>
      </w:r>
    </w:p>
    <w:p>
      <w:pPr>
        <w:pStyle w:val="BodyText"/>
        <w:rPr>
          <w:sz w:val="20"/>
        </w:rPr>
      </w:pPr>
    </w:p>
    <w:p>
      <w:pPr>
        <w:pStyle w:val="BodyText"/>
        <w:spacing w:before="9"/>
        <w:rPr>
          <w:sz w:val="16"/>
        </w:rPr>
      </w:pPr>
      <w:r>
        <w:rPr/>
        <w:pict>
          <v:shape style="position:absolute;margin-left:89.25pt;margin-top:12.382421pt;width:418.5pt;height:.1pt;mso-position-horizontal-relative:page;mso-position-vertical-relative:paragraph;z-index:-251643904;mso-wrap-distance-left:0;mso-wrap-distance-right:0" coordorigin="1785,248" coordsize="8370,0" path="m1785,248l10155,248e" filled="false" stroked="true" strokeweight="1.5pt" strokecolor="#000000">
            <v:path arrowok="t"/>
            <v:stroke dashstyle="solid"/>
            <w10:wrap type="topAndBottom"/>
          </v:shape>
        </w:pict>
      </w:r>
    </w:p>
    <w:p>
      <w:pPr>
        <w:pStyle w:val="BodyText"/>
        <w:spacing w:before="7"/>
        <w:rPr>
          <w:sz w:val="23"/>
        </w:rPr>
      </w:pPr>
    </w:p>
    <w:p>
      <w:pPr>
        <w:pStyle w:val="BodyText"/>
        <w:spacing w:before="90"/>
        <w:ind w:left="768" w:right="879"/>
        <w:jc w:val="center"/>
      </w:pPr>
      <w:r>
        <w:rPr>
          <w:u w:val="single"/>
        </w:rPr>
        <w:t>TABLE 6</w:t>
      </w:r>
    </w:p>
    <w:p>
      <w:pPr>
        <w:pStyle w:val="BodyText"/>
        <w:spacing w:line="364" w:lineRule="auto" w:before="144"/>
        <w:ind w:left="768" w:right="881"/>
        <w:jc w:val="center"/>
      </w:pPr>
      <w:r>
        <w:rPr>
          <w:u w:val="single"/>
        </w:rPr>
        <w:t>Some Important Changes in Unemployment Insurance and Unemployment</w:t>
      </w:r>
      <w:r>
        <w:rPr/>
        <w:t> </w:t>
      </w:r>
      <w:r>
        <w:rPr>
          <w:u w:val="single"/>
        </w:rPr>
        <w:t>Assistance, 1983-98</w:t>
      </w:r>
    </w:p>
    <w:p>
      <w:pPr>
        <w:pStyle w:val="BodyText"/>
        <w:rPr>
          <w:sz w:val="20"/>
        </w:rPr>
      </w:pPr>
    </w:p>
    <w:p>
      <w:pPr>
        <w:pStyle w:val="BodyText"/>
        <w:spacing w:before="2"/>
        <w:rPr>
          <w:sz w:val="1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60"/>
        <w:gridCol w:w="5160"/>
      </w:tblGrid>
      <w:tr>
        <w:trPr>
          <w:trHeight w:val="270" w:hRule="atLeast"/>
        </w:trPr>
        <w:tc>
          <w:tcPr>
            <w:tcW w:w="3360" w:type="dxa"/>
          </w:tcPr>
          <w:p>
            <w:pPr>
              <w:pStyle w:val="TableParagraph"/>
              <w:spacing w:line="245" w:lineRule="exact" w:before="5"/>
              <w:ind w:left="112"/>
              <w:rPr>
                <w:b/>
                <w:sz w:val="24"/>
              </w:rPr>
            </w:pPr>
            <w:r>
              <w:rPr>
                <w:b/>
                <w:sz w:val="24"/>
              </w:rPr>
              <w:t>Unemployment Insurance</w:t>
            </w:r>
          </w:p>
        </w:tc>
        <w:tc>
          <w:tcPr>
            <w:tcW w:w="5160" w:type="dxa"/>
          </w:tcPr>
          <w:p>
            <w:pPr>
              <w:pStyle w:val="TableParagraph"/>
              <w:rPr>
                <w:sz w:val="20"/>
              </w:rPr>
            </w:pPr>
          </w:p>
        </w:tc>
      </w:tr>
      <w:tr>
        <w:trPr>
          <w:trHeight w:val="825" w:hRule="atLeast"/>
        </w:trPr>
        <w:tc>
          <w:tcPr>
            <w:tcW w:w="3360" w:type="dxa"/>
          </w:tcPr>
          <w:p>
            <w:pPr>
              <w:pStyle w:val="TableParagraph"/>
              <w:spacing w:before="5"/>
              <w:ind w:left="112"/>
              <w:rPr>
                <w:sz w:val="24"/>
              </w:rPr>
            </w:pPr>
            <w:r>
              <w:rPr>
                <w:sz w:val="24"/>
              </w:rPr>
              <w:t>Indexation</w:t>
            </w:r>
          </w:p>
        </w:tc>
        <w:tc>
          <w:tcPr>
            <w:tcW w:w="5160" w:type="dxa"/>
          </w:tcPr>
          <w:p>
            <w:pPr>
              <w:pStyle w:val="TableParagraph"/>
              <w:spacing w:line="235" w:lineRule="auto" w:before="9"/>
              <w:ind w:left="127"/>
              <w:rPr>
                <w:sz w:val="24"/>
              </w:rPr>
            </w:pPr>
            <w:r>
              <w:rPr>
                <w:sz w:val="24"/>
              </w:rPr>
              <w:t>Up-rating reverted to historical rather than forecast inflation 1983.</w:t>
            </w:r>
          </w:p>
          <w:p>
            <w:pPr>
              <w:pStyle w:val="TableParagraph"/>
              <w:spacing w:line="255" w:lineRule="exact"/>
              <w:ind w:left="127"/>
              <w:rPr>
                <w:sz w:val="24"/>
              </w:rPr>
            </w:pPr>
            <w:r>
              <w:rPr>
                <w:sz w:val="24"/>
              </w:rPr>
              <w:t>Suspension of Statutory Indexation, 1986.</w:t>
            </w:r>
          </w:p>
        </w:tc>
      </w:tr>
      <w:tr>
        <w:trPr>
          <w:trHeight w:val="270" w:hRule="atLeast"/>
        </w:trPr>
        <w:tc>
          <w:tcPr>
            <w:tcW w:w="3360" w:type="dxa"/>
          </w:tcPr>
          <w:p>
            <w:pPr>
              <w:pStyle w:val="TableParagraph"/>
              <w:spacing w:line="250" w:lineRule="exact"/>
              <w:ind w:left="112"/>
              <w:rPr>
                <w:sz w:val="24"/>
              </w:rPr>
            </w:pPr>
            <w:r>
              <w:rPr>
                <w:sz w:val="24"/>
              </w:rPr>
              <w:t>Child Dependent Allowances</w:t>
            </w:r>
          </w:p>
        </w:tc>
        <w:tc>
          <w:tcPr>
            <w:tcW w:w="5160" w:type="dxa"/>
          </w:tcPr>
          <w:p>
            <w:pPr>
              <w:pStyle w:val="TableParagraph"/>
              <w:spacing w:line="250" w:lineRule="exact"/>
              <w:ind w:left="127"/>
              <w:rPr>
                <w:sz w:val="24"/>
              </w:rPr>
            </w:pPr>
            <w:r>
              <w:rPr>
                <w:sz w:val="24"/>
              </w:rPr>
              <w:t>Abolished 1984.</w:t>
            </w:r>
          </w:p>
        </w:tc>
      </w:tr>
      <w:tr>
        <w:trPr>
          <w:trHeight w:val="555" w:hRule="atLeast"/>
        </w:trPr>
        <w:tc>
          <w:tcPr>
            <w:tcW w:w="3360" w:type="dxa"/>
          </w:tcPr>
          <w:p>
            <w:pPr>
              <w:pStyle w:val="TableParagraph"/>
              <w:spacing w:before="5"/>
              <w:ind w:left="112"/>
              <w:rPr>
                <w:sz w:val="24"/>
              </w:rPr>
            </w:pPr>
            <w:r>
              <w:rPr>
                <w:sz w:val="24"/>
              </w:rPr>
              <w:t>Occupational Pensions</w:t>
            </w:r>
          </w:p>
        </w:tc>
        <w:tc>
          <w:tcPr>
            <w:tcW w:w="5160" w:type="dxa"/>
          </w:tcPr>
          <w:p>
            <w:pPr>
              <w:pStyle w:val="TableParagraph"/>
              <w:spacing w:line="270" w:lineRule="exact" w:before="13"/>
              <w:ind w:left="127"/>
              <w:rPr>
                <w:sz w:val="24"/>
              </w:rPr>
            </w:pPr>
            <w:r>
              <w:rPr>
                <w:sz w:val="24"/>
              </w:rPr>
              <w:t>UI reduction if in receipt of pension extended to over 55’s.</w:t>
            </w:r>
          </w:p>
        </w:tc>
      </w:tr>
      <w:tr>
        <w:trPr>
          <w:trHeight w:val="810" w:hRule="atLeast"/>
        </w:trPr>
        <w:tc>
          <w:tcPr>
            <w:tcW w:w="3360" w:type="dxa"/>
          </w:tcPr>
          <w:p>
            <w:pPr>
              <w:pStyle w:val="TableParagraph"/>
              <w:spacing w:line="266" w:lineRule="exact"/>
              <w:ind w:left="112"/>
              <w:rPr>
                <w:sz w:val="24"/>
              </w:rPr>
            </w:pPr>
            <w:r>
              <w:rPr>
                <w:sz w:val="24"/>
              </w:rPr>
              <w:t>Disqualification Period</w:t>
            </w:r>
          </w:p>
        </w:tc>
        <w:tc>
          <w:tcPr>
            <w:tcW w:w="5160" w:type="dxa"/>
          </w:tcPr>
          <w:p>
            <w:pPr>
              <w:pStyle w:val="TableParagraph"/>
              <w:spacing w:line="235" w:lineRule="auto"/>
              <w:ind w:left="127" w:right="212"/>
              <w:rPr>
                <w:sz w:val="24"/>
              </w:rPr>
            </w:pPr>
            <w:r>
              <w:rPr>
                <w:sz w:val="24"/>
              </w:rPr>
              <w:t>Extended from 6 to 13 weeks, 1986 and 26 weeks 1988. Voluntary redundancies excluded from this</w:t>
            </w:r>
          </w:p>
          <w:p>
            <w:pPr>
              <w:pStyle w:val="TableParagraph"/>
              <w:spacing w:line="245" w:lineRule="exact" w:before="4"/>
              <w:ind w:left="127"/>
              <w:rPr>
                <w:sz w:val="24"/>
              </w:rPr>
            </w:pPr>
            <w:r>
              <w:rPr>
                <w:sz w:val="24"/>
              </w:rPr>
              <w:t>category, 1985.</w:t>
            </w:r>
          </w:p>
        </w:tc>
      </w:tr>
      <w:tr>
        <w:trPr>
          <w:trHeight w:val="825" w:hRule="atLeast"/>
        </w:trPr>
        <w:tc>
          <w:tcPr>
            <w:tcW w:w="3360" w:type="dxa"/>
          </w:tcPr>
          <w:p>
            <w:pPr>
              <w:pStyle w:val="TableParagraph"/>
              <w:spacing w:before="5"/>
              <w:ind w:left="112"/>
              <w:rPr>
                <w:sz w:val="24"/>
              </w:rPr>
            </w:pPr>
            <w:r>
              <w:rPr>
                <w:sz w:val="24"/>
              </w:rPr>
              <w:t>Contribution Conditions</w:t>
            </w:r>
          </w:p>
        </w:tc>
        <w:tc>
          <w:tcPr>
            <w:tcW w:w="5160" w:type="dxa"/>
          </w:tcPr>
          <w:p>
            <w:pPr>
              <w:pStyle w:val="TableParagraph"/>
              <w:spacing w:line="235" w:lineRule="auto" w:before="9"/>
              <w:ind w:left="127"/>
              <w:rPr>
                <w:sz w:val="24"/>
              </w:rPr>
            </w:pPr>
            <w:r>
              <w:rPr>
                <w:sz w:val="24"/>
              </w:rPr>
              <w:t>Entitlement to depend on paid (not credited) N.I. contributions in past two (not one) years before</w:t>
            </w:r>
          </w:p>
          <w:p>
            <w:pPr>
              <w:pStyle w:val="TableParagraph"/>
              <w:spacing w:line="245" w:lineRule="exact" w:before="10"/>
              <w:ind w:left="127"/>
              <w:rPr>
                <w:sz w:val="24"/>
              </w:rPr>
            </w:pPr>
            <w:r>
              <w:rPr>
                <w:sz w:val="24"/>
              </w:rPr>
              <w:t>claim, 1988.</w:t>
            </w:r>
          </w:p>
        </w:tc>
      </w:tr>
      <w:tr>
        <w:trPr>
          <w:trHeight w:val="270" w:hRule="atLeast"/>
        </w:trPr>
        <w:tc>
          <w:tcPr>
            <w:tcW w:w="3360" w:type="dxa"/>
          </w:tcPr>
          <w:p>
            <w:pPr>
              <w:pStyle w:val="TableParagraph"/>
              <w:spacing w:line="245" w:lineRule="exact" w:before="5"/>
              <w:ind w:left="112"/>
              <w:rPr>
                <w:b/>
                <w:sz w:val="24"/>
              </w:rPr>
            </w:pPr>
            <w:r>
              <w:rPr>
                <w:b/>
                <w:sz w:val="24"/>
              </w:rPr>
              <w:t>Unemployment Assistance</w:t>
            </w:r>
          </w:p>
        </w:tc>
        <w:tc>
          <w:tcPr>
            <w:tcW w:w="5160" w:type="dxa"/>
          </w:tcPr>
          <w:p>
            <w:pPr>
              <w:pStyle w:val="TableParagraph"/>
              <w:rPr>
                <w:sz w:val="20"/>
              </w:rPr>
            </w:pPr>
          </w:p>
        </w:tc>
      </w:tr>
      <w:tr>
        <w:trPr>
          <w:trHeight w:val="555" w:hRule="atLeast"/>
        </w:trPr>
        <w:tc>
          <w:tcPr>
            <w:tcW w:w="3360" w:type="dxa"/>
          </w:tcPr>
          <w:p>
            <w:pPr>
              <w:pStyle w:val="TableParagraph"/>
              <w:spacing w:before="5"/>
              <w:ind w:left="112"/>
              <w:rPr>
                <w:sz w:val="24"/>
              </w:rPr>
            </w:pPr>
            <w:r>
              <w:rPr>
                <w:sz w:val="24"/>
              </w:rPr>
              <w:t>Equal Treatment</w:t>
            </w:r>
          </w:p>
        </w:tc>
        <w:tc>
          <w:tcPr>
            <w:tcW w:w="5160" w:type="dxa"/>
          </w:tcPr>
          <w:p>
            <w:pPr>
              <w:pStyle w:val="TableParagraph"/>
              <w:spacing w:line="270" w:lineRule="exact" w:before="13"/>
              <w:ind w:left="127"/>
              <w:rPr>
                <w:sz w:val="24"/>
              </w:rPr>
            </w:pPr>
            <w:r>
              <w:rPr>
                <w:sz w:val="24"/>
              </w:rPr>
              <w:t>Couple free to choose who should be claimant, 1983.</w:t>
            </w:r>
          </w:p>
        </w:tc>
      </w:tr>
      <w:tr>
        <w:trPr>
          <w:trHeight w:val="1650" w:hRule="atLeast"/>
        </w:trPr>
        <w:tc>
          <w:tcPr>
            <w:tcW w:w="3360" w:type="dxa"/>
          </w:tcPr>
          <w:p>
            <w:pPr>
              <w:pStyle w:val="TableParagraph"/>
              <w:spacing w:line="266" w:lineRule="exact"/>
              <w:ind w:left="112"/>
              <w:rPr>
                <w:sz w:val="24"/>
              </w:rPr>
            </w:pPr>
            <w:r>
              <w:rPr>
                <w:sz w:val="24"/>
              </w:rPr>
              <w:t>Income Support</w:t>
            </w:r>
          </w:p>
        </w:tc>
        <w:tc>
          <w:tcPr>
            <w:tcW w:w="5160" w:type="dxa"/>
          </w:tcPr>
          <w:p>
            <w:pPr>
              <w:pStyle w:val="TableParagraph"/>
              <w:spacing w:line="247" w:lineRule="auto"/>
              <w:ind w:left="127"/>
              <w:rPr>
                <w:sz w:val="24"/>
              </w:rPr>
            </w:pPr>
            <w:r>
              <w:rPr>
                <w:sz w:val="24"/>
              </w:rPr>
              <w:t>Replaced Supplementary Benefit with series of allowances based on age and marital status.</w:t>
            </w:r>
          </w:p>
          <w:p>
            <w:pPr>
              <w:pStyle w:val="TableParagraph"/>
              <w:spacing w:line="242" w:lineRule="auto"/>
              <w:ind w:left="127"/>
              <w:rPr>
                <w:sz w:val="24"/>
              </w:rPr>
            </w:pPr>
            <w:r>
              <w:rPr>
                <w:sz w:val="24"/>
              </w:rPr>
              <w:t>Capital limit raised from £3000 to £6000. Rates assistance limited to 80%. Additional housing cost assistance abolished. Help denied to people whose</w:t>
            </w:r>
          </w:p>
          <w:p>
            <w:pPr>
              <w:pStyle w:val="TableParagraph"/>
              <w:spacing w:line="249" w:lineRule="exact"/>
              <w:ind w:left="127"/>
              <w:rPr>
                <w:sz w:val="24"/>
              </w:rPr>
            </w:pPr>
            <w:r>
              <w:rPr>
                <w:sz w:val="24"/>
              </w:rPr>
              <w:t>partner working more than 24 hours a week, 1988.</w:t>
            </w:r>
          </w:p>
        </w:tc>
      </w:tr>
      <w:tr>
        <w:trPr>
          <w:trHeight w:val="266" w:hRule="atLeast"/>
        </w:trPr>
        <w:tc>
          <w:tcPr>
            <w:tcW w:w="3360" w:type="dxa"/>
          </w:tcPr>
          <w:p>
            <w:pPr>
              <w:pStyle w:val="TableParagraph"/>
              <w:spacing w:line="246" w:lineRule="exact"/>
              <w:ind w:left="112"/>
              <w:rPr>
                <w:sz w:val="24"/>
              </w:rPr>
            </w:pPr>
            <w:r>
              <w:rPr>
                <w:sz w:val="24"/>
              </w:rPr>
              <w:t>Disqualification</w:t>
            </w:r>
          </w:p>
        </w:tc>
        <w:tc>
          <w:tcPr>
            <w:tcW w:w="5160" w:type="dxa"/>
          </w:tcPr>
          <w:p>
            <w:pPr>
              <w:pStyle w:val="TableParagraph"/>
              <w:spacing w:line="246" w:lineRule="exact"/>
              <w:ind w:left="127"/>
              <w:rPr>
                <w:sz w:val="24"/>
              </w:rPr>
            </w:pPr>
            <w:r>
              <w:rPr>
                <w:sz w:val="24"/>
              </w:rPr>
              <w:t>40% reduction if disqualified from U.I., 1986.</w:t>
            </w:r>
          </w:p>
        </w:tc>
      </w:tr>
      <w:tr>
        <w:trPr>
          <w:trHeight w:val="270" w:hRule="atLeast"/>
        </w:trPr>
        <w:tc>
          <w:tcPr>
            <w:tcW w:w="3360" w:type="dxa"/>
          </w:tcPr>
          <w:p>
            <w:pPr>
              <w:pStyle w:val="TableParagraph"/>
              <w:spacing w:line="250" w:lineRule="exact"/>
              <w:ind w:left="112"/>
              <w:rPr>
                <w:sz w:val="24"/>
              </w:rPr>
            </w:pPr>
            <w:r>
              <w:rPr>
                <w:sz w:val="24"/>
              </w:rPr>
              <w:t>16-17 year olds</w:t>
            </w:r>
          </w:p>
        </w:tc>
        <w:tc>
          <w:tcPr>
            <w:tcW w:w="5160" w:type="dxa"/>
          </w:tcPr>
          <w:p>
            <w:pPr>
              <w:pStyle w:val="TableParagraph"/>
              <w:spacing w:line="250" w:lineRule="exact"/>
              <w:ind w:left="127"/>
              <w:rPr>
                <w:sz w:val="24"/>
              </w:rPr>
            </w:pPr>
            <w:r>
              <w:rPr>
                <w:sz w:val="24"/>
              </w:rPr>
              <w:t>General entitlement removed, 1988.</w:t>
            </w:r>
          </w:p>
        </w:tc>
      </w:tr>
      <w:tr>
        <w:trPr>
          <w:trHeight w:val="540" w:hRule="atLeast"/>
        </w:trPr>
        <w:tc>
          <w:tcPr>
            <w:tcW w:w="3360" w:type="dxa"/>
          </w:tcPr>
          <w:p>
            <w:pPr>
              <w:pStyle w:val="TableParagraph"/>
              <w:spacing w:line="266" w:lineRule="exact"/>
              <w:ind w:left="112"/>
              <w:rPr>
                <w:sz w:val="24"/>
              </w:rPr>
            </w:pPr>
            <w:r>
              <w:rPr>
                <w:sz w:val="24"/>
              </w:rPr>
              <w:t>Mortgage interest</w:t>
            </w:r>
          </w:p>
        </w:tc>
        <w:tc>
          <w:tcPr>
            <w:tcW w:w="5160" w:type="dxa"/>
          </w:tcPr>
          <w:p>
            <w:pPr>
              <w:pStyle w:val="TableParagraph"/>
              <w:spacing w:line="266" w:lineRule="exact"/>
              <w:ind w:left="127"/>
              <w:rPr>
                <w:sz w:val="24"/>
              </w:rPr>
            </w:pPr>
            <w:r>
              <w:rPr>
                <w:sz w:val="24"/>
              </w:rPr>
              <w:t>Under 60s to receive only 50% of interest during</w:t>
            </w:r>
          </w:p>
          <w:p>
            <w:pPr>
              <w:pStyle w:val="TableParagraph"/>
              <w:spacing w:line="245" w:lineRule="exact" w:before="9"/>
              <w:ind w:left="127"/>
              <w:rPr>
                <w:sz w:val="24"/>
              </w:rPr>
            </w:pPr>
            <w:r>
              <w:rPr>
                <w:sz w:val="24"/>
              </w:rPr>
              <w:t>first 16 weeks on benefit, 1987.</w:t>
            </w:r>
          </w:p>
        </w:tc>
      </w:tr>
      <w:tr>
        <w:trPr>
          <w:trHeight w:val="1110" w:hRule="atLeast"/>
        </w:trPr>
        <w:tc>
          <w:tcPr>
            <w:tcW w:w="3360" w:type="dxa"/>
          </w:tcPr>
          <w:p>
            <w:pPr>
              <w:pStyle w:val="TableParagraph"/>
              <w:spacing w:before="5"/>
              <w:ind w:left="112"/>
              <w:rPr>
                <w:b/>
                <w:sz w:val="24"/>
              </w:rPr>
            </w:pPr>
            <w:r>
              <w:rPr>
                <w:b/>
                <w:sz w:val="24"/>
              </w:rPr>
              <w:t>Restart</w:t>
            </w:r>
          </w:p>
        </w:tc>
        <w:tc>
          <w:tcPr>
            <w:tcW w:w="5160" w:type="dxa"/>
          </w:tcPr>
          <w:p>
            <w:pPr>
              <w:pStyle w:val="TableParagraph"/>
              <w:spacing w:line="242" w:lineRule="auto" w:before="5"/>
              <w:ind w:left="127"/>
              <w:rPr>
                <w:sz w:val="24"/>
              </w:rPr>
            </w:pPr>
            <w:r>
              <w:rPr>
                <w:sz w:val="24"/>
              </w:rPr>
              <w:t>Compulsory counselling and referral for unemployed workers with duration excess of six months, 1986. Interviewed every 6 months from</w:t>
            </w:r>
          </w:p>
          <w:p>
            <w:pPr>
              <w:pStyle w:val="TableParagraph"/>
              <w:spacing w:line="249" w:lineRule="exact"/>
              <w:ind w:left="127"/>
              <w:rPr>
                <w:sz w:val="24"/>
              </w:rPr>
            </w:pPr>
            <w:r>
              <w:rPr>
                <w:sz w:val="24"/>
              </w:rPr>
              <w:t>1988.</w:t>
            </w:r>
          </w:p>
        </w:tc>
      </w:tr>
      <w:tr>
        <w:trPr>
          <w:trHeight w:val="1095" w:hRule="atLeast"/>
        </w:trPr>
        <w:tc>
          <w:tcPr>
            <w:tcW w:w="3360" w:type="dxa"/>
          </w:tcPr>
          <w:p>
            <w:pPr>
              <w:pStyle w:val="TableParagraph"/>
              <w:rPr>
                <w:sz w:val="24"/>
              </w:rPr>
            </w:pPr>
          </w:p>
        </w:tc>
        <w:tc>
          <w:tcPr>
            <w:tcW w:w="5160" w:type="dxa"/>
          </w:tcPr>
          <w:p>
            <w:pPr>
              <w:pStyle w:val="TableParagraph"/>
              <w:spacing w:line="242" w:lineRule="auto"/>
              <w:ind w:left="127" w:right="140"/>
              <w:rPr>
                <w:sz w:val="24"/>
              </w:rPr>
            </w:pPr>
            <w:r>
              <w:rPr>
                <w:sz w:val="24"/>
              </w:rPr>
              <w:t>Actively Seeking Work Rule introduced 1989. </w:t>
            </w:r>
            <w:r>
              <w:rPr>
                <w:spacing w:val="-3"/>
                <w:sz w:val="24"/>
              </w:rPr>
              <w:t>Show good cause </w:t>
            </w:r>
            <w:r>
              <w:rPr>
                <w:sz w:val="24"/>
              </w:rPr>
              <w:t>for </w:t>
            </w:r>
            <w:r>
              <w:rPr>
                <w:spacing w:val="-3"/>
                <w:sz w:val="24"/>
              </w:rPr>
              <w:t>refusing jobs.   New </w:t>
            </w:r>
            <w:r>
              <w:rPr>
                <w:sz w:val="24"/>
              </w:rPr>
              <w:t>claimants required to complete Back to Work</w:t>
            </w:r>
            <w:r>
              <w:rPr>
                <w:spacing w:val="15"/>
                <w:sz w:val="24"/>
              </w:rPr>
              <w:t> </w:t>
            </w:r>
            <w:r>
              <w:rPr>
                <w:spacing w:val="-4"/>
                <w:sz w:val="24"/>
              </w:rPr>
              <w:t>Plan</w:t>
            </w:r>
          </w:p>
          <w:p>
            <w:pPr>
              <w:pStyle w:val="TableParagraph"/>
              <w:spacing w:line="249" w:lineRule="exact"/>
              <w:ind w:left="127"/>
              <w:rPr>
                <w:sz w:val="24"/>
              </w:rPr>
            </w:pPr>
            <w:r>
              <w:rPr>
                <w:sz w:val="24"/>
              </w:rPr>
              <w:t>and attend a review after 13 weeks.</w:t>
            </w:r>
          </w:p>
        </w:tc>
      </w:tr>
      <w:tr>
        <w:trPr>
          <w:trHeight w:val="540" w:hRule="atLeast"/>
        </w:trPr>
        <w:tc>
          <w:tcPr>
            <w:tcW w:w="3360" w:type="dxa"/>
          </w:tcPr>
          <w:p>
            <w:pPr>
              <w:pStyle w:val="TableParagraph"/>
              <w:spacing w:line="266" w:lineRule="exact"/>
              <w:ind w:left="112"/>
              <w:rPr>
                <w:b/>
                <w:sz w:val="24"/>
              </w:rPr>
            </w:pPr>
            <w:r>
              <w:rPr>
                <w:b/>
                <w:sz w:val="24"/>
              </w:rPr>
              <w:t>Job Seekers Allowance</w:t>
            </w:r>
          </w:p>
        </w:tc>
        <w:tc>
          <w:tcPr>
            <w:tcW w:w="5160" w:type="dxa"/>
          </w:tcPr>
          <w:p>
            <w:pPr>
              <w:pStyle w:val="TableParagraph"/>
              <w:spacing w:line="266" w:lineRule="exact"/>
              <w:ind w:left="127"/>
              <w:rPr>
                <w:sz w:val="24"/>
              </w:rPr>
            </w:pPr>
            <w:r>
              <w:rPr>
                <w:sz w:val="24"/>
              </w:rPr>
              <w:t>Unemployment Insurance reduced from 12 to 6</w:t>
            </w:r>
          </w:p>
          <w:p>
            <w:pPr>
              <w:pStyle w:val="TableParagraph"/>
              <w:spacing w:line="245" w:lineRule="exact" w:before="9"/>
              <w:ind w:left="127"/>
              <w:rPr>
                <w:sz w:val="24"/>
              </w:rPr>
            </w:pPr>
            <w:r>
              <w:rPr>
                <w:sz w:val="24"/>
              </w:rPr>
              <w:t>months, 1996.</w:t>
            </w:r>
          </w:p>
        </w:tc>
      </w:tr>
    </w:tbl>
    <w:p>
      <w:pPr>
        <w:pStyle w:val="BodyText"/>
        <w:spacing w:line="266" w:lineRule="exact"/>
        <w:ind w:left="235"/>
      </w:pPr>
      <w:r>
        <w:rPr>
          <w:u w:val="single"/>
        </w:rPr>
        <w:t>Source</w:t>
      </w:r>
      <w:r>
        <w:rPr/>
        <w:t>: Schmitt and Wadsworth (1999), Atkinson and Micklewright (1988).</w:t>
      </w:r>
    </w:p>
    <w:p>
      <w:pPr>
        <w:spacing w:after="0" w:line="266" w:lineRule="exact"/>
        <w:sectPr>
          <w:pgSz w:w="11920" w:h="16840"/>
          <w:pgMar w:header="0" w:footer="779" w:top="1360" w:bottom="960" w:left="1580" w:right="1460"/>
        </w:sectPr>
      </w:pPr>
    </w:p>
    <w:p>
      <w:pPr>
        <w:pStyle w:val="BodyText"/>
        <w:spacing w:line="357" w:lineRule="auto" w:before="76"/>
        <w:ind w:left="235" w:right="401"/>
      </w:pPr>
      <w:r>
        <w:rPr/>
        <w:t>Underlying these broad brush changes have been numerous detailed shifts set out in Table 6 which have reduced the coverage of the system and increased its operational strictness. The former effect is made clear in Table 7. All these changes have made unemployment a less attractive state than work, which will have had a gradual impact on equilibrium unemployment.</w:t>
      </w:r>
    </w:p>
    <w:p>
      <w:pPr>
        <w:pStyle w:val="BodyText"/>
        <w:rPr>
          <w:sz w:val="20"/>
        </w:rPr>
      </w:pPr>
    </w:p>
    <w:p>
      <w:pPr>
        <w:pStyle w:val="BodyText"/>
        <w:spacing w:before="10"/>
        <w:rPr>
          <w:sz w:val="16"/>
        </w:rPr>
      </w:pPr>
      <w:r>
        <w:rPr/>
        <w:pict>
          <v:shape style="position:absolute;margin-left:89.25pt;margin-top:12.399707pt;width:418.5pt;height:.1pt;mso-position-horizontal-relative:page;mso-position-vertical-relative:paragraph;z-index:-251642880;mso-wrap-distance-left:0;mso-wrap-distance-right:0" coordorigin="1785,248" coordsize="8370,0" path="m1785,248l10155,248e" filled="false" stroked="true" strokeweight="1.5pt" strokecolor="#000000">
            <v:path arrowok="t"/>
            <v:stroke dashstyle="solid"/>
            <w10:wrap type="topAndBottom"/>
          </v:shape>
        </w:pict>
      </w:r>
    </w:p>
    <w:p>
      <w:pPr>
        <w:pStyle w:val="BodyText"/>
        <w:spacing w:before="11"/>
      </w:pPr>
    </w:p>
    <w:p>
      <w:pPr>
        <w:pStyle w:val="BodyText"/>
        <w:spacing w:before="90"/>
        <w:ind w:left="590" w:right="881"/>
        <w:jc w:val="center"/>
      </w:pPr>
      <w:r>
        <w:rPr>
          <w:u w:val="single"/>
        </w:rPr>
        <w:t>TABLE 7</w:t>
      </w:r>
    </w:p>
    <w:p>
      <w:pPr>
        <w:pStyle w:val="BodyText"/>
        <w:spacing w:before="189"/>
        <w:ind w:left="768" w:right="852"/>
        <w:jc w:val="center"/>
      </w:pPr>
      <w:r>
        <w:rPr>
          <w:u w:val="single"/>
        </w:rPr>
        <w:t>Proportion of Male Unemployed Receiving Benefit by Characteristics</w:t>
      </w:r>
    </w:p>
    <w:p>
      <w:pPr>
        <w:pStyle w:val="BodyText"/>
        <w:rPr>
          <w:sz w:val="20"/>
        </w:rPr>
      </w:pPr>
    </w:p>
    <w:p>
      <w:pPr>
        <w:pStyle w:val="BodyText"/>
        <w:spacing w:before="10"/>
        <w:rPr>
          <w:sz w:val="29"/>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3"/>
        <w:gridCol w:w="1380"/>
        <w:gridCol w:w="1320"/>
        <w:gridCol w:w="1215"/>
        <w:gridCol w:w="868"/>
      </w:tblGrid>
      <w:tr>
        <w:trPr>
          <w:trHeight w:val="342" w:hRule="atLeast"/>
        </w:trPr>
        <w:tc>
          <w:tcPr>
            <w:tcW w:w="3313" w:type="dxa"/>
          </w:tcPr>
          <w:p>
            <w:pPr>
              <w:pStyle w:val="TableParagraph"/>
              <w:rPr>
                <w:sz w:val="24"/>
              </w:rPr>
            </w:pPr>
          </w:p>
        </w:tc>
        <w:tc>
          <w:tcPr>
            <w:tcW w:w="1380" w:type="dxa"/>
          </w:tcPr>
          <w:p>
            <w:pPr>
              <w:pStyle w:val="TableParagraph"/>
              <w:spacing w:line="266" w:lineRule="exact"/>
              <w:ind w:left="437" w:right="423"/>
              <w:jc w:val="center"/>
              <w:rPr>
                <w:sz w:val="24"/>
              </w:rPr>
            </w:pPr>
            <w:r>
              <w:rPr>
                <w:sz w:val="24"/>
              </w:rPr>
              <w:t>1983</w:t>
            </w:r>
          </w:p>
        </w:tc>
        <w:tc>
          <w:tcPr>
            <w:tcW w:w="1320" w:type="dxa"/>
          </w:tcPr>
          <w:p>
            <w:pPr>
              <w:pStyle w:val="TableParagraph"/>
              <w:spacing w:line="266" w:lineRule="exact"/>
              <w:ind w:left="422" w:right="378"/>
              <w:jc w:val="center"/>
              <w:rPr>
                <w:sz w:val="24"/>
              </w:rPr>
            </w:pPr>
            <w:r>
              <w:rPr>
                <w:sz w:val="24"/>
              </w:rPr>
              <w:t>1990</w:t>
            </w:r>
          </w:p>
        </w:tc>
        <w:tc>
          <w:tcPr>
            <w:tcW w:w="1215" w:type="dxa"/>
          </w:tcPr>
          <w:p>
            <w:pPr>
              <w:pStyle w:val="TableParagraph"/>
              <w:spacing w:line="266" w:lineRule="exact"/>
              <w:ind w:right="337"/>
              <w:jc w:val="right"/>
              <w:rPr>
                <w:sz w:val="24"/>
              </w:rPr>
            </w:pPr>
            <w:r>
              <w:rPr>
                <w:sz w:val="24"/>
              </w:rPr>
              <w:t>1993</w:t>
            </w:r>
          </w:p>
        </w:tc>
        <w:tc>
          <w:tcPr>
            <w:tcW w:w="868" w:type="dxa"/>
          </w:tcPr>
          <w:p>
            <w:pPr>
              <w:pStyle w:val="TableParagraph"/>
              <w:spacing w:line="266" w:lineRule="exact"/>
              <w:ind w:right="50"/>
              <w:jc w:val="right"/>
              <w:rPr>
                <w:sz w:val="24"/>
              </w:rPr>
            </w:pPr>
            <w:r>
              <w:rPr>
                <w:sz w:val="24"/>
              </w:rPr>
              <w:t>1997</w:t>
            </w:r>
          </w:p>
        </w:tc>
      </w:tr>
      <w:tr>
        <w:trPr>
          <w:trHeight w:val="412" w:hRule="atLeast"/>
        </w:trPr>
        <w:tc>
          <w:tcPr>
            <w:tcW w:w="3313" w:type="dxa"/>
          </w:tcPr>
          <w:p>
            <w:pPr>
              <w:pStyle w:val="TableParagraph"/>
              <w:spacing w:before="67"/>
              <w:ind w:left="50"/>
              <w:rPr>
                <w:sz w:val="24"/>
              </w:rPr>
            </w:pPr>
            <w:r>
              <w:rPr>
                <w:sz w:val="24"/>
              </w:rPr>
              <w:t>All</w:t>
            </w:r>
          </w:p>
        </w:tc>
        <w:tc>
          <w:tcPr>
            <w:tcW w:w="1380" w:type="dxa"/>
          </w:tcPr>
          <w:p>
            <w:pPr>
              <w:pStyle w:val="TableParagraph"/>
              <w:spacing w:before="67"/>
              <w:ind w:left="437" w:right="423"/>
              <w:jc w:val="center"/>
              <w:rPr>
                <w:sz w:val="24"/>
              </w:rPr>
            </w:pPr>
            <w:r>
              <w:rPr>
                <w:sz w:val="24"/>
              </w:rPr>
              <w:t>.907</w:t>
            </w:r>
          </w:p>
        </w:tc>
        <w:tc>
          <w:tcPr>
            <w:tcW w:w="1320" w:type="dxa"/>
          </w:tcPr>
          <w:p>
            <w:pPr>
              <w:pStyle w:val="TableParagraph"/>
              <w:spacing w:before="67"/>
              <w:ind w:left="422" w:right="378"/>
              <w:jc w:val="center"/>
              <w:rPr>
                <w:sz w:val="24"/>
              </w:rPr>
            </w:pPr>
            <w:r>
              <w:rPr>
                <w:sz w:val="24"/>
              </w:rPr>
              <w:t>.694</w:t>
            </w:r>
          </w:p>
        </w:tc>
        <w:tc>
          <w:tcPr>
            <w:tcW w:w="1215" w:type="dxa"/>
          </w:tcPr>
          <w:p>
            <w:pPr>
              <w:pStyle w:val="TableParagraph"/>
              <w:spacing w:before="67"/>
              <w:ind w:right="367"/>
              <w:jc w:val="right"/>
              <w:rPr>
                <w:sz w:val="24"/>
              </w:rPr>
            </w:pPr>
            <w:r>
              <w:rPr>
                <w:sz w:val="24"/>
              </w:rPr>
              <w:t>.797</w:t>
            </w:r>
          </w:p>
        </w:tc>
        <w:tc>
          <w:tcPr>
            <w:tcW w:w="868" w:type="dxa"/>
          </w:tcPr>
          <w:p>
            <w:pPr>
              <w:pStyle w:val="TableParagraph"/>
              <w:spacing w:before="67"/>
              <w:ind w:right="80"/>
              <w:jc w:val="right"/>
              <w:rPr>
                <w:sz w:val="24"/>
              </w:rPr>
            </w:pPr>
            <w:r>
              <w:rPr>
                <w:sz w:val="24"/>
              </w:rPr>
              <w:t>.691</w:t>
            </w:r>
          </w:p>
        </w:tc>
      </w:tr>
      <w:tr>
        <w:trPr>
          <w:trHeight w:val="412" w:hRule="atLeast"/>
        </w:trPr>
        <w:tc>
          <w:tcPr>
            <w:tcW w:w="3313" w:type="dxa"/>
          </w:tcPr>
          <w:p>
            <w:pPr>
              <w:pStyle w:val="TableParagraph"/>
              <w:spacing w:before="59"/>
              <w:ind w:left="239"/>
              <w:rPr>
                <w:sz w:val="24"/>
              </w:rPr>
            </w:pPr>
            <w:r>
              <w:rPr>
                <w:sz w:val="24"/>
              </w:rPr>
              <w:t>Duration &lt;12 mths</w:t>
            </w:r>
          </w:p>
        </w:tc>
        <w:tc>
          <w:tcPr>
            <w:tcW w:w="1380" w:type="dxa"/>
          </w:tcPr>
          <w:p>
            <w:pPr>
              <w:pStyle w:val="TableParagraph"/>
              <w:spacing w:before="59"/>
              <w:ind w:left="437" w:right="423"/>
              <w:jc w:val="center"/>
              <w:rPr>
                <w:sz w:val="24"/>
              </w:rPr>
            </w:pPr>
            <w:r>
              <w:rPr>
                <w:sz w:val="24"/>
              </w:rPr>
              <w:t>.882</w:t>
            </w:r>
          </w:p>
        </w:tc>
        <w:tc>
          <w:tcPr>
            <w:tcW w:w="1320" w:type="dxa"/>
          </w:tcPr>
          <w:p>
            <w:pPr>
              <w:pStyle w:val="TableParagraph"/>
              <w:spacing w:before="59"/>
              <w:ind w:left="422" w:right="378"/>
              <w:jc w:val="center"/>
              <w:rPr>
                <w:sz w:val="24"/>
              </w:rPr>
            </w:pPr>
            <w:r>
              <w:rPr>
                <w:sz w:val="24"/>
              </w:rPr>
              <w:t>.651</w:t>
            </w:r>
          </w:p>
        </w:tc>
        <w:tc>
          <w:tcPr>
            <w:tcW w:w="1215" w:type="dxa"/>
          </w:tcPr>
          <w:p>
            <w:pPr>
              <w:pStyle w:val="TableParagraph"/>
              <w:spacing w:before="59"/>
              <w:ind w:right="367"/>
              <w:jc w:val="right"/>
              <w:rPr>
                <w:sz w:val="24"/>
              </w:rPr>
            </w:pPr>
            <w:r>
              <w:rPr>
                <w:sz w:val="24"/>
              </w:rPr>
              <w:t>.809</w:t>
            </w:r>
          </w:p>
        </w:tc>
        <w:tc>
          <w:tcPr>
            <w:tcW w:w="868" w:type="dxa"/>
          </w:tcPr>
          <w:p>
            <w:pPr>
              <w:pStyle w:val="TableParagraph"/>
              <w:spacing w:before="59"/>
              <w:ind w:right="80"/>
              <w:jc w:val="right"/>
              <w:rPr>
                <w:sz w:val="24"/>
              </w:rPr>
            </w:pPr>
            <w:r>
              <w:rPr>
                <w:sz w:val="24"/>
              </w:rPr>
              <w:t>.654</w:t>
            </w:r>
          </w:p>
        </w:tc>
      </w:tr>
      <w:tr>
        <w:trPr>
          <w:trHeight w:val="420" w:hRule="atLeast"/>
        </w:trPr>
        <w:tc>
          <w:tcPr>
            <w:tcW w:w="3313" w:type="dxa"/>
          </w:tcPr>
          <w:p>
            <w:pPr>
              <w:pStyle w:val="TableParagraph"/>
              <w:spacing w:before="67"/>
              <w:ind w:left="239"/>
              <w:rPr>
                <w:sz w:val="24"/>
              </w:rPr>
            </w:pPr>
            <w:r>
              <w:rPr>
                <w:sz w:val="24"/>
              </w:rPr>
              <w:t>Duration &gt;=12 mths.</w:t>
            </w:r>
          </w:p>
        </w:tc>
        <w:tc>
          <w:tcPr>
            <w:tcW w:w="1380" w:type="dxa"/>
          </w:tcPr>
          <w:p>
            <w:pPr>
              <w:pStyle w:val="TableParagraph"/>
              <w:spacing w:before="67"/>
              <w:ind w:left="437" w:right="423"/>
              <w:jc w:val="center"/>
              <w:rPr>
                <w:sz w:val="24"/>
              </w:rPr>
            </w:pPr>
            <w:r>
              <w:rPr>
                <w:sz w:val="24"/>
              </w:rPr>
              <w:t>.931</w:t>
            </w:r>
          </w:p>
        </w:tc>
        <w:tc>
          <w:tcPr>
            <w:tcW w:w="1320" w:type="dxa"/>
          </w:tcPr>
          <w:p>
            <w:pPr>
              <w:pStyle w:val="TableParagraph"/>
              <w:spacing w:before="67"/>
              <w:ind w:left="422" w:right="378"/>
              <w:jc w:val="center"/>
              <w:rPr>
                <w:sz w:val="24"/>
              </w:rPr>
            </w:pPr>
            <w:r>
              <w:rPr>
                <w:sz w:val="24"/>
              </w:rPr>
              <w:t>.787</w:t>
            </w:r>
          </w:p>
        </w:tc>
        <w:tc>
          <w:tcPr>
            <w:tcW w:w="1215" w:type="dxa"/>
          </w:tcPr>
          <w:p>
            <w:pPr>
              <w:pStyle w:val="TableParagraph"/>
              <w:spacing w:before="67"/>
              <w:ind w:right="367"/>
              <w:jc w:val="right"/>
              <w:rPr>
                <w:sz w:val="24"/>
              </w:rPr>
            </w:pPr>
            <w:r>
              <w:rPr>
                <w:sz w:val="24"/>
              </w:rPr>
              <w:t>.785</w:t>
            </w:r>
          </w:p>
        </w:tc>
        <w:tc>
          <w:tcPr>
            <w:tcW w:w="868" w:type="dxa"/>
          </w:tcPr>
          <w:p>
            <w:pPr>
              <w:pStyle w:val="TableParagraph"/>
              <w:spacing w:before="67"/>
              <w:ind w:right="80"/>
              <w:jc w:val="right"/>
              <w:rPr>
                <w:sz w:val="24"/>
              </w:rPr>
            </w:pPr>
            <w:r>
              <w:rPr>
                <w:sz w:val="24"/>
              </w:rPr>
              <w:t>.730</w:t>
            </w:r>
          </w:p>
        </w:tc>
      </w:tr>
      <w:tr>
        <w:trPr>
          <w:trHeight w:val="412" w:hRule="atLeast"/>
        </w:trPr>
        <w:tc>
          <w:tcPr>
            <w:tcW w:w="3313" w:type="dxa"/>
          </w:tcPr>
          <w:p>
            <w:pPr>
              <w:pStyle w:val="TableParagraph"/>
              <w:spacing w:before="67"/>
              <w:ind w:left="50"/>
              <w:rPr>
                <w:sz w:val="24"/>
              </w:rPr>
            </w:pPr>
            <w:r>
              <w:rPr>
                <w:sz w:val="24"/>
              </w:rPr>
              <w:t>married, working spouse</w:t>
            </w:r>
          </w:p>
        </w:tc>
        <w:tc>
          <w:tcPr>
            <w:tcW w:w="1380" w:type="dxa"/>
          </w:tcPr>
          <w:p>
            <w:pPr>
              <w:pStyle w:val="TableParagraph"/>
              <w:spacing w:before="67"/>
              <w:ind w:left="437" w:right="423"/>
              <w:jc w:val="center"/>
              <w:rPr>
                <w:sz w:val="24"/>
              </w:rPr>
            </w:pPr>
            <w:r>
              <w:rPr>
                <w:sz w:val="24"/>
              </w:rPr>
              <w:t>.857</w:t>
            </w:r>
          </w:p>
        </w:tc>
        <w:tc>
          <w:tcPr>
            <w:tcW w:w="1320" w:type="dxa"/>
          </w:tcPr>
          <w:p>
            <w:pPr>
              <w:pStyle w:val="TableParagraph"/>
              <w:spacing w:before="67"/>
              <w:ind w:left="422" w:right="378"/>
              <w:jc w:val="center"/>
              <w:rPr>
                <w:sz w:val="24"/>
              </w:rPr>
            </w:pPr>
            <w:r>
              <w:rPr>
                <w:sz w:val="24"/>
              </w:rPr>
              <w:t>.563</w:t>
            </w:r>
          </w:p>
        </w:tc>
        <w:tc>
          <w:tcPr>
            <w:tcW w:w="1215" w:type="dxa"/>
          </w:tcPr>
          <w:p>
            <w:pPr>
              <w:pStyle w:val="TableParagraph"/>
              <w:spacing w:before="67"/>
              <w:ind w:right="367"/>
              <w:jc w:val="right"/>
              <w:rPr>
                <w:sz w:val="24"/>
              </w:rPr>
            </w:pPr>
            <w:r>
              <w:rPr>
                <w:sz w:val="24"/>
              </w:rPr>
              <w:t>.706</w:t>
            </w:r>
          </w:p>
        </w:tc>
        <w:tc>
          <w:tcPr>
            <w:tcW w:w="868" w:type="dxa"/>
          </w:tcPr>
          <w:p>
            <w:pPr>
              <w:pStyle w:val="TableParagraph"/>
              <w:spacing w:before="67"/>
              <w:ind w:right="80"/>
              <w:jc w:val="right"/>
              <w:rPr>
                <w:sz w:val="24"/>
              </w:rPr>
            </w:pPr>
            <w:r>
              <w:rPr>
                <w:sz w:val="24"/>
              </w:rPr>
              <w:t>.604</w:t>
            </w:r>
          </w:p>
        </w:tc>
      </w:tr>
      <w:tr>
        <w:trPr>
          <w:trHeight w:val="335" w:hRule="atLeast"/>
        </w:trPr>
        <w:tc>
          <w:tcPr>
            <w:tcW w:w="3313" w:type="dxa"/>
          </w:tcPr>
          <w:p>
            <w:pPr>
              <w:pStyle w:val="TableParagraph"/>
              <w:spacing w:line="256" w:lineRule="exact" w:before="59"/>
              <w:ind w:left="50"/>
              <w:rPr>
                <w:sz w:val="24"/>
              </w:rPr>
            </w:pPr>
            <w:r>
              <w:rPr>
                <w:sz w:val="24"/>
              </w:rPr>
              <w:t>married, non-working spouse</w:t>
            </w:r>
          </w:p>
        </w:tc>
        <w:tc>
          <w:tcPr>
            <w:tcW w:w="1380" w:type="dxa"/>
          </w:tcPr>
          <w:p>
            <w:pPr>
              <w:pStyle w:val="TableParagraph"/>
              <w:spacing w:line="256" w:lineRule="exact" w:before="59"/>
              <w:ind w:left="437" w:right="423"/>
              <w:jc w:val="center"/>
              <w:rPr>
                <w:sz w:val="24"/>
              </w:rPr>
            </w:pPr>
            <w:r>
              <w:rPr>
                <w:sz w:val="24"/>
              </w:rPr>
              <w:t>.942</w:t>
            </w:r>
          </w:p>
        </w:tc>
        <w:tc>
          <w:tcPr>
            <w:tcW w:w="1320" w:type="dxa"/>
          </w:tcPr>
          <w:p>
            <w:pPr>
              <w:pStyle w:val="TableParagraph"/>
              <w:spacing w:line="256" w:lineRule="exact" w:before="59"/>
              <w:ind w:left="422" w:right="378"/>
              <w:jc w:val="center"/>
              <w:rPr>
                <w:sz w:val="24"/>
              </w:rPr>
            </w:pPr>
            <w:r>
              <w:rPr>
                <w:sz w:val="24"/>
              </w:rPr>
              <w:t>.774</w:t>
            </w:r>
          </w:p>
        </w:tc>
        <w:tc>
          <w:tcPr>
            <w:tcW w:w="1215" w:type="dxa"/>
          </w:tcPr>
          <w:p>
            <w:pPr>
              <w:pStyle w:val="TableParagraph"/>
              <w:spacing w:line="256" w:lineRule="exact" w:before="59"/>
              <w:ind w:right="367"/>
              <w:jc w:val="right"/>
              <w:rPr>
                <w:sz w:val="24"/>
              </w:rPr>
            </w:pPr>
            <w:r>
              <w:rPr>
                <w:sz w:val="24"/>
              </w:rPr>
              <w:t>.828</w:t>
            </w:r>
          </w:p>
        </w:tc>
        <w:tc>
          <w:tcPr>
            <w:tcW w:w="868" w:type="dxa"/>
          </w:tcPr>
          <w:p>
            <w:pPr>
              <w:pStyle w:val="TableParagraph"/>
              <w:spacing w:line="256" w:lineRule="exact" w:before="59"/>
              <w:ind w:right="80"/>
              <w:jc w:val="right"/>
              <w:rPr>
                <w:sz w:val="24"/>
              </w:rPr>
            </w:pPr>
            <w:r>
              <w:rPr>
                <w:sz w:val="24"/>
              </w:rPr>
              <w:t>.740</w:t>
            </w:r>
          </w:p>
        </w:tc>
      </w:tr>
    </w:tbl>
    <w:p>
      <w:pPr>
        <w:pStyle w:val="BodyText"/>
        <w:rPr>
          <w:sz w:val="20"/>
        </w:rPr>
      </w:pPr>
    </w:p>
    <w:p>
      <w:pPr>
        <w:pStyle w:val="BodyText"/>
        <w:spacing w:before="7"/>
        <w:rPr>
          <w:sz w:val="18"/>
        </w:rPr>
      </w:pPr>
    </w:p>
    <w:p>
      <w:pPr>
        <w:pStyle w:val="BodyText"/>
        <w:spacing w:before="90"/>
        <w:ind w:left="235"/>
      </w:pPr>
      <w:r>
        <w:rPr>
          <w:u w:val="single"/>
        </w:rPr>
        <w:t>Source</w:t>
      </w:r>
      <w:r>
        <w:rPr/>
        <w:t>: Schmitt and Wadsworth (1999), Table 2</w:t>
      </w:r>
    </w:p>
    <w:p>
      <w:pPr>
        <w:pStyle w:val="BodyText"/>
        <w:rPr>
          <w:sz w:val="20"/>
        </w:rPr>
      </w:pPr>
    </w:p>
    <w:p>
      <w:pPr>
        <w:pStyle w:val="BodyText"/>
        <w:spacing w:before="2"/>
        <w:rPr>
          <w:sz w:val="28"/>
        </w:rPr>
      </w:pPr>
      <w:r>
        <w:rPr/>
        <w:pict>
          <v:shape style="position:absolute;margin-left:89.25pt;margin-top:18.9083pt;width:418.5pt;height:.1pt;mso-position-horizontal-relative:page;mso-position-vertical-relative:paragraph;z-index:-251641856;mso-wrap-distance-left:0;mso-wrap-distance-right:0" coordorigin="1785,378" coordsize="8370,0" path="m1785,378l10155,378e" filled="false" stroked="true" strokeweight="1.5pt" strokecolor="#000000">
            <v:path arrowok="t"/>
            <v:stroke dashstyle="solid"/>
            <w10:wrap type="topAndBottom"/>
          </v:shape>
        </w:pict>
      </w:r>
    </w:p>
    <w:p>
      <w:pPr>
        <w:pStyle w:val="BodyText"/>
        <w:spacing w:before="7"/>
        <w:rPr>
          <w:sz w:val="23"/>
        </w:rPr>
      </w:pPr>
    </w:p>
    <w:p>
      <w:pPr>
        <w:pStyle w:val="BodyText"/>
        <w:spacing w:line="362" w:lineRule="auto" w:before="90"/>
        <w:ind w:left="235" w:right="367"/>
      </w:pPr>
      <w:r>
        <w:rPr/>
        <w:t>A small digression is in order here to point out that simply because a change in the benefit system reduces equilibrium unemployment, it does not necessarily imply that it is a good thing. It is arguable, for example, that the current benefit system is simply too mean. In fact, to have a system which operates well, it is not necessary to plunge households into poverty should the sole breadwinner lose his or her job.</w:t>
      </w:r>
    </w:p>
    <w:p>
      <w:pPr>
        <w:pStyle w:val="BodyText"/>
        <w:spacing w:before="4"/>
        <w:rPr>
          <w:sz w:val="35"/>
        </w:rPr>
      </w:pPr>
    </w:p>
    <w:p>
      <w:pPr>
        <w:pStyle w:val="BodyText"/>
        <w:spacing w:line="360" w:lineRule="auto"/>
        <w:ind w:left="235" w:right="360"/>
      </w:pPr>
      <w:r>
        <w:rPr/>
        <w:t>The system as operated in Denmark, for example, was substantially reformed in the early to mid 1990s, not by reducing the generous level of benefit (replacement rates close to 70 percent of gross earnings) but by providing a system of job search assistance allied to a set of sanctions to be applied if individuals do not fulfil their responsibilities to look for and accept work. These reforms have underpinned the excellent performance of the Danish labour market in recent years (current unemployment around 5 percent).</w:t>
      </w:r>
    </w:p>
    <w:p>
      <w:pPr>
        <w:spacing w:after="0" w:line="360" w:lineRule="auto"/>
        <w:sectPr>
          <w:pgSz w:w="11920" w:h="16840"/>
          <w:pgMar w:header="0" w:footer="779" w:top="1360" w:bottom="960" w:left="1580" w:right="1460"/>
        </w:sectPr>
      </w:pPr>
    </w:p>
    <w:p>
      <w:pPr>
        <w:pStyle w:val="BodyText"/>
        <w:spacing w:before="1"/>
        <w:rPr>
          <w:sz w:val="13"/>
        </w:rPr>
      </w:pPr>
    </w:p>
    <w:p>
      <w:pPr>
        <w:pStyle w:val="BodyText"/>
        <w:spacing w:line="357" w:lineRule="auto" w:before="90"/>
        <w:ind w:left="235" w:right="474"/>
      </w:pPr>
      <w:r>
        <w:rPr/>
        <w:t>In any event, desirable or otherwise, the overall thrust of changes in the benefit system in the UK have undoubtedly contributed to the fall in equilibrium unemployment reported in Table 1.</w:t>
      </w:r>
    </w:p>
    <w:p>
      <w:pPr>
        <w:pStyle w:val="BodyText"/>
        <w:spacing w:before="6"/>
        <w:rPr>
          <w:sz w:val="37"/>
        </w:rPr>
      </w:pPr>
    </w:p>
    <w:p>
      <w:pPr>
        <w:pStyle w:val="BodyText"/>
        <w:ind w:left="235"/>
      </w:pPr>
      <w:r>
        <w:rPr>
          <w:u w:val="single"/>
        </w:rPr>
        <w:t>The role of employment taxes</w:t>
      </w:r>
    </w:p>
    <w:p>
      <w:pPr>
        <w:pStyle w:val="BodyText"/>
        <w:rPr>
          <w:sz w:val="20"/>
        </w:rPr>
      </w:pPr>
    </w:p>
    <w:p>
      <w:pPr>
        <w:pStyle w:val="BodyText"/>
        <w:spacing w:before="11"/>
        <w:rPr>
          <w:sz w:val="19"/>
        </w:rPr>
      </w:pPr>
    </w:p>
    <w:p>
      <w:pPr>
        <w:pStyle w:val="BodyText"/>
        <w:spacing w:line="360" w:lineRule="auto" w:before="90"/>
        <w:ind w:left="235" w:right="388"/>
      </w:pPr>
      <w:r>
        <w:rPr/>
        <w:t>The taxes that are important in the labour market are those </w:t>
      </w:r>
      <w:r>
        <w:rPr>
          <w:spacing w:val="-3"/>
        </w:rPr>
        <w:t>which form part </w:t>
      </w:r>
      <w:r>
        <w:rPr/>
        <w:t>of </w:t>
      </w:r>
      <w:r>
        <w:rPr>
          <w:spacing w:val="-3"/>
        </w:rPr>
        <w:t>the </w:t>
      </w:r>
      <w:r>
        <w:rPr/>
        <w:t>wedge between the real cost of labour per employee facing firms and the real post-tax consumption wage facing workers. This is important because if any tax which is part of </w:t>
      </w:r>
      <w:r>
        <w:rPr>
          <w:spacing w:val="-3"/>
        </w:rPr>
        <w:t>this wedge rises, then either workers </w:t>
      </w:r>
      <w:r>
        <w:rPr/>
        <w:t>get </w:t>
      </w:r>
      <w:r>
        <w:rPr>
          <w:spacing w:val="-3"/>
        </w:rPr>
        <w:t>poorer </w:t>
      </w:r>
      <w:r>
        <w:rPr/>
        <w:t>or </w:t>
      </w:r>
      <w:r>
        <w:rPr>
          <w:spacing w:val="-3"/>
        </w:rPr>
        <w:t>labour costs </w:t>
      </w:r>
      <w:r>
        <w:rPr/>
        <w:t>go up </w:t>
      </w:r>
      <w:r>
        <w:rPr>
          <w:spacing w:val="-3"/>
        </w:rPr>
        <w:t>and </w:t>
      </w:r>
      <w:r>
        <w:rPr/>
        <w:t>employment falls. So, to the extent that workers resist falls in their living standards, </w:t>
      </w:r>
      <w:r>
        <w:rPr>
          <w:spacing w:val="-3"/>
        </w:rPr>
        <w:t>employment will fall. </w:t>
      </w:r>
      <w:r>
        <w:rPr/>
        <w:t>The taxes which contribute to this wedge are payroll </w:t>
      </w:r>
      <w:r>
        <w:rPr>
          <w:spacing w:val="-2"/>
        </w:rPr>
        <w:t>taxes, </w:t>
      </w:r>
      <w:r>
        <w:rPr/>
        <w:t>income taxes and consumption taxes. There is considerable debate on the extent to which changes in these taxes are absorbed by wage changes or end up impacting on employment (see Nickell and Layard, 1999, for a summary and evidence). </w:t>
      </w:r>
      <w:r>
        <w:rPr>
          <w:spacing w:val="-2"/>
        </w:rPr>
        <w:t>The </w:t>
      </w:r>
      <w:r>
        <w:rPr/>
        <w:t>overall conclusion is that a small part of the tax change may impact on employment and this might have helped reduce equilibrium unemployment since the early 1980s because the tax wedge has fallen slightly since that time. The contribution reported</w:t>
      </w:r>
      <w:r>
        <w:rPr>
          <w:spacing w:val="-19"/>
        </w:rPr>
        <w:t> </w:t>
      </w:r>
      <w:r>
        <w:rPr/>
        <w:t>in </w:t>
      </w:r>
      <w:r>
        <w:rPr>
          <w:spacing w:val="-3"/>
        </w:rPr>
        <w:t>Nickell </w:t>
      </w:r>
      <w:r>
        <w:rPr/>
        <w:t>and Van Ours (2000) is just over ½ percentage</w:t>
      </w:r>
      <w:r>
        <w:rPr>
          <w:spacing w:val="22"/>
        </w:rPr>
        <w:t> </w:t>
      </w:r>
      <w:r>
        <w:rPr/>
        <w:t>point.</w:t>
      </w:r>
    </w:p>
    <w:p>
      <w:pPr>
        <w:pStyle w:val="BodyText"/>
        <w:spacing w:before="5"/>
        <w:rPr>
          <w:sz w:val="35"/>
        </w:rPr>
      </w:pPr>
    </w:p>
    <w:p>
      <w:pPr>
        <w:pStyle w:val="BodyText"/>
        <w:spacing w:line="360" w:lineRule="auto" w:before="1"/>
        <w:ind w:left="235" w:right="360"/>
      </w:pPr>
      <w:r>
        <w:rPr/>
        <w:t>The three factors we have just discussed, wage bargaining, benefits and employment taxes are the main causes of the fall in the equilibrium unemployment rate which underpins the recent benign combination of relatively low unemployment and stable inflation. Furthermore all these changes have come about as a result of policy decisions made prior to 1997. So this naturally leads on to the question of what we might expect to happen to equilibrium unemployment in the future as a result of changes initiated by the Labour Government since 1997.</w:t>
      </w:r>
    </w:p>
    <w:p>
      <w:pPr>
        <w:pStyle w:val="BodyText"/>
        <w:spacing w:before="3"/>
        <w:rPr>
          <w:sz w:val="36"/>
        </w:rPr>
      </w:pPr>
    </w:p>
    <w:p>
      <w:pPr>
        <w:pStyle w:val="BodyText"/>
        <w:ind w:left="235"/>
      </w:pPr>
      <w:r>
        <w:rPr>
          <w:u w:val="single"/>
        </w:rPr>
        <w:t>Future Changes in Equilibrium Unemployment</w:t>
      </w:r>
    </w:p>
    <w:p>
      <w:pPr>
        <w:pStyle w:val="BodyText"/>
        <w:rPr>
          <w:sz w:val="20"/>
        </w:rPr>
      </w:pPr>
    </w:p>
    <w:p>
      <w:pPr>
        <w:pStyle w:val="BodyText"/>
        <w:spacing w:before="10"/>
        <w:rPr>
          <w:sz w:val="19"/>
        </w:rPr>
      </w:pPr>
    </w:p>
    <w:p>
      <w:pPr>
        <w:pStyle w:val="BodyText"/>
        <w:spacing w:line="357" w:lineRule="auto" w:before="90"/>
        <w:ind w:left="235" w:right="378"/>
        <w:jc w:val="both"/>
      </w:pPr>
      <w:r>
        <w:rPr/>
        <w:t>A number of recent policy initiatives have potential implications for the future path of equilibrium unemployment. On wage determination, we have the National Minimum Wage and the new procedure for trade union recognition. On the tax, benefit front</w:t>
      </w:r>
    </w:p>
    <w:p>
      <w:pPr>
        <w:spacing w:after="0" w:line="357" w:lineRule="auto"/>
        <w:jc w:val="both"/>
        <w:sectPr>
          <w:pgSz w:w="11920" w:h="16840"/>
          <w:pgMar w:header="0" w:footer="779" w:top="1600" w:bottom="960" w:left="1580" w:right="1460"/>
        </w:sectPr>
      </w:pPr>
    </w:p>
    <w:p>
      <w:pPr>
        <w:pStyle w:val="BodyText"/>
        <w:spacing w:line="357" w:lineRule="auto" w:before="76"/>
        <w:ind w:left="235" w:right="360"/>
      </w:pPr>
      <w:r>
        <w:rPr/>
        <w:t>there are the New Deals and other policies to improve labour supply as well as the ‘tax’ effects generated by the additional business costs imposed by new legislation. Finally there are the significant changes in competition policy.</w:t>
      </w:r>
    </w:p>
    <w:p>
      <w:pPr>
        <w:pStyle w:val="BodyText"/>
        <w:spacing w:before="2"/>
        <w:rPr>
          <w:sz w:val="36"/>
        </w:rPr>
      </w:pPr>
    </w:p>
    <w:p>
      <w:pPr>
        <w:pStyle w:val="BodyText"/>
        <w:ind w:left="235"/>
      </w:pPr>
      <w:r>
        <w:rPr>
          <w:u w:val="single"/>
        </w:rPr>
        <w:t>Wage determination policy</w:t>
      </w:r>
    </w:p>
    <w:p>
      <w:pPr>
        <w:pStyle w:val="BodyText"/>
        <w:rPr>
          <w:sz w:val="20"/>
        </w:rPr>
      </w:pPr>
    </w:p>
    <w:p>
      <w:pPr>
        <w:pStyle w:val="BodyText"/>
        <w:spacing w:before="11"/>
        <w:rPr>
          <w:sz w:val="19"/>
        </w:rPr>
      </w:pPr>
    </w:p>
    <w:p>
      <w:pPr>
        <w:pStyle w:val="BodyText"/>
        <w:spacing w:line="360" w:lineRule="auto" w:before="90"/>
        <w:ind w:left="235" w:right="332"/>
      </w:pPr>
      <w:r>
        <w:rPr/>
        <w:t>The National Minimum Wage (NMW) was introduced in April 1999. Evidence from other countries is that for minimum wages set at relatively low levels (such as the UK level), the employment effects are minimal except perhaps for young people in those countries which, unlike Britain, do not have a special low rate for the under 21s. (See Dolado et al. 1996 for a good summary). Despite this Minford and Haldenby (1999) suggest that the NMW will raise equilibrium unemployment by around 0.6 percentage point. However, the evidence we have so far in the UK confirms the international evidence (see Machin et al, 2001) and we should expect no significant impact on equilibrium unemployment from this direction.</w:t>
      </w:r>
    </w:p>
    <w:p>
      <w:pPr>
        <w:pStyle w:val="BodyText"/>
        <w:rPr>
          <w:sz w:val="36"/>
        </w:rPr>
      </w:pPr>
    </w:p>
    <w:p>
      <w:pPr>
        <w:pStyle w:val="BodyText"/>
        <w:spacing w:line="360" w:lineRule="auto"/>
        <w:ind w:left="235" w:right="367"/>
      </w:pPr>
      <w:r>
        <w:rPr/>
        <w:t>Minford and Haldenby (1999) also predict a substantial rise in equilibrium unemployment (around 1.2 percentage points) as a result of increased union membership following the new procedure for Trade Union recognition introduced in the 1999 Employment Relation Act, which came into force in June 2000. However, given the structure of the recognition procedure, it seems likely that increased union </w:t>
      </w:r>
      <w:r>
        <w:rPr>
          <w:spacing w:val="-3"/>
        </w:rPr>
        <w:t>membership from this source will </w:t>
      </w:r>
      <w:r>
        <w:rPr/>
        <w:t>be </w:t>
      </w:r>
      <w:r>
        <w:rPr>
          <w:spacing w:val="-3"/>
        </w:rPr>
        <w:t>hardly enough </w:t>
      </w:r>
      <w:r>
        <w:rPr/>
        <w:t>to </w:t>
      </w:r>
      <w:r>
        <w:rPr>
          <w:spacing w:val="-3"/>
        </w:rPr>
        <w:t>offset losses from closures, </w:t>
      </w:r>
      <w:r>
        <w:rPr/>
        <w:t>derecognitions and retirements (see Metcalf, 2001). So, despite the dire predictions of Minford and Haldenby, it is unlikely that this is going to have any important </w:t>
      </w:r>
      <w:r>
        <w:rPr>
          <w:spacing w:val="-2"/>
        </w:rPr>
        <w:t>impact </w:t>
      </w:r>
      <w:r>
        <w:rPr/>
        <w:t>on equilibrium</w:t>
      </w:r>
      <w:r>
        <w:rPr>
          <w:spacing w:val="11"/>
        </w:rPr>
        <w:t> </w:t>
      </w:r>
      <w:r>
        <w:rPr/>
        <w:t>unemployment.</w:t>
      </w:r>
    </w:p>
    <w:p>
      <w:pPr>
        <w:pStyle w:val="BodyText"/>
        <w:rPr>
          <w:sz w:val="36"/>
        </w:rPr>
      </w:pPr>
    </w:p>
    <w:p>
      <w:pPr>
        <w:pStyle w:val="BodyText"/>
        <w:ind w:left="235"/>
      </w:pPr>
      <w:r>
        <w:rPr>
          <w:u w:val="single"/>
        </w:rPr>
        <w:t>Business Costs and New Deals</w:t>
      </w:r>
    </w:p>
    <w:p>
      <w:pPr>
        <w:pStyle w:val="BodyText"/>
        <w:rPr>
          <w:sz w:val="20"/>
        </w:rPr>
      </w:pPr>
    </w:p>
    <w:p>
      <w:pPr>
        <w:pStyle w:val="BodyText"/>
        <w:spacing w:before="11"/>
        <w:rPr>
          <w:sz w:val="19"/>
        </w:rPr>
      </w:pPr>
    </w:p>
    <w:p>
      <w:pPr>
        <w:pStyle w:val="BodyText"/>
        <w:spacing w:line="360" w:lineRule="auto" w:before="90"/>
        <w:ind w:left="235" w:right="360"/>
      </w:pPr>
      <w:r>
        <w:rPr/>
        <w:t>Since 1997, UK business has seen a number of new directives, for example, the working time directive, parental leave and part-timers rights. These, de facto, impose additional labour costs on firms. What typically happens is that, over the long-term, wages adjust to compensate and the employment effects are minimal. That is, the workings of the labour market ensure that the employees end up paying for their new benefits in the form of lower wages, a fact which is worth bearing in mind by those</w:t>
      </w:r>
    </w:p>
    <w:p>
      <w:pPr>
        <w:spacing w:after="0" w:line="360" w:lineRule="auto"/>
        <w:sectPr>
          <w:pgSz w:w="11920" w:h="16840"/>
          <w:pgMar w:header="0" w:footer="779" w:top="1360" w:bottom="960" w:left="1580" w:right="1460"/>
        </w:sectPr>
      </w:pPr>
    </w:p>
    <w:p>
      <w:pPr>
        <w:pStyle w:val="BodyText"/>
        <w:spacing w:line="357" w:lineRule="auto" w:before="116"/>
        <w:ind w:left="235" w:right="520"/>
      </w:pPr>
      <w:r>
        <w:rPr/>
        <w:t>press for further extensions of “employee rights”.</w:t>
      </w:r>
      <w:r>
        <w:rPr>
          <w:vertAlign w:val="superscript"/>
        </w:rPr>
        <w:t>5</w:t>
      </w:r>
      <w:r>
        <w:rPr>
          <w:vertAlign w:val="baseline"/>
        </w:rPr>
        <w:t> So while there are likely to be some negative employment effects as a result of these new employment rights in the short-run, over the longer term, the impact on equilibrium unemployment will probably be negligible.</w:t>
      </w:r>
    </w:p>
    <w:p>
      <w:pPr>
        <w:pStyle w:val="BodyText"/>
        <w:spacing w:before="11"/>
        <w:rPr>
          <w:sz w:val="36"/>
        </w:rPr>
      </w:pPr>
    </w:p>
    <w:p>
      <w:pPr>
        <w:pStyle w:val="BodyText"/>
        <w:spacing w:line="357" w:lineRule="auto"/>
        <w:ind w:left="235" w:right="332"/>
      </w:pPr>
      <w:r>
        <w:rPr/>
        <w:t>The other important change introduced since 1997 in this context has been the New Deal policies, one of the implications of which is the enhancement of labour supply in the target groups. We shall look at the consequences of New Deal policies in more detail in what follows but, at this stage, all we need say is that, on the basis of the evidence so far, these policies have had a small positive impact on employment. So, over the longer term, we expect them to lead to a small reduction in equilibrium unemployment.</w:t>
      </w:r>
    </w:p>
    <w:p>
      <w:pPr>
        <w:pStyle w:val="BodyText"/>
        <w:spacing w:before="7"/>
        <w:rPr>
          <w:sz w:val="36"/>
        </w:rPr>
      </w:pPr>
    </w:p>
    <w:p>
      <w:pPr>
        <w:pStyle w:val="BodyText"/>
        <w:ind w:left="235"/>
      </w:pPr>
      <w:r>
        <w:rPr>
          <w:u w:val="single"/>
        </w:rPr>
        <w:t>Competition Policy</w:t>
      </w:r>
    </w:p>
    <w:p>
      <w:pPr>
        <w:pStyle w:val="BodyText"/>
        <w:rPr>
          <w:sz w:val="20"/>
        </w:rPr>
      </w:pPr>
    </w:p>
    <w:p>
      <w:pPr>
        <w:pStyle w:val="BodyText"/>
        <w:spacing w:before="3"/>
        <w:rPr>
          <w:sz w:val="21"/>
        </w:rPr>
      </w:pPr>
    </w:p>
    <w:p>
      <w:pPr>
        <w:pStyle w:val="BodyText"/>
        <w:spacing w:line="357" w:lineRule="auto" w:before="90"/>
        <w:ind w:left="235" w:right="332"/>
      </w:pPr>
      <w:r>
        <w:rPr/>
        <w:t>In a world where wages are determined by bargaining, increases in product market competition will tend to reduce equilibrium unemployment and raise the share of labour in total output. Many have argued that there has been a significant rise in competition in the UK over the last 20 years and most businessmen would agree. Forces pushing in this direction include privatisation, deregulation and declining trade barriers both within Europe and in the World at large. On the other hand, these same forces have also generated a great deal of “restructuring” in many of the affected sectors which has, in most cases, had the effect of sustaining and even concentrating market power.</w:t>
      </w:r>
    </w:p>
    <w:p>
      <w:pPr>
        <w:pStyle w:val="BodyText"/>
        <w:spacing w:before="2"/>
        <w:rPr>
          <w:sz w:val="38"/>
        </w:rPr>
      </w:pPr>
    </w:p>
    <w:p>
      <w:pPr>
        <w:pStyle w:val="BodyText"/>
        <w:spacing w:line="360" w:lineRule="auto"/>
        <w:ind w:left="235" w:right="366"/>
      </w:pPr>
      <w:r>
        <w:rPr/>
        <w:t>This has been reinforced by the fact that, by comparison with the United States, UK competition law has been relatively feeble. However, the UK anti-trust system </w:t>
      </w:r>
      <w:r>
        <w:rPr>
          <w:spacing w:val="-2"/>
        </w:rPr>
        <w:t>was </w:t>
      </w:r>
      <w:r>
        <w:rPr/>
        <w:t>significantly strengthened from 1</w:t>
      </w:r>
      <w:r>
        <w:rPr>
          <w:vertAlign w:val="superscript"/>
        </w:rPr>
        <w:t>st</w:t>
      </w:r>
      <w:r>
        <w:rPr>
          <w:vertAlign w:val="baseline"/>
        </w:rPr>
        <w:t> March 2000, when the 1998 Competition Act</w:t>
      </w:r>
      <w:r>
        <w:rPr>
          <w:spacing w:val="-30"/>
          <w:vertAlign w:val="baseline"/>
        </w:rPr>
        <w:t> </w:t>
      </w:r>
      <w:r>
        <w:rPr>
          <w:vertAlign w:val="baseline"/>
        </w:rPr>
        <w:t>came into force.  This, along with further prospective tightening as a result of </w:t>
      </w:r>
      <w:r>
        <w:rPr>
          <w:spacing w:val="-2"/>
          <w:vertAlign w:val="baseline"/>
        </w:rPr>
        <w:t>future </w:t>
      </w:r>
      <w:r>
        <w:rPr>
          <w:vertAlign w:val="baseline"/>
        </w:rPr>
        <w:t>planned changes in competition law, should lead to some reduction in equilibrium </w:t>
      </w:r>
      <w:r>
        <w:rPr>
          <w:spacing w:val="-3"/>
          <w:vertAlign w:val="baseline"/>
        </w:rPr>
        <w:t>unemployment </w:t>
      </w:r>
      <w:r>
        <w:rPr>
          <w:vertAlign w:val="baseline"/>
        </w:rPr>
        <w:t>in the </w:t>
      </w:r>
      <w:r>
        <w:rPr>
          <w:spacing w:val="-3"/>
          <w:vertAlign w:val="baseline"/>
        </w:rPr>
        <w:t>longer</w:t>
      </w:r>
      <w:r>
        <w:rPr>
          <w:spacing w:val="34"/>
          <w:vertAlign w:val="baseline"/>
        </w:rPr>
        <w:t> </w:t>
      </w:r>
      <w:r>
        <w:rPr>
          <w:spacing w:val="-3"/>
          <w:vertAlign w:val="baseline"/>
        </w:rPr>
        <w:t>term.</w:t>
      </w:r>
    </w:p>
    <w:p>
      <w:pPr>
        <w:pStyle w:val="BodyText"/>
        <w:spacing w:before="9"/>
        <w:rPr>
          <w:sz w:val="35"/>
        </w:rPr>
      </w:pPr>
    </w:p>
    <w:p>
      <w:pPr>
        <w:pStyle w:val="BodyText"/>
        <w:spacing w:line="352" w:lineRule="auto"/>
        <w:ind w:left="235" w:right="360"/>
      </w:pPr>
      <w:r>
        <w:rPr/>
        <w:t>Overall, therefore, recent policy changes are likely to induce only small changes in equilibrium unemployment over the long run. On balance the sort of policy reforms</w:t>
      </w:r>
    </w:p>
    <w:p>
      <w:pPr>
        <w:spacing w:after="0" w:line="352" w:lineRule="auto"/>
        <w:sectPr>
          <w:pgSz w:w="11920" w:h="16840"/>
          <w:pgMar w:header="0" w:footer="779" w:top="1320" w:bottom="960" w:left="1580" w:right="1460"/>
        </w:sectPr>
      </w:pPr>
    </w:p>
    <w:p>
      <w:pPr>
        <w:pStyle w:val="BodyText"/>
        <w:spacing w:line="357" w:lineRule="auto" w:before="76"/>
        <w:ind w:left="235" w:right="360"/>
      </w:pPr>
      <w:r>
        <w:rPr/>
        <w:t>which would be most likely to induce significant reductions in equilibrium unemployment are further shifts in the benefit regime in the direction taken in Denmark which we described earlier. This completes our analysis of the macroeconomics of the labour market and we now turn to some of the important compositional changes which underlie the benign aggregate picture.</w:t>
      </w:r>
    </w:p>
    <w:p>
      <w:pPr>
        <w:pStyle w:val="BodyText"/>
        <w:spacing w:before="8"/>
        <w:rPr>
          <w:sz w:val="37"/>
        </w:rPr>
      </w:pPr>
    </w:p>
    <w:p>
      <w:pPr>
        <w:pStyle w:val="ListParagraph"/>
        <w:numPr>
          <w:ilvl w:val="0"/>
          <w:numId w:val="1"/>
        </w:numPr>
        <w:tabs>
          <w:tab w:pos="2470" w:val="left" w:leader="none"/>
        </w:tabs>
        <w:spacing w:line="240" w:lineRule="auto" w:before="0" w:after="0"/>
        <w:ind w:left="2470" w:right="113" w:hanging="2470"/>
        <w:jc w:val="left"/>
        <w:rPr>
          <w:sz w:val="24"/>
        </w:rPr>
      </w:pPr>
      <w:r>
        <w:rPr>
          <w:sz w:val="24"/>
          <w:u w:val="single"/>
        </w:rPr>
        <w:t>Important Imbalances in the Labour</w:t>
      </w:r>
      <w:r>
        <w:rPr>
          <w:spacing w:val="28"/>
          <w:sz w:val="24"/>
          <w:u w:val="single"/>
        </w:rPr>
        <w:t> </w:t>
      </w:r>
      <w:r>
        <w:rPr>
          <w:spacing w:val="-2"/>
          <w:sz w:val="24"/>
          <w:u w:val="single"/>
        </w:rPr>
        <w:t>Market</w:t>
      </w:r>
    </w:p>
    <w:p>
      <w:pPr>
        <w:pStyle w:val="BodyText"/>
        <w:rPr>
          <w:sz w:val="20"/>
        </w:rPr>
      </w:pPr>
    </w:p>
    <w:p>
      <w:pPr>
        <w:pStyle w:val="BodyText"/>
        <w:spacing w:before="7"/>
        <w:rPr>
          <w:sz w:val="18"/>
        </w:rPr>
      </w:pPr>
    </w:p>
    <w:p>
      <w:pPr>
        <w:pStyle w:val="BodyText"/>
        <w:spacing w:line="360" w:lineRule="auto" w:before="90"/>
        <w:ind w:left="235" w:right="332"/>
      </w:pPr>
      <w:r>
        <w:rPr/>
        <w:t>As we </w:t>
      </w:r>
      <w:r>
        <w:rPr>
          <w:spacing w:val="-3"/>
        </w:rPr>
        <w:t>have already noted, </w:t>
      </w:r>
      <w:r>
        <w:rPr/>
        <w:t>if we look at the traditional macroeconomic variables such as unemployment and inflation, the recent picture looks particularly cheerful. But </w:t>
      </w:r>
      <w:r>
        <w:rPr>
          <w:spacing w:val="-2"/>
        </w:rPr>
        <w:t>the </w:t>
      </w:r>
      <w:r>
        <w:rPr/>
        <w:t>unemployed are not the only people not working. The other group of non-workers is the inactive who consist of those who are neither working nor </w:t>
      </w:r>
      <w:r>
        <w:rPr>
          <w:spacing w:val="-3"/>
        </w:rPr>
        <w:t>looking </w:t>
      </w:r>
      <w:r>
        <w:rPr/>
        <w:t>for </w:t>
      </w:r>
      <w:r>
        <w:rPr>
          <w:spacing w:val="-3"/>
        </w:rPr>
        <w:t>work. This </w:t>
      </w:r>
      <w:r>
        <w:rPr/>
        <w:t>is because they are either in full-time education or they are sick and disabled or they have retired early or they are looking after other family members. Before considering the inactive in more detail, it is important to recognise that they are not as cut off from the labour market as the name suggests. Overall, some 4 percent of non-student inactive individuals actually get jobs every quarter</w:t>
      </w:r>
      <w:r>
        <w:rPr>
          <w:vertAlign w:val="superscript"/>
        </w:rPr>
        <w:t>6</w:t>
      </w:r>
      <w:r>
        <w:rPr>
          <w:vertAlign w:val="baseline"/>
        </w:rPr>
        <w:t>. This compares with around 23 percent of the unemployed and 15 percent of inactive students. So the inactive are a source of potential labour supply but they are very different from the explicitly job- seeking</w:t>
      </w:r>
      <w:r>
        <w:rPr>
          <w:spacing w:val="12"/>
          <w:vertAlign w:val="baseline"/>
        </w:rPr>
        <w:t> </w:t>
      </w:r>
      <w:r>
        <w:rPr>
          <w:vertAlign w:val="baseline"/>
        </w:rPr>
        <w:t>unemployed.</w:t>
      </w:r>
    </w:p>
    <w:p>
      <w:pPr>
        <w:pStyle w:val="BodyText"/>
        <w:spacing w:before="3"/>
        <w:rPr>
          <w:sz w:val="36"/>
        </w:rPr>
      </w:pPr>
    </w:p>
    <w:p>
      <w:pPr>
        <w:pStyle w:val="BodyText"/>
        <w:spacing w:line="360" w:lineRule="auto" w:before="1"/>
        <w:ind w:left="235" w:right="387"/>
      </w:pPr>
      <w:r>
        <w:rPr/>
        <w:t>The first important point to note is that while the unemployment rate has declined substantially since the mid 1980s, the (non-student) inactivity rate has barely changed for 25 years as we can see in Table 8. But underlying this extraordinary stability is a dramatic contrast between men and women. Since 1975, the percentage of non- student men of working age who are inactive has risen by more than 5 times, around</w:t>
      </w:r>
      <w:r>
        <w:rPr>
          <w:spacing w:val="-35"/>
        </w:rPr>
        <w:t> </w:t>
      </w:r>
      <w:r>
        <w:rPr/>
        <w:t>a 10 percentage point increase. By contrast, this is almost offset by a nearly 10 percentage point decline in the inactivity rate of women. This latter is simply part of the </w:t>
      </w:r>
      <w:r>
        <w:rPr>
          <w:spacing w:val="-3"/>
        </w:rPr>
        <w:t>overall story </w:t>
      </w:r>
      <w:r>
        <w:rPr/>
        <w:t>of </w:t>
      </w:r>
      <w:r>
        <w:rPr>
          <w:spacing w:val="-3"/>
        </w:rPr>
        <w:t>women improving their labour market position relative </w:t>
      </w:r>
      <w:r>
        <w:rPr/>
        <w:t>to men </w:t>
      </w:r>
      <w:r>
        <w:rPr>
          <w:spacing w:val="-3"/>
        </w:rPr>
        <w:t>in </w:t>
      </w:r>
      <w:r>
        <w:rPr/>
        <w:t>terms of both employment and wages. This is a long process of catch- up </w:t>
      </w:r>
      <w:r>
        <w:rPr>
          <w:spacing w:val="-4"/>
        </w:rPr>
        <w:t>which has </w:t>
      </w:r>
      <w:r>
        <w:rPr>
          <w:spacing w:val="-3"/>
        </w:rPr>
        <w:t>been going </w:t>
      </w:r>
      <w:r>
        <w:rPr/>
        <w:t>on for </w:t>
      </w:r>
      <w:r>
        <w:rPr>
          <w:spacing w:val="-3"/>
        </w:rPr>
        <w:t>over </w:t>
      </w:r>
      <w:r>
        <w:rPr/>
        <w:t>25 </w:t>
      </w:r>
      <w:r>
        <w:rPr>
          <w:spacing w:val="-3"/>
        </w:rPr>
        <w:t>years although </w:t>
      </w:r>
      <w:r>
        <w:rPr/>
        <w:t>it is by no </w:t>
      </w:r>
      <w:r>
        <w:rPr>
          <w:spacing w:val="-3"/>
        </w:rPr>
        <w:t>means complete. </w:t>
      </w:r>
      <w:r>
        <w:rPr/>
        <w:t>Our </w:t>
      </w:r>
      <w:r>
        <w:rPr>
          <w:spacing w:val="-3"/>
        </w:rPr>
        <w:t>focus here, however, </w:t>
      </w:r>
      <w:r>
        <w:rPr/>
        <w:t>is not on </w:t>
      </w:r>
      <w:r>
        <w:rPr>
          <w:spacing w:val="-3"/>
        </w:rPr>
        <w:t>gender imbalances </w:t>
      </w:r>
      <w:r>
        <w:rPr/>
        <w:t>but on </w:t>
      </w:r>
      <w:r>
        <w:rPr>
          <w:spacing w:val="-3"/>
        </w:rPr>
        <w:t>those </w:t>
      </w:r>
      <w:r>
        <w:rPr/>
        <w:t>by skill which have been  worsening systematically over the last 20 years, particularly among</w:t>
      </w:r>
      <w:r>
        <w:rPr>
          <w:spacing w:val="-6"/>
        </w:rPr>
        <w:t> </w:t>
      </w:r>
      <w:r>
        <w:rPr/>
        <w:t>men.</w:t>
      </w:r>
    </w:p>
    <w:p>
      <w:pPr>
        <w:spacing w:after="0" w:line="360" w:lineRule="auto"/>
        <w:sectPr>
          <w:pgSz w:w="11920" w:h="16840"/>
          <w:pgMar w:header="0" w:footer="779" w:top="1360" w:bottom="960" w:left="1580" w:right="1460"/>
        </w:sectPr>
      </w:pPr>
    </w:p>
    <w:p>
      <w:pPr>
        <w:pStyle w:val="BodyText"/>
        <w:spacing w:before="9"/>
        <w:rPr>
          <w:sz w:val="7"/>
        </w:rPr>
      </w:pPr>
    </w:p>
    <w:p>
      <w:pPr>
        <w:pStyle w:val="BodyText"/>
        <w:spacing w:line="22" w:lineRule="exact"/>
        <w:ind w:left="227"/>
        <w:rPr>
          <w:sz w:val="2"/>
        </w:rPr>
      </w:pPr>
      <w:r>
        <w:rPr>
          <w:sz w:val="2"/>
        </w:rPr>
        <w:pict>
          <v:group style="width:414pt;height:1.1pt;mso-position-horizontal-relative:char;mso-position-vertical-relative:line" coordorigin="0,0" coordsize="8280,22">
            <v:line style="position:absolute" from="0,17" to="8280,17" stroked="true" strokeweight=".48pt" strokecolor="#000000">
              <v:stroke dashstyle="solid"/>
            </v:line>
            <v:line style="position:absolute" from="0,8" to="8265,8" stroked="true" strokeweight=".75pt" strokecolor="#000000">
              <v:stroke dashstyle="solid"/>
            </v:line>
          </v:group>
        </w:pict>
      </w:r>
      <w:r>
        <w:rPr>
          <w:sz w:val="2"/>
        </w:rPr>
      </w:r>
    </w:p>
    <w:p>
      <w:pPr>
        <w:pStyle w:val="BodyText"/>
        <w:spacing w:before="129"/>
        <w:ind w:left="768" w:right="879"/>
        <w:jc w:val="center"/>
      </w:pPr>
      <w:r>
        <w:rPr>
          <w:u w:val="single"/>
        </w:rPr>
        <w:t>TABLE 8</w:t>
      </w:r>
    </w:p>
    <w:p>
      <w:pPr>
        <w:pStyle w:val="BodyText"/>
        <w:spacing w:before="144"/>
        <w:ind w:left="768" w:right="866"/>
        <w:jc w:val="center"/>
      </w:pPr>
      <w:r>
        <w:rPr>
          <w:u w:val="single"/>
        </w:rPr>
        <w:t>UK Inactivity Rate (%)</w:t>
      </w:r>
    </w:p>
    <w:p>
      <w:pPr>
        <w:pStyle w:val="BodyText"/>
        <w:rPr>
          <w:sz w:val="20"/>
        </w:rPr>
      </w:pPr>
    </w:p>
    <w:p>
      <w:pPr>
        <w:pStyle w:val="BodyText"/>
        <w:spacing w:before="11"/>
        <w:rPr>
          <w:sz w:val="29"/>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2475"/>
        <w:gridCol w:w="2055"/>
        <w:gridCol w:w="1595"/>
      </w:tblGrid>
      <w:tr>
        <w:trPr>
          <w:trHeight w:val="342" w:hRule="atLeast"/>
        </w:trPr>
        <w:tc>
          <w:tcPr>
            <w:tcW w:w="1730" w:type="dxa"/>
          </w:tcPr>
          <w:p>
            <w:pPr>
              <w:pStyle w:val="TableParagraph"/>
              <w:rPr>
                <w:sz w:val="24"/>
              </w:rPr>
            </w:pPr>
          </w:p>
        </w:tc>
        <w:tc>
          <w:tcPr>
            <w:tcW w:w="2475" w:type="dxa"/>
          </w:tcPr>
          <w:p>
            <w:pPr>
              <w:pStyle w:val="TableParagraph"/>
              <w:spacing w:line="266" w:lineRule="exact"/>
              <w:ind w:right="913"/>
              <w:jc w:val="right"/>
              <w:rPr>
                <w:sz w:val="24"/>
              </w:rPr>
            </w:pPr>
            <w:r>
              <w:rPr>
                <w:w w:val="95"/>
                <w:sz w:val="24"/>
              </w:rPr>
              <w:t>All</w:t>
            </w:r>
          </w:p>
        </w:tc>
        <w:tc>
          <w:tcPr>
            <w:tcW w:w="2055" w:type="dxa"/>
          </w:tcPr>
          <w:p>
            <w:pPr>
              <w:pStyle w:val="TableParagraph"/>
              <w:spacing w:line="266" w:lineRule="exact"/>
              <w:ind w:left="832" w:right="743"/>
              <w:jc w:val="center"/>
              <w:rPr>
                <w:sz w:val="24"/>
              </w:rPr>
            </w:pPr>
            <w:r>
              <w:rPr>
                <w:sz w:val="24"/>
              </w:rPr>
              <w:t>Men</w:t>
            </w:r>
          </w:p>
        </w:tc>
        <w:tc>
          <w:tcPr>
            <w:tcW w:w="1595" w:type="dxa"/>
          </w:tcPr>
          <w:p>
            <w:pPr>
              <w:pStyle w:val="TableParagraph"/>
              <w:spacing w:line="266" w:lineRule="exact"/>
              <w:ind w:left="754" w:right="40"/>
              <w:jc w:val="center"/>
              <w:rPr>
                <w:sz w:val="24"/>
              </w:rPr>
            </w:pPr>
            <w:r>
              <w:rPr>
                <w:sz w:val="24"/>
              </w:rPr>
              <w:t>Women</w:t>
            </w:r>
          </w:p>
        </w:tc>
      </w:tr>
      <w:tr>
        <w:trPr>
          <w:trHeight w:val="412" w:hRule="atLeast"/>
        </w:trPr>
        <w:tc>
          <w:tcPr>
            <w:tcW w:w="1730" w:type="dxa"/>
          </w:tcPr>
          <w:p>
            <w:pPr>
              <w:pStyle w:val="TableParagraph"/>
              <w:spacing w:before="67"/>
              <w:ind w:left="50"/>
              <w:rPr>
                <w:sz w:val="24"/>
              </w:rPr>
            </w:pPr>
            <w:r>
              <w:rPr>
                <w:sz w:val="24"/>
              </w:rPr>
              <w:t>1975</w:t>
            </w:r>
          </w:p>
        </w:tc>
        <w:tc>
          <w:tcPr>
            <w:tcW w:w="2475" w:type="dxa"/>
          </w:tcPr>
          <w:p>
            <w:pPr>
              <w:pStyle w:val="TableParagraph"/>
              <w:spacing w:before="67"/>
              <w:ind w:right="854"/>
              <w:jc w:val="right"/>
              <w:rPr>
                <w:sz w:val="24"/>
              </w:rPr>
            </w:pPr>
            <w:r>
              <w:rPr>
                <w:sz w:val="24"/>
              </w:rPr>
              <w:t>18.8</w:t>
            </w:r>
          </w:p>
        </w:tc>
        <w:tc>
          <w:tcPr>
            <w:tcW w:w="2055" w:type="dxa"/>
          </w:tcPr>
          <w:p>
            <w:pPr>
              <w:pStyle w:val="TableParagraph"/>
              <w:spacing w:before="67"/>
              <w:ind w:left="818" w:right="743"/>
              <w:jc w:val="center"/>
              <w:rPr>
                <w:sz w:val="24"/>
              </w:rPr>
            </w:pPr>
            <w:r>
              <w:rPr>
                <w:sz w:val="24"/>
              </w:rPr>
              <w:t>2.6</w:t>
            </w:r>
          </w:p>
        </w:tc>
        <w:tc>
          <w:tcPr>
            <w:tcW w:w="1595" w:type="dxa"/>
          </w:tcPr>
          <w:p>
            <w:pPr>
              <w:pStyle w:val="TableParagraph"/>
              <w:spacing w:before="67"/>
              <w:ind w:left="725" w:right="40"/>
              <w:jc w:val="center"/>
              <w:rPr>
                <w:sz w:val="24"/>
              </w:rPr>
            </w:pPr>
            <w:r>
              <w:rPr>
                <w:sz w:val="24"/>
              </w:rPr>
              <w:t>36.5</w:t>
            </w:r>
          </w:p>
        </w:tc>
      </w:tr>
      <w:tr>
        <w:trPr>
          <w:trHeight w:val="412" w:hRule="atLeast"/>
        </w:trPr>
        <w:tc>
          <w:tcPr>
            <w:tcW w:w="1730" w:type="dxa"/>
          </w:tcPr>
          <w:p>
            <w:pPr>
              <w:pStyle w:val="TableParagraph"/>
              <w:spacing w:before="59"/>
              <w:ind w:left="50"/>
              <w:rPr>
                <w:sz w:val="24"/>
              </w:rPr>
            </w:pPr>
            <w:r>
              <w:rPr>
                <w:sz w:val="24"/>
              </w:rPr>
              <w:t>1979</w:t>
            </w:r>
          </w:p>
        </w:tc>
        <w:tc>
          <w:tcPr>
            <w:tcW w:w="2475" w:type="dxa"/>
          </w:tcPr>
          <w:p>
            <w:pPr>
              <w:pStyle w:val="TableParagraph"/>
              <w:spacing w:before="59"/>
              <w:ind w:right="854"/>
              <w:jc w:val="right"/>
              <w:rPr>
                <w:sz w:val="24"/>
              </w:rPr>
            </w:pPr>
            <w:r>
              <w:rPr>
                <w:sz w:val="24"/>
              </w:rPr>
              <w:t>19.0</w:t>
            </w:r>
          </w:p>
        </w:tc>
        <w:tc>
          <w:tcPr>
            <w:tcW w:w="2055" w:type="dxa"/>
          </w:tcPr>
          <w:p>
            <w:pPr>
              <w:pStyle w:val="TableParagraph"/>
              <w:spacing w:before="59"/>
              <w:ind w:left="818" w:right="743"/>
              <w:jc w:val="center"/>
              <w:rPr>
                <w:sz w:val="24"/>
              </w:rPr>
            </w:pPr>
            <w:r>
              <w:rPr>
                <w:sz w:val="24"/>
              </w:rPr>
              <w:t>4.7</w:t>
            </w:r>
          </w:p>
        </w:tc>
        <w:tc>
          <w:tcPr>
            <w:tcW w:w="1595" w:type="dxa"/>
          </w:tcPr>
          <w:p>
            <w:pPr>
              <w:pStyle w:val="TableParagraph"/>
              <w:spacing w:before="59"/>
              <w:ind w:left="725" w:right="40"/>
              <w:jc w:val="center"/>
              <w:rPr>
                <w:sz w:val="24"/>
              </w:rPr>
            </w:pPr>
            <w:r>
              <w:rPr>
                <w:sz w:val="24"/>
              </w:rPr>
              <w:t>34.6</w:t>
            </w:r>
          </w:p>
        </w:tc>
      </w:tr>
      <w:tr>
        <w:trPr>
          <w:trHeight w:val="412" w:hRule="atLeast"/>
        </w:trPr>
        <w:tc>
          <w:tcPr>
            <w:tcW w:w="1730" w:type="dxa"/>
          </w:tcPr>
          <w:p>
            <w:pPr>
              <w:pStyle w:val="TableParagraph"/>
              <w:spacing w:before="67"/>
              <w:ind w:left="50"/>
              <w:rPr>
                <w:sz w:val="24"/>
              </w:rPr>
            </w:pPr>
            <w:r>
              <w:rPr>
                <w:sz w:val="24"/>
              </w:rPr>
              <w:t>1983</w:t>
            </w:r>
          </w:p>
        </w:tc>
        <w:tc>
          <w:tcPr>
            <w:tcW w:w="2475" w:type="dxa"/>
          </w:tcPr>
          <w:p>
            <w:pPr>
              <w:pStyle w:val="TableParagraph"/>
              <w:spacing w:before="67"/>
              <w:ind w:right="854"/>
              <w:jc w:val="right"/>
              <w:rPr>
                <w:sz w:val="24"/>
              </w:rPr>
            </w:pPr>
            <w:r>
              <w:rPr>
                <w:sz w:val="24"/>
              </w:rPr>
              <w:t>20.8</w:t>
            </w:r>
          </w:p>
        </w:tc>
        <w:tc>
          <w:tcPr>
            <w:tcW w:w="2055" w:type="dxa"/>
          </w:tcPr>
          <w:p>
            <w:pPr>
              <w:pStyle w:val="TableParagraph"/>
              <w:spacing w:before="67"/>
              <w:ind w:left="818" w:right="743"/>
              <w:jc w:val="center"/>
              <w:rPr>
                <w:sz w:val="24"/>
              </w:rPr>
            </w:pPr>
            <w:r>
              <w:rPr>
                <w:sz w:val="24"/>
              </w:rPr>
              <w:t>8.2</w:t>
            </w:r>
          </w:p>
        </w:tc>
        <w:tc>
          <w:tcPr>
            <w:tcW w:w="1595" w:type="dxa"/>
          </w:tcPr>
          <w:p>
            <w:pPr>
              <w:pStyle w:val="TableParagraph"/>
              <w:spacing w:before="67"/>
              <w:ind w:left="725" w:right="40"/>
              <w:jc w:val="center"/>
              <w:rPr>
                <w:sz w:val="24"/>
              </w:rPr>
            </w:pPr>
            <w:r>
              <w:rPr>
                <w:sz w:val="24"/>
              </w:rPr>
              <w:t>34.4</w:t>
            </w:r>
          </w:p>
        </w:tc>
      </w:tr>
      <w:tr>
        <w:trPr>
          <w:trHeight w:val="412" w:hRule="atLeast"/>
        </w:trPr>
        <w:tc>
          <w:tcPr>
            <w:tcW w:w="1730" w:type="dxa"/>
          </w:tcPr>
          <w:p>
            <w:pPr>
              <w:pStyle w:val="TableParagraph"/>
              <w:spacing w:before="59"/>
              <w:ind w:left="50"/>
              <w:rPr>
                <w:sz w:val="24"/>
              </w:rPr>
            </w:pPr>
            <w:r>
              <w:rPr>
                <w:sz w:val="24"/>
              </w:rPr>
              <w:t>1987</w:t>
            </w:r>
          </w:p>
        </w:tc>
        <w:tc>
          <w:tcPr>
            <w:tcW w:w="2475" w:type="dxa"/>
          </w:tcPr>
          <w:p>
            <w:pPr>
              <w:pStyle w:val="TableParagraph"/>
              <w:spacing w:before="59"/>
              <w:ind w:right="854"/>
              <w:jc w:val="right"/>
              <w:rPr>
                <w:sz w:val="24"/>
              </w:rPr>
            </w:pPr>
            <w:r>
              <w:rPr>
                <w:sz w:val="24"/>
              </w:rPr>
              <w:t>19.2</w:t>
            </w:r>
          </w:p>
        </w:tc>
        <w:tc>
          <w:tcPr>
            <w:tcW w:w="2055" w:type="dxa"/>
          </w:tcPr>
          <w:p>
            <w:pPr>
              <w:pStyle w:val="TableParagraph"/>
              <w:spacing w:before="59"/>
              <w:ind w:left="818" w:right="743"/>
              <w:jc w:val="center"/>
              <w:rPr>
                <w:sz w:val="24"/>
              </w:rPr>
            </w:pPr>
            <w:r>
              <w:rPr>
                <w:sz w:val="24"/>
              </w:rPr>
              <w:t>9.6</w:t>
            </w:r>
          </w:p>
        </w:tc>
        <w:tc>
          <w:tcPr>
            <w:tcW w:w="1595" w:type="dxa"/>
          </w:tcPr>
          <w:p>
            <w:pPr>
              <w:pStyle w:val="TableParagraph"/>
              <w:spacing w:before="59"/>
              <w:ind w:left="725" w:right="40"/>
              <w:jc w:val="center"/>
              <w:rPr>
                <w:sz w:val="24"/>
              </w:rPr>
            </w:pPr>
            <w:r>
              <w:rPr>
                <w:sz w:val="24"/>
              </w:rPr>
              <w:t>29.8</w:t>
            </w:r>
          </w:p>
        </w:tc>
      </w:tr>
      <w:tr>
        <w:trPr>
          <w:trHeight w:val="420" w:hRule="atLeast"/>
        </w:trPr>
        <w:tc>
          <w:tcPr>
            <w:tcW w:w="1730" w:type="dxa"/>
          </w:tcPr>
          <w:p>
            <w:pPr>
              <w:pStyle w:val="TableParagraph"/>
              <w:spacing w:before="67"/>
              <w:ind w:left="50"/>
              <w:rPr>
                <w:sz w:val="24"/>
              </w:rPr>
            </w:pPr>
            <w:r>
              <w:rPr>
                <w:sz w:val="24"/>
              </w:rPr>
              <w:t>1990</w:t>
            </w:r>
          </w:p>
        </w:tc>
        <w:tc>
          <w:tcPr>
            <w:tcW w:w="2475" w:type="dxa"/>
          </w:tcPr>
          <w:p>
            <w:pPr>
              <w:pStyle w:val="TableParagraph"/>
              <w:spacing w:before="67"/>
              <w:ind w:right="854"/>
              <w:jc w:val="right"/>
              <w:rPr>
                <w:sz w:val="24"/>
              </w:rPr>
            </w:pPr>
            <w:r>
              <w:rPr>
                <w:sz w:val="24"/>
              </w:rPr>
              <w:t>17.5</w:t>
            </w:r>
          </w:p>
        </w:tc>
        <w:tc>
          <w:tcPr>
            <w:tcW w:w="2055" w:type="dxa"/>
          </w:tcPr>
          <w:p>
            <w:pPr>
              <w:pStyle w:val="TableParagraph"/>
              <w:spacing w:before="67"/>
              <w:ind w:left="818" w:right="743"/>
              <w:jc w:val="center"/>
              <w:rPr>
                <w:sz w:val="24"/>
              </w:rPr>
            </w:pPr>
            <w:r>
              <w:rPr>
                <w:sz w:val="24"/>
              </w:rPr>
              <w:t>8.9</w:t>
            </w:r>
          </w:p>
        </w:tc>
        <w:tc>
          <w:tcPr>
            <w:tcW w:w="1595" w:type="dxa"/>
          </w:tcPr>
          <w:p>
            <w:pPr>
              <w:pStyle w:val="TableParagraph"/>
              <w:spacing w:before="67"/>
              <w:ind w:left="725" w:right="40"/>
              <w:jc w:val="center"/>
              <w:rPr>
                <w:sz w:val="24"/>
              </w:rPr>
            </w:pPr>
            <w:r>
              <w:rPr>
                <w:sz w:val="24"/>
              </w:rPr>
              <w:t>26.9</w:t>
            </w:r>
          </w:p>
        </w:tc>
      </w:tr>
      <w:tr>
        <w:trPr>
          <w:trHeight w:val="412" w:hRule="atLeast"/>
        </w:trPr>
        <w:tc>
          <w:tcPr>
            <w:tcW w:w="1730" w:type="dxa"/>
          </w:tcPr>
          <w:p>
            <w:pPr>
              <w:pStyle w:val="TableParagraph"/>
              <w:spacing w:before="67"/>
              <w:ind w:left="50"/>
              <w:rPr>
                <w:sz w:val="24"/>
              </w:rPr>
            </w:pPr>
            <w:r>
              <w:rPr>
                <w:sz w:val="24"/>
              </w:rPr>
              <w:t>1993</w:t>
            </w:r>
          </w:p>
        </w:tc>
        <w:tc>
          <w:tcPr>
            <w:tcW w:w="2475" w:type="dxa"/>
          </w:tcPr>
          <w:p>
            <w:pPr>
              <w:pStyle w:val="TableParagraph"/>
              <w:spacing w:before="67"/>
              <w:ind w:right="854"/>
              <w:jc w:val="right"/>
              <w:rPr>
                <w:sz w:val="24"/>
              </w:rPr>
            </w:pPr>
            <w:r>
              <w:rPr>
                <w:sz w:val="24"/>
              </w:rPr>
              <w:t>19.2</w:t>
            </w:r>
          </w:p>
        </w:tc>
        <w:tc>
          <w:tcPr>
            <w:tcW w:w="2055" w:type="dxa"/>
          </w:tcPr>
          <w:p>
            <w:pPr>
              <w:pStyle w:val="TableParagraph"/>
              <w:spacing w:before="67"/>
              <w:ind w:left="818" w:right="743"/>
              <w:jc w:val="center"/>
              <w:rPr>
                <w:sz w:val="24"/>
              </w:rPr>
            </w:pPr>
            <w:r>
              <w:rPr>
                <w:sz w:val="24"/>
              </w:rPr>
              <w:t>11.3</w:t>
            </w:r>
          </w:p>
        </w:tc>
        <w:tc>
          <w:tcPr>
            <w:tcW w:w="1595" w:type="dxa"/>
          </w:tcPr>
          <w:p>
            <w:pPr>
              <w:pStyle w:val="TableParagraph"/>
              <w:spacing w:before="67"/>
              <w:ind w:left="725" w:right="40"/>
              <w:jc w:val="center"/>
              <w:rPr>
                <w:sz w:val="24"/>
              </w:rPr>
            </w:pPr>
            <w:r>
              <w:rPr>
                <w:sz w:val="24"/>
              </w:rPr>
              <w:t>27.9</w:t>
            </w:r>
          </w:p>
        </w:tc>
      </w:tr>
      <w:tr>
        <w:trPr>
          <w:trHeight w:val="335" w:hRule="atLeast"/>
        </w:trPr>
        <w:tc>
          <w:tcPr>
            <w:tcW w:w="1730" w:type="dxa"/>
          </w:tcPr>
          <w:p>
            <w:pPr>
              <w:pStyle w:val="TableParagraph"/>
              <w:spacing w:line="256" w:lineRule="exact" w:before="59"/>
              <w:ind w:left="50"/>
              <w:rPr>
                <w:sz w:val="24"/>
              </w:rPr>
            </w:pPr>
            <w:r>
              <w:rPr>
                <w:sz w:val="24"/>
              </w:rPr>
              <w:t>1998</w:t>
            </w:r>
          </w:p>
        </w:tc>
        <w:tc>
          <w:tcPr>
            <w:tcW w:w="2475" w:type="dxa"/>
          </w:tcPr>
          <w:p>
            <w:pPr>
              <w:pStyle w:val="TableParagraph"/>
              <w:spacing w:line="256" w:lineRule="exact" w:before="59"/>
              <w:ind w:right="854"/>
              <w:jc w:val="right"/>
              <w:rPr>
                <w:sz w:val="24"/>
              </w:rPr>
            </w:pPr>
            <w:r>
              <w:rPr>
                <w:sz w:val="24"/>
              </w:rPr>
              <w:t>19.7</w:t>
            </w:r>
          </w:p>
        </w:tc>
        <w:tc>
          <w:tcPr>
            <w:tcW w:w="2055" w:type="dxa"/>
          </w:tcPr>
          <w:p>
            <w:pPr>
              <w:pStyle w:val="TableParagraph"/>
              <w:spacing w:line="256" w:lineRule="exact" w:before="59"/>
              <w:ind w:left="818" w:right="743"/>
              <w:jc w:val="center"/>
              <w:rPr>
                <w:sz w:val="24"/>
              </w:rPr>
            </w:pPr>
            <w:r>
              <w:rPr>
                <w:sz w:val="24"/>
              </w:rPr>
              <w:t>13.2</w:t>
            </w:r>
          </w:p>
        </w:tc>
        <w:tc>
          <w:tcPr>
            <w:tcW w:w="1595" w:type="dxa"/>
          </w:tcPr>
          <w:p>
            <w:pPr>
              <w:pStyle w:val="TableParagraph"/>
              <w:spacing w:line="256" w:lineRule="exact" w:before="59"/>
              <w:ind w:left="725" w:right="40"/>
              <w:jc w:val="center"/>
              <w:rPr>
                <w:sz w:val="24"/>
              </w:rPr>
            </w:pPr>
            <w:r>
              <w:rPr>
                <w:sz w:val="24"/>
              </w:rPr>
              <w:t>26.9</w:t>
            </w:r>
          </w:p>
        </w:tc>
      </w:tr>
    </w:tbl>
    <w:p>
      <w:pPr>
        <w:pStyle w:val="BodyText"/>
        <w:rPr>
          <w:sz w:val="20"/>
        </w:rPr>
      </w:pPr>
    </w:p>
    <w:p>
      <w:pPr>
        <w:pStyle w:val="BodyText"/>
        <w:spacing w:before="7"/>
        <w:rPr>
          <w:sz w:val="18"/>
        </w:rPr>
      </w:pPr>
    </w:p>
    <w:p>
      <w:pPr>
        <w:pStyle w:val="BodyText"/>
        <w:spacing w:line="364" w:lineRule="auto" w:before="90"/>
        <w:ind w:left="235" w:right="543"/>
        <w:jc w:val="both"/>
      </w:pPr>
      <w:r>
        <w:rPr/>
        <w:t>The </w:t>
      </w:r>
      <w:r>
        <w:rPr>
          <w:spacing w:val="-3"/>
        </w:rPr>
        <w:t>inactivity rate refers hers </w:t>
      </w:r>
      <w:r>
        <w:rPr/>
        <w:t>to the </w:t>
      </w:r>
      <w:r>
        <w:rPr>
          <w:spacing w:val="-3"/>
        </w:rPr>
        <w:t>total number </w:t>
      </w:r>
      <w:r>
        <w:rPr/>
        <w:t>of </w:t>
      </w:r>
      <w:r>
        <w:rPr>
          <w:spacing w:val="-3"/>
        </w:rPr>
        <w:t>individuals </w:t>
      </w:r>
      <w:r>
        <w:rPr/>
        <w:t>of </w:t>
      </w:r>
      <w:r>
        <w:rPr>
          <w:spacing w:val="-3"/>
        </w:rPr>
        <w:t>working </w:t>
      </w:r>
      <w:r>
        <w:rPr/>
        <w:t>age </w:t>
      </w:r>
      <w:r>
        <w:rPr>
          <w:spacing w:val="-3"/>
        </w:rPr>
        <w:t>who </w:t>
      </w:r>
      <w:r>
        <w:rPr/>
        <w:t>are not students and who are neither working nor unemployed, as a proportion of</w:t>
      </w:r>
      <w:r>
        <w:rPr>
          <w:spacing w:val="-33"/>
        </w:rPr>
        <w:t> </w:t>
      </w:r>
      <w:r>
        <w:rPr>
          <w:spacing w:val="-2"/>
        </w:rPr>
        <w:t>the </w:t>
      </w:r>
      <w:r>
        <w:rPr/>
        <w:t>non-student population of working</w:t>
      </w:r>
      <w:r>
        <w:rPr>
          <w:spacing w:val="6"/>
        </w:rPr>
        <w:t> </w:t>
      </w:r>
      <w:r>
        <w:rPr/>
        <w:t>age.</w:t>
      </w:r>
    </w:p>
    <w:p>
      <w:pPr>
        <w:pStyle w:val="BodyText"/>
        <w:spacing w:before="4"/>
        <w:rPr>
          <w:sz w:val="35"/>
        </w:rPr>
      </w:pPr>
    </w:p>
    <w:p>
      <w:pPr>
        <w:pStyle w:val="BodyText"/>
        <w:ind w:left="235"/>
        <w:jc w:val="both"/>
      </w:pPr>
      <w:r>
        <w:rPr>
          <w:u w:val="single"/>
        </w:rPr>
        <w:t>Source</w:t>
      </w:r>
      <w:r>
        <w:rPr/>
        <w:t>: Labour Force Survey, Spring Quarter, </w:t>
      </w:r>
      <w:r>
        <w:rPr>
          <w:u w:val="single"/>
        </w:rPr>
        <w:t>Gregg and Wadsworth</w:t>
      </w:r>
      <w:r>
        <w:rPr/>
        <w:t> (1999).</w:t>
      </w:r>
    </w:p>
    <w:p>
      <w:pPr>
        <w:pStyle w:val="BodyText"/>
        <w:spacing w:before="7"/>
        <w:rPr>
          <w:sz w:val="11"/>
        </w:rPr>
      </w:pPr>
      <w:r>
        <w:rPr/>
        <w:pict>
          <v:shape style="position:absolute;margin-left:89.25pt;margin-top:9.411377pt;width:418.5pt;height:.1pt;mso-position-horizontal-relative:page;mso-position-vertical-relative:paragraph;z-index:-251639808;mso-wrap-distance-left:0;mso-wrap-distance-right:0" coordorigin="1785,188" coordsize="8370,0" path="m1785,188l10155,188e" filled="false" stroked="true" strokeweight="1.5pt" strokecolor="#000000">
            <v:path arrowok="t"/>
            <v:stroke dashstyle="solid"/>
            <w10:wrap type="topAndBottom"/>
          </v:shape>
        </w:pict>
      </w:r>
    </w:p>
    <w:p>
      <w:pPr>
        <w:pStyle w:val="BodyText"/>
        <w:spacing w:before="7"/>
        <w:rPr>
          <w:sz w:val="23"/>
        </w:rPr>
      </w:pPr>
    </w:p>
    <w:p>
      <w:pPr>
        <w:pStyle w:val="BodyText"/>
        <w:spacing w:before="90"/>
        <w:ind w:left="235"/>
      </w:pPr>
      <w:r>
        <w:rPr>
          <w:u w:val="single"/>
        </w:rPr>
        <w:t>Imbalances by skill: the relative decline of the unskilled</w:t>
      </w:r>
    </w:p>
    <w:p>
      <w:pPr>
        <w:pStyle w:val="BodyText"/>
        <w:rPr>
          <w:sz w:val="20"/>
        </w:rPr>
      </w:pPr>
    </w:p>
    <w:p>
      <w:pPr>
        <w:pStyle w:val="BodyText"/>
        <w:spacing w:before="11"/>
        <w:rPr>
          <w:sz w:val="19"/>
        </w:rPr>
      </w:pPr>
    </w:p>
    <w:p>
      <w:pPr>
        <w:pStyle w:val="BodyText"/>
        <w:spacing w:line="360" w:lineRule="auto" w:before="90"/>
        <w:ind w:left="235" w:right="474"/>
      </w:pPr>
      <w:r>
        <w:rPr/>
        <w:t>Since 1980, those with no qualifications, now around a quarter of the population of working age, have seen substantial falls in their pay relative to those who have obtained some educational qualification. For example, in 1980, men with degrees earned around 63 percent more than those without qualifications, </w:t>
      </w:r>
      <w:r>
        <w:rPr>
          <w:u w:val="single"/>
        </w:rPr>
        <w:t>ceteris paribus</w:t>
      </w:r>
      <w:r>
        <w:rPr/>
        <w:t>. By the mid 1990s this had risen to 93 percent. This, despite the fact that the percentage of employees with degrees had almost doubled over the same period (see Machin, 1999, Tables 11.4, 11.5). Despite the substantial falls in their relative pay, the employment position of the unskilled has seriously deteriorated as we can see in Tables 9 and 10. The startling feature of these data is that while the unemployment</w:t>
      </w:r>
    </w:p>
    <w:p>
      <w:pPr>
        <w:pStyle w:val="BodyText"/>
        <w:spacing w:line="352" w:lineRule="auto" w:before="9"/>
        <w:ind w:left="235" w:right="326"/>
      </w:pPr>
      <w:r>
        <w:rPr/>
        <w:t>position of those with no qualifications has worsened somewhat, the inactivity rates of this group have risen dramatically, particularly for men. Most extraordinary is the</w:t>
      </w:r>
    </w:p>
    <w:p>
      <w:pPr>
        <w:pStyle w:val="BodyText"/>
        <w:spacing w:before="14"/>
        <w:ind w:left="235"/>
      </w:pPr>
      <w:r>
        <w:rPr/>
        <w:t>fact that the inactivity rate among men of working age without qualifications was 30</w:t>
      </w:r>
    </w:p>
    <w:p>
      <w:pPr>
        <w:spacing w:after="0"/>
        <w:sectPr>
          <w:pgSz w:w="11920" w:h="16840"/>
          <w:pgMar w:header="0" w:footer="779" w:top="1600" w:bottom="960" w:left="1580" w:right="1460"/>
        </w:sectPr>
      </w:pPr>
    </w:p>
    <w:p>
      <w:pPr>
        <w:pStyle w:val="BodyText"/>
        <w:spacing w:line="352" w:lineRule="auto" w:before="76"/>
        <w:ind w:left="235" w:right="360"/>
      </w:pPr>
      <w:r>
        <w:rPr/>
        <w:t>percent in 2000 compared with less than 4 percent some 20 years before. This despite the fact that in 2000, the UK labour market was booming.</w:t>
      </w:r>
    </w:p>
    <w:p>
      <w:pPr>
        <w:pStyle w:val="BodyText"/>
        <w:spacing w:before="4"/>
        <w:rPr>
          <w:sz w:val="36"/>
        </w:rPr>
      </w:pPr>
    </w:p>
    <w:p>
      <w:pPr>
        <w:pStyle w:val="BodyText"/>
        <w:spacing w:line="360" w:lineRule="auto"/>
        <w:ind w:left="235" w:right="435"/>
      </w:pPr>
      <w:r>
        <w:rPr/>
        <w:t>Overall, this dramatic shift in favour of skilled workers has come about because</w:t>
      </w:r>
      <w:r>
        <w:rPr>
          <w:spacing w:val="-21"/>
        </w:rPr>
        <w:t> </w:t>
      </w:r>
      <w:r>
        <w:rPr/>
        <w:t>there has been a significant increase in the relative demand for skilled workers relative to the rise in their relative supply as educational standards improve. The relative demand increase has come about partly because of the bias of technical change in favour of the skilled and partly because changes in the pattern of international trade have favoured skilled workers in the developed countries (see, for example, Berman et al. 1998 and Wood, 1994). But the fundamental issue is the mechanism by which these shifts in supply and demand have generated such dramatic changes in the level of inactivity. In order to pursue this, we must investigate precisely why people </w:t>
      </w:r>
      <w:r>
        <w:rPr>
          <w:spacing w:val="-2"/>
        </w:rPr>
        <w:t>are </w:t>
      </w:r>
      <w:r>
        <w:rPr/>
        <w:t>inactive.</w:t>
      </w:r>
    </w:p>
    <w:p>
      <w:pPr>
        <w:pStyle w:val="BodyText"/>
        <w:rPr>
          <w:sz w:val="20"/>
        </w:rPr>
      </w:pPr>
    </w:p>
    <w:p>
      <w:pPr>
        <w:pStyle w:val="BodyText"/>
        <w:rPr>
          <w:sz w:val="17"/>
        </w:rPr>
      </w:pPr>
      <w:r>
        <w:rPr/>
        <w:pict>
          <v:shape style="position:absolute;margin-left:89.25pt;margin-top:12.501758pt;width:418.5pt;height:.1pt;mso-position-horizontal-relative:page;mso-position-vertical-relative:paragraph;z-index:-251638784;mso-wrap-distance-left:0;mso-wrap-distance-right:0" coordorigin="1785,250" coordsize="8370,0" path="m1785,250l10155,250e" filled="false" stroked="true" strokeweight="1.5pt" strokecolor="#000000">
            <v:path arrowok="t"/>
            <v:stroke dashstyle="solid"/>
            <w10:wrap type="topAndBottom"/>
          </v:shape>
        </w:pict>
      </w:r>
    </w:p>
    <w:p>
      <w:pPr>
        <w:pStyle w:val="BodyText"/>
        <w:spacing w:before="7"/>
        <w:rPr>
          <w:sz w:val="23"/>
        </w:rPr>
      </w:pPr>
    </w:p>
    <w:p>
      <w:pPr>
        <w:pStyle w:val="BodyText"/>
        <w:spacing w:before="90"/>
        <w:ind w:left="768" w:right="877"/>
        <w:jc w:val="center"/>
      </w:pPr>
      <w:r>
        <w:rPr>
          <w:u w:val="single"/>
        </w:rPr>
        <w:t>Table 9</w:t>
      </w:r>
    </w:p>
    <w:p>
      <w:pPr>
        <w:pStyle w:val="BodyText"/>
        <w:spacing w:before="129"/>
        <w:ind w:left="768" w:right="881"/>
        <w:jc w:val="center"/>
      </w:pPr>
      <w:r>
        <w:rPr>
          <w:u w:val="single"/>
        </w:rPr>
        <w:t>UK Unemployment Rates</w:t>
      </w:r>
    </w:p>
    <w:p>
      <w:pPr>
        <w:pStyle w:val="BodyText"/>
        <w:rPr>
          <w:sz w:val="20"/>
        </w:rPr>
      </w:pPr>
    </w:p>
    <w:p>
      <w:pPr>
        <w:pStyle w:val="BodyText"/>
        <w:spacing w:before="11"/>
        <w:rPr>
          <w:sz w:val="29"/>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0"/>
        <w:gridCol w:w="1132"/>
        <w:gridCol w:w="1132"/>
        <w:gridCol w:w="1140"/>
        <w:gridCol w:w="1185"/>
      </w:tblGrid>
      <w:tr>
        <w:trPr>
          <w:trHeight w:val="410" w:hRule="atLeast"/>
        </w:trPr>
        <w:tc>
          <w:tcPr>
            <w:tcW w:w="3780" w:type="dxa"/>
          </w:tcPr>
          <w:p>
            <w:pPr>
              <w:pStyle w:val="TableParagraph"/>
              <w:tabs>
                <w:tab w:pos="1844" w:val="left" w:leader="none"/>
                <w:tab w:pos="3449" w:val="right" w:leader="none"/>
              </w:tabs>
              <w:spacing w:line="266" w:lineRule="exact"/>
              <w:ind w:left="30"/>
              <w:rPr>
                <w:sz w:val="24"/>
              </w:rPr>
            </w:pPr>
            <w:r>
              <w:rPr>
                <w:sz w:val="24"/>
              </w:rPr>
              <w:t>Men</w:t>
              <w:tab/>
              <w:t>1979</w:t>
              <w:tab/>
              <w:t>1985</w:t>
            </w:r>
          </w:p>
        </w:tc>
        <w:tc>
          <w:tcPr>
            <w:tcW w:w="1132" w:type="dxa"/>
          </w:tcPr>
          <w:p>
            <w:pPr>
              <w:pStyle w:val="TableParagraph"/>
              <w:spacing w:line="266" w:lineRule="exact"/>
              <w:ind w:left="310" w:right="302"/>
              <w:jc w:val="center"/>
              <w:rPr>
                <w:sz w:val="24"/>
              </w:rPr>
            </w:pPr>
            <w:r>
              <w:rPr>
                <w:sz w:val="24"/>
              </w:rPr>
              <w:t>1990</w:t>
            </w:r>
          </w:p>
        </w:tc>
        <w:tc>
          <w:tcPr>
            <w:tcW w:w="1132" w:type="dxa"/>
          </w:tcPr>
          <w:p>
            <w:pPr>
              <w:pStyle w:val="TableParagraph"/>
              <w:spacing w:line="266" w:lineRule="exact"/>
              <w:ind w:left="322"/>
              <w:rPr>
                <w:sz w:val="24"/>
              </w:rPr>
            </w:pPr>
            <w:r>
              <w:rPr>
                <w:sz w:val="24"/>
              </w:rPr>
              <w:t>1995</w:t>
            </w:r>
          </w:p>
        </w:tc>
        <w:tc>
          <w:tcPr>
            <w:tcW w:w="1140" w:type="dxa"/>
          </w:tcPr>
          <w:p>
            <w:pPr>
              <w:pStyle w:val="TableParagraph"/>
              <w:spacing w:line="266" w:lineRule="exact"/>
              <w:ind w:left="330"/>
              <w:rPr>
                <w:sz w:val="24"/>
              </w:rPr>
            </w:pPr>
            <w:r>
              <w:rPr>
                <w:sz w:val="24"/>
              </w:rPr>
              <w:t>1998</w:t>
            </w:r>
          </w:p>
        </w:tc>
        <w:tc>
          <w:tcPr>
            <w:tcW w:w="1185" w:type="dxa"/>
          </w:tcPr>
          <w:p>
            <w:pPr>
              <w:pStyle w:val="TableParagraph"/>
              <w:spacing w:line="266" w:lineRule="exact"/>
              <w:ind w:left="330"/>
              <w:rPr>
                <w:sz w:val="24"/>
              </w:rPr>
            </w:pPr>
            <w:r>
              <w:rPr>
                <w:sz w:val="24"/>
              </w:rPr>
              <w:t>2000</w:t>
            </w:r>
          </w:p>
        </w:tc>
      </w:tr>
      <w:tr>
        <w:trPr>
          <w:trHeight w:val="487" w:hRule="atLeast"/>
        </w:trPr>
        <w:tc>
          <w:tcPr>
            <w:tcW w:w="3780" w:type="dxa"/>
          </w:tcPr>
          <w:p>
            <w:pPr>
              <w:pStyle w:val="TableParagraph"/>
              <w:spacing w:before="134"/>
              <w:ind w:left="30"/>
              <w:rPr>
                <w:sz w:val="24"/>
              </w:rPr>
            </w:pPr>
            <w:r>
              <w:rPr>
                <w:sz w:val="24"/>
              </w:rPr>
              <w:t>Education</w:t>
            </w:r>
          </w:p>
        </w:tc>
        <w:tc>
          <w:tcPr>
            <w:tcW w:w="1132" w:type="dxa"/>
          </w:tcPr>
          <w:p>
            <w:pPr>
              <w:pStyle w:val="TableParagraph"/>
              <w:rPr>
                <w:sz w:val="24"/>
              </w:rPr>
            </w:pPr>
          </w:p>
        </w:tc>
        <w:tc>
          <w:tcPr>
            <w:tcW w:w="1132" w:type="dxa"/>
          </w:tcPr>
          <w:p>
            <w:pPr>
              <w:pStyle w:val="TableParagraph"/>
              <w:rPr>
                <w:sz w:val="24"/>
              </w:rPr>
            </w:pPr>
          </w:p>
        </w:tc>
        <w:tc>
          <w:tcPr>
            <w:tcW w:w="1140" w:type="dxa"/>
          </w:tcPr>
          <w:p>
            <w:pPr>
              <w:pStyle w:val="TableParagraph"/>
              <w:rPr>
                <w:sz w:val="24"/>
              </w:rPr>
            </w:pPr>
          </w:p>
        </w:tc>
        <w:tc>
          <w:tcPr>
            <w:tcW w:w="1185" w:type="dxa"/>
          </w:tcPr>
          <w:p>
            <w:pPr>
              <w:pStyle w:val="TableParagraph"/>
              <w:rPr>
                <w:sz w:val="24"/>
              </w:rPr>
            </w:pPr>
          </w:p>
        </w:tc>
      </w:tr>
      <w:tr>
        <w:trPr>
          <w:trHeight w:val="420" w:hRule="atLeast"/>
        </w:trPr>
        <w:tc>
          <w:tcPr>
            <w:tcW w:w="3780" w:type="dxa"/>
          </w:tcPr>
          <w:p>
            <w:pPr>
              <w:pStyle w:val="TableParagraph"/>
              <w:tabs>
                <w:tab w:pos="1844" w:val="left" w:leader="none"/>
                <w:tab w:pos="3269" w:val="right" w:leader="none"/>
              </w:tabs>
              <w:spacing w:before="67"/>
              <w:ind w:left="30"/>
              <w:rPr>
                <w:sz w:val="24"/>
              </w:rPr>
            </w:pPr>
            <w:r>
              <w:rPr>
                <w:spacing w:val="-4"/>
                <w:sz w:val="24"/>
              </w:rPr>
              <w:t>Higher</w:t>
              <w:tab/>
            </w:r>
            <w:r>
              <w:rPr>
                <w:sz w:val="24"/>
              </w:rPr>
              <w:t>1.5</w:t>
              <w:tab/>
              <w:t>3.4</w:t>
            </w:r>
          </w:p>
        </w:tc>
        <w:tc>
          <w:tcPr>
            <w:tcW w:w="1132" w:type="dxa"/>
          </w:tcPr>
          <w:p>
            <w:pPr>
              <w:pStyle w:val="TableParagraph"/>
              <w:spacing w:before="67"/>
              <w:ind w:left="131" w:right="302"/>
              <w:jc w:val="center"/>
              <w:rPr>
                <w:sz w:val="24"/>
              </w:rPr>
            </w:pPr>
            <w:r>
              <w:rPr>
                <w:sz w:val="24"/>
              </w:rPr>
              <w:t>2.2</w:t>
            </w:r>
          </w:p>
        </w:tc>
        <w:tc>
          <w:tcPr>
            <w:tcW w:w="1132" w:type="dxa"/>
          </w:tcPr>
          <w:p>
            <w:pPr>
              <w:pStyle w:val="TableParagraph"/>
              <w:spacing w:before="67"/>
              <w:ind w:left="322"/>
              <w:rPr>
                <w:sz w:val="24"/>
              </w:rPr>
            </w:pPr>
            <w:r>
              <w:rPr>
                <w:sz w:val="24"/>
              </w:rPr>
              <w:t>4.5</w:t>
            </w:r>
          </w:p>
        </w:tc>
        <w:tc>
          <w:tcPr>
            <w:tcW w:w="1140" w:type="dxa"/>
          </w:tcPr>
          <w:p>
            <w:pPr>
              <w:pStyle w:val="TableParagraph"/>
              <w:spacing w:before="67"/>
              <w:ind w:left="330"/>
              <w:rPr>
                <w:sz w:val="24"/>
              </w:rPr>
            </w:pPr>
            <w:r>
              <w:rPr>
                <w:sz w:val="24"/>
              </w:rPr>
              <w:t>3.0</w:t>
            </w:r>
          </w:p>
        </w:tc>
        <w:tc>
          <w:tcPr>
            <w:tcW w:w="1185" w:type="dxa"/>
          </w:tcPr>
          <w:p>
            <w:pPr>
              <w:pStyle w:val="TableParagraph"/>
              <w:spacing w:before="67"/>
              <w:ind w:left="330"/>
              <w:rPr>
                <w:sz w:val="24"/>
              </w:rPr>
            </w:pPr>
            <w:r>
              <w:rPr>
                <w:sz w:val="24"/>
              </w:rPr>
              <w:t>2.2</w:t>
            </w:r>
          </w:p>
        </w:tc>
      </w:tr>
      <w:tr>
        <w:trPr>
          <w:trHeight w:val="412" w:hRule="atLeast"/>
        </w:trPr>
        <w:tc>
          <w:tcPr>
            <w:tcW w:w="3780" w:type="dxa"/>
          </w:tcPr>
          <w:p>
            <w:pPr>
              <w:pStyle w:val="TableParagraph"/>
              <w:tabs>
                <w:tab w:pos="1844" w:val="left" w:leader="none"/>
                <w:tab w:pos="3269" w:val="right" w:leader="none"/>
              </w:tabs>
              <w:spacing w:before="67"/>
              <w:ind w:left="30"/>
              <w:rPr>
                <w:sz w:val="24"/>
              </w:rPr>
            </w:pPr>
            <w:r>
              <w:rPr>
                <w:sz w:val="24"/>
              </w:rPr>
              <w:t>Intermediate</w:t>
              <w:tab/>
              <w:t>2.4</w:t>
              <w:tab/>
              <w:t>8.2</w:t>
            </w:r>
          </w:p>
        </w:tc>
        <w:tc>
          <w:tcPr>
            <w:tcW w:w="1132" w:type="dxa"/>
          </w:tcPr>
          <w:p>
            <w:pPr>
              <w:pStyle w:val="TableParagraph"/>
              <w:spacing w:before="67"/>
              <w:ind w:left="131" w:right="302"/>
              <w:jc w:val="center"/>
              <w:rPr>
                <w:sz w:val="24"/>
              </w:rPr>
            </w:pPr>
            <w:r>
              <w:rPr>
                <w:sz w:val="24"/>
              </w:rPr>
              <w:t>5.5</w:t>
            </w:r>
          </w:p>
        </w:tc>
        <w:tc>
          <w:tcPr>
            <w:tcW w:w="1132" w:type="dxa"/>
          </w:tcPr>
          <w:p>
            <w:pPr>
              <w:pStyle w:val="TableParagraph"/>
              <w:spacing w:before="67"/>
              <w:ind w:left="322"/>
              <w:rPr>
                <w:sz w:val="24"/>
              </w:rPr>
            </w:pPr>
            <w:r>
              <w:rPr>
                <w:sz w:val="24"/>
              </w:rPr>
              <w:t>7.4</w:t>
            </w:r>
          </w:p>
        </w:tc>
        <w:tc>
          <w:tcPr>
            <w:tcW w:w="1140" w:type="dxa"/>
          </w:tcPr>
          <w:p>
            <w:pPr>
              <w:pStyle w:val="TableParagraph"/>
              <w:spacing w:before="67"/>
              <w:ind w:left="330"/>
              <w:rPr>
                <w:sz w:val="24"/>
              </w:rPr>
            </w:pPr>
            <w:r>
              <w:rPr>
                <w:sz w:val="24"/>
              </w:rPr>
              <w:t>4.5</w:t>
            </w:r>
          </w:p>
        </w:tc>
        <w:tc>
          <w:tcPr>
            <w:tcW w:w="1185" w:type="dxa"/>
          </w:tcPr>
          <w:p>
            <w:pPr>
              <w:pStyle w:val="TableParagraph"/>
              <w:spacing w:before="67"/>
              <w:ind w:left="330"/>
              <w:rPr>
                <w:sz w:val="24"/>
              </w:rPr>
            </w:pPr>
            <w:r>
              <w:rPr>
                <w:sz w:val="24"/>
              </w:rPr>
              <w:t>4.9</w:t>
            </w:r>
          </w:p>
        </w:tc>
      </w:tr>
      <w:tr>
        <w:trPr>
          <w:trHeight w:val="412" w:hRule="atLeast"/>
        </w:trPr>
        <w:tc>
          <w:tcPr>
            <w:tcW w:w="3780" w:type="dxa"/>
          </w:tcPr>
          <w:p>
            <w:pPr>
              <w:pStyle w:val="TableParagraph"/>
              <w:tabs>
                <w:tab w:pos="1844" w:val="left" w:leader="none"/>
                <w:tab w:pos="3389" w:val="right" w:leader="none"/>
              </w:tabs>
              <w:spacing w:before="59"/>
              <w:ind w:left="30"/>
              <w:rPr>
                <w:sz w:val="24"/>
              </w:rPr>
            </w:pPr>
            <w:r>
              <w:rPr>
                <w:sz w:val="24"/>
              </w:rPr>
              <w:t>Lower</w:t>
              <w:tab/>
              <w:t>3.3</w:t>
              <w:tab/>
              <w:t>12.4</w:t>
            </w:r>
          </w:p>
        </w:tc>
        <w:tc>
          <w:tcPr>
            <w:tcW w:w="1132" w:type="dxa"/>
          </w:tcPr>
          <w:p>
            <w:pPr>
              <w:pStyle w:val="TableParagraph"/>
              <w:spacing w:before="59"/>
              <w:ind w:left="131" w:right="302"/>
              <w:jc w:val="center"/>
              <w:rPr>
                <w:sz w:val="24"/>
              </w:rPr>
            </w:pPr>
            <w:r>
              <w:rPr>
                <w:sz w:val="24"/>
              </w:rPr>
              <w:t>7.3</w:t>
            </w:r>
          </w:p>
        </w:tc>
        <w:tc>
          <w:tcPr>
            <w:tcW w:w="1132" w:type="dxa"/>
          </w:tcPr>
          <w:p>
            <w:pPr>
              <w:pStyle w:val="TableParagraph"/>
              <w:spacing w:before="59"/>
              <w:ind w:left="322"/>
              <w:rPr>
                <w:sz w:val="24"/>
              </w:rPr>
            </w:pPr>
            <w:r>
              <w:rPr>
                <w:sz w:val="24"/>
              </w:rPr>
              <w:t>9.8</w:t>
            </w:r>
          </w:p>
        </w:tc>
        <w:tc>
          <w:tcPr>
            <w:tcW w:w="1140" w:type="dxa"/>
          </w:tcPr>
          <w:p>
            <w:pPr>
              <w:pStyle w:val="TableParagraph"/>
              <w:spacing w:before="59"/>
              <w:ind w:left="330"/>
              <w:rPr>
                <w:sz w:val="24"/>
              </w:rPr>
            </w:pPr>
            <w:r>
              <w:rPr>
                <w:sz w:val="24"/>
              </w:rPr>
              <w:t>8.3</w:t>
            </w:r>
          </w:p>
        </w:tc>
        <w:tc>
          <w:tcPr>
            <w:tcW w:w="1185" w:type="dxa"/>
          </w:tcPr>
          <w:p>
            <w:pPr>
              <w:pStyle w:val="TableParagraph"/>
              <w:spacing w:before="59"/>
              <w:ind w:left="330"/>
              <w:rPr>
                <w:sz w:val="24"/>
              </w:rPr>
            </w:pPr>
            <w:r>
              <w:rPr>
                <w:sz w:val="24"/>
              </w:rPr>
              <w:t>8.1</w:t>
            </w:r>
          </w:p>
        </w:tc>
      </w:tr>
      <w:tr>
        <w:trPr>
          <w:trHeight w:val="622" w:hRule="atLeast"/>
        </w:trPr>
        <w:tc>
          <w:tcPr>
            <w:tcW w:w="3780" w:type="dxa"/>
          </w:tcPr>
          <w:p>
            <w:pPr>
              <w:pStyle w:val="TableParagraph"/>
              <w:tabs>
                <w:tab w:pos="1844" w:val="left" w:leader="none"/>
                <w:tab w:pos="3389" w:val="right" w:leader="none"/>
              </w:tabs>
              <w:spacing w:before="67"/>
              <w:ind w:left="30"/>
              <w:rPr>
                <w:sz w:val="24"/>
              </w:rPr>
            </w:pPr>
            <w:r>
              <w:rPr>
                <w:spacing w:val="-6"/>
                <w:sz w:val="24"/>
              </w:rPr>
              <w:t>None</w:t>
              <w:tab/>
            </w:r>
            <w:r>
              <w:rPr>
                <w:sz w:val="24"/>
              </w:rPr>
              <w:t>7.0</w:t>
              <w:tab/>
              <w:t>19.1</w:t>
            </w:r>
          </w:p>
        </w:tc>
        <w:tc>
          <w:tcPr>
            <w:tcW w:w="1132" w:type="dxa"/>
          </w:tcPr>
          <w:p>
            <w:pPr>
              <w:pStyle w:val="TableParagraph"/>
              <w:spacing w:before="67"/>
              <w:ind w:left="251" w:right="302"/>
              <w:jc w:val="center"/>
              <w:rPr>
                <w:sz w:val="24"/>
              </w:rPr>
            </w:pPr>
            <w:r>
              <w:rPr>
                <w:sz w:val="24"/>
              </w:rPr>
              <w:t>13.6</w:t>
            </w:r>
          </w:p>
        </w:tc>
        <w:tc>
          <w:tcPr>
            <w:tcW w:w="1132" w:type="dxa"/>
          </w:tcPr>
          <w:p>
            <w:pPr>
              <w:pStyle w:val="TableParagraph"/>
              <w:spacing w:before="67"/>
              <w:ind w:left="322"/>
              <w:rPr>
                <w:sz w:val="24"/>
              </w:rPr>
            </w:pPr>
            <w:r>
              <w:rPr>
                <w:sz w:val="24"/>
              </w:rPr>
              <w:t>18.1</w:t>
            </w:r>
          </w:p>
        </w:tc>
        <w:tc>
          <w:tcPr>
            <w:tcW w:w="1140" w:type="dxa"/>
          </w:tcPr>
          <w:p>
            <w:pPr>
              <w:pStyle w:val="TableParagraph"/>
              <w:spacing w:before="67"/>
              <w:ind w:left="330"/>
              <w:rPr>
                <w:sz w:val="24"/>
              </w:rPr>
            </w:pPr>
            <w:r>
              <w:rPr>
                <w:sz w:val="24"/>
              </w:rPr>
              <w:t>15.6</w:t>
            </w:r>
          </w:p>
        </w:tc>
        <w:tc>
          <w:tcPr>
            <w:tcW w:w="1185" w:type="dxa"/>
          </w:tcPr>
          <w:p>
            <w:pPr>
              <w:pStyle w:val="TableParagraph"/>
              <w:spacing w:before="67"/>
              <w:ind w:left="330"/>
              <w:rPr>
                <w:sz w:val="24"/>
              </w:rPr>
            </w:pPr>
            <w:r>
              <w:rPr>
                <w:sz w:val="24"/>
              </w:rPr>
              <w:t>12.4</w:t>
            </w:r>
          </w:p>
        </w:tc>
      </w:tr>
      <w:tr>
        <w:trPr>
          <w:trHeight w:val="690" w:hRule="atLeast"/>
        </w:trPr>
        <w:tc>
          <w:tcPr>
            <w:tcW w:w="3780" w:type="dxa"/>
          </w:tcPr>
          <w:p>
            <w:pPr>
              <w:pStyle w:val="TableParagraph"/>
              <w:spacing w:before="4"/>
              <w:rPr>
                <w:sz w:val="23"/>
              </w:rPr>
            </w:pPr>
          </w:p>
          <w:p>
            <w:pPr>
              <w:pStyle w:val="TableParagraph"/>
              <w:spacing w:before="1"/>
              <w:ind w:left="30"/>
              <w:rPr>
                <w:sz w:val="24"/>
              </w:rPr>
            </w:pPr>
            <w:r>
              <w:rPr>
                <w:sz w:val="24"/>
              </w:rPr>
              <w:t>Women</w:t>
            </w:r>
          </w:p>
        </w:tc>
        <w:tc>
          <w:tcPr>
            <w:tcW w:w="1132" w:type="dxa"/>
          </w:tcPr>
          <w:p>
            <w:pPr>
              <w:pStyle w:val="TableParagraph"/>
              <w:rPr>
                <w:sz w:val="24"/>
              </w:rPr>
            </w:pPr>
          </w:p>
        </w:tc>
        <w:tc>
          <w:tcPr>
            <w:tcW w:w="1132" w:type="dxa"/>
          </w:tcPr>
          <w:p>
            <w:pPr>
              <w:pStyle w:val="TableParagraph"/>
              <w:rPr>
                <w:sz w:val="24"/>
              </w:rPr>
            </w:pPr>
          </w:p>
        </w:tc>
        <w:tc>
          <w:tcPr>
            <w:tcW w:w="1140" w:type="dxa"/>
          </w:tcPr>
          <w:p>
            <w:pPr>
              <w:pStyle w:val="TableParagraph"/>
              <w:rPr>
                <w:sz w:val="24"/>
              </w:rPr>
            </w:pPr>
          </w:p>
        </w:tc>
        <w:tc>
          <w:tcPr>
            <w:tcW w:w="1185" w:type="dxa"/>
          </w:tcPr>
          <w:p>
            <w:pPr>
              <w:pStyle w:val="TableParagraph"/>
              <w:rPr>
                <w:sz w:val="24"/>
              </w:rPr>
            </w:pPr>
          </w:p>
        </w:tc>
      </w:tr>
      <w:tr>
        <w:trPr>
          <w:trHeight w:val="892" w:hRule="atLeast"/>
        </w:trPr>
        <w:tc>
          <w:tcPr>
            <w:tcW w:w="3780" w:type="dxa"/>
          </w:tcPr>
          <w:p>
            <w:pPr>
              <w:pStyle w:val="TableParagraph"/>
              <w:spacing w:before="134"/>
              <w:ind w:left="30"/>
              <w:rPr>
                <w:sz w:val="24"/>
              </w:rPr>
            </w:pPr>
            <w:r>
              <w:rPr>
                <w:sz w:val="24"/>
              </w:rPr>
              <w:t>Education</w:t>
            </w:r>
          </w:p>
          <w:p>
            <w:pPr>
              <w:pStyle w:val="TableParagraph"/>
              <w:tabs>
                <w:tab w:pos="1844" w:val="left" w:leader="none"/>
                <w:tab w:pos="3269" w:val="right" w:leader="none"/>
              </w:tabs>
              <w:spacing w:before="129"/>
              <w:ind w:left="30"/>
              <w:rPr>
                <w:sz w:val="24"/>
              </w:rPr>
            </w:pPr>
            <w:r>
              <w:rPr>
                <w:spacing w:val="-4"/>
                <w:sz w:val="24"/>
              </w:rPr>
              <w:t>Higher</w:t>
              <w:tab/>
            </w:r>
            <w:r>
              <w:rPr>
                <w:sz w:val="24"/>
              </w:rPr>
              <w:t>3.4</w:t>
              <w:tab/>
              <w:t>5.7</w:t>
            </w:r>
          </w:p>
        </w:tc>
        <w:tc>
          <w:tcPr>
            <w:tcW w:w="1132" w:type="dxa"/>
          </w:tcPr>
          <w:p>
            <w:pPr>
              <w:pStyle w:val="TableParagraph"/>
              <w:rPr>
                <w:sz w:val="26"/>
              </w:rPr>
            </w:pPr>
          </w:p>
          <w:p>
            <w:pPr>
              <w:pStyle w:val="TableParagraph"/>
              <w:spacing w:before="10"/>
              <w:rPr>
                <w:sz w:val="20"/>
              </w:rPr>
            </w:pPr>
          </w:p>
          <w:p>
            <w:pPr>
              <w:pStyle w:val="TableParagraph"/>
              <w:ind w:left="131" w:right="302"/>
              <w:jc w:val="center"/>
              <w:rPr>
                <w:sz w:val="24"/>
              </w:rPr>
            </w:pPr>
            <w:r>
              <w:rPr>
                <w:sz w:val="24"/>
              </w:rPr>
              <w:t>4.2</w:t>
            </w:r>
          </w:p>
        </w:tc>
        <w:tc>
          <w:tcPr>
            <w:tcW w:w="1132" w:type="dxa"/>
          </w:tcPr>
          <w:p>
            <w:pPr>
              <w:pStyle w:val="TableParagraph"/>
              <w:rPr>
                <w:sz w:val="26"/>
              </w:rPr>
            </w:pPr>
          </w:p>
          <w:p>
            <w:pPr>
              <w:pStyle w:val="TableParagraph"/>
              <w:spacing w:before="10"/>
              <w:rPr>
                <w:sz w:val="20"/>
              </w:rPr>
            </w:pPr>
          </w:p>
          <w:p>
            <w:pPr>
              <w:pStyle w:val="TableParagraph"/>
              <w:ind w:left="322"/>
              <w:rPr>
                <w:sz w:val="24"/>
              </w:rPr>
            </w:pPr>
            <w:r>
              <w:rPr>
                <w:sz w:val="24"/>
              </w:rPr>
              <w:t>3.5</w:t>
            </w:r>
          </w:p>
        </w:tc>
        <w:tc>
          <w:tcPr>
            <w:tcW w:w="1140" w:type="dxa"/>
          </w:tcPr>
          <w:p>
            <w:pPr>
              <w:pStyle w:val="TableParagraph"/>
              <w:rPr>
                <w:sz w:val="26"/>
              </w:rPr>
            </w:pPr>
          </w:p>
          <w:p>
            <w:pPr>
              <w:pStyle w:val="TableParagraph"/>
              <w:spacing w:before="10"/>
              <w:rPr>
                <w:sz w:val="20"/>
              </w:rPr>
            </w:pPr>
          </w:p>
          <w:p>
            <w:pPr>
              <w:pStyle w:val="TableParagraph"/>
              <w:ind w:left="330"/>
              <w:rPr>
                <w:sz w:val="24"/>
              </w:rPr>
            </w:pPr>
            <w:r>
              <w:rPr>
                <w:sz w:val="24"/>
              </w:rPr>
              <w:t>2.9</w:t>
            </w:r>
          </w:p>
        </w:tc>
        <w:tc>
          <w:tcPr>
            <w:tcW w:w="1185" w:type="dxa"/>
          </w:tcPr>
          <w:p>
            <w:pPr>
              <w:pStyle w:val="TableParagraph"/>
              <w:rPr>
                <w:sz w:val="26"/>
              </w:rPr>
            </w:pPr>
          </w:p>
          <w:p>
            <w:pPr>
              <w:pStyle w:val="TableParagraph"/>
              <w:spacing w:before="10"/>
              <w:rPr>
                <w:sz w:val="20"/>
              </w:rPr>
            </w:pPr>
          </w:p>
          <w:p>
            <w:pPr>
              <w:pStyle w:val="TableParagraph"/>
              <w:ind w:left="330"/>
              <w:rPr>
                <w:sz w:val="24"/>
              </w:rPr>
            </w:pPr>
            <w:r>
              <w:rPr>
                <w:sz w:val="24"/>
              </w:rPr>
              <w:t>2.1</w:t>
            </w:r>
          </w:p>
        </w:tc>
      </w:tr>
      <w:tr>
        <w:trPr>
          <w:trHeight w:val="420" w:hRule="atLeast"/>
        </w:trPr>
        <w:tc>
          <w:tcPr>
            <w:tcW w:w="3780" w:type="dxa"/>
          </w:tcPr>
          <w:p>
            <w:pPr>
              <w:pStyle w:val="TableParagraph"/>
              <w:tabs>
                <w:tab w:pos="1844" w:val="left" w:leader="none"/>
                <w:tab w:pos="3269" w:val="right" w:leader="none"/>
              </w:tabs>
              <w:spacing w:before="67"/>
              <w:ind w:left="30"/>
              <w:rPr>
                <w:sz w:val="24"/>
              </w:rPr>
            </w:pPr>
            <w:r>
              <w:rPr>
                <w:sz w:val="24"/>
              </w:rPr>
              <w:t>Intermediate</w:t>
              <w:tab/>
              <w:t>4.2</w:t>
              <w:tab/>
              <w:t>8.2</w:t>
            </w:r>
          </w:p>
        </w:tc>
        <w:tc>
          <w:tcPr>
            <w:tcW w:w="1132" w:type="dxa"/>
          </w:tcPr>
          <w:p>
            <w:pPr>
              <w:pStyle w:val="TableParagraph"/>
              <w:spacing w:before="67"/>
              <w:ind w:left="131" w:right="302"/>
              <w:jc w:val="center"/>
              <w:rPr>
                <w:sz w:val="24"/>
              </w:rPr>
            </w:pPr>
            <w:r>
              <w:rPr>
                <w:sz w:val="24"/>
              </w:rPr>
              <w:t>5.7</w:t>
            </w:r>
          </w:p>
        </w:tc>
        <w:tc>
          <w:tcPr>
            <w:tcW w:w="1132" w:type="dxa"/>
          </w:tcPr>
          <w:p>
            <w:pPr>
              <w:pStyle w:val="TableParagraph"/>
              <w:spacing w:before="67"/>
              <w:ind w:left="322"/>
              <w:rPr>
                <w:sz w:val="24"/>
              </w:rPr>
            </w:pPr>
            <w:r>
              <w:rPr>
                <w:sz w:val="24"/>
              </w:rPr>
              <w:t>4.5</w:t>
            </w:r>
          </w:p>
        </w:tc>
        <w:tc>
          <w:tcPr>
            <w:tcW w:w="1140" w:type="dxa"/>
          </w:tcPr>
          <w:p>
            <w:pPr>
              <w:pStyle w:val="TableParagraph"/>
              <w:spacing w:before="67"/>
              <w:ind w:left="330"/>
              <w:rPr>
                <w:sz w:val="24"/>
              </w:rPr>
            </w:pPr>
            <w:r>
              <w:rPr>
                <w:sz w:val="24"/>
              </w:rPr>
              <w:t>3.8</w:t>
            </w:r>
          </w:p>
        </w:tc>
        <w:tc>
          <w:tcPr>
            <w:tcW w:w="1185" w:type="dxa"/>
          </w:tcPr>
          <w:p>
            <w:pPr>
              <w:pStyle w:val="TableParagraph"/>
              <w:spacing w:before="67"/>
              <w:ind w:left="330"/>
              <w:rPr>
                <w:sz w:val="24"/>
              </w:rPr>
            </w:pPr>
            <w:r>
              <w:rPr>
                <w:sz w:val="24"/>
              </w:rPr>
              <w:t>4.2</w:t>
            </w:r>
          </w:p>
        </w:tc>
      </w:tr>
      <w:tr>
        <w:trPr>
          <w:trHeight w:val="412" w:hRule="atLeast"/>
        </w:trPr>
        <w:tc>
          <w:tcPr>
            <w:tcW w:w="3780" w:type="dxa"/>
          </w:tcPr>
          <w:p>
            <w:pPr>
              <w:pStyle w:val="TableParagraph"/>
              <w:tabs>
                <w:tab w:pos="1844" w:val="left" w:leader="none"/>
                <w:tab w:pos="3389" w:val="right" w:leader="none"/>
              </w:tabs>
              <w:spacing w:before="67"/>
              <w:ind w:left="30"/>
              <w:rPr>
                <w:sz w:val="24"/>
              </w:rPr>
            </w:pPr>
            <w:r>
              <w:rPr>
                <w:sz w:val="24"/>
              </w:rPr>
              <w:t>Lower</w:t>
              <w:tab/>
              <w:t>5.3</w:t>
              <w:tab/>
              <w:t>10.6</w:t>
            </w:r>
          </w:p>
        </w:tc>
        <w:tc>
          <w:tcPr>
            <w:tcW w:w="1132" w:type="dxa"/>
          </w:tcPr>
          <w:p>
            <w:pPr>
              <w:pStyle w:val="TableParagraph"/>
              <w:spacing w:before="67"/>
              <w:ind w:left="131" w:right="302"/>
              <w:jc w:val="center"/>
              <w:rPr>
                <w:sz w:val="24"/>
              </w:rPr>
            </w:pPr>
            <w:r>
              <w:rPr>
                <w:sz w:val="24"/>
              </w:rPr>
              <w:t>6.6</w:t>
            </w:r>
          </w:p>
        </w:tc>
        <w:tc>
          <w:tcPr>
            <w:tcW w:w="1132" w:type="dxa"/>
          </w:tcPr>
          <w:p>
            <w:pPr>
              <w:pStyle w:val="TableParagraph"/>
              <w:spacing w:before="67"/>
              <w:ind w:left="322"/>
              <w:rPr>
                <w:sz w:val="24"/>
              </w:rPr>
            </w:pPr>
            <w:r>
              <w:rPr>
                <w:sz w:val="24"/>
              </w:rPr>
              <w:t>7.0</w:t>
            </w:r>
          </w:p>
        </w:tc>
        <w:tc>
          <w:tcPr>
            <w:tcW w:w="1140" w:type="dxa"/>
          </w:tcPr>
          <w:p>
            <w:pPr>
              <w:pStyle w:val="TableParagraph"/>
              <w:spacing w:before="67"/>
              <w:ind w:left="330"/>
              <w:rPr>
                <w:sz w:val="24"/>
              </w:rPr>
            </w:pPr>
            <w:r>
              <w:rPr>
                <w:sz w:val="24"/>
              </w:rPr>
              <w:t>5.9</w:t>
            </w:r>
          </w:p>
        </w:tc>
        <w:tc>
          <w:tcPr>
            <w:tcW w:w="1185" w:type="dxa"/>
          </w:tcPr>
          <w:p>
            <w:pPr>
              <w:pStyle w:val="TableParagraph"/>
              <w:spacing w:before="67"/>
              <w:ind w:left="330"/>
              <w:rPr>
                <w:sz w:val="24"/>
              </w:rPr>
            </w:pPr>
            <w:r>
              <w:rPr>
                <w:sz w:val="24"/>
              </w:rPr>
              <w:t>5.9</w:t>
            </w:r>
          </w:p>
        </w:tc>
      </w:tr>
      <w:tr>
        <w:trPr>
          <w:trHeight w:val="913" w:hRule="atLeast"/>
        </w:trPr>
        <w:tc>
          <w:tcPr>
            <w:tcW w:w="3780" w:type="dxa"/>
            <w:tcBorders>
              <w:bottom w:val="single" w:sz="12" w:space="0" w:color="000000"/>
            </w:tcBorders>
          </w:tcPr>
          <w:p>
            <w:pPr>
              <w:pStyle w:val="TableParagraph"/>
              <w:tabs>
                <w:tab w:pos="1844" w:val="left" w:leader="none"/>
                <w:tab w:pos="2969" w:val="left" w:leader="none"/>
              </w:tabs>
              <w:spacing w:before="59"/>
              <w:ind w:left="30"/>
              <w:rPr>
                <w:sz w:val="24"/>
              </w:rPr>
            </w:pPr>
            <w:r>
              <w:rPr>
                <w:spacing w:val="-6"/>
                <w:sz w:val="24"/>
              </w:rPr>
              <w:t>None</w:t>
              <w:tab/>
            </w:r>
            <w:r>
              <w:rPr>
                <w:sz w:val="24"/>
              </w:rPr>
              <w:t>7.2</w:t>
              <w:tab/>
              <w:t>13.0</w:t>
            </w:r>
          </w:p>
          <w:p>
            <w:pPr>
              <w:pStyle w:val="TableParagraph"/>
              <w:spacing w:before="129"/>
              <w:ind w:left="30"/>
              <w:rPr>
                <w:sz w:val="24"/>
              </w:rPr>
            </w:pPr>
            <w:r>
              <w:rPr>
                <w:sz w:val="24"/>
                <w:u w:val="single"/>
              </w:rPr>
              <w:t>Source</w:t>
            </w:r>
            <w:r>
              <w:rPr>
                <w:sz w:val="24"/>
              </w:rPr>
              <w:t>: UK Labour Force Survey</w:t>
            </w:r>
          </w:p>
        </w:tc>
        <w:tc>
          <w:tcPr>
            <w:tcW w:w="1132" w:type="dxa"/>
            <w:tcBorders>
              <w:bottom w:val="single" w:sz="12" w:space="0" w:color="000000"/>
            </w:tcBorders>
          </w:tcPr>
          <w:p>
            <w:pPr>
              <w:pStyle w:val="TableParagraph"/>
              <w:spacing w:before="59"/>
              <w:ind w:left="131" w:right="302"/>
              <w:jc w:val="center"/>
              <w:rPr>
                <w:sz w:val="24"/>
              </w:rPr>
            </w:pPr>
            <w:r>
              <w:rPr>
                <w:sz w:val="24"/>
              </w:rPr>
              <w:t>9.2</w:t>
            </w:r>
          </w:p>
        </w:tc>
        <w:tc>
          <w:tcPr>
            <w:tcW w:w="1132" w:type="dxa"/>
            <w:tcBorders>
              <w:bottom w:val="single" w:sz="12" w:space="0" w:color="000000"/>
            </w:tcBorders>
          </w:tcPr>
          <w:p>
            <w:pPr>
              <w:pStyle w:val="TableParagraph"/>
              <w:spacing w:before="59"/>
              <w:ind w:left="322"/>
              <w:rPr>
                <w:sz w:val="24"/>
              </w:rPr>
            </w:pPr>
            <w:r>
              <w:rPr>
                <w:sz w:val="24"/>
              </w:rPr>
              <w:t>8.7</w:t>
            </w:r>
          </w:p>
        </w:tc>
        <w:tc>
          <w:tcPr>
            <w:tcW w:w="1140" w:type="dxa"/>
            <w:tcBorders>
              <w:bottom w:val="single" w:sz="12" w:space="0" w:color="000000"/>
            </w:tcBorders>
          </w:tcPr>
          <w:p>
            <w:pPr>
              <w:pStyle w:val="TableParagraph"/>
              <w:spacing w:before="59"/>
              <w:ind w:left="330"/>
              <w:rPr>
                <w:sz w:val="24"/>
              </w:rPr>
            </w:pPr>
            <w:r>
              <w:rPr>
                <w:sz w:val="24"/>
              </w:rPr>
              <w:t>8.4</w:t>
            </w:r>
          </w:p>
        </w:tc>
        <w:tc>
          <w:tcPr>
            <w:tcW w:w="1185" w:type="dxa"/>
            <w:tcBorders>
              <w:bottom w:val="single" w:sz="12" w:space="0" w:color="000000"/>
            </w:tcBorders>
          </w:tcPr>
          <w:p>
            <w:pPr>
              <w:pStyle w:val="TableParagraph"/>
              <w:spacing w:before="59"/>
              <w:ind w:left="330"/>
              <w:rPr>
                <w:sz w:val="24"/>
              </w:rPr>
            </w:pPr>
            <w:r>
              <w:rPr>
                <w:sz w:val="24"/>
              </w:rPr>
              <w:t>6.9</w:t>
            </w:r>
          </w:p>
        </w:tc>
      </w:tr>
    </w:tbl>
    <w:p>
      <w:pPr>
        <w:spacing w:after="0"/>
        <w:rPr>
          <w:sz w:val="24"/>
        </w:rPr>
        <w:sectPr>
          <w:pgSz w:w="11920" w:h="16840"/>
          <w:pgMar w:header="0" w:footer="779" w:top="1360" w:bottom="960" w:left="1580" w:right="1460"/>
        </w:sectPr>
      </w:pPr>
    </w:p>
    <w:p>
      <w:pPr>
        <w:pStyle w:val="BodyText"/>
        <w:spacing w:before="76"/>
        <w:ind w:left="768" w:right="880"/>
        <w:jc w:val="center"/>
      </w:pPr>
      <w:r>
        <w:rPr>
          <w:u w:val="single"/>
        </w:rPr>
        <w:t>Table 10</w:t>
      </w:r>
    </w:p>
    <w:p>
      <w:pPr>
        <w:pStyle w:val="BodyText"/>
        <w:spacing w:before="129"/>
        <w:ind w:left="768" w:right="881"/>
        <w:jc w:val="center"/>
      </w:pPr>
      <w:r>
        <w:rPr>
          <w:u w:val="single"/>
        </w:rPr>
        <w:t>UK Inactivity Rates</w:t>
      </w:r>
    </w:p>
    <w:p>
      <w:pPr>
        <w:pStyle w:val="BodyText"/>
        <w:rPr>
          <w:sz w:val="20"/>
        </w:rPr>
      </w:pPr>
    </w:p>
    <w:p>
      <w:pPr>
        <w:pStyle w:val="BodyText"/>
        <w:spacing w:before="10"/>
        <w:rPr>
          <w:sz w:val="29"/>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0"/>
        <w:gridCol w:w="1132"/>
        <w:gridCol w:w="1132"/>
        <w:gridCol w:w="1140"/>
        <w:gridCol w:w="1185"/>
      </w:tblGrid>
      <w:tr>
        <w:trPr>
          <w:trHeight w:val="410" w:hRule="atLeast"/>
        </w:trPr>
        <w:tc>
          <w:tcPr>
            <w:tcW w:w="3780" w:type="dxa"/>
          </w:tcPr>
          <w:p>
            <w:pPr>
              <w:pStyle w:val="TableParagraph"/>
              <w:tabs>
                <w:tab w:pos="1844" w:val="left" w:leader="none"/>
                <w:tab w:pos="3449" w:val="right" w:leader="none"/>
              </w:tabs>
              <w:spacing w:line="266" w:lineRule="exact"/>
              <w:ind w:left="30"/>
              <w:rPr>
                <w:sz w:val="24"/>
              </w:rPr>
            </w:pPr>
            <w:r>
              <w:rPr>
                <w:sz w:val="24"/>
              </w:rPr>
              <w:t>Men</w:t>
              <w:tab/>
              <w:t>1979</w:t>
              <w:tab/>
              <w:t>1985</w:t>
            </w:r>
          </w:p>
        </w:tc>
        <w:tc>
          <w:tcPr>
            <w:tcW w:w="1132" w:type="dxa"/>
          </w:tcPr>
          <w:p>
            <w:pPr>
              <w:pStyle w:val="TableParagraph"/>
              <w:spacing w:line="266" w:lineRule="exact"/>
              <w:ind w:left="310" w:right="302"/>
              <w:jc w:val="center"/>
              <w:rPr>
                <w:sz w:val="24"/>
              </w:rPr>
            </w:pPr>
            <w:r>
              <w:rPr>
                <w:sz w:val="24"/>
              </w:rPr>
              <w:t>1990</w:t>
            </w:r>
          </w:p>
        </w:tc>
        <w:tc>
          <w:tcPr>
            <w:tcW w:w="1132" w:type="dxa"/>
          </w:tcPr>
          <w:p>
            <w:pPr>
              <w:pStyle w:val="TableParagraph"/>
              <w:spacing w:line="266" w:lineRule="exact"/>
              <w:ind w:left="322"/>
              <w:rPr>
                <w:sz w:val="24"/>
              </w:rPr>
            </w:pPr>
            <w:r>
              <w:rPr>
                <w:sz w:val="24"/>
              </w:rPr>
              <w:t>1995</w:t>
            </w:r>
          </w:p>
        </w:tc>
        <w:tc>
          <w:tcPr>
            <w:tcW w:w="1140" w:type="dxa"/>
          </w:tcPr>
          <w:p>
            <w:pPr>
              <w:pStyle w:val="TableParagraph"/>
              <w:spacing w:line="266" w:lineRule="exact"/>
              <w:ind w:left="330"/>
              <w:rPr>
                <w:sz w:val="24"/>
              </w:rPr>
            </w:pPr>
            <w:r>
              <w:rPr>
                <w:sz w:val="24"/>
              </w:rPr>
              <w:t>1998</w:t>
            </w:r>
          </w:p>
        </w:tc>
        <w:tc>
          <w:tcPr>
            <w:tcW w:w="1185" w:type="dxa"/>
          </w:tcPr>
          <w:p>
            <w:pPr>
              <w:pStyle w:val="TableParagraph"/>
              <w:spacing w:line="266" w:lineRule="exact"/>
              <w:ind w:left="330"/>
              <w:rPr>
                <w:sz w:val="24"/>
              </w:rPr>
            </w:pPr>
            <w:r>
              <w:rPr>
                <w:sz w:val="24"/>
              </w:rPr>
              <w:t>2000</w:t>
            </w:r>
          </w:p>
        </w:tc>
      </w:tr>
      <w:tr>
        <w:trPr>
          <w:trHeight w:val="487" w:hRule="atLeast"/>
        </w:trPr>
        <w:tc>
          <w:tcPr>
            <w:tcW w:w="3780" w:type="dxa"/>
          </w:tcPr>
          <w:p>
            <w:pPr>
              <w:pStyle w:val="TableParagraph"/>
              <w:spacing w:before="134"/>
              <w:ind w:left="30"/>
              <w:rPr>
                <w:sz w:val="24"/>
              </w:rPr>
            </w:pPr>
            <w:r>
              <w:rPr>
                <w:sz w:val="24"/>
              </w:rPr>
              <w:t>Education</w:t>
            </w:r>
          </w:p>
        </w:tc>
        <w:tc>
          <w:tcPr>
            <w:tcW w:w="1132" w:type="dxa"/>
          </w:tcPr>
          <w:p>
            <w:pPr>
              <w:pStyle w:val="TableParagraph"/>
              <w:rPr>
                <w:sz w:val="24"/>
              </w:rPr>
            </w:pPr>
          </w:p>
        </w:tc>
        <w:tc>
          <w:tcPr>
            <w:tcW w:w="1132" w:type="dxa"/>
          </w:tcPr>
          <w:p>
            <w:pPr>
              <w:pStyle w:val="TableParagraph"/>
              <w:rPr>
                <w:sz w:val="24"/>
              </w:rPr>
            </w:pPr>
          </w:p>
        </w:tc>
        <w:tc>
          <w:tcPr>
            <w:tcW w:w="1140" w:type="dxa"/>
          </w:tcPr>
          <w:p>
            <w:pPr>
              <w:pStyle w:val="TableParagraph"/>
              <w:rPr>
                <w:sz w:val="24"/>
              </w:rPr>
            </w:pPr>
          </w:p>
        </w:tc>
        <w:tc>
          <w:tcPr>
            <w:tcW w:w="1185" w:type="dxa"/>
          </w:tcPr>
          <w:p>
            <w:pPr>
              <w:pStyle w:val="TableParagraph"/>
              <w:rPr>
                <w:sz w:val="24"/>
              </w:rPr>
            </w:pPr>
          </w:p>
        </w:tc>
      </w:tr>
      <w:tr>
        <w:trPr>
          <w:trHeight w:val="412" w:hRule="atLeast"/>
        </w:trPr>
        <w:tc>
          <w:tcPr>
            <w:tcW w:w="3780" w:type="dxa"/>
          </w:tcPr>
          <w:p>
            <w:pPr>
              <w:pStyle w:val="TableParagraph"/>
              <w:tabs>
                <w:tab w:pos="1844" w:val="left" w:leader="none"/>
                <w:tab w:pos="3269" w:val="right" w:leader="none"/>
              </w:tabs>
              <w:spacing w:before="67"/>
              <w:ind w:left="30"/>
              <w:rPr>
                <w:sz w:val="24"/>
              </w:rPr>
            </w:pPr>
            <w:r>
              <w:rPr>
                <w:spacing w:val="-4"/>
                <w:sz w:val="24"/>
              </w:rPr>
              <w:t>Higher</w:t>
              <w:tab/>
            </w:r>
            <w:r>
              <w:rPr>
                <w:sz w:val="24"/>
              </w:rPr>
              <w:t>0.9</w:t>
              <w:tab/>
              <w:t>4.2</w:t>
            </w:r>
          </w:p>
        </w:tc>
        <w:tc>
          <w:tcPr>
            <w:tcW w:w="1132" w:type="dxa"/>
          </w:tcPr>
          <w:p>
            <w:pPr>
              <w:pStyle w:val="TableParagraph"/>
              <w:spacing w:before="67"/>
              <w:ind w:left="131" w:right="302"/>
              <w:jc w:val="center"/>
              <w:rPr>
                <w:sz w:val="24"/>
              </w:rPr>
            </w:pPr>
            <w:r>
              <w:rPr>
                <w:sz w:val="24"/>
              </w:rPr>
              <w:t>4.6</w:t>
            </w:r>
          </w:p>
        </w:tc>
        <w:tc>
          <w:tcPr>
            <w:tcW w:w="1132" w:type="dxa"/>
          </w:tcPr>
          <w:p>
            <w:pPr>
              <w:pStyle w:val="TableParagraph"/>
              <w:spacing w:before="67"/>
              <w:ind w:left="322"/>
              <w:rPr>
                <w:sz w:val="24"/>
              </w:rPr>
            </w:pPr>
            <w:r>
              <w:rPr>
                <w:sz w:val="24"/>
              </w:rPr>
              <w:t>6.9</w:t>
            </w:r>
          </w:p>
        </w:tc>
        <w:tc>
          <w:tcPr>
            <w:tcW w:w="1140" w:type="dxa"/>
          </w:tcPr>
          <w:p>
            <w:pPr>
              <w:pStyle w:val="TableParagraph"/>
              <w:spacing w:before="67"/>
              <w:ind w:left="330"/>
              <w:rPr>
                <w:sz w:val="24"/>
              </w:rPr>
            </w:pPr>
            <w:r>
              <w:rPr>
                <w:sz w:val="24"/>
              </w:rPr>
              <w:t>7.2</w:t>
            </w:r>
          </w:p>
        </w:tc>
        <w:tc>
          <w:tcPr>
            <w:tcW w:w="1185" w:type="dxa"/>
          </w:tcPr>
          <w:p>
            <w:pPr>
              <w:pStyle w:val="TableParagraph"/>
              <w:spacing w:before="67"/>
              <w:ind w:left="330"/>
              <w:rPr>
                <w:sz w:val="24"/>
              </w:rPr>
            </w:pPr>
            <w:r>
              <w:rPr>
                <w:sz w:val="24"/>
              </w:rPr>
              <w:t>6.3</w:t>
            </w:r>
          </w:p>
        </w:tc>
      </w:tr>
      <w:tr>
        <w:trPr>
          <w:trHeight w:val="412" w:hRule="atLeast"/>
        </w:trPr>
        <w:tc>
          <w:tcPr>
            <w:tcW w:w="3780" w:type="dxa"/>
          </w:tcPr>
          <w:p>
            <w:pPr>
              <w:pStyle w:val="TableParagraph"/>
              <w:tabs>
                <w:tab w:pos="1844" w:val="left" w:leader="none"/>
                <w:tab w:pos="3269" w:val="right" w:leader="none"/>
              </w:tabs>
              <w:spacing w:before="59"/>
              <w:ind w:left="30"/>
              <w:rPr>
                <w:sz w:val="24"/>
              </w:rPr>
            </w:pPr>
            <w:r>
              <w:rPr>
                <w:sz w:val="24"/>
              </w:rPr>
              <w:t>Intermediate</w:t>
              <w:tab/>
              <w:t>1.2</w:t>
              <w:tab/>
              <w:t>6.2</w:t>
            </w:r>
          </w:p>
        </w:tc>
        <w:tc>
          <w:tcPr>
            <w:tcW w:w="1132" w:type="dxa"/>
          </w:tcPr>
          <w:p>
            <w:pPr>
              <w:pStyle w:val="TableParagraph"/>
              <w:spacing w:before="59"/>
              <w:ind w:left="131" w:right="302"/>
              <w:jc w:val="center"/>
              <w:rPr>
                <w:sz w:val="24"/>
              </w:rPr>
            </w:pPr>
            <w:r>
              <w:rPr>
                <w:sz w:val="24"/>
              </w:rPr>
              <w:t>6.6</w:t>
            </w:r>
          </w:p>
        </w:tc>
        <w:tc>
          <w:tcPr>
            <w:tcW w:w="1132" w:type="dxa"/>
          </w:tcPr>
          <w:p>
            <w:pPr>
              <w:pStyle w:val="TableParagraph"/>
              <w:spacing w:before="59"/>
              <w:ind w:left="322"/>
              <w:rPr>
                <w:sz w:val="24"/>
              </w:rPr>
            </w:pPr>
            <w:r>
              <w:rPr>
                <w:sz w:val="24"/>
              </w:rPr>
              <w:t>10.5</w:t>
            </w:r>
          </w:p>
        </w:tc>
        <w:tc>
          <w:tcPr>
            <w:tcW w:w="1140" w:type="dxa"/>
          </w:tcPr>
          <w:p>
            <w:pPr>
              <w:pStyle w:val="TableParagraph"/>
              <w:spacing w:before="59"/>
              <w:ind w:left="330"/>
              <w:rPr>
                <w:sz w:val="24"/>
              </w:rPr>
            </w:pPr>
            <w:r>
              <w:rPr>
                <w:sz w:val="24"/>
              </w:rPr>
              <w:t>11.6</w:t>
            </w:r>
          </w:p>
        </w:tc>
        <w:tc>
          <w:tcPr>
            <w:tcW w:w="1185" w:type="dxa"/>
          </w:tcPr>
          <w:p>
            <w:pPr>
              <w:pStyle w:val="TableParagraph"/>
              <w:spacing w:before="59"/>
              <w:ind w:left="330"/>
              <w:rPr>
                <w:sz w:val="24"/>
              </w:rPr>
            </w:pPr>
            <w:r>
              <w:rPr>
                <w:sz w:val="24"/>
              </w:rPr>
              <w:t>9.5</w:t>
            </w:r>
          </w:p>
        </w:tc>
      </w:tr>
      <w:tr>
        <w:trPr>
          <w:trHeight w:val="420" w:hRule="atLeast"/>
        </w:trPr>
        <w:tc>
          <w:tcPr>
            <w:tcW w:w="3780" w:type="dxa"/>
          </w:tcPr>
          <w:p>
            <w:pPr>
              <w:pStyle w:val="TableParagraph"/>
              <w:tabs>
                <w:tab w:pos="1844" w:val="left" w:leader="none"/>
                <w:tab w:pos="3269" w:val="right" w:leader="none"/>
              </w:tabs>
              <w:spacing w:before="67"/>
              <w:ind w:left="30"/>
              <w:rPr>
                <w:sz w:val="24"/>
              </w:rPr>
            </w:pPr>
            <w:r>
              <w:rPr>
                <w:sz w:val="24"/>
              </w:rPr>
              <w:t>Lower</w:t>
              <w:tab/>
              <w:t>1.4</w:t>
              <w:tab/>
              <w:t>5.4</w:t>
            </w:r>
          </w:p>
        </w:tc>
        <w:tc>
          <w:tcPr>
            <w:tcW w:w="1132" w:type="dxa"/>
          </w:tcPr>
          <w:p>
            <w:pPr>
              <w:pStyle w:val="TableParagraph"/>
              <w:spacing w:before="67"/>
              <w:ind w:left="131" w:right="302"/>
              <w:jc w:val="center"/>
              <w:rPr>
                <w:sz w:val="24"/>
              </w:rPr>
            </w:pPr>
            <w:r>
              <w:rPr>
                <w:sz w:val="24"/>
              </w:rPr>
              <w:t>5.5</w:t>
            </w:r>
          </w:p>
        </w:tc>
        <w:tc>
          <w:tcPr>
            <w:tcW w:w="1132" w:type="dxa"/>
          </w:tcPr>
          <w:p>
            <w:pPr>
              <w:pStyle w:val="TableParagraph"/>
              <w:spacing w:before="67"/>
              <w:ind w:left="322"/>
              <w:rPr>
                <w:sz w:val="24"/>
              </w:rPr>
            </w:pPr>
            <w:r>
              <w:rPr>
                <w:sz w:val="24"/>
              </w:rPr>
              <w:t>9.7</w:t>
            </w:r>
          </w:p>
        </w:tc>
        <w:tc>
          <w:tcPr>
            <w:tcW w:w="1140" w:type="dxa"/>
          </w:tcPr>
          <w:p>
            <w:pPr>
              <w:pStyle w:val="TableParagraph"/>
              <w:spacing w:before="67"/>
              <w:ind w:left="330"/>
              <w:rPr>
                <w:sz w:val="24"/>
              </w:rPr>
            </w:pPr>
            <w:r>
              <w:rPr>
                <w:sz w:val="24"/>
              </w:rPr>
              <w:t>10.6</w:t>
            </w:r>
          </w:p>
        </w:tc>
        <w:tc>
          <w:tcPr>
            <w:tcW w:w="1185" w:type="dxa"/>
          </w:tcPr>
          <w:p>
            <w:pPr>
              <w:pStyle w:val="TableParagraph"/>
              <w:spacing w:before="67"/>
              <w:ind w:left="330"/>
              <w:rPr>
                <w:sz w:val="24"/>
              </w:rPr>
            </w:pPr>
            <w:r>
              <w:rPr>
                <w:sz w:val="24"/>
              </w:rPr>
              <w:t>13.3</w:t>
            </w:r>
          </w:p>
        </w:tc>
      </w:tr>
      <w:tr>
        <w:trPr>
          <w:trHeight w:val="622" w:hRule="atLeast"/>
        </w:trPr>
        <w:tc>
          <w:tcPr>
            <w:tcW w:w="3780" w:type="dxa"/>
          </w:tcPr>
          <w:p>
            <w:pPr>
              <w:pStyle w:val="TableParagraph"/>
              <w:tabs>
                <w:tab w:pos="1844" w:val="left" w:leader="none"/>
                <w:tab w:pos="3389" w:val="right" w:leader="none"/>
              </w:tabs>
              <w:spacing w:before="67"/>
              <w:ind w:left="30"/>
              <w:rPr>
                <w:sz w:val="24"/>
              </w:rPr>
            </w:pPr>
            <w:r>
              <w:rPr>
                <w:spacing w:val="-6"/>
                <w:sz w:val="24"/>
              </w:rPr>
              <w:t>None</w:t>
              <w:tab/>
            </w:r>
            <w:r>
              <w:rPr>
                <w:sz w:val="24"/>
              </w:rPr>
              <w:t>3.8</w:t>
              <w:tab/>
              <w:t>12.3</w:t>
            </w:r>
          </w:p>
        </w:tc>
        <w:tc>
          <w:tcPr>
            <w:tcW w:w="1132" w:type="dxa"/>
          </w:tcPr>
          <w:p>
            <w:pPr>
              <w:pStyle w:val="TableParagraph"/>
              <w:spacing w:before="67"/>
              <w:ind w:left="251" w:right="302"/>
              <w:jc w:val="center"/>
              <w:rPr>
                <w:sz w:val="24"/>
              </w:rPr>
            </w:pPr>
            <w:r>
              <w:rPr>
                <w:sz w:val="24"/>
              </w:rPr>
              <w:t>17.0</w:t>
            </w:r>
          </w:p>
        </w:tc>
        <w:tc>
          <w:tcPr>
            <w:tcW w:w="1132" w:type="dxa"/>
          </w:tcPr>
          <w:p>
            <w:pPr>
              <w:pStyle w:val="TableParagraph"/>
              <w:spacing w:before="67"/>
              <w:ind w:left="322"/>
              <w:rPr>
                <w:sz w:val="24"/>
              </w:rPr>
            </w:pPr>
            <w:r>
              <w:rPr>
                <w:sz w:val="24"/>
              </w:rPr>
              <w:t>25.3</w:t>
            </w:r>
          </w:p>
        </w:tc>
        <w:tc>
          <w:tcPr>
            <w:tcW w:w="1140" w:type="dxa"/>
          </w:tcPr>
          <w:p>
            <w:pPr>
              <w:pStyle w:val="TableParagraph"/>
              <w:spacing w:before="67"/>
              <w:ind w:left="330"/>
              <w:rPr>
                <w:sz w:val="24"/>
              </w:rPr>
            </w:pPr>
            <w:r>
              <w:rPr>
                <w:sz w:val="24"/>
              </w:rPr>
              <w:t>30.5</w:t>
            </w:r>
          </w:p>
        </w:tc>
        <w:tc>
          <w:tcPr>
            <w:tcW w:w="1185" w:type="dxa"/>
          </w:tcPr>
          <w:p>
            <w:pPr>
              <w:pStyle w:val="TableParagraph"/>
              <w:spacing w:before="67"/>
              <w:ind w:left="330"/>
              <w:rPr>
                <w:sz w:val="24"/>
              </w:rPr>
            </w:pPr>
            <w:r>
              <w:rPr>
                <w:sz w:val="24"/>
              </w:rPr>
              <w:t>30.0</w:t>
            </w:r>
          </w:p>
        </w:tc>
      </w:tr>
      <w:tr>
        <w:trPr>
          <w:trHeight w:val="690" w:hRule="atLeast"/>
        </w:trPr>
        <w:tc>
          <w:tcPr>
            <w:tcW w:w="3780" w:type="dxa"/>
          </w:tcPr>
          <w:p>
            <w:pPr>
              <w:pStyle w:val="TableParagraph"/>
              <w:spacing w:before="4"/>
              <w:rPr>
                <w:sz w:val="23"/>
              </w:rPr>
            </w:pPr>
          </w:p>
          <w:p>
            <w:pPr>
              <w:pStyle w:val="TableParagraph"/>
              <w:spacing w:before="1"/>
              <w:ind w:left="30"/>
              <w:rPr>
                <w:sz w:val="24"/>
              </w:rPr>
            </w:pPr>
            <w:r>
              <w:rPr>
                <w:sz w:val="24"/>
              </w:rPr>
              <w:t>Women</w:t>
            </w:r>
          </w:p>
        </w:tc>
        <w:tc>
          <w:tcPr>
            <w:tcW w:w="1132" w:type="dxa"/>
          </w:tcPr>
          <w:p>
            <w:pPr>
              <w:pStyle w:val="TableParagraph"/>
              <w:rPr>
                <w:sz w:val="24"/>
              </w:rPr>
            </w:pPr>
          </w:p>
        </w:tc>
        <w:tc>
          <w:tcPr>
            <w:tcW w:w="1132" w:type="dxa"/>
          </w:tcPr>
          <w:p>
            <w:pPr>
              <w:pStyle w:val="TableParagraph"/>
              <w:rPr>
                <w:sz w:val="24"/>
              </w:rPr>
            </w:pPr>
          </w:p>
        </w:tc>
        <w:tc>
          <w:tcPr>
            <w:tcW w:w="1140" w:type="dxa"/>
          </w:tcPr>
          <w:p>
            <w:pPr>
              <w:pStyle w:val="TableParagraph"/>
              <w:rPr>
                <w:sz w:val="24"/>
              </w:rPr>
            </w:pPr>
          </w:p>
        </w:tc>
        <w:tc>
          <w:tcPr>
            <w:tcW w:w="1185" w:type="dxa"/>
          </w:tcPr>
          <w:p>
            <w:pPr>
              <w:pStyle w:val="TableParagraph"/>
              <w:rPr>
                <w:sz w:val="24"/>
              </w:rPr>
            </w:pPr>
          </w:p>
        </w:tc>
      </w:tr>
      <w:tr>
        <w:trPr>
          <w:trHeight w:val="892" w:hRule="atLeast"/>
        </w:trPr>
        <w:tc>
          <w:tcPr>
            <w:tcW w:w="3780" w:type="dxa"/>
          </w:tcPr>
          <w:p>
            <w:pPr>
              <w:pStyle w:val="TableParagraph"/>
              <w:spacing w:before="134"/>
              <w:ind w:left="30"/>
              <w:rPr>
                <w:sz w:val="24"/>
              </w:rPr>
            </w:pPr>
            <w:r>
              <w:rPr>
                <w:sz w:val="24"/>
              </w:rPr>
              <w:t>Education</w:t>
            </w:r>
          </w:p>
          <w:p>
            <w:pPr>
              <w:pStyle w:val="TableParagraph"/>
              <w:tabs>
                <w:tab w:pos="1844" w:val="left" w:leader="none"/>
                <w:tab w:pos="3389" w:val="right" w:leader="none"/>
              </w:tabs>
              <w:spacing w:before="129"/>
              <w:ind w:left="30"/>
              <w:rPr>
                <w:sz w:val="24"/>
              </w:rPr>
            </w:pPr>
            <w:r>
              <w:rPr>
                <w:spacing w:val="-4"/>
                <w:sz w:val="24"/>
              </w:rPr>
              <w:t>Higher</w:t>
              <w:tab/>
            </w:r>
            <w:r>
              <w:rPr>
                <w:sz w:val="24"/>
              </w:rPr>
              <w:t>21.5</w:t>
              <w:tab/>
              <w:t>19.6</w:t>
            </w:r>
          </w:p>
        </w:tc>
        <w:tc>
          <w:tcPr>
            <w:tcW w:w="1132" w:type="dxa"/>
          </w:tcPr>
          <w:p>
            <w:pPr>
              <w:pStyle w:val="TableParagraph"/>
              <w:rPr>
                <w:sz w:val="26"/>
              </w:rPr>
            </w:pPr>
          </w:p>
          <w:p>
            <w:pPr>
              <w:pStyle w:val="TableParagraph"/>
              <w:spacing w:before="10"/>
              <w:rPr>
                <w:sz w:val="20"/>
              </w:rPr>
            </w:pPr>
          </w:p>
          <w:p>
            <w:pPr>
              <w:pStyle w:val="TableParagraph"/>
              <w:ind w:left="251" w:right="302"/>
              <w:jc w:val="center"/>
              <w:rPr>
                <w:sz w:val="24"/>
              </w:rPr>
            </w:pPr>
            <w:r>
              <w:rPr>
                <w:sz w:val="24"/>
              </w:rPr>
              <w:t>14.3</w:t>
            </w:r>
          </w:p>
        </w:tc>
        <w:tc>
          <w:tcPr>
            <w:tcW w:w="1132" w:type="dxa"/>
          </w:tcPr>
          <w:p>
            <w:pPr>
              <w:pStyle w:val="TableParagraph"/>
              <w:rPr>
                <w:sz w:val="26"/>
              </w:rPr>
            </w:pPr>
          </w:p>
          <w:p>
            <w:pPr>
              <w:pStyle w:val="TableParagraph"/>
              <w:spacing w:before="10"/>
              <w:rPr>
                <w:sz w:val="20"/>
              </w:rPr>
            </w:pPr>
          </w:p>
          <w:p>
            <w:pPr>
              <w:pStyle w:val="TableParagraph"/>
              <w:ind w:left="322"/>
              <w:rPr>
                <w:sz w:val="24"/>
              </w:rPr>
            </w:pPr>
            <w:r>
              <w:rPr>
                <w:sz w:val="24"/>
              </w:rPr>
              <w:t>13.4</w:t>
            </w:r>
          </w:p>
        </w:tc>
        <w:tc>
          <w:tcPr>
            <w:tcW w:w="1140" w:type="dxa"/>
          </w:tcPr>
          <w:p>
            <w:pPr>
              <w:pStyle w:val="TableParagraph"/>
              <w:rPr>
                <w:sz w:val="26"/>
              </w:rPr>
            </w:pPr>
          </w:p>
          <w:p>
            <w:pPr>
              <w:pStyle w:val="TableParagraph"/>
              <w:spacing w:before="10"/>
              <w:rPr>
                <w:sz w:val="20"/>
              </w:rPr>
            </w:pPr>
          </w:p>
          <w:p>
            <w:pPr>
              <w:pStyle w:val="TableParagraph"/>
              <w:ind w:left="330"/>
              <w:rPr>
                <w:sz w:val="24"/>
              </w:rPr>
            </w:pPr>
            <w:r>
              <w:rPr>
                <w:sz w:val="24"/>
              </w:rPr>
              <w:t>12.4</w:t>
            </w:r>
          </w:p>
        </w:tc>
        <w:tc>
          <w:tcPr>
            <w:tcW w:w="1185" w:type="dxa"/>
          </w:tcPr>
          <w:p>
            <w:pPr>
              <w:pStyle w:val="TableParagraph"/>
              <w:rPr>
                <w:sz w:val="26"/>
              </w:rPr>
            </w:pPr>
          </w:p>
          <w:p>
            <w:pPr>
              <w:pStyle w:val="TableParagraph"/>
              <w:spacing w:before="10"/>
              <w:rPr>
                <w:sz w:val="20"/>
              </w:rPr>
            </w:pPr>
          </w:p>
          <w:p>
            <w:pPr>
              <w:pStyle w:val="TableParagraph"/>
              <w:ind w:left="330"/>
              <w:rPr>
                <w:sz w:val="24"/>
              </w:rPr>
            </w:pPr>
            <w:r>
              <w:rPr>
                <w:sz w:val="24"/>
              </w:rPr>
              <w:t>10.3</w:t>
            </w:r>
          </w:p>
        </w:tc>
      </w:tr>
      <w:tr>
        <w:trPr>
          <w:trHeight w:val="412" w:hRule="atLeast"/>
        </w:trPr>
        <w:tc>
          <w:tcPr>
            <w:tcW w:w="3780" w:type="dxa"/>
          </w:tcPr>
          <w:p>
            <w:pPr>
              <w:pStyle w:val="TableParagraph"/>
              <w:tabs>
                <w:tab w:pos="1844" w:val="left" w:leader="none"/>
                <w:tab w:pos="3389" w:val="right" w:leader="none"/>
              </w:tabs>
              <w:spacing w:before="67"/>
              <w:ind w:left="30"/>
              <w:rPr>
                <w:sz w:val="24"/>
              </w:rPr>
            </w:pPr>
            <w:r>
              <w:rPr>
                <w:sz w:val="24"/>
              </w:rPr>
              <w:t>Intermediate</w:t>
              <w:tab/>
              <w:t>26.7</w:t>
              <w:tab/>
              <w:t>24.7</w:t>
            </w:r>
          </w:p>
        </w:tc>
        <w:tc>
          <w:tcPr>
            <w:tcW w:w="1132" w:type="dxa"/>
          </w:tcPr>
          <w:p>
            <w:pPr>
              <w:pStyle w:val="TableParagraph"/>
              <w:spacing w:before="67"/>
              <w:ind w:left="251" w:right="302"/>
              <w:jc w:val="center"/>
              <w:rPr>
                <w:sz w:val="24"/>
              </w:rPr>
            </w:pPr>
            <w:r>
              <w:rPr>
                <w:sz w:val="24"/>
              </w:rPr>
              <w:t>19.6</w:t>
            </w:r>
          </w:p>
        </w:tc>
        <w:tc>
          <w:tcPr>
            <w:tcW w:w="1132" w:type="dxa"/>
          </w:tcPr>
          <w:p>
            <w:pPr>
              <w:pStyle w:val="TableParagraph"/>
              <w:spacing w:before="67"/>
              <w:ind w:left="322"/>
              <w:rPr>
                <w:sz w:val="24"/>
              </w:rPr>
            </w:pPr>
            <w:r>
              <w:rPr>
                <w:sz w:val="24"/>
              </w:rPr>
              <w:t>21.1</w:t>
            </w:r>
          </w:p>
        </w:tc>
        <w:tc>
          <w:tcPr>
            <w:tcW w:w="1140" w:type="dxa"/>
          </w:tcPr>
          <w:p>
            <w:pPr>
              <w:pStyle w:val="TableParagraph"/>
              <w:spacing w:before="67"/>
              <w:ind w:left="330"/>
              <w:rPr>
                <w:sz w:val="24"/>
              </w:rPr>
            </w:pPr>
            <w:r>
              <w:rPr>
                <w:sz w:val="24"/>
              </w:rPr>
              <w:t>20.3</w:t>
            </w:r>
          </w:p>
        </w:tc>
        <w:tc>
          <w:tcPr>
            <w:tcW w:w="1185" w:type="dxa"/>
          </w:tcPr>
          <w:p>
            <w:pPr>
              <w:pStyle w:val="TableParagraph"/>
              <w:spacing w:before="67"/>
              <w:ind w:left="330"/>
              <w:rPr>
                <w:sz w:val="24"/>
              </w:rPr>
            </w:pPr>
            <w:r>
              <w:rPr>
                <w:sz w:val="24"/>
              </w:rPr>
              <w:t>17.6</w:t>
            </w:r>
          </w:p>
        </w:tc>
      </w:tr>
      <w:tr>
        <w:trPr>
          <w:trHeight w:val="412" w:hRule="atLeast"/>
        </w:trPr>
        <w:tc>
          <w:tcPr>
            <w:tcW w:w="3780" w:type="dxa"/>
          </w:tcPr>
          <w:p>
            <w:pPr>
              <w:pStyle w:val="TableParagraph"/>
              <w:tabs>
                <w:tab w:pos="1844" w:val="left" w:leader="none"/>
                <w:tab w:pos="3389" w:val="right" w:leader="none"/>
              </w:tabs>
              <w:spacing w:before="59"/>
              <w:ind w:left="30"/>
              <w:rPr>
                <w:sz w:val="24"/>
              </w:rPr>
            </w:pPr>
            <w:r>
              <w:rPr>
                <w:sz w:val="24"/>
              </w:rPr>
              <w:t>Lower</w:t>
              <w:tab/>
              <w:t>28.9</w:t>
              <w:tab/>
              <w:t>25.2</w:t>
            </w:r>
          </w:p>
        </w:tc>
        <w:tc>
          <w:tcPr>
            <w:tcW w:w="1132" w:type="dxa"/>
          </w:tcPr>
          <w:p>
            <w:pPr>
              <w:pStyle w:val="TableParagraph"/>
              <w:spacing w:before="59"/>
              <w:ind w:left="251" w:right="302"/>
              <w:jc w:val="center"/>
              <w:rPr>
                <w:sz w:val="24"/>
              </w:rPr>
            </w:pPr>
            <w:r>
              <w:rPr>
                <w:sz w:val="24"/>
              </w:rPr>
              <w:t>22.9</w:t>
            </w:r>
          </w:p>
        </w:tc>
        <w:tc>
          <w:tcPr>
            <w:tcW w:w="1132" w:type="dxa"/>
          </w:tcPr>
          <w:p>
            <w:pPr>
              <w:pStyle w:val="TableParagraph"/>
              <w:spacing w:before="59"/>
              <w:ind w:left="322"/>
              <w:rPr>
                <w:sz w:val="24"/>
              </w:rPr>
            </w:pPr>
            <w:r>
              <w:rPr>
                <w:sz w:val="24"/>
              </w:rPr>
              <w:t>25.5</w:t>
            </w:r>
          </w:p>
        </w:tc>
        <w:tc>
          <w:tcPr>
            <w:tcW w:w="1140" w:type="dxa"/>
          </w:tcPr>
          <w:p>
            <w:pPr>
              <w:pStyle w:val="TableParagraph"/>
              <w:spacing w:before="59"/>
              <w:ind w:left="330"/>
              <w:rPr>
                <w:sz w:val="24"/>
              </w:rPr>
            </w:pPr>
            <w:r>
              <w:rPr>
                <w:sz w:val="24"/>
              </w:rPr>
              <w:t>24.7</w:t>
            </w:r>
          </w:p>
        </w:tc>
        <w:tc>
          <w:tcPr>
            <w:tcW w:w="1185" w:type="dxa"/>
          </w:tcPr>
          <w:p>
            <w:pPr>
              <w:pStyle w:val="TableParagraph"/>
              <w:spacing w:before="59"/>
              <w:ind w:left="330"/>
              <w:rPr>
                <w:sz w:val="24"/>
              </w:rPr>
            </w:pPr>
            <w:r>
              <w:rPr>
                <w:sz w:val="24"/>
              </w:rPr>
              <w:t>27.5</w:t>
            </w:r>
          </w:p>
        </w:tc>
      </w:tr>
      <w:tr>
        <w:trPr>
          <w:trHeight w:val="920" w:hRule="atLeast"/>
        </w:trPr>
        <w:tc>
          <w:tcPr>
            <w:tcW w:w="3780" w:type="dxa"/>
            <w:tcBorders>
              <w:bottom w:val="single" w:sz="12" w:space="0" w:color="000000"/>
            </w:tcBorders>
          </w:tcPr>
          <w:p>
            <w:pPr>
              <w:pStyle w:val="TableParagraph"/>
              <w:tabs>
                <w:tab w:pos="1844" w:val="left" w:leader="none"/>
                <w:tab w:pos="3389" w:val="right" w:leader="none"/>
              </w:tabs>
              <w:spacing w:before="67"/>
              <w:ind w:left="30"/>
              <w:rPr>
                <w:sz w:val="24"/>
              </w:rPr>
            </w:pPr>
            <w:r>
              <w:rPr>
                <w:spacing w:val="-6"/>
                <w:sz w:val="24"/>
              </w:rPr>
              <w:t>None</w:t>
              <w:tab/>
            </w:r>
            <w:r>
              <w:rPr>
                <w:sz w:val="24"/>
              </w:rPr>
              <w:t>40.3</w:t>
              <w:tab/>
              <w:t>42.5</w:t>
            </w:r>
          </w:p>
          <w:p>
            <w:pPr>
              <w:pStyle w:val="TableParagraph"/>
              <w:spacing w:before="129"/>
              <w:ind w:left="30"/>
              <w:rPr>
                <w:sz w:val="24"/>
              </w:rPr>
            </w:pPr>
            <w:r>
              <w:rPr>
                <w:sz w:val="24"/>
                <w:u w:val="single"/>
              </w:rPr>
              <w:t>Source</w:t>
            </w:r>
            <w:r>
              <w:rPr>
                <w:sz w:val="24"/>
              </w:rPr>
              <w:t>: UK Labour Force Survey</w:t>
            </w:r>
          </w:p>
        </w:tc>
        <w:tc>
          <w:tcPr>
            <w:tcW w:w="1132" w:type="dxa"/>
            <w:tcBorders>
              <w:bottom w:val="single" w:sz="12" w:space="0" w:color="000000"/>
            </w:tcBorders>
          </w:tcPr>
          <w:p>
            <w:pPr>
              <w:pStyle w:val="TableParagraph"/>
              <w:spacing w:before="67"/>
              <w:ind w:left="251" w:right="302"/>
              <w:jc w:val="center"/>
              <w:rPr>
                <w:sz w:val="24"/>
              </w:rPr>
            </w:pPr>
            <w:r>
              <w:rPr>
                <w:sz w:val="24"/>
              </w:rPr>
              <w:t>38.7</w:t>
            </w:r>
          </w:p>
        </w:tc>
        <w:tc>
          <w:tcPr>
            <w:tcW w:w="1132" w:type="dxa"/>
            <w:tcBorders>
              <w:bottom w:val="single" w:sz="12" w:space="0" w:color="000000"/>
            </w:tcBorders>
          </w:tcPr>
          <w:p>
            <w:pPr>
              <w:pStyle w:val="TableParagraph"/>
              <w:spacing w:before="67"/>
              <w:ind w:left="322"/>
              <w:rPr>
                <w:sz w:val="24"/>
              </w:rPr>
            </w:pPr>
            <w:r>
              <w:rPr>
                <w:sz w:val="24"/>
              </w:rPr>
              <w:t>45.0</w:t>
            </w:r>
          </w:p>
        </w:tc>
        <w:tc>
          <w:tcPr>
            <w:tcW w:w="1140" w:type="dxa"/>
            <w:tcBorders>
              <w:bottom w:val="single" w:sz="12" w:space="0" w:color="000000"/>
            </w:tcBorders>
          </w:tcPr>
          <w:p>
            <w:pPr>
              <w:pStyle w:val="TableParagraph"/>
              <w:spacing w:before="67"/>
              <w:ind w:left="330"/>
              <w:rPr>
                <w:sz w:val="24"/>
              </w:rPr>
            </w:pPr>
            <w:r>
              <w:rPr>
                <w:sz w:val="24"/>
              </w:rPr>
              <w:t>48.9</w:t>
            </w:r>
          </w:p>
        </w:tc>
        <w:tc>
          <w:tcPr>
            <w:tcW w:w="1185" w:type="dxa"/>
            <w:tcBorders>
              <w:bottom w:val="single" w:sz="12" w:space="0" w:color="000000"/>
            </w:tcBorders>
          </w:tcPr>
          <w:p>
            <w:pPr>
              <w:pStyle w:val="TableParagraph"/>
              <w:spacing w:before="67"/>
              <w:ind w:left="330"/>
              <w:rPr>
                <w:sz w:val="24"/>
              </w:rPr>
            </w:pPr>
            <w:r>
              <w:rPr>
                <w:sz w:val="24"/>
              </w:rPr>
              <w:t>45.7</w:t>
            </w:r>
          </w:p>
        </w:tc>
      </w:tr>
    </w:tbl>
    <w:p>
      <w:pPr>
        <w:pStyle w:val="BodyText"/>
        <w:spacing w:before="10"/>
      </w:pPr>
    </w:p>
    <w:p>
      <w:pPr>
        <w:pStyle w:val="BodyText"/>
        <w:spacing w:before="90"/>
        <w:ind w:left="235"/>
      </w:pPr>
      <w:r>
        <w:rPr>
          <w:u w:val="single"/>
        </w:rPr>
        <w:t>Inactivity rates among the unskilled</w:t>
      </w:r>
    </w:p>
    <w:p>
      <w:pPr>
        <w:pStyle w:val="BodyText"/>
        <w:rPr>
          <w:sz w:val="20"/>
        </w:rPr>
      </w:pPr>
    </w:p>
    <w:p>
      <w:pPr>
        <w:pStyle w:val="BodyText"/>
        <w:spacing w:before="10"/>
        <w:rPr>
          <w:sz w:val="19"/>
        </w:rPr>
      </w:pPr>
    </w:p>
    <w:p>
      <w:pPr>
        <w:pStyle w:val="BodyText"/>
        <w:spacing w:line="360" w:lineRule="auto" w:before="90"/>
        <w:ind w:left="235" w:right="400"/>
      </w:pPr>
      <w:r>
        <w:rPr/>
        <w:t>In Table 11, we set out the reasons for inactivity in 1998. The key factor, perhaps surprisingly, is that the majority of inactive men are in this situation because of sickness and disability so we would expect to see significant increases in inactivity rates due to sickness and disability and this is confirmed</w:t>
      </w:r>
      <w:r>
        <w:rPr>
          <w:vertAlign w:val="superscript"/>
        </w:rPr>
        <w:t>7</w:t>
      </w:r>
      <w:r>
        <w:rPr>
          <w:vertAlign w:val="baseline"/>
        </w:rPr>
        <w:t> in </w:t>
      </w:r>
      <w:r>
        <w:rPr>
          <w:spacing w:val="-4"/>
          <w:vertAlign w:val="baseline"/>
        </w:rPr>
        <w:t>Table </w:t>
      </w:r>
      <w:r>
        <w:rPr>
          <w:spacing w:val="-3"/>
          <w:vertAlign w:val="baseline"/>
        </w:rPr>
        <w:t>12. </w:t>
      </w:r>
      <w:r>
        <w:rPr>
          <w:spacing w:val="-4"/>
          <w:vertAlign w:val="baseline"/>
        </w:rPr>
        <w:t>Indeed the </w:t>
      </w:r>
      <w:r>
        <w:rPr>
          <w:vertAlign w:val="baseline"/>
        </w:rPr>
        <w:t>numbers are remarkable. In 1979, only 3.1 percent of prime age (25-54) men with no qualifications were inactive because of sickness and disability. By 1990, this had risen to 6.9 percent, by 1996 to 14.8 percent and today it is over 17 percent. For older men, the numbers are, of course, significantly</w:t>
      </w:r>
      <w:r>
        <w:rPr>
          <w:spacing w:val="16"/>
          <w:vertAlign w:val="baseline"/>
        </w:rPr>
        <w:t> </w:t>
      </w:r>
      <w:r>
        <w:rPr>
          <w:vertAlign w:val="baseline"/>
        </w:rPr>
        <w:t>higher.</w:t>
      </w:r>
    </w:p>
    <w:p>
      <w:pPr>
        <w:pStyle w:val="BodyText"/>
        <w:rPr>
          <w:sz w:val="20"/>
        </w:rPr>
      </w:pPr>
    </w:p>
    <w:p>
      <w:pPr>
        <w:pStyle w:val="BodyText"/>
        <w:spacing w:before="11"/>
        <w:rPr>
          <w:sz w:val="15"/>
        </w:rPr>
      </w:pPr>
      <w:r>
        <w:rPr/>
        <w:pict>
          <v:shape style="position:absolute;margin-left:89.25pt;margin-top:11.894287pt;width:418.5pt;height:.1pt;mso-position-horizontal-relative:page;mso-position-vertical-relative:paragraph;z-index:-251637760;mso-wrap-distance-left:0;mso-wrap-distance-right:0" coordorigin="1785,238" coordsize="8370,0" path="m1785,238l10155,238e" filled="false" stroked="true" strokeweight="1.5pt" strokecolor="#000000">
            <v:path arrowok="t"/>
            <v:stroke dashstyle="solid"/>
            <w10:wrap type="topAndBottom"/>
          </v:shape>
        </w:pict>
      </w:r>
    </w:p>
    <w:p>
      <w:pPr>
        <w:spacing w:after="0"/>
        <w:rPr>
          <w:sz w:val="15"/>
        </w:rPr>
        <w:sectPr>
          <w:pgSz w:w="11920" w:h="16840"/>
          <w:pgMar w:header="0" w:footer="779" w:top="1360" w:bottom="960" w:left="1580" w:right="1460"/>
        </w:sectPr>
      </w:pPr>
    </w:p>
    <w:p>
      <w:pPr>
        <w:pStyle w:val="BodyText"/>
        <w:spacing w:before="76"/>
        <w:ind w:left="768" w:right="880"/>
        <w:jc w:val="center"/>
      </w:pPr>
      <w:r>
        <w:rPr>
          <w:u w:val="single"/>
        </w:rPr>
        <w:t>Table 11</w:t>
      </w:r>
    </w:p>
    <w:p>
      <w:pPr>
        <w:pStyle w:val="BodyText"/>
        <w:spacing w:before="129"/>
        <w:ind w:left="767" w:right="881"/>
        <w:jc w:val="center"/>
      </w:pPr>
      <w:r>
        <w:rPr>
          <w:u w:val="single"/>
        </w:rPr>
        <w:t>Reasons for Inactivity in 1998</w:t>
      </w:r>
      <w:r>
        <w:rPr/>
        <w:t> (%)</w:t>
      </w:r>
    </w:p>
    <w:p>
      <w:pPr>
        <w:pStyle w:val="BodyText"/>
        <w:rPr>
          <w:sz w:val="20"/>
        </w:rPr>
      </w:pPr>
    </w:p>
    <w:p>
      <w:pPr>
        <w:pStyle w:val="BodyText"/>
        <w:spacing w:before="7"/>
        <w:rPr>
          <w:sz w:val="20"/>
        </w:rPr>
      </w:pPr>
    </w:p>
    <w:p>
      <w:pPr>
        <w:tabs>
          <w:tab w:pos="2799" w:val="left" w:leader="none"/>
          <w:tab w:pos="4524" w:val="left" w:leader="none"/>
          <w:tab w:pos="5994" w:val="left" w:leader="none"/>
          <w:tab w:pos="7674" w:val="left" w:leader="none"/>
        </w:tabs>
        <w:spacing w:before="93"/>
        <w:ind w:left="1045" w:right="0" w:firstLine="0"/>
        <w:jc w:val="left"/>
        <w:rPr>
          <w:b/>
          <w:sz w:val="18"/>
        </w:rPr>
      </w:pPr>
      <w:r>
        <w:rPr>
          <w:b/>
          <w:sz w:val="18"/>
        </w:rPr>
        <w:t>Sickness/Disability</w:t>
        <w:tab/>
        <w:t>Home</w:t>
      </w:r>
      <w:r>
        <w:rPr>
          <w:b/>
          <w:spacing w:val="6"/>
          <w:sz w:val="18"/>
        </w:rPr>
        <w:t> </w:t>
      </w:r>
      <w:r>
        <w:rPr>
          <w:b/>
          <w:sz w:val="18"/>
        </w:rPr>
        <w:t>and</w:t>
      </w:r>
      <w:r>
        <w:rPr>
          <w:b/>
          <w:spacing w:val="7"/>
          <w:sz w:val="18"/>
        </w:rPr>
        <w:t> </w:t>
      </w:r>
      <w:r>
        <w:rPr>
          <w:b/>
          <w:sz w:val="18"/>
        </w:rPr>
        <w:t>Family</w:t>
        <w:tab/>
        <w:t>Early Retired</w:t>
        <w:tab/>
        <w:t>Discouraged</w:t>
        <w:tab/>
      </w:r>
      <w:r>
        <w:rPr>
          <w:b/>
          <w:spacing w:val="4"/>
          <w:sz w:val="18"/>
        </w:rPr>
        <w:t>Other</w:t>
      </w:r>
    </w:p>
    <w:p>
      <w:pPr>
        <w:pStyle w:val="BodyText"/>
        <w:spacing w:before="7"/>
        <w:rPr>
          <w:b/>
          <w:sz w:val="10"/>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847"/>
        <w:gridCol w:w="862"/>
        <w:gridCol w:w="855"/>
        <w:gridCol w:w="810"/>
        <w:gridCol w:w="743"/>
        <w:gridCol w:w="743"/>
        <w:gridCol w:w="675"/>
        <w:gridCol w:w="668"/>
        <w:gridCol w:w="743"/>
        <w:gridCol w:w="628"/>
      </w:tblGrid>
      <w:tr>
        <w:trPr>
          <w:trHeight w:val="334" w:hRule="atLeast"/>
        </w:trPr>
        <w:tc>
          <w:tcPr>
            <w:tcW w:w="747" w:type="dxa"/>
          </w:tcPr>
          <w:p>
            <w:pPr>
              <w:pStyle w:val="TableParagraph"/>
              <w:spacing w:line="266" w:lineRule="exact"/>
              <w:ind w:left="50"/>
              <w:rPr>
                <w:sz w:val="24"/>
              </w:rPr>
            </w:pPr>
            <w:r>
              <w:rPr>
                <w:sz w:val="24"/>
              </w:rPr>
              <w:t>Age</w:t>
            </w:r>
          </w:p>
        </w:tc>
        <w:tc>
          <w:tcPr>
            <w:tcW w:w="847" w:type="dxa"/>
          </w:tcPr>
          <w:p>
            <w:pPr>
              <w:pStyle w:val="TableParagraph"/>
              <w:spacing w:line="266" w:lineRule="exact"/>
              <w:ind w:right="15"/>
              <w:jc w:val="center"/>
              <w:rPr>
                <w:sz w:val="24"/>
              </w:rPr>
            </w:pPr>
            <w:r>
              <w:rPr>
                <w:w w:val="99"/>
                <w:sz w:val="24"/>
              </w:rPr>
              <w:t>M</w:t>
            </w:r>
          </w:p>
        </w:tc>
        <w:tc>
          <w:tcPr>
            <w:tcW w:w="862" w:type="dxa"/>
          </w:tcPr>
          <w:p>
            <w:pPr>
              <w:pStyle w:val="TableParagraph"/>
              <w:spacing w:line="266" w:lineRule="exact"/>
              <w:ind w:right="1"/>
              <w:jc w:val="center"/>
              <w:rPr>
                <w:sz w:val="24"/>
              </w:rPr>
            </w:pPr>
            <w:r>
              <w:rPr>
                <w:sz w:val="24"/>
              </w:rPr>
              <w:t>W</w:t>
            </w:r>
          </w:p>
        </w:tc>
        <w:tc>
          <w:tcPr>
            <w:tcW w:w="855" w:type="dxa"/>
          </w:tcPr>
          <w:p>
            <w:pPr>
              <w:pStyle w:val="TableParagraph"/>
              <w:spacing w:line="266" w:lineRule="exact"/>
              <w:ind w:left="6"/>
              <w:jc w:val="center"/>
              <w:rPr>
                <w:sz w:val="24"/>
              </w:rPr>
            </w:pPr>
            <w:r>
              <w:rPr>
                <w:w w:val="99"/>
                <w:sz w:val="24"/>
              </w:rPr>
              <w:t>M</w:t>
            </w:r>
          </w:p>
        </w:tc>
        <w:tc>
          <w:tcPr>
            <w:tcW w:w="810" w:type="dxa"/>
          </w:tcPr>
          <w:p>
            <w:pPr>
              <w:pStyle w:val="TableParagraph"/>
              <w:spacing w:line="266" w:lineRule="exact"/>
              <w:ind w:left="34"/>
              <w:jc w:val="center"/>
              <w:rPr>
                <w:sz w:val="24"/>
              </w:rPr>
            </w:pPr>
            <w:r>
              <w:rPr>
                <w:sz w:val="24"/>
              </w:rPr>
              <w:t>W</w:t>
            </w:r>
          </w:p>
        </w:tc>
        <w:tc>
          <w:tcPr>
            <w:tcW w:w="743" w:type="dxa"/>
          </w:tcPr>
          <w:p>
            <w:pPr>
              <w:pStyle w:val="TableParagraph"/>
              <w:spacing w:line="266" w:lineRule="exact"/>
              <w:ind w:left="28"/>
              <w:jc w:val="center"/>
              <w:rPr>
                <w:sz w:val="24"/>
              </w:rPr>
            </w:pPr>
            <w:r>
              <w:rPr>
                <w:w w:val="99"/>
                <w:sz w:val="24"/>
              </w:rPr>
              <w:t>M</w:t>
            </w:r>
          </w:p>
        </w:tc>
        <w:tc>
          <w:tcPr>
            <w:tcW w:w="743" w:type="dxa"/>
          </w:tcPr>
          <w:p>
            <w:pPr>
              <w:pStyle w:val="TableParagraph"/>
              <w:spacing w:line="266" w:lineRule="exact"/>
              <w:ind w:right="2"/>
              <w:jc w:val="center"/>
              <w:rPr>
                <w:sz w:val="24"/>
              </w:rPr>
            </w:pPr>
            <w:r>
              <w:rPr>
                <w:sz w:val="24"/>
              </w:rPr>
              <w:t>W</w:t>
            </w:r>
          </w:p>
        </w:tc>
        <w:tc>
          <w:tcPr>
            <w:tcW w:w="675" w:type="dxa"/>
          </w:tcPr>
          <w:p>
            <w:pPr>
              <w:pStyle w:val="TableParagraph"/>
              <w:spacing w:line="266" w:lineRule="exact"/>
              <w:ind w:left="218"/>
              <w:rPr>
                <w:sz w:val="24"/>
              </w:rPr>
            </w:pPr>
            <w:r>
              <w:rPr>
                <w:w w:val="99"/>
                <w:sz w:val="24"/>
              </w:rPr>
              <w:t>M</w:t>
            </w:r>
          </w:p>
        </w:tc>
        <w:tc>
          <w:tcPr>
            <w:tcW w:w="668" w:type="dxa"/>
          </w:tcPr>
          <w:p>
            <w:pPr>
              <w:pStyle w:val="TableParagraph"/>
              <w:spacing w:line="266" w:lineRule="exact"/>
              <w:ind w:left="54"/>
              <w:jc w:val="center"/>
              <w:rPr>
                <w:sz w:val="24"/>
              </w:rPr>
            </w:pPr>
            <w:r>
              <w:rPr>
                <w:sz w:val="24"/>
              </w:rPr>
              <w:t>W</w:t>
            </w:r>
          </w:p>
        </w:tc>
        <w:tc>
          <w:tcPr>
            <w:tcW w:w="743" w:type="dxa"/>
          </w:tcPr>
          <w:p>
            <w:pPr>
              <w:pStyle w:val="TableParagraph"/>
              <w:spacing w:line="266" w:lineRule="exact"/>
              <w:ind w:left="10"/>
              <w:jc w:val="center"/>
              <w:rPr>
                <w:sz w:val="24"/>
              </w:rPr>
            </w:pPr>
            <w:r>
              <w:rPr>
                <w:w w:val="99"/>
                <w:sz w:val="24"/>
              </w:rPr>
              <w:t>M</w:t>
            </w:r>
          </w:p>
        </w:tc>
        <w:tc>
          <w:tcPr>
            <w:tcW w:w="628" w:type="dxa"/>
          </w:tcPr>
          <w:p>
            <w:pPr>
              <w:pStyle w:val="TableParagraph"/>
              <w:spacing w:line="266" w:lineRule="exact"/>
              <w:ind w:left="122"/>
              <w:jc w:val="center"/>
              <w:rPr>
                <w:sz w:val="24"/>
              </w:rPr>
            </w:pPr>
            <w:r>
              <w:rPr>
                <w:sz w:val="24"/>
              </w:rPr>
              <w:t>W</w:t>
            </w:r>
          </w:p>
        </w:tc>
      </w:tr>
      <w:tr>
        <w:trPr>
          <w:trHeight w:val="420" w:hRule="atLeast"/>
        </w:trPr>
        <w:tc>
          <w:tcPr>
            <w:tcW w:w="747" w:type="dxa"/>
          </w:tcPr>
          <w:p>
            <w:pPr>
              <w:pStyle w:val="TableParagraph"/>
              <w:spacing w:before="64"/>
              <w:ind w:left="50"/>
              <w:rPr>
                <w:sz w:val="22"/>
              </w:rPr>
            </w:pPr>
            <w:r>
              <w:rPr>
                <w:sz w:val="22"/>
              </w:rPr>
              <w:t>25-49</w:t>
            </w:r>
          </w:p>
        </w:tc>
        <w:tc>
          <w:tcPr>
            <w:tcW w:w="847" w:type="dxa"/>
          </w:tcPr>
          <w:p>
            <w:pPr>
              <w:pStyle w:val="TableParagraph"/>
              <w:spacing w:before="75"/>
              <w:ind w:left="183" w:right="203"/>
              <w:jc w:val="center"/>
              <w:rPr>
                <w:sz w:val="24"/>
              </w:rPr>
            </w:pPr>
            <w:r>
              <w:rPr>
                <w:sz w:val="24"/>
              </w:rPr>
              <w:t>71.6</w:t>
            </w:r>
          </w:p>
        </w:tc>
        <w:tc>
          <w:tcPr>
            <w:tcW w:w="862" w:type="dxa"/>
          </w:tcPr>
          <w:p>
            <w:pPr>
              <w:pStyle w:val="TableParagraph"/>
              <w:spacing w:before="75"/>
              <w:ind w:left="206" w:right="196"/>
              <w:jc w:val="center"/>
              <w:rPr>
                <w:sz w:val="24"/>
              </w:rPr>
            </w:pPr>
            <w:r>
              <w:rPr>
                <w:sz w:val="24"/>
              </w:rPr>
              <w:t>20.6</w:t>
            </w:r>
          </w:p>
        </w:tc>
        <w:tc>
          <w:tcPr>
            <w:tcW w:w="855" w:type="dxa"/>
          </w:tcPr>
          <w:p>
            <w:pPr>
              <w:pStyle w:val="TableParagraph"/>
              <w:spacing w:before="75"/>
              <w:ind w:left="199" w:right="196"/>
              <w:jc w:val="center"/>
              <w:rPr>
                <w:sz w:val="24"/>
              </w:rPr>
            </w:pPr>
            <w:r>
              <w:rPr>
                <w:sz w:val="24"/>
              </w:rPr>
              <w:t>15.3</w:t>
            </w:r>
          </w:p>
        </w:tc>
        <w:tc>
          <w:tcPr>
            <w:tcW w:w="810" w:type="dxa"/>
          </w:tcPr>
          <w:p>
            <w:pPr>
              <w:pStyle w:val="TableParagraph"/>
              <w:spacing w:before="75"/>
              <w:ind w:left="199" w:right="151"/>
              <w:jc w:val="center"/>
              <w:rPr>
                <w:sz w:val="24"/>
              </w:rPr>
            </w:pPr>
            <w:r>
              <w:rPr>
                <w:sz w:val="24"/>
              </w:rPr>
              <w:t>70.6</w:t>
            </w:r>
          </w:p>
        </w:tc>
        <w:tc>
          <w:tcPr>
            <w:tcW w:w="743" w:type="dxa"/>
          </w:tcPr>
          <w:p>
            <w:pPr>
              <w:pStyle w:val="TableParagraph"/>
              <w:spacing w:before="75"/>
              <w:ind w:left="131" w:right="106"/>
              <w:jc w:val="center"/>
              <w:rPr>
                <w:sz w:val="24"/>
              </w:rPr>
            </w:pPr>
            <w:r>
              <w:rPr>
                <w:sz w:val="24"/>
              </w:rPr>
              <w:t>0.5</w:t>
            </w:r>
          </w:p>
        </w:tc>
        <w:tc>
          <w:tcPr>
            <w:tcW w:w="743" w:type="dxa"/>
          </w:tcPr>
          <w:p>
            <w:pPr>
              <w:pStyle w:val="TableParagraph"/>
              <w:spacing w:before="75"/>
              <w:ind w:left="109" w:right="129"/>
              <w:jc w:val="center"/>
              <w:rPr>
                <w:sz w:val="24"/>
              </w:rPr>
            </w:pPr>
            <w:r>
              <w:rPr>
                <w:sz w:val="24"/>
              </w:rPr>
              <w:t>0.2</w:t>
            </w:r>
          </w:p>
        </w:tc>
        <w:tc>
          <w:tcPr>
            <w:tcW w:w="675" w:type="dxa"/>
          </w:tcPr>
          <w:p>
            <w:pPr>
              <w:pStyle w:val="TableParagraph"/>
              <w:spacing w:before="75"/>
              <w:ind w:left="173"/>
              <w:rPr>
                <w:sz w:val="24"/>
              </w:rPr>
            </w:pPr>
            <w:r>
              <w:rPr>
                <w:sz w:val="24"/>
              </w:rPr>
              <w:t>1.2</w:t>
            </w:r>
          </w:p>
        </w:tc>
        <w:tc>
          <w:tcPr>
            <w:tcW w:w="668" w:type="dxa"/>
          </w:tcPr>
          <w:p>
            <w:pPr>
              <w:pStyle w:val="TableParagraph"/>
              <w:spacing w:before="75"/>
              <w:ind w:left="183" w:right="145"/>
              <w:jc w:val="center"/>
              <w:rPr>
                <w:sz w:val="24"/>
              </w:rPr>
            </w:pPr>
            <w:r>
              <w:rPr>
                <w:sz w:val="24"/>
              </w:rPr>
              <w:t>0.5</w:t>
            </w:r>
          </w:p>
        </w:tc>
        <w:tc>
          <w:tcPr>
            <w:tcW w:w="743" w:type="dxa"/>
          </w:tcPr>
          <w:p>
            <w:pPr>
              <w:pStyle w:val="TableParagraph"/>
              <w:spacing w:before="75"/>
              <w:ind w:left="131" w:right="124"/>
              <w:jc w:val="center"/>
              <w:rPr>
                <w:sz w:val="24"/>
              </w:rPr>
            </w:pPr>
            <w:r>
              <w:rPr>
                <w:sz w:val="24"/>
              </w:rPr>
              <w:t>11.6</w:t>
            </w:r>
          </w:p>
        </w:tc>
        <w:tc>
          <w:tcPr>
            <w:tcW w:w="628" w:type="dxa"/>
          </w:tcPr>
          <w:p>
            <w:pPr>
              <w:pStyle w:val="TableParagraph"/>
              <w:spacing w:before="75"/>
              <w:ind w:left="137" w:right="31"/>
              <w:jc w:val="center"/>
              <w:rPr>
                <w:sz w:val="24"/>
              </w:rPr>
            </w:pPr>
            <w:r>
              <w:rPr>
                <w:sz w:val="24"/>
              </w:rPr>
              <w:t>8.2</w:t>
            </w:r>
          </w:p>
        </w:tc>
      </w:tr>
      <w:tr>
        <w:trPr>
          <w:trHeight w:val="336" w:hRule="atLeast"/>
        </w:trPr>
        <w:tc>
          <w:tcPr>
            <w:tcW w:w="747" w:type="dxa"/>
          </w:tcPr>
          <w:p>
            <w:pPr>
              <w:pStyle w:val="TableParagraph"/>
              <w:spacing w:line="252" w:lineRule="exact" w:before="64"/>
              <w:ind w:left="50"/>
              <w:rPr>
                <w:sz w:val="22"/>
              </w:rPr>
            </w:pPr>
            <w:r>
              <w:rPr>
                <w:sz w:val="22"/>
              </w:rPr>
              <w:t>50-64</w:t>
            </w:r>
          </w:p>
        </w:tc>
        <w:tc>
          <w:tcPr>
            <w:tcW w:w="847" w:type="dxa"/>
          </w:tcPr>
          <w:p>
            <w:pPr>
              <w:pStyle w:val="TableParagraph"/>
              <w:spacing w:line="256" w:lineRule="exact" w:before="60"/>
              <w:ind w:left="183" w:right="203"/>
              <w:jc w:val="center"/>
              <w:rPr>
                <w:sz w:val="24"/>
              </w:rPr>
            </w:pPr>
            <w:r>
              <w:rPr>
                <w:sz w:val="24"/>
              </w:rPr>
              <w:t>59.7</w:t>
            </w:r>
          </w:p>
        </w:tc>
        <w:tc>
          <w:tcPr>
            <w:tcW w:w="862" w:type="dxa"/>
          </w:tcPr>
          <w:p>
            <w:pPr>
              <w:pStyle w:val="TableParagraph"/>
              <w:spacing w:line="256" w:lineRule="exact" w:before="60"/>
              <w:ind w:left="206" w:right="196"/>
              <w:jc w:val="center"/>
              <w:rPr>
                <w:sz w:val="24"/>
              </w:rPr>
            </w:pPr>
            <w:r>
              <w:rPr>
                <w:sz w:val="24"/>
              </w:rPr>
              <w:t>41.7</w:t>
            </w:r>
          </w:p>
        </w:tc>
        <w:tc>
          <w:tcPr>
            <w:tcW w:w="855" w:type="dxa"/>
          </w:tcPr>
          <w:p>
            <w:pPr>
              <w:pStyle w:val="TableParagraph"/>
              <w:spacing w:line="256" w:lineRule="exact" w:before="60"/>
              <w:ind w:left="199" w:right="196"/>
              <w:jc w:val="center"/>
              <w:rPr>
                <w:sz w:val="24"/>
              </w:rPr>
            </w:pPr>
            <w:r>
              <w:rPr>
                <w:sz w:val="24"/>
              </w:rPr>
              <w:t>4.5</w:t>
            </w:r>
          </w:p>
        </w:tc>
        <w:tc>
          <w:tcPr>
            <w:tcW w:w="810" w:type="dxa"/>
          </w:tcPr>
          <w:p>
            <w:pPr>
              <w:pStyle w:val="TableParagraph"/>
              <w:spacing w:line="256" w:lineRule="exact" w:before="60"/>
              <w:ind w:left="199" w:right="151"/>
              <w:jc w:val="center"/>
              <w:rPr>
                <w:sz w:val="24"/>
              </w:rPr>
            </w:pPr>
            <w:r>
              <w:rPr>
                <w:sz w:val="24"/>
              </w:rPr>
              <w:t>31.2</w:t>
            </w:r>
          </w:p>
        </w:tc>
        <w:tc>
          <w:tcPr>
            <w:tcW w:w="743" w:type="dxa"/>
          </w:tcPr>
          <w:p>
            <w:pPr>
              <w:pStyle w:val="TableParagraph"/>
              <w:spacing w:line="256" w:lineRule="exact" w:before="60"/>
              <w:ind w:left="131" w:right="106"/>
              <w:jc w:val="center"/>
              <w:rPr>
                <w:sz w:val="24"/>
              </w:rPr>
            </w:pPr>
            <w:r>
              <w:rPr>
                <w:sz w:val="24"/>
              </w:rPr>
              <w:t>25.2</w:t>
            </w:r>
          </w:p>
        </w:tc>
        <w:tc>
          <w:tcPr>
            <w:tcW w:w="743" w:type="dxa"/>
          </w:tcPr>
          <w:p>
            <w:pPr>
              <w:pStyle w:val="TableParagraph"/>
              <w:spacing w:line="256" w:lineRule="exact" w:before="60"/>
              <w:ind w:left="109" w:right="129"/>
              <w:jc w:val="center"/>
              <w:rPr>
                <w:sz w:val="24"/>
              </w:rPr>
            </w:pPr>
            <w:r>
              <w:rPr>
                <w:sz w:val="24"/>
              </w:rPr>
              <w:t>12.7</w:t>
            </w:r>
          </w:p>
        </w:tc>
        <w:tc>
          <w:tcPr>
            <w:tcW w:w="675" w:type="dxa"/>
          </w:tcPr>
          <w:p>
            <w:pPr>
              <w:pStyle w:val="TableParagraph"/>
              <w:spacing w:line="256" w:lineRule="exact" w:before="60"/>
              <w:ind w:left="173"/>
              <w:rPr>
                <w:sz w:val="24"/>
              </w:rPr>
            </w:pPr>
            <w:r>
              <w:rPr>
                <w:sz w:val="24"/>
              </w:rPr>
              <w:t>2.6</w:t>
            </w:r>
          </w:p>
        </w:tc>
        <w:tc>
          <w:tcPr>
            <w:tcW w:w="668" w:type="dxa"/>
          </w:tcPr>
          <w:p>
            <w:pPr>
              <w:pStyle w:val="TableParagraph"/>
              <w:spacing w:line="256" w:lineRule="exact" w:before="60"/>
              <w:ind w:left="183" w:right="145"/>
              <w:jc w:val="center"/>
              <w:rPr>
                <w:sz w:val="24"/>
              </w:rPr>
            </w:pPr>
            <w:r>
              <w:rPr>
                <w:sz w:val="24"/>
              </w:rPr>
              <w:t>0.9</w:t>
            </w:r>
          </w:p>
        </w:tc>
        <w:tc>
          <w:tcPr>
            <w:tcW w:w="743" w:type="dxa"/>
          </w:tcPr>
          <w:p>
            <w:pPr>
              <w:pStyle w:val="TableParagraph"/>
              <w:spacing w:line="256" w:lineRule="exact" w:before="60"/>
              <w:ind w:left="131" w:right="124"/>
              <w:jc w:val="center"/>
              <w:rPr>
                <w:sz w:val="24"/>
              </w:rPr>
            </w:pPr>
            <w:r>
              <w:rPr>
                <w:sz w:val="24"/>
              </w:rPr>
              <w:t>8.1</w:t>
            </w:r>
          </w:p>
        </w:tc>
        <w:tc>
          <w:tcPr>
            <w:tcW w:w="628" w:type="dxa"/>
          </w:tcPr>
          <w:p>
            <w:pPr>
              <w:pStyle w:val="TableParagraph"/>
              <w:spacing w:line="256" w:lineRule="exact" w:before="60"/>
              <w:ind w:left="137" w:right="31"/>
              <w:jc w:val="center"/>
              <w:rPr>
                <w:sz w:val="24"/>
              </w:rPr>
            </w:pPr>
            <w:r>
              <w:rPr>
                <w:sz w:val="24"/>
              </w:rPr>
              <w:t>13.5</w:t>
            </w:r>
          </w:p>
        </w:tc>
      </w:tr>
    </w:tbl>
    <w:p>
      <w:pPr>
        <w:pStyle w:val="BodyText"/>
        <w:rPr>
          <w:b/>
          <w:sz w:val="20"/>
        </w:rPr>
      </w:pPr>
    </w:p>
    <w:p>
      <w:pPr>
        <w:pStyle w:val="BodyText"/>
        <w:spacing w:before="5"/>
        <w:rPr>
          <w:b/>
          <w:sz w:val="26"/>
        </w:rPr>
      </w:pPr>
    </w:p>
    <w:p>
      <w:pPr>
        <w:pStyle w:val="BodyText"/>
        <w:spacing w:line="364" w:lineRule="auto"/>
        <w:ind w:left="235" w:right="360"/>
      </w:pPr>
      <w:r>
        <w:rPr>
          <w:u w:val="single"/>
        </w:rPr>
        <w:t>Source</w:t>
      </w:r>
      <w:r>
        <w:rPr/>
        <w:t>: Gregg and Wadsworth (1999), Table 3.4 from Labour Force Survey, Spring Quarter. M= men, W= women,</w:t>
      </w:r>
    </w:p>
    <w:p>
      <w:pPr>
        <w:pStyle w:val="BodyText"/>
        <w:rPr>
          <w:sz w:val="20"/>
        </w:rPr>
      </w:pPr>
    </w:p>
    <w:p>
      <w:pPr>
        <w:pStyle w:val="BodyText"/>
        <w:spacing w:before="8"/>
        <w:rPr>
          <w:sz w:val="15"/>
        </w:rPr>
      </w:pPr>
      <w:r>
        <w:rPr/>
        <w:pict>
          <v:shape style="position:absolute;margin-left:89.25pt;margin-top:11.759082pt;width:418.5pt;height:.1pt;mso-position-horizontal-relative:page;mso-position-vertical-relative:paragraph;z-index:-251636736;mso-wrap-distance-left:0;mso-wrap-distance-right:0" coordorigin="1785,235" coordsize="8370,0" path="m1785,235l10155,235e" filled="false" stroked="true" strokeweight="1.5pt" strokecolor="#000000">
            <v:path arrowok="t"/>
            <v:stroke dashstyle="solid"/>
            <w10:wrap type="topAndBottom"/>
          </v:shape>
        </w:pict>
      </w:r>
    </w:p>
    <w:p>
      <w:pPr>
        <w:pStyle w:val="BodyText"/>
        <w:spacing w:before="7"/>
        <w:rPr>
          <w:sz w:val="23"/>
        </w:rPr>
      </w:pPr>
    </w:p>
    <w:p>
      <w:pPr>
        <w:pStyle w:val="BodyText"/>
        <w:spacing w:line="360" w:lineRule="auto" w:before="90"/>
        <w:ind w:left="235" w:right="393"/>
      </w:pPr>
      <w:r>
        <w:rPr/>
        <w:t>So how has this come about? There seems no question that some individuals who were hard to place in work were advised by the Employment Service to claim invalidity benefit. (See National Audit Office, 1989, for evidence). This is consistent </w:t>
      </w:r>
      <w:r>
        <w:rPr>
          <w:spacing w:val="-3"/>
        </w:rPr>
        <w:t>with </w:t>
      </w:r>
      <w:r>
        <w:rPr/>
        <w:t>the </w:t>
      </w:r>
      <w:r>
        <w:rPr>
          <w:spacing w:val="-3"/>
        </w:rPr>
        <w:t>fact that inactivity rates </w:t>
      </w:r>
      <w:r>
        <w:rPr/>
        <w:t>for men are </w:t>
      </w:r>
      <w:r>
        <w:rPr>
          <w:spacing w:val="-3"/>
        </w:rPr>
        <w:t>significantly higher </w:t>
      </w:r>
      <w:r>
        <w:rPr/>
        <w:t>in </w:t>
      </w:r>
      <w:r>
        <w:rPr>
          <w:spacing w:val="-3"/>
        </w:rPr>
        <w:t>high </w:t>
      </w:r>
      <w:r>
        <w:rPr/>
        <w:t>unemployment regions than in low unemployment regions, particularly for those </w:t>
      </w:r>
      <w:r>
        <w:rPr>
          <w:spacing w:val="-6"/>
        </w:rPr>
        <w:t>with </w:t>
      </w:r>
      <w:r>
        <w:rPr/>
        <w:t>low skills (see Table 13). So with regard to unskilled men, the situation by the late 1990s may be summarised as follows. A huge decline in the relative demand </w:t>
      </w:r>
      <w:r>
        <w:rPr>
          <w:spacing w:val="-2"/>
        </w:rPr>
        <w:t>for </w:t>
      </w:r>
      <w:r>
        <w:rPr/>
        <w:t>unskilled workers has outstripped the fall in their relative supply.  This has </w:t>
      </w:r>
      <w:r>
        <w:rPr>
          <w:spacing w:val="-2"/>
        </w:rPr>
        <w:t>led </w:t>
      </w:r>
      <w:r>
        <w:rPr>
          <w:spacing w:val="-3"/>
        </w:rPr>
        <w:t>directly </w:t>
      </w:r>
      <w:r>
        <w:rPr/>
        <w:t>to </w:t>
      </w:r>
      <w:r>
        <w:rPr>
          <w:spacing w:val="-3"/>
        </w:rPr>
        <w:t>significant falls </w:t>
      </w:r>
      <w:r>
        <w:rPr/>
        <w:t>in </w:t>
      </w:r>
      <w:r>
        <w:rPr>
          <w:spacing w:val="-3"/>
        </w:rPr>
        <w:t>their relative </w:t>
      </w:r>
      <w:r>
        <w:rPr/>
        <w:t>pay and </w:t>
      </w:r>
      <w:r>
        <w:rPr>
          <w:spacing w:val="-3"/>
        </w:rPr>
        <w:t>very large increases </w:t>
      </w:r>
      <w:r>
        <w:rPr/>
        <w:t>in </w:t>
      </w:r>
      <w:r>
        <w:rPr>
          <w:spacing w:val="-3"/>
        </w:rPr>
        <w:t>their </w:t>
      </w:r>
      <w:r>
        <w:rPr/>
        <w:t>unemployment, inactivity, and sickness and disability rates. Furthermore, this has helped to create large differences between localities. Any area which has a high proportion of low skill workers can be expected to have high unemployment, high inactivity, high rates of disability and low average earnings for this reason alone. Of course, these disadvantages will then tend to interact with other local social </w:t>
      </w:r>
      <w:r>
        <w:rPr>
          <w:spacing w:val="-2"/>
        </w:rPr>
        <w:t>and </w:t>
      </w:r>
      <w:r>
        <w:rPr/>
        <w:t>economic conditions to make the situation worse</w:t>
      </w:r>
      <w:r>
        <w:rPr>
          <w:vertAlign w:val="superscript"/>
        </w:rPr>
        <w:t>8</w:t>
      </w:r>
      <w:r>
        <w:rPr>
          <w:vertAlign w:val="baseline"/>
        </w:rPr>
        <w:t>. This, then, is the state of</w:t>
      </w:r>
      <w:r>
        <w:rPr>
          <w:spacing w:val="-28"/>
          <w:vertAlign w:val="baseline"/>
        </w:rPr>
        <w:t> </w:t>
      </w:r>
      <w:r>
        <w:rPr>
          <w:vertAlign w:val="baseline"/>
        </w:rPr>
        <w:t>affairs.</w:t>
      </w:r>
    </w:p>
    <w:p>
      <w:pPr>
        <w:pStyle w:val="BodyText"/>
        <w:spacing w:before="1"/>
        <w:ind w:left="235"/>
      </w:pPr>
      <w:r>
        <w:rPr/>
        <w:t>So what have been the recent policy responses?</w:t>
      </w:r>
    </w:p>
    <w:p>
      <w:pPr>
        <w:pStyle w:val="BodyText"/>
        <w:rPr>
          <w:sz w:val="20"/>
        </w:rPr>
      </w:pPr>
    </w:p>
    <w:p>
      <w:pPr>
        <w:pStyle w:val="BodyText"/>
        <w:spacing w:before="2"/>
        <w:rPr>
          <w:sz w:val="28"/>
        </w:rPr>
      </w:pPr>
      <w:r>
        <w:rPr/>
        <w:pict>
          <v:shape style="position:absolute;margin-left:89.25pt;margin-top:18.904638pt;width:418.5pt;height:.1pt;mso-position-horizontal-relative:page;mso-position-vertical-relative:paragraph;z-index:-251635712;mso-wrap-distance-left:0;mso-wrap-distance-right:0" coordorigin="1785,378" coordsize="8370,0" path="m1785,378l10155,378e" filled="false" stroked="true" strokeweight="1.5pt" strokecolor="#000000">
            <v:path arrowok="t"/>
            <v:stroke dashstyle="solid"/>
            <w10:wrap type="topAndBottom"/>
          </v:shape>
        </w:pict>
      </w:r>
    </w:p>
    <w:p>
      <w:pPr>
        <w:spacing w:after="0"/>
        <w:rPr>
          <w:sz w:val="28"/>
        </w:rPr>
        <w:sectPr>
          <w:pgSz w:w="11920" w:h="16840"/>
          <w:pgMar w:header="0" w:footer="779" w:top="1360" w:bottom="960" w:left="1580" w:right="1460"/>
        </w:sectPr>
      </w:pPr>
    </w:p>
    <w:p>
      <w:pPr>
        <w:pStyle w:val="BodyText"/>
        <w:spacing w:before="76"/>
        <w:ind w:left="768" w:right="880"/>
        <w:jc w:val="center"/>
      </w:pPr>
      <w:r>
        <w:rPr>
          <w:u w:val="single"/>
        </w:rPr>
        <w:t>Table 12</w:t>
      </w:r>
    </w:p>
    <w:p>
      <w:pPr>
        <w:pStyle w:val="BodyText"/>
        <w:spacing w:before="129"/>
        <w:ind w:left="768" w:right="851"/>
        <w:jc w:val="center"/>
      </w:pPr>
      <w:r>
        <w:rPr>
          <w:u w:val="single"/>
        </w:rPr>
        <w:t>Male Sickness Inactivity Rates by Age and Level of Qualification</w:t>
      </w:r>
    </w:p>
    <w:p>
      <w:pPr>
        <w:pStyle w:val="BodyText"/>
        <w:rPr>
          <w:sz w:val="20"/>
        </w:rPr>
      </w:pPr>
    </w:p>
    <w:p>
      <w:pPr>
        <w:pStyle w:val="BodyText"/>
        <w:rPr>
          <w:sz w:val="20"/>
        </w:rPr>
      </w:pPr>
    </w:p>
    <w:p>
      <w:pPr>
        <w:pStyle w:val="BodyText"/>
        <w:rPr>
          <w:sz w:val="20"/>
        </w:rPr>
      </w:pPr>
    </w:p>
    <w:p>
      <w:pPr>
        <w:pStyle w:val="BodyText"/>
        <w:spacing w:before="2"/>
        <w:rPr>
          <w:sz w:val="17"/>
        </w:rPr>
      </w:pPr>
    </w:p>
    <w:p>
      <w:pPr>
        <w:spacing w:before="92"/>
        <w:ind w:left="235" w:right="0" w:firstLine="0"/>
        <w:jc w:val="left"/>
        <w:rPr>
          <w:b/>
          <w:sz w:val="18"/>
        </w:rPr>
      </w:pPr>
      <w:r>
        <w:rPr/>
        <w:pict>
          <v:shape style="position:absolute;margin-left:175.25pt;margin-top:-15.691015pt;width:320pt;height:278.8pt;mso-position-horizontal-relative:page;mso-position-vertical-relative:paragraph;z-index:2516838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960"/>
                    <w:gridCol w:w="990"/>
                    <w:gridCol w:w="990"/>
                    <w:gridCol w:w="990"/>
                    <w:gridCol w:w="960"/>
                    <w:gridCol w:w="755"/>
                  </w:tblGrid>
                  <w:tr>
                    <w:trPr>
                      <w:trHeight w:val="545" w:hRule="atLeast"/>
                    </w:trPr>
                    <w:tc>
                      <w:tcPr>
                        <w:tcW w:w="755" w:type="dxa"/>
                      </w:tcPr>
                      <w:p>
                        <w:pPr>
                          <w:pStyle w:val="TableParagraph"/>
                          <w:spacing w:line="266" w:lineRule="exact"/>
                          <w:ind w:left="30" w:right="204"/>
                          <w:jc w:val="center"/>
                          <w:rPr>
                            <w:b/>
                            <w:sz w:val="24"/>
                          </w:rPr>
                        </w:pPr>
                        <w:r>
                          <w:rPr>
                            <w:b/>
                            <w:sz w:val="24"/>
                          </w:rPr>
                          <w:t>1979</w:t>
                        </w:r>
                      </w:p>
                    </w:tc>
                    <w:tc>
                      <w:tcPr>
                        <w:tcW w:w="960" w:type="dxa"/>
                      </w:tcPr>
                      <w:p>
                        <w:pPr>
                          <w:pStyle w:val="TableParagraph"/>
                          <w:spacing w:line="266" w:lineRule="exact"/>
                          <w:ind w:left="176" w:right="205"/>
                          <w:jc w:val="center"/>
                          <w:rPr>
                            <w:b/>
                            <w:sz w:val="24"/>
                          </w:rPr>
                        </w:pPr>
                        <w:r>
                          <w:rPr>
                            <w:b/>
                            <w:sz w:val="24"/>
                          </w:rPr>
                          <w:t>1985</w:t>
                        </w:r>
                      </w:p>
                    </w:tc>
                    <w:tc>
                      <w:tcPr>
                        <w:tcW w:w="990" w:type="dxa"/>
                      </w:tcPr>
                      <w:p>
                        <w:pPr>
                          <w:pStyle w:val="TableParagraph"/>
                          <w:spacing w:line="266" w:lineRule="exact"/>
                          <w:ind w:left="235" w:right="235"/>
                          <w:jc w:val="center"/>
                          <w:rPr>
                            <w:b/>
                            <w:sz w:val="24"/>
                          </w:rPr>
                        </w:pPr>
                        <w:r>
                          <w:rPr>
                            <w:b/>
                            <w:sz w:val="24"/>
                          </w:rPr>
                          <w:t>1990</w:t>
                        </w:r>
                      </w:p>
                    </w:tc>
                    <w:tc>
                      <w:tcPr>
                        <w:tcW w:w="990" w:type="dxa"/>
                      </w:tcPr>
                      <w:p>
                        <w:pPr>
                          <w:pStyle w:val="TableParagraph"/>
                          <w:spacing w:line="266" w:lineRule="exact"/>
                          <w:ind w:left="255"/>
                          <w:rPr>
                            <w:b/>
                            <w:sz w:val="24"/>
                          </w:rPr>
                        </w:pPr>
                        <w:r>
                          <w:rPr>
                            <w:b/>
                            <w:sz w:val="24"/>
                          </w:rPr>
                          <w:t>1994</w:t>
                        </w:r>
                      </w:p>
                    </w:tc>
                    <w:tc>
                      <w:tcPr>
                        <w:tcW w:w="990" w:type="dxa"/>
                      </w:tcPr>
                      <w:p>
                        <w:pPr>
                          <w:pStyle w:val="TableParagraph"/>
                          <w:spacing w:line="266" w:lineRule="exact"/>
                          <w:ind w:left="235" w:right="235"/>
                          <w:jc w:val="center"/>
                          <w:rPr>
                            <w:b/>
                            <w:sz w:val="24"/>
                          </w:rPr>
                        </w:pPr>
                        <w:r>
                          <w:rPr>
                            <w:b/>
                            <w:sz w:val="24"/>
                          </w:rPr>
                          <w:t>1996</w:t>
                        </w:r>
                      </w:p>
                    </w:tc>
                    <w:tc>
                      <w:tcPr>
                        <w:tcW w:w="960" w:type="dxa"/>
                      </w:tcPr>
                      <w:p>
                        <w:pPr>
                          <w:pStyle w:val="TableParagraph"/>
                          <w:spacing w:line="266" w:lineRule="exact"/>
                          <w:ind w:left="205" w:right="175"/>
                          <w:jc w:val="center"/>
                          <w:rPr>
                            <w:b/>
                            <w:sz w:val="24"/>
                          </w:rPr>
                        </w:pPr>
                        <w:r>
                          <w:rPr>
                            <w:b/>
                            <w:sz w:val="24"/>
                          </w:rPr>
                          <w:t>1998</w:t>
                        </w:r>
                      </w:p>
                    </w:tc>
                    <w:tc>
                      <w:tcPr>
                        <w:tcW w:w="755" w:type="dxa"/>
                      </w:tcPr>
                      <w:p>
                        <w:pPr>
                          <w:pStyle w:val="TableParagraph"/>
                          <w:spacing w:line="266" w:lineRule="exact"/>
                          <w:ind w:left="205" w:right="30"/>
                          <w:jc w:val="center"/>
                          <w:rPr>
                            <w:b/>
                            <w:sz w:val="24"/>
                          </w:rPr>
                        </w:pPr>
                        <w:r>
                          <w:rPr>
                            <w:b/>
                            <w:sz w:val="24"/>
                          </w:rPr>
                          <w:t>2000</w:t>
                        </w:r>
                      </w:p>
                    </w:tc>
                  </w:tr>
                  <w:tr>
                    <w:trPr>
                      <w:trHeight w:val="555" w:hRule="atLeast"/>
                    </w:trPr>
                    <w:tc>
                      <w:tcPr>
                        <w:tcW w:w="755" w:type="dxa"/>
                      </w:tcPr>
                      <w:p>
                        <w:pPr>
                          <w:pStyle w:val="TableParagraph"/>
                          <w:spacing w:before="4"/>
                          <w:rPr>
                            <w:sz w:val="23"/>
                          </w:rPr>
                        </w:pPr>
                      </w:p>
                      <w:p>
                        <w:pPr>
                          <w:pStyle w:val="TableParagraph"/>
                          <w:spacing w:line="266" w:lineRule="exact" w:before="1"/>
                          <w:ind w:left="30" w:right="204"/>
                          <w:jc w:val="center"/>
                          <w:rPr>
                            <w:sz w:val="24"/>
                          </w:rPr>
                        </w:pPr>
                        <w:r>
                          <w:rPr>
                            <w:sz w:val="24"/>
                          </w:rPr>
                          <w:t>0.2</w:t>
                        </w:r>
                      </w:p>
                    </w:tc>
                    <w:tc>
                      <w:tcPr>
                        <w:tcW w:w="960" w:type="dxa"/>
                      </w:tcPr>
                      <w:p>
                        <w:pPr>
                          <w:pStyle w:val="TableParagraph"/>
                          <w:spacing w:before="4"/>
                          <w:rPr>
                            <w:sz w:val="23"/>
                          </w:rPr>
                        </w:pPr>
                      </w:p>
                      <w:p>
                        <w:pPr>
                          <w:pStyle w:val="TableParagraph"/>
                          <w:spacing w:line="266" w:lineRule="exact" w:before="1"/>
                          <w:ind w:left="176" w:right="205"/>
                          <w:jc w:val="center"/>
                          <w:rPr>
                            <w:sz w:val="24"/>
                          </w:rPr>
                        </w:pPr>
                        <w:r>
                          <w:rPr>
                            <w:sz w:val="24"/>
                          </w:rPr>
                          <w:t>0.4</w:t>
                        </w:r>
                      </w:p>
                    </w:tc>
                    <w:tc>
                      <w:tcPr>
                        <w:tcW w:w="990" w:type="dxa"/>
                      </w:tcPr>
                      <w:p>
                        <w:pPr>
                          <w:pStyle w:val="TableParagraph"/>
                          <w:spacing w:before="4"/>
                          <w:rPr>
                            <w:sz w:val="23"/>
                          </w:rPr>
                        </w:pPr>
                      </w:p>
                      <w:p>
                        <w:pPr>
                          <w:pStyle w:val="TableParagraph"/>
                          <w:spacing w:line="266" w:lineRule="exact" w:before="1"/>
                          <w:ind w:left="235" w:right="235"/>
                          <w:jc w:val="center"/>
                          <w:rPr>
                            <w:sz w:val="24"/>
                          </w:rPr>
                        </w:pPr>
                        <w:r>
                          <w:rPr>
                            <w:sz w:val="24"/>
                          </w:rPr>
                          <w:t>0.5</w:t>
                        </w:r>
                      </w:p>
                    </w:tc>
                    <w:tc>
                      <w:tcPr>
                        <w:tcW w:w="990" w:type="dxa"/>
                      </w:tcPr>
                      <w:p>
                        <w:pPr>
                          <w:pStyle w:val="TableParagraph"/>
                          <w:spacing w:before="4"/>
                          <w:rPr>
                            <w:sz w:val="23"/>
                          </w:rPr>
                        </w:pPr>
                      </w:p>
                      <w:p>
                        <w:pPr>
                          <w:pStyle w:val="TableParagraph"/>
                          <w:spacing w:line="266" w:lineRule="exact" w:before="1"/>
                          <w:ind w:left="345"/>
                          <w:rPr>
                            <w:sz w:val="24"/>
                          </w:rPr>
                        </w:pPr>
                        <w:r>
                          <w:rPr>
                            <w:sz w:val="24"/>
                          </w:rPr>
                          <w:t>1.0</w:t>
                        </w:r>
                      </w:p>
                    </w:tc>
                    <w:tc>
                      <w:tcPr>
                        <w:tcW w:w="990" w:type="dxa"/>
                      </w:tcPr>
                      <w:p>
                        <w:pPr>
                          <w:pStyle w:val="TableParagraph"/>
                          <w:spacing w:before="4"/>
                          <w:rPr>
                            <w:sz w:val="23"/>
                          </w:rPr>
                        </w:pPr>
                      </w:p>
                      <w:p>
                        <w:pPr>
                          <w:pStyle w:val="TableParagraph"/>
                          <w:spacing w:line="266" w:lineRule="exact" w:before="1"/>
                          <w:ind w:left="235" w:right="115"/>
                          <w:jc w:val="center"/>
                          <w:rPr>
                            <w:sz w:val="24"/>
                          </w:rPr>
                        </w:pPr>
                        <w:r>
                          <w:rPr>
                            <w:sz w:val="24"/>
                          </w:rPr>
                          <w:t>1.0</w:t>
                        </w:r>
                      </w:p>
                    </w:tc>
                    <w:tc>
                      <w:tcPr>
                        <w:tcW w:w="960" w:type="dxa"/>
                      </w:tcPr>
                      <w:p>
                        <w:pPr>
                          <w:pStyle w:val="TableParagraph"/>
                          <w:spacing w:before="4"/>
                          <w:rPr>
                            <w:sz w:val="23"/>
                          </w:rPr>
                        </w:pPr>
                      </w:p>
                      <w:p>
                        <w:pPr>
                          <w:pStyle w:val="TableParagraph"/>
                          <w:spacing w:line="266" w:lineRule="exact" w:before="1"/>
                          <w:ind w:left="205" w:right="175"/>
                          <w:jc w:val="center"/>
                          <w:rPr>
                            <w:sz w:val="24"/>
                          </w:rPr>
                        </w:pPr>
                        <w:r>
                          <w:rPr>
                            <w:sz w:val="24"/>
                          </w:rPr>
                          <w:t>1.1</w:t>
                        </w:r>
                      </w:p>
                    </w:tc>
                    <w:tc>
                      <w:tcPr>
                        <w:tcW w:w="755" w:type="dxa"/>
                      </w:tcPr>
                      <w:p>
                        <w:pPr>
                          <w:pStyle w:val="TableParagraph"/>
                          <w:spacing w:before="4"/>
                          <w:rPr>
                            <w:sz w:val="23"/>
                          </w:rPr>
                        </w:pPr>
                      </w:p>
                      <w:p>
                        <w:pPr>
                          <w:pStyle w:val="TableParagraph"/>
                          <w:spacing w:line="266" w:lineRule="exact" w:before="1"/>
                          <w:ind w:left="205" w:right="30"/>
                          <w:jc w:val="center"/>
                          <w:rPr>
                            <w:sz w:val="24"/>
                          </w:rPr>
                        </w:pPr>
                        <w:r>
                          <w:rPr>
                            <w:sz w:val="24"/>
                          </w:rPr>
                          <w:t>1.0</w:t>
                        </w:r>
                      </w:p>
                    </w:tc>
                  </w:tr>
                  <w:tr>
                    <w:trPr>
                      <w:trHeight w:val="450" w:hRule="atLeast"/>
                    </w:trPr>
                    <w:tc>
                      <w:tcPr>
                        <w:tcW w:w="755" w:type="dxa"/>
                      </w:tcPr>
                      <w:p>
                        <w:pPr>
                          <w:pStyle w:val="TableParagraph"/>
                          <w:spacing w:line="275" w:lineRule="exact"/>
                          <w:ind w:left="30" w:right="204"/>
                          <w:jc w:val="center"/>
                          <w:rPr>
                            <w:sz w:val="24"/>
                          </w:rPr>
                        </w:pPr>
                        <w:r>
                          <w:rPr>
                            <w:sz w:val="24"/>
                          </w:rPr>
                          <w:t>0.4</w:t>
                        </w:r>
                      </w:p>
                    </w:tc>
                    <w:tc>
                      <w:tcPr>
                        <w:tcW w:w="960" w:type="dxa"/>
                      </w:tcPr>
                      <w:p>
                        <w:pPr>
                          <w:pStyle w:val="TableParagraph"/>
                          <w:spacing w:line="275" w:lineRule="exact"/>
                          <w:ind w:left="176" w:right="205"/>
                          <w:jc w:val="center"/>
                          <w:rPr>
                            <w:sz w:val="24"/>
                          </w:rPr>
                        </w:pPr>
                        <w:r>
                          <w:rPr>
                            <w:sz w:val="24"/>
                          </w:rPr>
                          <w:t>1.3</w:t>
                        </w:r>
                      </w:p>
                    </w:tc>
                    <w:tc>
                      <w:tcPr>
                        <w:tcW w:w="990" w:type="dxa"/>
                      </w:tcPr>
                      <w:p>
                        <w:pPr>
                          <w:pStyle w:val="TableParagraph"/>
                          <w:spacing w:line="275" w:lineRule="exact"/>
                          <w:ind w:left="235" w:right="235"/>
                          <w:jc w:val="center"/>
                          <w:rPr>
                            <w:sz w:val="24"/>
                          </w:rPr>
                        </w:pPr>
                        <w:r>
                          <w:rPr>
                            <w:sz w:val="24"/>
                          </w:rPr>
                          <w:t>1.8</w:t>
                        </w:r>
                      </w:p>
                    </w:tc>
                    <w:tc>
                      <w:tcPr>
                        <w:tcW w:w="990" w:type="dxa"/>
                      </w:tcPr>
                      <w:p>
                        <w:pPr>
                          <w:pStyle w:val="TableParagraph"/>
                          <w:spacing w:line="275" w:lineRule="exact"/>
                          <w:ind w:left="345"/>
                          <w:rPr>
                            <w:sz w:val="24"/>
                          </w:rPr>
                        </w:pPr>
                        <w:r>
                          <w:rPr>
                            <w:sz w:val="24"/>
                          </w:rPr>
                          <w:t>3.5</w:t>
                        </w:r>
                      </w:p>
                    </w:tc>
                    <w:tc>
                      <w:tcPr>
                        <w:tcW w:w="990" w:type="dxa"/>
                      </w:tcPr>
                      <w:p>
                        <w:pPr>
                          <w:pStyle w:val="TableParagraph"/>
                          <w:spacing w:line="275" w:lineRule="exact"/>
                          <w:ind w:left="235" w:right="235"/>
                          <w:jc w:val="center"/>
                          <w:rPr>
                            <w:sz w:val="24"/>
                          </w:rPr>
                        </w:pPr>
                        <w:r>
                          <w:rPr>
                            <w:sz w:val="24"/>
                          </w:rPr>
                          <w:t>3.1</w:t>
                        </w:r>
                      </w:p>
                    </w:tc>
                    <w:tc>
                      <w:tcPr>
                        <w:tcW w:w="960" w:type="dxa"/>
                      </w:tcPr>
                      <w:p>
                        <w:pPr>
                          <w:pStyle w:val="TableParagraph"/>
                          <w:spacing w:line="275" w:lineRule="exact"/>
                          <w:ind w:left="205" w:right="175"/>
                          <w:jc w:val="center"/>
                          <w:rPr>
                            <w:sz w:val="24"/>
                          </w:rPr>
                        </w:pPr>
                        <w:r>
                          <w:rPr>
                            <w:sz w:val="24"/>
                          </w:rPr>
                          <w:t>4.3</w:t>
                        </w:r>
                      </w:p>
                    </w:tc>
                    <w:tc>
                      <w:tcPr>
                        <w:tcW w:w="755" w:type="dxa"/>
                      </w:tcPr>
                      <w:p>
                        <w:pPr>
                          <w:pStyle w:val="TableParagraph"/>
                          <w:spacing w:line="275" w:lineRule="exact"/>
                          <w:ind w:left="205" w:right="30"/>
                          <w:jc w:val="center"/>
                          <w:rPr>
                            <w:sz w:val="24"/>
                          </w:rPr>
                        </w:pPr>
                        <w:r>
                          <w:rPr>
                            <w:sz w:val="24"/>
                          </w:rPr>
                          <w:t>3.4</w:t>
                        </w:r>
                      </w:p>
                    </w:tc>
                  </w:tr>
                  <w:tr>
                    <w:trPr>
                      <w:trHeight w:val="517" w:hRule="atLeast"/>
                    </w:trPr>
                    <w:tc>
                      <w:tcPr>
                        <w:tcW w:w="755" w:type="dxa"/>
                      </w:tcPr>
                      <w:p>
                        <w:pPr>
                          <w:pStyle w:val="TableParagraph"/>
                          <w:spacing w:before="164"/>
                          <w:ind w:left="30" w:right="204"/>
                          <w:jc w:val="center"/>
                          <w:rPr>
                            <w:sz w:val="24"/>
                          </w:rPr>
                        </w:pPr>
                        <w:r>
                          <w:rPr>
                            <w:sz w:val="24"/>
                          </w:rPr>
                          <w:t>0.8</w:t>
                        </w:r>
                      </w:p>
                    </w:tc>
                    <w:tc>
                      <w:tcPr>
                        <w:tcW w:w="960" w:type="dxa"/>
                      </w:tcPr>
                      <w:p>
                        <w:pPr>
                          <w:pStyle w:val="TableParagraph"/>
                          <w:spacing w:before="164"/>
                          <w:ind w:left="176" w:right="205"/>
                          <w:jc w:val="center"/>
                          <w:rPr>
                            <w:sz w:val="24"/>
                          </w:rPr>
                        </w:pPr>
                        <w:r>
                          <w:rPr>
                            <w:sz w:val="24"/>
                          </w:rPr>
                          <w:t>1.1</w:t>
                        </w:r>
                      </w:p>
                    </w:tc>
                    <w:tc>
                      <w:tcPr>
                        <w:tcW w:w="990" w:type="dxa"/>
                      </w:tcPr>
                      <w:p>
                        <w:pPr>
                          <w:pStyle w:val="TableParagraph"/>
                          <w:spacing w:before="164"/>
                          <w:ind w:left="235" w:right="235"/>
                          <w:jc w:val="center"/>
                          <w:rPr>
                            <w:sz w:val="24"/>
                          </w:rPr>
                        </w:pPr>
                        <w:r>
                          <w:rPr>
                            <w:sz w:val="24"/>
                          </w:rPr>
                          <w:t>1.6</w:t>
                        </w:r>
                      </w:p>
                    </w:tc>
                    <w:tc>
                      <w:tcPr>
                        <w:tcW w:w="990" w:type="dxa"/>
                      </w:tcPr>
                      <w:p>
                        <w:pPr>
                          <w:pStyle w:val="TableParagraph"/>
                          <w:spacing w:before="164"/>
                          <w:ind w:left="345"/>
                          <w:rPr>
                            <w:sz w:val="24"/>
                          </w:rPr>
                        </w:pPr>
                        <w:r>
                          <w:rPr>
                            <w:sz w:val="24"/>
                          </w:rPr>
                          <w:t>3.3</w:t>
                        </w:r>
                      </w:p>
                    </w:tc>
                    <w:tc>
                      <w:tcPr>
                        <w:tcW w:w="990" w:type="dxa"/>
                      </w:tcPr>
                      <w:p>
                        <w:pPr>
                          <w:pStyle w:val="TableParagraph"/>
                          <w:spacing w:before="164"/>
                          <w:ind w:left="235" w:right="235"/>
                          <w:jc w:val="center"/>
                          <w:rPr>
                            <w:sz w:val="24"/>
                          </w:rPr>
                        </w:pPr>
                        <w:r>
                          <w:rPr>
                            <w:sz w:val="24"/>
                          </w:rPr>
                          <w:t>4.9</w:t>
                        </w:r>
                      </w:p>
                    </w:tc>
                    <w:tc>
                      <w:tcPr>
                        <w:tcW w:w="960" w:type="dxa"/>
                      </w:tcPr>
                      <w:p>
                        <w:pPr>
                          <w:pStyle w:val="TableParagraph"/>
                          <w:spacing w:before="164"/>
                          <w:ind w:left="205" w:right="175"/>
                          <w:jc w:val="center"/>
                          <w:rPr>
                            <w:sz w:val="24"/>
                          </w:rPr>
                        </w:pPr>
                        <w:r>
                          <w:rPr>
                            <w:sz w:val="24"/>
                          </w:rPr>
                          <w:t>5.2</w:t>
                        </w:r>
                      </w:p>
                    </w:tc>
                    <w:tc>
                      <w:tcPr>
                        <w:tcW w:w="755" w:type="dxa"/>
                      </w:tcPr>
                      <w:p>
                        <w:pPr>
                          <w:pStyle w:val="TableParagraph"/>
                          <w:spacing w:before="164"/>
                          <w:ind w:left="205" w:right="30"/>
                          <w:jc w:val="center"/>
                          <w:rPr>
                            <w:sz w:val="24"/>
                          </w:rPr>
                        </w:pPr>
                        <w:r>
                          <w:rPr>
                            <w:sz w:val="24"/>
                          </w:rPr>
                          <w:t>5.2</w:t>
                        </w:r>
                      </w:p>
                    </w:tc>
                  </w:tr>
                  <w:tr>
                    <w:trPr>
                      <w:trHeight w:val="832" w:hRule="atLeast"/>
                    </w:trPr>
                    <w:tc>
                      <w:tcPr>
                        <w:tcW w:w="755" w:type="dxa"/>
                      </w:tcPr>
                      <w:p>
                        <w:pPr>
                          <w:pStyle w:val="TableParagraph"/>
                          <w:spacing w:before="67"/>
                          <w:ind w:left="30" w:right="204"/>
                          <w:jc w:val="center"/>
                          <w:rPr>
                            <w:sz w:val="24"/>
                          </w:rPr>
                        </w:pPr>
                        <w:r>
                          <w:rPr>
                            <w:sz w:val="24"/>
                          </w:rPr>
                          <w:t>3.1</w:t>
                        </w:r>
                      </w:p>
                    </w:tc>
                    <w:tc>
                      <w:tcPr>
                        <w:tcW w:w="960" w:type="dxa"/>
                      </w:tcPr>
                      <w:p>
                        <w:pPr>
                          <w:pStyle w:val="TableParagraph"/>
                          <w:spacing w:before="67"/>
                          <w:ind w:left="176" w:right="205"/>
                          <w:jc w:val="center"/>
                          <w:rPr>
                            <w:sz w:val="24"/>
                          </w:rPr>
                        </w:pPr>
                        <w:r>
                          <w:rPr>
                            <w:sz w:val="24"/>
                          </w:rPr>
                          <w:t>4.9</w:t>
                        </w:r>
                      </w:p>
                    </w:tc>
                    <w:tc>
                      <w:tcPr>
                        <w:tcW w:w="990" w:type="dxa"/>
                      </w:tcPr>
                      <w:p>
                        <w:pPr>
                          <w:pStyle w:val="TableParagraph"/>
                          <w:spacing w:before="67"/>
                          <w:ind w:left="235" w:right="235"/>
                          <w:jc w:val="center"/>
                          <w:rPr>
                            <w:sz w:val="24"/>
                          </w:rPr>
                        </w:pPr>
                        <w:r>
                          <w:rPr>
                            <w:sz w:val="24"/>
                          </w:rPr>
                          <w:t>6.9</w:t>
                        </w:r>
                      </w:p>
                    </w:tc>
                    <w:tc>
                      <w:tcPr>
                        <w:tcW w:w="990" w:type="dxa"/>
                      </w:tcPr>
                      <w:p>
                        <w:pPr>
                          <w:pStyle w:val="TableParagraph"/>
                          <w:spacing w:before="67"/>
                          <w:ind w:left="285"/>
                          <w:rPr>
                            <w:sz w:val="24"/>
                          </w:rPr>
                        </w:pPr>
                        <w:r>
                          <w:rPr>
                            <w:sz w:val="24"/>
                          </w:rPr>
                          <w:t>10.1</w:t>
                        </w:r>
                      </w:p>
                    </w:tc>
                    <w:tc>
                      <w:tcPr>
                        <w:tcW w:w="990" w:type="dxa"/>
                      </w:tcPr>
                      <w:p>
                        <w:pPr>
                          <w:pStyle w:val="TableParagraph"/>
                          <w:spacing w:before="67"/>
                          <w:ind w:left="235" w:right="235"/>
                          <w:jc w:val="center"/>
                          <w:rPr>
                            <w:sz w:val="24"/>
                          </w:rPr>
                        </w:pPr>
                        <w:r>
                          <w:rPr>
                            <w:sz w:val="24"/>
                          </w:rPr>
                          <w:t>14.8</w:t>
                        </w:r>
                      </w:p>
                    </w:tc>
                    <w:tc>
                      <w:tcPr>
                        <w:tcW w:w="960" w:type="dxa"/>
                      </w:tcPr>
                      <w:p>
                        <w:pPr>
                          <w:pStyle w:val="TableParagraph"/>
                          <w:spacing w:before="67"/>
                          <w:ind w:left="205" w:right="175"/>
                          <w:jc w:val="center"/>
                          <w:rPr>
                            <w:sz w:val="24"/>
                          </w:rPr>
                        </w:pPr>
                        <w:r>
                          <w:rPr>
                            <w:sz w:val="24"/>
                          </w:rPr>
                          <w:t>18.0</w:t>
                        </w:r>
                      </w:p>
                    </w:tc>
                    <w:tc>
                      <w:tcPr>
                        <w:tcW w:w="755" w:type="dxa"/>
                      </w:tcPr>
                      <w:p>
                        <w:pPr>
                          <w:pStyle w:val="TableParagraph"/>
                          <w:spacing w:before="67"/>
                          <w:ind w:left="205" w:right="30"/>
                          <w:jc w:val="center"/>
                          <w:rPr>
                            <w:sz w:val="24"/>
                          </w:rPr>
                        </w:pPr>
                        <w:r>
                          <w:rPr>
                            <w:sz w:val="24"/>
                          </w:rPr>
                          <w:t>17.2</w:t>
                        </w:r>
                      </w:p>
                    </w:tc>
                  </w:tr>
                  <w:tr>
                    <w:trPr>
                      <w:trHeight w:val="892" w:hRule="atLeast"/>
                    </w:trPr>
                    <w:tc>
                      <w:tcPr>
                        <w:tcW w:w="755" w:type="dxa"/>
                      </w:tcPr>
                      <w:p>
                        <w:pPr>
                          <w:pStyle w:val="TableParagraph"/>
                          <w:rPr>
                            <w:sz w:val="26"/>
                          </w:rPr>
                        </w:pPr>
                      </w:p>
                      <w:p>
                        <w:pPr>
                          <w:pStyle w:val="TableParagraph"/>
                          <w:spacing w:before="180"/>
                          <w:ind w:left="30" w:right="204"/>
                          <w:jc w:val="center"/>
                          <w:rPr>
                            <w:sz w:val="24"/>
                          </w:rPr>
                        </w:pPr>
                        <w:r>
                          <w:rPr>
                            <w:sz w:val="24"/>
                          </w:rPr>
                          <w:t>1.8</w:t>
                        </w:r>
                      </w:p>
                    </w:tc>
                    <w:tc>
                      <w:tcPr>
                        <w:tcW w:w="960" w:type="dxa"/>
                      </w:tcPr>
                      <w:p>
                        <w:pPr>
                          <w:pStyle w:val="TableParagraph"/>
                          <w:rPr>
                            <w:sz w:val="26"/>
                          </w:rPr>
                        </w:pPr>
                      </w:p>
                      <w:p>
                        <w:pPr>
                          <w:pStyle w:val="TableParagraph"/>
                          <w:spacing w:before="180"/>
                          <w:ind w:left="176" w:right="205"/>
                          <w:jc w:val="center"/>
                          <w:rPr>
                            <w:sz w:val="24"/>
                          </w:rPr>
                        </w:pPr>
                        <w:r>
                          <w:rPr>
                            <w:sz w:val="24"/>
                          </w:rPr>
                          <w:t>3.3</w:t>
                        </w:r>
                      </w:p>
                    </w:tc>
                    <w:tc>
                      <w:tcPr>
                        <w:tcW w:w="990" w:type="dxa"/>
                      </w:tcPr>
                      <w:p>
                        <w:pPr>
                          <w:pStyle w:val="TableParagraph"/>
                          <w:rPr>
                            <w:sz w:val="26"/>
                          </w:rPr>
                        </w:pPr>
                      </w:p>
                      <w:p>
                        <w:pPr>
                          <w:pStyle w:val="TableParagraph"/>
                          <w:spacing w:before="180"/>
                          <w:ind w:left="235" w:right="235"/>
                          <w:jc w:val="center"/>
                          <w:rPr>
                            <w:sz w:val="24"/>
                          </w:rPr>
                        </w:pPr>
                        <w:r>
                          <w:rPr>
                            <w:sz w:val="24"/>
                          </w:rPr>
                          <w:t>3.8</w:t>
                        </w:r>
                      </w:p>
                    </w:tc>
                    <w:tc>
                      <w:tcPr>
                        <w:tcW w:w="990" w:type="dxa"/>
                      </w:tcPr>
                      <w:p>
                        <w:pPr>
                          <w:pStyle w:val="TableParagraph"/>
                          <w:rPr>
                            <w:sz w:val="26"/>
                          </w:rPr>
                        </w:pPr>
                      </w:p>
                      <w:p>
                        <w:pPr>
                          <w:pStyle w:val="TableParagraph"/>
                          <w:spacing w:before="180"/>
                          <w:ind w:left="345"/>
                          <w:rPr>
                            <w:sz w:val="24"/>
                          </w:rPr>
                        </w:pPr>
                        <w:r>
                          <w:rPr>
                            <w:sz w:val="24"/>
                          </w:rPr>
                          <w:t>7.1</w:t>
                        </w:r>
                      </w:p>
                    </w:tc>
                    <w:tc>
                      <w:tcPr>
                        <w:tcW w:w="990" w:type="dxa"/>
                      </w:tcPr>
                      <w:p>
                        <w:pPr>
                          <w:pStyle w:val="TableParagraph"/>
                          <w:rPr>
                            <w:sz w:val="26"/>
                          </w:rPr>
                        </w:pPr>
                      </w:p>
                      <w:p>
                        <w:pPr>
                          <w:pStyle w:val="TableParagraph"/>
                          <w:spacing w:before="180"/>
                          <w:ind w:left="235" w:right="235"/>
                          <w:jc w:val="center"/>
                          <w:rPr>
                            <w:sz w:val="24"/>
                          </w:rPr>
                        </w:pPr>
                        <w:r>
                          <w:rPr>
                            <w:sz w:val="24"/>
                          </w:rPr>
                          <w:t>6.1</w:t>
                        </w:r>
                      </w:p>
                    </w:tc>
                    <w:tc>
                      <w:tcPr>
                        <w:tcW w:w="960" w:type="dxa"/>
                      </w:tcPr>
                      <w:p>
                        <w:pPr>
                          <w:pStyle w:val="TableParagraph"/>
                          <w:rPr>
                            <w:sz w:val="26"/>
                          </w:rPr>
                        </w:pPr>
                      </w:p>
                      <w:p>
                        <w:pPr>
                          <w:pStyle w:val="TableParagraph"/>
                          <w:spacing w:before="180"/>
                          <w:ind w:left="205" w:right="175"/>
                          <w:jc w:val="center"/>
                          <w:rPr>
                            <w:sz w:val="24"/>
                          </w:rPr>
                        </w:pPr>
                        <w:r>
                          <w:rPr>
                            <w:sz w:val="24"/>
                          </w:rPr>
                          <w:t>6.7</w:t>
                        </w:r>
                      </w:p>
                    </w:tc>
                    <w:tc>
                      <w:tcPr>
                        <w:tcW w:w="755" w:type="dxa"/>
                      </w:tcPr>
                      <w:p>
                        <w:pPr>
                          <w:pStyle w:val="TableParagraph"/>
                          <w:rPr>
                            <w:sz w:val="26"/>
                          </w:rPr>
                        </w:pPr>
                      </w:p>
                      <w:p>
                        <w:pPr>
                          <w:pStyle w:val="TableParagraph"/>
                          <w:spacing w:before="180"/>
                          <w:ind w:left="205" w:right="30"/>
                          <w:jc w:val="center"/>
                          <w:rPr>
                            <w:sz w:val="24"/>
                          </w:rPr>
                        </w:pPr>
                        <w:r>
                          <w:rPr>
                            <w:sz w:val="24"/>
                          </w:rPr>
                          <w:t>4.8</w:t>
                        </w:r>
                      </w:p>
                    </w:tc>
                  </w:tr>
                  <w:tr>
                    <w:trPr>
                      <w:trHeight w:val="615" w:hRule="atLeast"/>
                    </w:trPr>
                    <w:tc>
                      <w:tcPr>
                        <w:tcW w:w="755" w:type="dxa"/>
                      </w:tcPr>
                      <w:p>
                        <w:pPr>
                          <w:pStyle w:val="TableParagraph"/>
                          <w:spacing w:before="127"/>
                          <w:ind w:left="30" w:right="204"/>
                          <w:jc w:val="center"/>
                          <w:rPr>
                            <w:sz w:val="24"/>
                          </w:rPr>
                        </w:pPr>
                        <w:r>
                          <w:rPr>
                            <w:sz w:val="24"/>
                          </w:rPr>
                          <w:t>4.5</w:t>
                        </w:r>
                      </w:p>
                    </w:tc>
                    <w:tc>
                      <w:tcPr>
                        <w:tcW w:w="960" w:type="dxa"/>
                      </w:tcPr>
                      <w:p>
                        <w:pPr>
                          <w:pStyle w:val="TableParagraph"/>
                          <w:spacing w:before="127"/>
                          <w:ind w:left="176" w:right="205"/>
                          <w:jc w:val="center"/>
                          <w:rPr>
                            <w:sz w:val="24"/>
                          </w:rPr>
                        </w:pPr>
                        <w:r>
                          <w:rPr>
                            <w:sz w:val="24"/>
                          </w:rPr>
                          <w:t>10.6</w:t>
                        </w:r>
                      </w:p>
                    </w:tc>
                    <w:tc>
                      <w:tcPr>
                        <w:tcW w:w="990" w:type="dxa"/>
                      </w:tcPr>
                      <w:p>
                        <w:pPr>
                          <w:pStyle w:val="TableParagraph"/>
                          <w:spacing w:before="127"/>
                          <w:ind w:left="235" w:right="235"/>
                          <w:jc w:val="center"/>
                          <w:rPr>
                            <w:sz w:val="24"/>
                          </w:rPr>
                        </w:pPr>
                        <w:r>
                          <w:rPr>
                            <w:sz w:val="24"/>
                          </w:rPr>
                          <w:t>12.5</w:t>
                        </w:r>
                      </w:p>
                    </w:tc>
                    <w:tc>
                      <w:tcPr>
                        <w:tcW w:w="990" w:type="dxa"/>
                      </w:tcPr>
                      <w:p>
                        <w:pPr>
                          <w:pStyle w:val="TableParagraph"/>
                          <w:spacing w:before="127"/>
                          <w:ind w:left="285"/>
                          <w:rPr>
                            <w:sz w:val="24"/>
                          </w:rPr>
                        </w:pPr>
                        <w:r>
                          <w:rPr>
                            <w:sz w:val="24"/>
                          </w:rPr>
                          <w:t>20.1</w:t>
                        </w:r>
                      </w:p>
                    </w:tc>
                    <w:tc>
                      <w:tcPr>
                        <w:tcW w:w="990" w:type="dxa"/>
                      </w:tcPr>
                      <w:p>
                        <w:pPr>
                          <w:pStyle w:val="TableParagraph"/>
                          <w:spacing w:before="127"/>
                          <w:ind w:left="235" w:right="235"/>
                          <w:jc w:val="center"/>
                          <w:rPr>
                            <w:sz w:val="24"/>
                          </w:rPr>
                        </w:pPr>
                        <w:r>
                          <w:rPr>
                            <w:sz w:val="24"/>
                          </w:rPr>
                          <w:t>13.5</w:t>
                        </w:r>
                      </w:p>
                    </w:tc>
                    <w:tc>
                      <w:tcPr>
                        <w:tcW w:w="960" w:type="dxa"/>
                      </w:tcPr>
                      <w:p>
                        <w:pPr>
                          <w:pStyle w:val="TableParagraph"/>
                          <w:spacing w:before="127"/>
                          <w:ind w:left="205" w:right="175"/>
                          <w:jc w:val="center"/>
                          <w:rPr>
                            <w:sz w:val="24"/>
                          </w:rPr>
                        </w:pPr>
                        <w:r>
                          <w:rPr>
                            <w:sz w:val="24"/>
                          </w:rPr>
                          <w:t>19.3</w:t>
                        </w:r>
                      </w:p>
                    </w:tc>
                    <w:tc>
                      <w:tcPr>
                        <w:tcW w:w="755" w:type="dxa"/>
                      </w:tcPr>
                      <w:p>
                        <w:pPr>
                          <w:pStyle w:val="TableParagraph"/>
                          <w:spacing w:before="127"/>
                          <w:ind w:left="205" w:right="30"/>
                          <w:jc w:val="center"/>
                          <w:rPr>
                            <w:sz w:val="24"/>
                          </w:rPr>
                        </w:pPr>
                        <w:r>
                          <w:rPr>
                            <w:sz w:val="24"/>
                          </w:rPr>
                          <w:t>15.0</w:t>
                        </w:r>
                      </w:p>
                    </w:tc>
                  </w:tr>
                  <w:tr>
                    <w:trPr>
                      <w:trHeight w:val="690" w:hRule="atLeast"/>
                    </w:trPr>
                    <w:tc>
                      <w:tcPr>
                        <w:tcW w:w="755" w:type="dxa"/>
                      </w:tcPr>
                      <w:p>
                        <w:pPr>
                          <w:pStyle w:val="TableParagraph"/>
                          <w:spacing w:before="202"/>
                          <w:ind w:left="30" w:right="204"/>
                          <w:jc w:val="center"/>
                          <w:rPr>
                            <w:sz w:val="24"/>
                          </w:rPr>
                        </w:pPr>
                        <w:r>
                          <w:rPr>
                            <w:sz w:val="24"/>
                          </w:rPr>
                          <w:t>4.2</w:t>
                        </w:r>
                      </w:p>
                    </w:tc>
                    <w:tc>
                      <w:tcPr>
                        <w:tcW w:w="960" w:type="dxa"/>
                      </w:tcPr>
                      <w:p>
                        <w:pPr>
                          <w:pStyle w:val="TableParagraph"/>
                          <w:spacing w:before="202"/>
                          <w:ind w:left="176" w:right="205"/>
                          <w:jc w:val="center"/>
                          <w:rPr>
                            <w:sz w:val="24"/>
                          </w:rPr>
                        </w:pPr>
                        <w:r>
                          <w:rPr>
                            <w:sz w:val="24"/>
                          </w:rPr>
                          <w:t>7.3</w:t>
                        </w:r>
                      </w:p>
                    </w:tc>
                    <w:tc>
                      <w:tcPr>
                        <w:tcW w:w="990" w:type="dxa"/>
                      </w:tcPr>
                      <w:p>
                        <w:pPr>
                          <w:pStyle w:val="TableParagraph"/>
                          <w:spacing w:before="202"/>
                          <w:ind w:left="235" w:right="235"/>
                          <w:jc w:val="center"/>
                          <w:rPr>
                            <w:sz w:val="24"/>
                          </w:rPr>
                        </w:pPr>
                        <w:r>
                          <w:rPr>
                            <w:sz w:val="24"/>
                          </w:rPr>
                          <w:t>11.0</w:t>
                        </w:r>
                      </w:p>
                    </w:tc>
                    <w:tc>
                      <w:tcPr>
                        <w:tcW w:w="990" w:type="dxa"/>
                      </w:tcPr>
                      <w:p>
                        <w:pPr>
                          <w:pStyle w:val="TableParagraph"/>
                          <w:spacing w:before="202"/>
                          <w:ind w:left="285"/>
                          <w:rPr>
                            <w:sz w:val="24"/>
                          </w:rPr>
                        </w:pPr>
                        <w:r>
                          <w:rPr>
                            <w:sz w:val="24"/>
                          </w:rPr>
                          <w:t>15.7</w:t>
                        </w:r>
                      </w:p>
                    </w:tc>
                    <w:tc>
                      <w:tcPr>
                        <w:tcW w:w="990" w:type="dxa"/>
                      </w:tcPr>
                      <w:p>
                        <w:pPr>
                          <w:pStyle w:val="TableParagraph"/>
                          <w:spacing w:before="202"/>
                          <w:ind w:left="235" w:right="235"/>
                          <w:jc w:val="center"/>
                          <w:rPr>
                            <w:sz w:val="24"/>
                          </w:rPr>
                        </w:pPr>
                        <w:r>
                          <w:rPr>
                            <w:sz w:val="24"/>
                          </w:rPr>
                          <w:t>20.1</w:t>
                        </w:r>
                      </w:p>
                    </w:tc>
                    <w:tc>
                      <w:tcPr>
                        <w:tcW w:w="960" w:type="dxa"/>
                      </w:tcPr>
                      <w:p>
                        <w:pPr>
                          <w:pStyle w:val="TableParagraph"/>
                          <w:spacing w:before="202"/>
                          <w:ind w:left="205" w:right="175"/>
                          <w:jc w:val="center"/>
                          <w:rPr>
                            <w:sz w:val="24"/>
                          </w:rPr>
                        </w:pPr>
                        <w:r>
                          <w:rPr>
                            <w:sz w:val="24"/>
                          </w:rPr>
                          <w:t>17.6</w:t>
                        </w:r>
                      </w:p>
                    </w:tc>
                    <w:tc>
                      <w:tcPr>
                        <w:tcW w:w="755" w:type="dxa"/>
                      </w:tcPr>
                      <w:p>
                        <w:pPr>
                          <w:pStyle w:val="TableParagraph"/>
                          <w:spacing w:before="202"/>
                          <w:ind w:left="205" w:right="30"/>
                          <w:jc w:val="center"/>
                          <w:rPr>
                            <w:sz w:val="24"/>
                          </w:rPr>
                        </w:pPr>
                        <w:r>
                          <w:rPr>
                            <w:sz w:val="24"/>
                          </w:rPr>
                          <w:t>20.8</w:t>
                        </w:r>
                      </w:p>
                    </w:tc>
                  </w:tr>
                  <w:tr>
                    <w:trPr>
                      <w:trHeight w:val="477" w:hRule="atLeast"/>
                    </w:trPr>
                    <w:tc>
                      <w:tcPr>
                        <w:tcW w:w="755" w:type="dxa"/>
                      </w:tcPr>
                      <w:p>
                        <w:pPr>
                          <w:pStyle w:val="TableParagraph"/>
                          <w:spacing w:line="256" w:lineRule="exact" w:before="202"/>
                          <w:ind w:left="30" w:right="204"/>
                          <w:jc w:val="center"/>
                          <w:rPr>
                            <w:sz w:val="24"/>
                          </w:rPr>
                        </w:pPr>
                        <w:r>
                          <w:rPr>
                            <w:sz w:val="24"/>
                          </w:rPr>
                          <w:t>8.6</w:t>
                        </w:r>
                      </w:p>
                    </w:tc>
                    <w:tc>
                      <w:tcPr>
                        <w:tcW w:w="960" w:type="dxa"/>
                      </w:tcPr>
                      <w:p>
                        <w:pPr>
                          <w:pStyle w:val="TableParagraph"/>
                          <w:spacing w:line="256" w:lineRule="exact" w:before="202"/>
                          <w:ind w:left="176" w:right="205"/>
                          <w:jc w:val="center"/>
                          <w:rPr>
                            <w:sz w:val="24"/>
                          </w:rPr>
                        </w:pPr>
                        <w:r>
                          <w:rPr>
                            <w:sz w:val="24"/>
                          </w:rPr>
                          <w:t>17.3</w:t>
                        </w:r>
                      </w:p>
                    </w:tc>
                    <w:tc>
                      <w:tcPr>
                        <w:tcW w:w="990" w:type="dxa"/>
                      </w:tcPr>
                      <w:p>
                        <w:pPr>
                          <w:pStyle w:val="TableParagraph"/>
                          <w:spacing w:line="256" w:lineRule="exact" w:before="202"/>
                          <w:ind w:left="235" w:right="235"/>
                          <w:jc w:val="center"/>
                          <w:rPr>
                            <w:sz w:val="24"/>
                          </w:rPr>
                        </w:pPr>
                        <w:r>
                          <w:rPr>
                            <w:sz w:val="24"/>
                          </w:rPr>
                          <w:t>22.1</w:t>
                        </w:r>
                      </w:p>
                    </w:tc>
                    <w:tc>
                      <w:tcPr>
                        <w:tcW w:w="990" w:type="dxa"/>
                      </w:tcPr>
                      <w:p>
                        <w:pPr>
                          <w:pStyle w:val="TableParagraph"/>
                          <w:spacing w:line="256" w:lineRule="exact" w:before="202"/>
                          <w:ind w:left="285"/>
                          <w:rPr>
                            <w:sz w:val="24"/>
                          </w:rPr>
                        </w:pPr>
                        <w:r>
                          <w:rPr>
                            <w:sz w:val="24"/>
                          </w:rPr>
                          <w:t>27.9</w:t>
                        </w:r>
                      </w:p>
                    </w:tc>
                    <w:tc>
                      <w:tcPr>
                        <w:tcW w:w="990" w:type="dxa"/>
                      </w:tcPr>
                      <w:p>
                        <w:pPr>
                          <w:pStyle w:val="TableParagraph"/>
                          <w:spacing w:line="256" w:lineRule="exact" w:before="202"/>
                          <w:ind w:left="235" w:right="235"/>
                          <w:jc w:val="center"/>
                          <w:rPr>
                            <w:sz w:val="24"/>
                          </w:rPr>
                        </w:pPr>
                        <w:r>
                          <w:rPr>
                            <w:sz w:val="24"/>
                          </w:rPr>
                          <w:t>31.9</w:t>
                        </w:r>
                      </w:p>
                    </w:tc>
                    <w:tc>
                      <w:tcPr>
                        <w:tcW w:w="960" w:type="dxa"/>
                      </w:tcPr>
                      <w:p>
                        <w:pPr>
                          <w:pStyle w:val="TableParagraph"/>
                          <w:spacing w:line="256" w:lineRule="exact" w:before="202"/>
                          <w:ind w:left="205" w:right="175"/>
                          <w:jc w:val="center"/>
                          <w:rPr>
                            <w:sz w:val="24"/>
                          </w:rPr>
                        </w:pPr>
                        <w:r>
                          <w:rPr>
                            <w:sz w:val="24"/>
                          </w:rPr>
                          <w:t>34.6</w:t>
                        </w:r>
                      </w:p>
                    </w:tc>
                    <w:tc>
                      <w:tcPr>
                        <w:tcW w:w="755" w:type="dxa"/>
                      </w:tcPr>
                      <w:p>
                        <w:pPr>
                          <w:pStyle w:val="TableParagraph"/>
                          <w:spacing w:line="256" w:lineRule="exact" w:before="202"/>
                          <w:ind w:left="205" w:right="30"/>
                          <w:jc w:val="center"/>
                          <w:rPr>
                            <w:sz w:val="24"/>
                          </w:rPr>
                        </w:pPr>
                        <w:r>
                          <w:rPr>
                            <w:sz w:val="24"/>
                          </w:rPr>
                          <w:t>33.8</w:t>
                        </w:r>
                      </w:p>
                    </w:tc>
                  </w:tr>
                </w:tbl>
                <w:p>
                  <w:pPr>
                    <w:pStyle w:val="BodyText"/>
                  </w:pPr>
                </w:p>
              </w:txbxContent>
            </v:textbox>
            <w10:wrap type="none"/>
          </v:shape>
        </w:pict>
      </w:r>
      <w:r>
        <w:rPr>
          <w:b/>
          <w:sz w:val="18"/>
        </w:rPr>
        <w:t>Age 25-54</w:t>
      </w:r>
    </w:p>
    <w:p>
      <w:pPr>
        <w:pStyle w:val="BodyText"/>
        <w:spacing w:before="6"/>
        <w:rPr>
          <w:b/>
          <w:sz w:val="18"/>
        </w:rPr>
      </w:pPr>
    </w:p>
    <w:p>
      <w:pPr>
        <w:spacing w:before="0"/>
        <w:ind w:left="235" w:right="0" w:firstLine="0"/>
        <w:jc w:val="left"/>
        <w:rPr>
          <w:sz w:val="18"/>
        </w:rPr>
      </w:pPr>
      <w:r>
        <w:rPr>
          <w:sz w:val="18"/>
        </w:rPr>
        <w:t>Degree</w:t>
      </w:r>
    </w:p>
    <w:p>
      <w:pPr>
        <w:spacing w:line="242" w:lineRule="auto" w:before="63"/>
        <w:ind w:left="235" w:right="7715" w:firstLine="0"/>
        <w:jc w:val="left"/>
        <w:rPr>
          <w:sz w:val="18"/>
        </w:rPr>
      </w:pPr>
      <w:r>
        <w:rPr>
          <w:spacing w:val="-4"/>
          <w:sz w:val="18"/>
        </w:rPr>
        <w:t>Higher </w:t>
      </w:r>
      <w:r>
        <w:rPr>
          <w:sz w:val="18"/>
        </w:rPr>
        <w:t>Intermediate</w:t>
      </w:r>
    </w:p>
    <w:p>
      <w:pPr>
        <w:pStyle w:val="BodyText"/>
        <w:spacing w:before="4"/>
        <w:rPr>
          <w:sz w:val="19"/>
        </w:rPr>
      </w:pPr>
    </w:p>
    <w:p>
      <w:pPr>
        <w:spacing w:line="225" w:lineRule="auto" w:before="0"/>
        <w:ind w:left="235" w:right="7715" w:firstLine="0"/>
        <w:jc w:val="left"/>
        <w:rPr>
          <w:sz w:val="18"/>
        </w:rPr>
      </w:pPr>
      <w:r>
        <w:rPr>
          <w:sz w:val="18"/>
        </w:rPr>
        <w:t>Lower Intermediate</w:t>
      </w:r>
    </w:p>
    <w:p>
      <w:pPr>
        <w:pStyle w:val="BodyText"/>
        <w:spacing w:before="8"/>
        <w:rPr>
          <w:sz w:val="18"/>
        </w:rPr>
      </w:pPr>
    </w:p>
    <w:p>
      <w:pPr>
        <w:spacing w:before="1"/>
        <w:ind w:left="235" w:right="0" w:firstLine="0"/>
        <w:jc w:val="left"/>
        <w:rPr>
          <w:sz w:val="18"/>
        </w:rPr>
      </w:pPr>
      <w:r>
        <w:rPr>
          <w:sz w:val="18"/>
        </w:rPr>
        <w:t>None</w:t>
      </w:r>
    </w:p>
    <w:p>
      <w:pPr>
        <w:pStyle w:val="BodyText"/>
        <w:spacing w:before="8"/>
        <w:rPr>
          <w:sz w:val="23"/>
        </w:rPr>
      </w:pPr>
    </w:p>
    <w:p>
      <w:pPr>
        <w:spacing w:before="0"/>
        <w:ind w:left="235" w:right="0" w:firstLine="0"/>
        <w:jc w:val="left"/>
        <w:rPr>
          <w:b/>
          <w:sz w:val="18"/>
        </w:rPr>
      </w:pPr>
      <w:r>
        <w:rPr>
          <w:b/>
          <w:sz w:val="18"/>
        </w:rPr>
        <w:t>Age 55-64</w:t>
      </w:r>
    </w:p>
    <w:p>
      <w:pPr>
        <w:pStyle w:val="BodyText"/>
        <w:rPr>
          <w:b/>
          <w:sz w:val="20"/>
        </w:rPr>
      </w:pPr>
    </w:p>
    <w:p>
      <w:pPr>
        <w:spacing w:before="118"/>
        <w:ind w:left="235" w:right="0" w:firstLine="0"/>
        <w:jc w:val="left"/>
        <w:rPr>
          <w:sz w:val="18"/>
        </w:rPr>
      </w:pPr>
      <w:r>
        <w:rPr>
          <w:sz w:val="18"/>
        </w:rPr>
        <w:t>Degree</w:t>
      </w:r>
    </w:p>
    <w:p>
      <w:pPr>
        <w:pStyle w:val="BodyText"/>
        <w:rPr>
          <w:sz w:val="20"/>
        </w:rPr>
      </w:pPr>
    </w:p>
    <w:p>
      <w:pPr>
        <w:spacing w:line="242" w:lineRule="auto" w:before="118"/>
        <w:ind w:left="235" w:right="7715" w:firstLine="0"/>
        <w:jc w:val="left"/>
        <w:rPr>
          <w:sz w:val="18"/>
        </w:rPr>
      </w:pPr>
      <w:r>
        <w:rPr>
          <w:spacing w:val="-4"/>
          <w:sz w:val="18"/>
        </w:rPr>
        <w:t>Higher </w:t>
      </w:r>
      <w:r>
        <w:rPr>
          <w:sz w:val="18"/>
        </w:rPr>
        <w:t>Intermediate</w:t>
      </w:r>
    </w:p>
    <w:p>
      <w:pPr>
        <w:pStyle w:val="BodyText"/>
        <w:spacing w:before="7"/>
        <w:rPr>
          <w:sz w:val="23"/>
        </w:rPr>
      </w:pPr>
    </w:p>
    <w:p>
      <w:pPr>
        <w:spacing w:line="242" w:lineRule="auto" w:before="1"/>
        <w:ind w:left="235" w:right="7715" w:firstLine="0"/>
        <w:jc w:val="left"/>
        <w:rPr>
          <w:sz w:val="18"/>
        </w:rPr>
      </w:pPr>
      <w:r>
        <w:rPr>
          <w:sz w:val="18"/>
        </w:rPr>
        <w:t>Lower Intermediate</w:t>
      </w:r>
    </w:p>
    <w:p>
      <w:pPr>
        <w:pStyle w:val="BodyText"/>
        <w:spacing w:before="7"/>
        <w:rPr>
          <w:sz w:val="23"/>
        </w:rPr>
      </w:pPr>
    </w:p>
    <w:p>
      <w:pPr>
        <w:spacing w:before="0"/>
        <w:ind w:left="235" w:right="0" w:firstLine="0"/>
        <w:jc w:val="left"/>
        <w:rPr>
          <w:sz w:val="18"/>
        </w:rPr>
      </w:pPr>
      <w:r>
        <w:rPr>
          <w:sz w:val="18"/>
        </w:rPr>
        <w:t>None</w:t>
      </w:r>
    </w:p>
    <w:p>
      <w:pPr>
        <w:pStyle w:val="BodyText"/>
        <w:rPr>
          <w:sz w:val="20"/>
        </w:rPr>
      </w:pPr>
    </w:p>
    <w:p>
      <w:pPr>
        <w:pStyle w:val="BodyText"/>
        <w:rPr>
          <w:sz w:val="21"/>
        </w:rPr>
      </w:pPr>
    </w:p>
    <w:p>
      <w:pPr>
        <w:pStyle w:val="BodyText"/>
        <w:spacing w:before="1"/>
        <w:ind w:left="235"/>
      </w:pPr>
      <w:r>
        <w:rPr>
          <w:u w:val="single"/>
        </w:rPr>
        <w:t>Source</w:t>
      </w:r>
      <w:r>
        <w:rPr/>
        <w:t>: UK Labour Force Survey, Spring Quarter.</w:t>
      </w:r>
    </w:p>
    <w:p>
      <w:pPr>
        <w:pStyle w:val="BodyText"/>
        <w:rPr>
          <w:sz w:val="20"/>
        </w:rPr>
      </w:pPr>
    </w:p>
    <w:p>
      <w:pPr>
        <w:pStyle w:val="BodyText"/>
        <w:spacing w:before="10"/>
        <w:rPr>
          <w:sz w:val="26"/>
        </w:rPr>
      </w:pPr>
      <w:r>
        <w:rPr/>
        <w:pict>
          <v:shape style="position:absolute;margin-left:89.25pt;margin-top:18.151514pt;width:418.5pt;height:.1pt;mso-position-horizontal-relative:page;mso-position-vertical-relative:paragraph;z-index:-251634688;mso-wrap-distance-left:0;mso-wrap-distance-right:0" coordorigin="1785,363" coordsize="8370,0" path="m1785,363l10155,363e" filled="false" stroked="true" strokeweight="1.5pt" strokecolor="#000000">
            <v:path arrowok="t"/>
            <v:stroke dashstyle="solid"/>
            <w10:wrap type="topAndBottom"/>
          </v:shape>
        </w:pict>
      </w:r>
    </w:p>
    <w:p>
      <w:pPr>
        <w:pStyle w:val="BodyText"/>
        <w:spacing w:before="11"/>
      </w:pPr>
    </w:p>
    <w:p>
      <w:pPr>
        <w:pStyle w:val="BodyText"/>
        <w:spacing w:before="90"/>
        <w:ind w:left="768" w:right="880"/>
        <w:jc w:val="center"/>
      </w:pPr>
      <w:r>
        <w:rPr>
          <w:u w:val="single"/>
        </w:rPr>
        <w:t>TABLE 13</w:t>
      </w:r>
    </w:p>
    <w:p>
      <w:pPr>
        <w:pStyle w:val="BodyText"/>
        <w:spacing w:before="129"/>
        <w:ind w:left="768" w:right="881"/>
        <w:jc w:val="center"/>
      </w:pPr>
      <w:r>
        <w:rPr>
          <w:u w:val="single"/>
        </w:rPr>
        <w:t>Male Unemployment and Inactivity across Regions</w:t>
      </w:r>
    </w:p>
    <w:p>
      <w:pPr>
        <w:pStyle w:val="BodyText"/>
        <w:rPr>
          <w:sz w:val="20"/>
        </w:rPr>
      </w:pPr>
    </w:p>
    <w:p>
      <w:pPr>
        <w:pStyle w:val="BodyText"/>
        <w:spacing w:before="2"/>
        <w:rPr>
          <w:sz w:val="21"/>
        </w:rPr>
      </w:pPr>
    </w:p>
    <w:p>
      <w:pPr>
        <w:pStyle w:val="BodyText"/>
        <w:tabs>
          <w:tab w:pos="5469" w:val="left" w:leader="none"/>
        </w:tabs>
        <w:spacing w:before="90"/>
        <w:ind w:left="3235"/>
      </w:pPr>
      <w:r>
        <w:rPr>
          <w:u w:val="single"/>
        </w:rPr>
        <w:t>Inactivity</w:t>
      </w:r>
      <w:r>
        <w:rPr>
          <w:spacing w:val="4"/>
          <w:u w:val="single"/>
        </w:rPr>
        <w:t> </w:t>
      </w:r>
      <w:r>
        <w:rPr>
          <w:u w:val="single"/>
        </w:rPr>
        <w:t>Rate</w:t>
      </w:r>
      <w:r>
        <w:rPr/>
        <w:tab/>
      </w:r>
      <w:r>
        <w:rPr>
          <w:u w:val="single"/>
        </w:rPr>
        <w:t>Inactivity Rate (low skill,</w:t>
      </w:r>
      <w:r>
        <w:rPr>
          <w:spacing w:val="-8"/>
          <w:u w:val="single"/>
        </w:rPr>
        <w:t> </w:t>
      </w:r>
      <w:r>
        <w:rPr>
          <w:u w:val="single"/>
        </w:rPr>
        <w:t>25+)</w:t>
      </w:r>
    </w:p>
    <w:p>
      <w:pPr>
        <w:pStyle w:val="BodyText"/>
        <w:spacing w:before="5"/>
        <w:rPr>
          <w:sz w:val="13"/>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297"/>
        <w:gridCol w:w="1402"/>
        <w:gridCol w:w="1605"/>
        <w:gridCol w:w="1138"/>
      </w:tblGrid>
      <w:tr>
        <w:trPr>
          <w:trHeight w:val="680" w:hRule="atLeast"/>
        </w:trPr>
        <w:tc>
          <w:tcPr>
            <w:tcW w:w="2442" w:type="dxa"/>
          </w:tcPr>
          <w:p>
            <w:pPr>
              <w:pStyle w:val="TableParagraph"/>
              <w:spacing w:line="235" w:lineRule="auto"/>
              <w:ind w:left="50"/>
              <w:rPr>
                <w:sz w:val="24"/>
              </w:rPr>
            </w:pPr>
            <w:r>
              <w:rPr>
                <w:sz w:val="24"/>
              </w:rPr>
              <w:t>Area Male Unemployment Rate</w:t>
            </w:r>
          </w:p>
        </w:tc>
        <w:tc>
          <w:tcPr>
            <w:tcW w:w="1297" w:type="dxa"/>
          </w:tcPr>
          <w:p>
            <w:pPr>
              <w:pStyle w:val="TableParagraph"/>
              <w:spacing w:line="266" w:lineRule="exact"/>
              <w:ind w:left="413"/>
              <w:rPr>
                <w:sz w:val="24"/>
              </w:rPr>
            </w:pPr>
            <w:r>
              <w:rPr>
                <w:sz w:val="24"/>
              </w:rPr>
              <w:t>1990</w:t>
            </w:r>
          </w:p>
        </w:tc>
        <w:tc>
          <w:tcPr>
            <w:tcW w:w="1402" w:type="dxa"/>
          </w:tcPr>
          <w:p>
            <w:pPr>
              <w:pStyle w:val="TableParagraph"/>
              <w:spacing w:line="266" w:lineRule="exact"/>
              <w:ind w:left="406"/>
              <w:rPr>
                <w:sz w:val="24"/>
              </w:rPr>
            </w:pPr>
            <w:r>
              <w:rPr>
                <w:sz w:val="24"/>
              </w:rPr>
              <w:t>1998</w:t>
            </w:r>
          </w:p>
        </w:tc>
        <w:tc>
          <w:tcPr>
            <w:tcW w:w="1605" w:type="dxa"/>
          </w:tcPr>
          <w:p>
            <w:pPr>
              <w:pStyle w:val="TableParagraph"/>
              <w:spacing w:line="266" w:lineRule="exact"/>
              <w:ind w:left="519"/>
              <w:rPr>
                <w:sz w:val="24"/>
              </w:rPr>
            </w:pPr>
            <w:r>
              <w:rPr>
                <w:sz w:val="24"/>
              </w:rPr>
              <w:t>1990</w:t>
            </w:r>
          </w:p>
        </w:tc>
        <w:tc>
          <w:tcPr>
            <w:tcW w:w="1138" w:type="dxa"/>
          </w:tcPr>
          <w:p>
            <w:pPr>
              <w:pStyle w:val="TableParagraph"/>
              <w:spacing w:line="266" w:lineRule="exact"/>
              <w:ind w:right="48"/>
              <w:jc w:val="right"/>
              <w:rPr>
                <w:sz w:val="24"/>
              </w:rPr>
            </w:pPr>
            <w:r>
              <w:rPr>
                <w:sz w:val="24"/>
              </w:rPr>
              <w:t>1998</w:t>
            </w:r>
          </w:p>
        </w:tc>
      </w:tr>
      <w:tr>
        <w:trPr>
          <w:trHeight w:val="412" w:hRule="atLeast"/>
        </w:trPr>
        <w:tc>
          <w:tcPr>
            <w:tcW w:w="2442" w:type="dxa"/>
          </w:tcPr>
          <w:p>
            <w:pPr>
              <w:pStyle w:val="TableParagraph"/>
              <w:spacing w:line="258" w:lineRule="exact" w:before="134"/>
              <w:ind w:left="50"/>
              <w:rPr>
                <w:sz w:val="24"/>
              </w:rPr>
            </w:pPr>
            <w:r>
              <w:rPr>
                <w:sz w:val="24"/>
              </w:rPr>
              <w:t>&lt;5%</w:t>
            </w:r>
          </w:p>
        </w:tc>
        <w:tc>
          <w:tcPr>
            <w:tcW w:w="1297" w:type="dxa"/>
          </w:tcPr>
          <w:p>
            <w:pPr>
              <w:pStyle w:val="TableParagraph"/>
              <w:spacing w:line="258" w:lineRule="exact" w:before="134"/>
              <w:ind w:left="503"/>
              <w:rPr>
                <w:sz w:val="24"/>
              </w:rPr>
            </w:pPr>
            <w:r>
              <w:rPr>
                <w:sz w:val="24"/>
              </w:rPr>
              <w:t>8.3</w:t>
            </w:r>
          </w:p>
        </w:tc>
        <w:tc>
          <w:tcPr>
            <w:tcW w:w="1402" w:type="dxa"/>
          </w:tcPr>
          <w:p>
            <w:pPr>
              <w:pStyle w:val="TableParagraph"/>
              <w:spacing w:line="258" w:lineRule="exact" w:before="134"/>
              <w:ind w:left="436"/>
              <w:rPr>
                <w:sz w:val="24"/>
              </w:rPr>
            </w:pPr>
            <w:r>
              <w:rPr>
                <w:sz w:val="24"/>
              </w:rPr>
              <w:t>11.9</w:t>
            </w:r>
          </w:p>
        </w:tc>
        <w:tc>
          <w:tcPr>
            <w:tcW w:w="1605" w:type="dxa"/>
          </w:tcPr>
          <w:p>
            <w:pPr>
              <w:pStyle w:val="TableParagraph"/>
              <w:spacing w:line="258" w:lineRule="exact" w:before="134"/>
              <w:ind w:left="549"/>
              <w:rPr>
                <w:sz w:val="24"/>
              </w:rPr>
            </w:pPr>
            <w:r>
              <w:rPr>
                <w:sz w:val="24"/>
              </w:rPr>
              <w:t>13.2</w:t>
            </w:r>
          </w:p>
        </w:tc>
        <w:tc>
          <w:tcPr>
            <w:tcW w:w="1138" w:type="dxa"/>
          </w:tcPr>
          <w:p>
            <w:pPr>
              <w:pStyle w:val="TableParagraph"/>
              <w:spacing w:line="258" w:lineRule="exact" w:before="134"/>
              <w:ind w:right="78"/>
              <w:jc w:val="right"/>
              <w:rPr>
                <w:sz w:val="24"/>
              </w:rPr>
            </w:pPr>
            <w:r>
              <w:rPr>
                <w:sz w:val="24"/>
              </w:rPr>
              <w:t>27.3</w:t>
            </w:r>
          </w:p>
        </w:tc>
      </w:tr>
      <w:tr>
        <w:trPr>
          <w:trHeight w:val="277" w:hRule="atLeast"/>
        </w:trPr>
        <w:tc>
          <w:tcPr>
            <w:tcW w:w="2442" w:type="dxa"/>
          </w:tcPr>
          <w:p>
            <w:pPr>
              <w:pStyle w:val="TableParagraph"/>
              <w:spacing w:line="258" w:lineRule="exact"/>
              <w:ind w:left="50"/>
              <w:rPr>
                <w:sz w:val="24"/>
              </w:rPr>
            </w:pPr>
            <w:r>
              <w:rPr>
                <w:sz w:val="24"/>
              </w:rPr>
              <w:t>5-7%</w:t>
            </w:r>
          </w:p>
        </w:tc>
        <w:tc>
          <w:tcPr>
            <w:tcW w:w="1297" w:type="dxa"/>
          </w:tcPr>
          <w:p>
            <w:pPr>
              <w:pStyle w:val="TableParagraph"/>
              <w:spacing w:line="258" w:lineRule="exact"/>
              <w:ind w:left="443"/>
              <w:rPr>
                <w:sz w:val="24"/>
              </w:rPr>
            </w:pPr>
            <w:r>
              <w:rPr>
                <w:sz w:val="24"/>
              </w:rPr>
              <w:t>11.1</w:t>
            </w:r>
          </w:p>
        </w:tc>
        <w:tc>
          <w:tcPr>
            <w:tcW w:w="1402" w:type="dxa"/>
          </w:tcPr>
          <w:p>
            <w:pPr>
              <w:pStyle w:val="TableParagraph"/>
              <w:spacing w:line="258" w:lineRule="exact"/>
              <w:ind w:left="436"/>
              <w:rPr>
                <w:sz w:val="24"/>
              </w:rPr>
            </w:pPr>
            <w:r>
              <w:rPr>
                <w:sz w:val="24"/>
              </w:rPr>
              <w:t>13.9</w:t>
            </w:r>
          </w:p>
        </w:tc>
        <w:tc>
          <w:tcPr>
            <w:tcW w:w="1605" w:type="dxa"/>
          </w:tcPr>
          <w:p>
            <w:pPr>
              <w:pStyle w:val="TableParagraph"/>
              <w:spacing w:line="258" w:lineRule="exact"/>
              <w:ind w:left="549"/>
              <w:rPr>
                <w:sz w:val="24"/>
              </w:rPr>
            </w:pPr>
            <w:r>
              <w:rPr>
                <w:sz w:val="24"/>
              </w:rPr>
              <w:t>18.3</w:t>
            </w:r>
          </w:p>
        </w:tc>
        <w:tc>
          <w:tcPr>
            <w:tcW w:w="1138" w:type="dxa"/>
          </w:tcPr>
          <w:p>
            <w:pPr>
              <w:pStyle w:val="TableParagraph"/>
              <w:spacing w:line="258" w:lineRule="exact"/>
              <w:ind w:right="78"/>
              <w:jc w:val="right"/>
              <w:rPr>
                <w:sz w:val="24"/>
              </w:rPr>
            </w:pPr>
            <w:r>
              <w:rPr>
                <w:sz w:val="24"/>
              </w:rPr>
              <w:t>32.6</w:t>
            </w:r>
          </w:p>
        </w:tc>
      </w:tr>
      <w:tr>
        <w:trPr>
          <w:trHeight w:val="277" w:hRule="atLeast"/>
        </w:trPr>
        <w:tc>
          <w:tcPr>
            <w:tcW w:w="2442" w:type="dxa"/>
          </w:tcPr>
          <w:p>
            <w:pPr>
              <w:pStyle w:val="TableParagraph"/>
              <w:spacing w:line="258" w:lineRule="exact"/>
              <w:ind w:left="50"/>
              <w:rPr>
                <w:sz w:val="24"/>
              </w:rPr>
            </w:pPr>
            <w:r>
              <w:rPr>
                <w:sz w:val="24"/>
              </w:rPr>
              <w:t>7-9%</w:t>
            </w:r>
          </w:p>
        </w:tc>
        <w:tc>
          <w:tcPr>
            <w:tcW w:w="1297" w:type="dxa"/>
          </w:tcPr>
          <w:p>
            <w:pPr>
              <w:pStyle w:val="TableParagraph"/>
              <w:spacing w:line="258" w:lineRule="exact"/>
              <w:ind w:left="443"/>
              <w:rPr>
                <w:sz w:val="24"/>
              </w:rPr>
            </w:pPr>
            <w:r>
              <w:rPr>
                <w:sz w:val="24"/>
              </w:rPr>
              <w:t>12.9</w:t>
            </w:r>
          </w:p>
        </w:tc>
        <w:tc>
          <w:tcPr>
            <w:tcW w:w="1402" w:type="dxa"/>
          </w:tcPr>
          <w:p>
            <w:pPr>
              <w:pStyle w:val="TableParagraph"/>
              <w:spacing w:line="258" w:lineRule="exact"/>
              <w:ind w:left="436"/>
              <w:rPr>
                <w:sz w:val="24"/>
              </w:rPr>
            </w:pPr>
            <w:r>
              <w:rPr>
                <w:sz w:val="24"/>
              </w:rPr>
              <w:t>15.1</w:t>
            </w:r>
          </w:p>
        </w:tc>
        <w:tc>
          <w:tcPr>
            <w:tcW w:w="1605" w:type="dxa"/>
          </w:tcPr>
          <w:p>
            <w:pPr>
              <w:pStyle w:val="TableParagraph"/>
              <w:spacing w:line="258" w:lineRule="exact"/>
              <w:ind w:left="549"/>
              <w:rPr>
                <w:sz w:val="24"/>
              </w:rPr>
            </w:pPr>
            <w:r>
              <w:rPr>
                <w:sz w:val="24"/>
              </w:rPr>
              <w:t>23.1</w:t>
            </w:r>
          </w:p>
        </w:tc>
        <w:tc>
          <w:tcPr>
            <w:tcW w:w="1138" w:type="dxa"/>
          </w:tcPr>
          <w:p>
            <w:pPr>
              <w:pStyle w:val="TableParagraph"/>
              <w:spacing w:line="258" w:lineRule="exact"/>
              <w:ind w:right="78"/>
              <w:jc w:val="right"/>
              <w:rPr>
                <w:sz w:val="24"/>
              </w:rPr>
            </w:pPr>
            <w:r>
              <w:rPr>
                <w:sz w:val="24"/>
              </w:rPr>
              <w:t>33.6</w:t>
            </w:r>
          </w:p>
        </w:tc>
      </w:tr>
      <w:tr>
        <w:trPr>
          <w:trHeight w:val="267" w:hRule="atLeast"/>
        </w:trPr>
        <w:tc>
          <w:tcPr>
            <w:tcW w:w="2442" w:type="dxa"/>
          </w:tcPr>
          <w:p>
            <w:pPr>
              <w:pStyle w:val="TableParagraph"/>
              <w:spacing w:line="248" w:lineRule="exact"/>
              <w:ind w:left="50"/>
              <w:rPr>
                <w:sz w:val="24"/>
              </w:rPr>
            </w:pPr>
            <w:r>
              <w:rPr>
                <w:sz w:val="24"/>
              </w:rPr>
              <w:t>&gt;9%</w:t>
            </w:r>
          </w:p>
        </w:tc>
        <w:tc>
          <w:tcPr>
            <w:tcW w:w="1297" w:type="dxa"/>
          </w:tcPr>
          <w:p>
            <w:pPr>
              <w:pStyle w:val="TableParagraph"/>
              <w:spacing w:line="248" w:lineRule="exact"/>
              <w:ind w:left="443"/>
              <w:rPr>
                <w:sz w:val="24"/>
              </w:rPr>
            </w:pPr>
            <w:r>
              <w:rPr>
                <w:sz w:val="24"/>
              </w:rPr>
              <w:t>14.9</w:t>
            </w:r>
          </w:p>
        </w:tc>
        <w:tc>
          <w:tcPr>
            <w:tcW w:w="1402" w:type="dxa"/>
          </w:tcPr>
          <w:p>
            <w:pPr>
              <w:pStyle w:val="TableParagraph"/>
              <w:spacing w:line="248" w:lineRule="exact"/>
              <w:ind w:left="436"/>
              <w:rPr>
                <w:sz w:val="24"/>
              </w:rPr>
            </w:pPr>
            <w:r>
              <w:rPr>
                <w:sz w:val="24"/>
              </w:rPr>
              <w:t>18.7</w:t>
            </w:r>
          </w:p>
        </w:tc>
        <w:tc>
          <w:tcPr>
            <w:tcW w:w="1605" w:type="dxa"/>
          </w:tcPr>
          <w:p>
            <w:pPr>
              <w:pStyle w:val="TableParagraph"/>
              <w:spacing w:line="248" w:lineRule="exact"/>
              <w:ind w:left="549"/>
              <w:rPr>
                <w:sz w:val="24"/>
              </w:rPr>
            </w:pPr>
            <w:r>
              <w:rPr>
                <w:sz w:val="24"/>
              </w:rPr>
              <w:t>26.3</w:t>
            </w:r>
          </w:p>
        </w:tc>
        <w:tc>
          <w:tcPr>
            <w:tcW w:w="1138" w:type="dxa"/>
          </w:tcPr>
          <w:p>
            <w:pPr>
              <w:pStyle w:val="TableParagraph"/>
              <w:spacing w:line="248" w:lineRule="exact"/>
              <w:ind w:right="78"/>
              <w:jc w:val="right"/>
              <w:rPr>
                <w:sz w:val="24"/>
              </w:rPr>
            </w:pPr>
            <w:r>
              <w:rPr>
                <w:sz w:val="24"/>
              </w:rPr>
              <w:t>43.4</w:t>
            </w:r>
          </w:p>
        </w:tc>
      </w:tr>
    </w:tbl>
    <w:p>
      <w:pPr>
        <w:pStyle w:val="BodyText"/>
        <w:spacing w:before="8"/>
        <w:rPr>
          <w:sz w:val="34"/>
        </w:rPr>
      </w:pPr>
    </w:p>
    <w:p>
      <w:pPr>
        <w:pStyle w:val="BodyText"/>
        <w:spacing w:line="364" w:lineRule="auto"/>
        <w:ind w:left="235" w:right="360"/>
      </w:pPr>
      <w:r>
        <w:rPr>
          <w:u w:val="single"/>
        </w:rPr>
        <w:t>Source</w:t>
      </w:r>
      <w:r>
        <w:rPr/>
        <w:t>: Gregg and Wadsworth (1999), Table 3.5 from Labour Force Survey, Spring Quarter.</w:t>
      </w:r>
    </w:p>
    <w:p>
      <w:pPr>
        <w:pStyle w:val="BodyText"/>
        <w:rPr>
          <w:sz w:val="20"/>
        </w:rPr>
      </w:pPr>
    </w:p>
    <w:p>
      <w:pPr>
        <w:pStyle w:val="BodyText"/>
        <w:spacing w:before="8"/>
        <w:rPr>
          <w:sz w:val="15"/>
        </w:rPr>
      </w:pPr>
      <w:r>
        <w:rPr/>
        <w:pict>
          <v:shape style="position:absolute;margin-left:89.25pt;margin-top:11.758496pt;width:418.5pt;height:.1pt;mso-position-horizontal-relative:page;mso-position-vertical-relative:paragraph;z-index:-251633664;mso-wrap-distance-left:0;mso-wrap-distance-right:0" coordorigin="1785,235" coordsize="8370,0" path="m1785,235l10155,235e" filled="false" stroked="true" strokeweight="1.5pt" strokecolor="#000000">
            <v:path arrowok="t"/>
            <v:stroke dashstyle="solid"/>
            <w10:wrap type="topAndBottom"/>
          </v:shape>
        </w:pict>
      </w:r>
    </w:p>
    <w:p>
      <w:pPr>
        <w:spacing w:after="0"/>
        <w:rPr>
          <w:sz w:val="15"/>
        </w:rPr>
        <w:sectPr>
          <w:pgSz w:w="11920" w:h="16840"/>
          <w:pgMar w:header="0" w:footer="779" w:top="1360" w:bottom="960" w:left="1580" w:right="1460"/>
        </w:sectPr>
      </w:pPr>
    </w:p>
    <w:p>
      <w:pPr>
        <w:pStyle w:val="BodyText"/>
        <w:spacing w:before="76"/>
        <w:ind w:left="235"/>
      </w:pPr>
      <w:r>
        <w:rPr>
          <w:u w:val="single"/>
        </w:rPr>
        <w:t>The Policy Response since 1997</w:t>
      </w:r>
    </w:p>
    <w:p>
      <w:pPr>
        <w:pStyle w:val="BodyText"/>
        <w:rPr>
          <w:sz w:val="20"/>
        </w:rPr>
      </w:pPr>
    </w:p>
    <w:p>
      <w:pPr>
        <w:pStyle w:val="BodyText"/>
        <w:spacing w:before="10"/>
        <w:rPr>
          <w:sz w:val="19"/>
        </w:rPr>
      </w:pPr>
    </w:p>
    <w:p>
      <w:pPr>
        <w:pStyle w:val="BodyText"/>
        <w:spacing w:line="357" w:lineRule="auto" w:before="90"/>
        <w:ind w:left="235" w:right="397"/>
      </w:pPr>
      <w:r>
        <w:rPr/>
        <w:t>The fundamental problem is that there is a large body of individuals of working age who, because of lack of skills, do not command a high enough wage in the labour market to provide a decent standard of living for themselves and their dependents. And this problem is particularly severe in Britain because the pool of very low skill workers in larger than in the typical European country</w:t>
      </w:r>
      <w:r>
        <w:rPr>
          <w:vertAlign w:val="superscript"/>
        </w:rPr>
        <w:t>9</w:t>
      </w:r>
      <w:r>
        <w:rPr>
          <w:vertAlign w:val="baseline"/>
        </w:rPr>
        <w:t>.</w:t>
      </w:r>
    </w:p>
    <w:p>
      <w:pPr>
        <w:pStyle w:val="BodyText"/>
        <w:spacing w:before="5"/>
        <w:rPr>
          <w:sz w:val="36"/>
        </w:rPr>
      </w:pPr>
    </w:p>
    <w:p>
      <w:pPr>
        <w:pStyle w:val="BodyText"/>
        <w:spacing w:line="362" w:lineRule="auto"/>
        <w:ind w:left="235" w:right="378"/>
      </w:pPr>
      <w:r>
        <w:rPr/>
        <w:t>The obvious long-run policy is to provide every citizen with enough marketable skill to </w:t>
      </w:r>
      <w:r>
        <w:rPr>
          <w:spacing w:val="-3"/>
        </w:rPr>
        <w:t>enable them </w:t>
      </w:r>
      <w:r>
        <w:rPr/>
        <w:t>to </w:t>
      </w:r>
      <w:r>
        <w:rPr>
          <w:spacing w:val="-3"/>
        </w:rPr>
        <w:t>earn </w:t>
      </w:r>
      <w:r>
        <w:rPr/>
        <w:t>a </w:t>
      </w:r>
      <w:r>
        <w:rPr>
          <w:spacing w:val="-3"/>
        </w:rPr>
        <w:t>decent wage </w:t>
      </w:r>
      <w:r>
        <w:rPr/>
        <w:t>in the </w:t>
      </w:r>
      <w:r>
        <w:rPr>
          <w:spacing w:val="-3"/>
        </w:rPr>
        <w:t>labour market.   There </w:t>
      </w:r>
      <w:r>
        <w:rPr/>
        <w:t>is, of </w:t>
      </w:r>
      <w:r>
        <w:rPr>
          <w:spacing w:val="-3"/>
        </w:rPr>
        <w:t>course, </w:t>
      </w:r>
      <w:r>
        <w:rPr/>
        <w:t>a   small group of individuals for whom this is not possible. For the remainder,</w:t>
      </w:r>
      <w:r>
        <w:rPr>
          <w:spacing w:val="-16"/>
        </w:rPr>
        <w:t> </w:t>
      </w:r>
      <w:r>
        <w:rPr/>
        <w:t>however, it is possible and it is a matter of developing an education and training system that </w:t>
      </w:r>
      <w:r>
        <w:rPr>
          <w:spacing w:val="-4"/>
        </w:rPr>
        <w:t>does it.</w:t>
      </w:r>
      <w:r>
        <w:rPr>
          <w:spacing w:val="52"/>
        </w:rPr>
        <w:t> </w:t>
      </w:r>
      <w:r>
        <w:rPr/>
        <w:t>This is a key part of the strategy of the present government and for an analysis of how it is getting on, see Glennerster (2001). Whatever the success in this area, however, this strategy is not going to resolve the problems posed in </w:t>
      </w:r>
      <w:r>
        <w:rPr>
          <w:spacing w:val="-2"/>
        </w:rPr>
        <w:t>the </w:t>
      </w:r>
      <w:r>
        <w:rPr/>
        <w:t>foreseeable</w:t>
      </w:r>
      <w:r>
        <w:rPr>
          <w:spacing w:val="12"/>
        </w:rPr>
        <w:t> </w:t>
      </w:r>
      <w:r>
        <w:rPr/>
        <w:t>future.</w:t>
      </w:r>
    </w:p>
    <w:p>
      <w:pPr>
        <w:pStyle w:val="BodyText"/>
        <w:spacing w:before="10"/>
        <w:rPr>
          <w:sz w:val="34"/>
        </w:rPr>
      </w:pPr>
    </w:p>
    <w:p>
      <w:pPr>
        <w:pStyle w:val="BodyText"/>
        <w:spacing w:line="360" w:lineRule="auto"/>
        <w:ind w:left="235" w:right="380"/>
      </w:pPr>
      <w:r>
        <w:rPr/>
        <w:t>In the meantime, the strategy since 1997 has been simultaneously to encourage work and to </w:t>
      </w:r>
      <w:r>
        <w:rPr>
          <w:spacing w:val="-3"/>
        </w:rPr>
        <w:t>provide additional resources </w:t>
      </w:r>
      <w:r>
        <w:rPr/>
        <w:t>to low </w:t>
      </w:r>
      <w:r>
        <w:rPr>
          <w:spacing w:val="-3"/>
        </w:rPr>
        <w:t>skill workers. </w:t>
      </w:r>
      <w:r>
        <w:rPr/>
        <w:t>The </w:t>
      </w:r>
      <w:r>
        <w:rPr>
          <w:spacing w:val="-3"/>
        </w:rPr>
        <w:t>mechanism </w:t>
      </w:r>
      <w:r>
        <w:rPr/>
        <w:t>is </w:t>
      </w:r>
      <w:r>
        <w:rPr>
          <w:spacing w:val="-3"/>
        </w:rPr>
        <w:t>two </w:t>
      </w:r>
      <w:r>
        <w:rPr/>
        <w:t>pronged – to provide assistance in getting into work (e.g. the New Deals) and to increase the rewards for working (e.g. the NMW, the Working Families Tax </w:t>
      </w:r>
      <w:r>
        <w:rPr>
          <w:spacing w:val="-2"/>
        </w:rPr>
        <w:t>Credit </w:t>
      </w:r>
      <w:r>
        <w:rPr/>
        <w:t>(WFTC)). Overall, these policies have not, so far, had a big impact on labour </w:t>
      </w:r>
      <w:r>
        <w:rPr>
          <w:spacing w:val="-2"/>
        </w:rPr>
        <w:t>supply </w:t>
      </w:r>
      <w:r>
        <w:rPr/>
        <w:t>and employment but they have had a significant impact in terms of providing extra resources to the low paid (essentially the unskilled). Furthermore, they have done this without encouraging them to withdraw from work. Let us consider these policies in </w:t>
      </w:r>
      <w:r>
        <w:rPr>
          <w:spacing w:val="-3"/>
        </w:rPr>
        <w:t>more</w:t>
      </w:r>
      <w:r>
        <w:rPr>
          <w:spacing w:val="-4"/>
        </w:rPr>
        <w:t> detail.</w:t>
      </w:r>
    </w:p>
    <w:p>
      <w:pPr>
        <w:pStyle w:val="BodyText"/>
        <w:spacing w:before="1"/>
        <w:rPr>
          <w:sz w:val="36"/>
        </w:rPr>
      </w:pPr>
    </w:p>
    <w:p>
      <w:pPr>
        <w:pStyle w:val="BodyText"/>
        <w:ind w:left="235"/>
      </w:pPr>
      <w:r>
        <w:rPr>
          <w:u w:val="single"/>
        </w:rPr>
        <w:t>Labour Supply Policies – the New Dea</w:t>
      </w:r>
      <w:r>
        <w:rPr/>
        <w:t>l</w:t>
      </w:r>
    </w:p>
    <w:p>
      <w:pPr>
        <w:pStyle w:val="BodyText"/>
        <w:rPr>
          <w:sz w:val="20"/>
        </w:rPr>
      </w:pPr>
    </w:p>
    <w:p>
      <w:pPr>
        <w:pStyle w:val="BodyText"/>
        <w:spacing w:before="10"/>
        <w:rPr>
          <w:sz w:val="19"/>
        </w:rPr>
      </w:pPr>
    </w:p>
    <w:p>
      <w:pPr>
        <w:pStyle w:val="BodyText"/>
        <w:spacing w:line="357" w:lineRule="auto" w:before="90"/>
        <w:ind w:left="235" w:right="362"/>
      </w:pPr>
      <w:r>
        <w:rPr/>
        <w:t>The basic idea of the New Deal policies is to provide resources to assist members of a variety of targeted groups into work. These groups include young people (18-24) </w:t>
      </w:r>
      <w:r>
        <w:rPr>
          <w:spacing w:val="-2"/>
        </w:rPr>
        <w:t>who </w:t>
      </w:r>
      <w:r>
        <w:rPr/>
        <w:t>have been out of work for 6 months, adults (25-59) who have been out of work </w:t>
      </w:r>
      <w:r>
        <w:rPr>
          <w:spacing w:val="-2"/>
        </w:rPr>
        <w:t>for </w:t>
      </w:r>
      <w:r>
        <w:rPr/>
        <w:t>two </w:t>
      </w:r>
      <w:r>
        <w:rPr>
          <w:spacing w:val="-3"/>
        </w:rPr>
        <w:t>years, over </w:t>
      </w:r>
      <w:r>
        <w:rPr/>
        <w:t>50s who </w:t>
      </w:r>
      <w:r>
        <w:rPr>
          <w:spacing w:val="-3"/>
        </w:rPr>
        <w:t>have been </w:t>
      </w:r>
      <w:r>
        <w:rPr/>
        <w:t>on any </w:t>
      </w:r>
      <w:r>
        <w:rPr>
          <w:spacing w:val="-3"/>
        </w:rPr>
        <w:t>benefit </w:t>
      </w:r>
      <w:r>
        <w:rPr/>
        <w:t>for 6 months, the </w:t>
      </w:r>
      <w:r>
        <w:rPr>
          <w:spacing w:val="-3"/>
        </w:rPr>
        <w:t>disabled </w:t>
      </w:r>
      <w:r>
        <w:rPr/>
        <w:t>and </w:t>
      </w:r>
      <w:r>
        <w:rPr>
          <w:spacing w:val="-3"/>
        </w:rPr>
        <w:t>lone parents. </w:t>
      </w:r>
      <w:r>
        <w:rPr/>
        <w:t>The </w:t>
      </w:r>
      <w:r>
        <w:rPr>
          <w:spacing w:val="-3"/>
        </w:rPr>
        <w:t>first </w:t>
      </w:r>
      <w:r>
        <w:rPr/>
        <w:t>two are compulsory and members of these </w:t>
      </w:r>
      <w:r>
        <w:rPr>
          <w:spacing w:val="-3"/>
        </w:rPr>
        <w:t>groups </w:t>
      </w:r>
      <w:r>
        <w:rPr/>
        <w:t>must enter</w:t>
      </w:r>
      <w:r>
        <w:rPr>
          <w:spacing w:val="40"/>
        </w:rPr>
        <w:t> </w:t>
      </w:r>
      <w:r>
        <w:rPr>
          <w:spacing w:val="-3"/>
        </w:rPr>
        <w:t>the</w:t>
      </w:r>
    </w:p>
    <w:p>
      <w:pPr>
        <w:spacing w:after="0" w:line="357" w:lineRule="auto"/>
        <w:sectPr>
          <w:pgSz w:w="11920" w:h="16840"/>
          <w:pgMar w:header="0" w:footer="779" w:top="1360" w:bottom="960" w:left="1580" w:right="1460"/>
        </w:sectPr>
      </w:pPr>
    </w:p>
    <w:p>
      <w:pPr>
        <w:pStyle w:val="BodyText"/>
        <w:spacing w:line="360" w:lineRule="auto" w:before="76"/>
        <w:ind w:left="235" w:right="397"/>
      </w:pPr>
      <w:r>
        <w:rPr/>
        <w:t>relevant programme. The detailed programmes are different for each group but there is typically an initial period where a personal strategy is worked out for each individual which leads on to some form of training, job search assistance, subsidised employment and so on. Most of the programmes have not been operating for very long and there are a variety of pilot schemes and experiments. So, at this stage, it is not possible to obtain a clear view of their consequences. However, the New Deal for young people was the first into operation, starting in January 1998 and here we are in a position to draw some conclusions.</w:t>
      </w:r>
    </w:p>
    <w:p>
      <w:pPr>
        <w:pStyle w:val="BodyText"/>
        <w:spacing w:before="5"/>
        <w:rPr>
          <w:sz w:val="35"/>
        </w:rPr>
      </w:pPr>
    </w:p>
    <w:p>
      <w:pPr>
        <w:pStyle w:val="BodyText"/>
        <w:spacing w:line="360" w:lineRule="auto"/>
        <w:ind w:left="235" w:right="307"/>
      </w:pPr>
      <w:r>
        <w:rPr/>
        <w:t>The New Deal for young people is open to those aged 18-24 who have been claiming unemployment benefit continuously for 6 months. At this point participation is mandatory in the sense that benefit payments cease if the young person does not participate. Those joining first enter a Gateway period lasting up to four months, during which the Employment Service will work with them to improve their employability and to find unsubsidised jobs. Those who do not find a job will then move onto one of four options lasting for six months: (i) a period of subsidised employment (£60 p.w. subsidy), (ii) a course of education or training last, on average, 9 months, (iii) a six month Taskforce placement working on environmental projects or in the voluntary sector, (iv) a subsidised self-employment scheme.</w:t>
      </w:r>
    </w:p>
    <w:p>
      <w:pPr>
        <w:pStyle w:val="BodyText"/>
        <w:spacing w:before="7"/>
        <w:rPr>
          <w:sz w:val="36"/>
        </w:rPr>
      </w:pPr>
    </w:p>
    <w:p>
      <w:pPr>
        <w:pStyle w:val="BodyText"/>
        <w:spacing w:line="357" w:lineRule="auto"/>
        <w:ind w:left="235" w:right="332"/>
      </w:pPr>
      <w:r>
        <w:rPr/>
        <w:t>Evaluations of this programme have been published by Anderton et al. (1999)(1999a) and Van Reenen (2000). First, of the four options, education/training in the most popular (47.1% up to end April 1999) with only 20.5% in subsidised employment and fewer in the others. Overall, the results indicate that the programme has generated around 20 thousand extra jobs each year and has significantly reduced unemployment rates among young persons. Furthermore, there is no evidence as yet of a significant adverse impact on the labour market prospects of groups outside the programme.</w:t>
      </w:r>
    </w:p>
    <w:p>
      <w:pPr>
        <w:pStyle w:val="BodyText"/>
        <w:spacing w:line="360" w:lineRule="auto" w:before="16"/>
        <w:ind w:left="235" w:right="307"/>
      </w:pPr>
      <w:r>
        <w:rPr/>
        <w:t>Finally, Van Reenen calculates the social benefits to be in excess of the social costs without taking account of the fall in crime consequent on the reduction in the number of unemployed young people on the streets. Overall, the New Deal for young people bodes well for other New Deal Programmes. However, the difficulties involved in getting young people with weak skills into employment are relatively minor compared with the problems facing those with disabilities and their caseworkers and advisers.</w:t>
      </w:r>
    </w:p>
    <w:p>
      <w:pPr>
        <w:pStyle w:val="BodyText"/>
        <w:spacing w:line="267" w:lineRule="exact"/>
        <w:ind w:left="235"/>
      </w:pPr>
      <w:r>
        <w:rPr/>
        <w:t>So far, the various pilot schemes for the New Deal for the Sick and Disabled have</w:t>
      </w:r>
    </w:p>
    <w:p>
      <w:pPr>
        <w:spacing w:after="0" w:line="267" w:lineRule="exact"/>
        <w:sectPr>
          <w:pgSz w:w="11920" w:h="16840"/>
          <w:pgMar w:header="0" w:footer="779" w:top="1360" w:bottom="960" w:left="1580" w:right="1460"/>
        </w:sectPr>
      </w:pPr>
    </w:p>
    <w:p>
      <w:pPr>
        <w:pStyle w:val="BodyText"/>
        <w:spacing w:line="352" w:lineRule="auto" w:before="76"/>
        <w:ind w:left="235" w:right="460"/>
      </w:pPr>
      <w:r>
        <w:rPr/>
        <w:t>attracted few participants and the many difficulties surrounding the work potential of those on incapacity benefit remain to be addressed.</w:t>
      </w:r>
      <w:r>
        <w:rPr>
          <w:vertAlign w:val="superscript"/>
        </w:rPr>
        <w:t>10</w:t>
      </w:r>
    </w:p>
    <w:p>
      <w:pPr>
        <w:pStyle w:val="BodyText"/>
        <w:spacing w:before="4"/>
        <w:rPr>
          <w:sz w:val="36"/>
        </w:rPr>
      </w:pPr>
    </w:p>
    <w:p>
      <w:pPr>
        <w:pStyle w:val="BodyText"/>
        <w:ind w:left="235"/>
      </w:pPr>
      <w:r>
        <w:rPr>
          <w:u w:val="single"/>
        </w:rPr>
        <w:t>Increasing the rewards for working (i) The National Minimum Wage</w:t>
      </w:r>
    </w:p>
    <w:p>
      <w:pPr>
        <w:pStyle w:val="BodyText"/>
        <w:rPr>
          <w:sz w:val="20"/>
        </w:rPr>
      </w:pPr>
    </w:p>
    <w:p>
      <w:pPr>
        <w:pStyle w:val="BodyText"/>
        <w:spacing w:before="3"/>
        <w:rPr>
          <w:sz w:val="21"/>
        </w:rPr>
      </w:pPr>
    </w:p>
    <w:p>
      <w:pPr>
        <w:pStyle w:val="BodyText"/>
        <w:spacing w:line="360" w:lineRule="auto" w:before="90"/>
        <w:ind w:left="235" w:right="474"/>
      </w:pPr>
      <w:r>
        <w:rPr/>
        <w:t>The National Minimum Wage was introduced at £3.60 per hour for adults in April 1999 rising to £3.70 in October 2000 and £4.10 in October 2001. Young persons have a lower rate. The numbers affected by the minimum wage were up to 7 or 8 percent of the work-force of whom 70% were women and three-quarters of those were part-time. So the minimum wage is, in fact, too low to have had a significant impact on the pay prospects of low skill men most of whom are in work at pay rates</w:t>
      </w:r>
    </w:p>
    <w:p>
      <w:pPr>
        <w:pStyle w:val="BodyText"/>
        <w:spacing w:line="360" w:lineRule="auto"/>
        <w:ind w:left="235" w:right="380"/>
      </w:pPr>
      <w:r>
        <w:rPr/>
        <w:t>above the statutory minimum. Recall that even after October 2001, 40 hours per week at the </w:t>
      </w:r>
      <w:r>
        <w:rPr>
          <w:spacing w:val="-3"/>
        </w:rPr>
        <w:t>minimum rate will yield </w:t>
      </w:r>
      <w:r>
        <w:rPr/>
        <w:t>a </w:t>
      </w:r>
      <w:r>
        <w:rPr>
          <w:spacing w:val="-3"/>
        </w:rPr>
        <w:t>mere £164, which </w:t>
      </w:r>
      <w:r>
        <w:rPr/>
        <w:t>is </w:t>
      </w:r>
      <w:r>
        <w:rPr>
          <w:spacing w:val="-3"/>
        </w:rPr>
        <w:t>hardly </w:t>
      </w:r>
      <w:r>
        <w:rPr/>
        <w:t>a </w:t>
      </w:r>
      <w:r>
        <w:rPr>
          <w:spacing w:val="-3"/>
        </w:rPr>
        <w:t>“decent” wage </w:t>
      </w:r>
      <w:r>
        <w:rPr/>
        <w:t>particularly for someone with dependents. Of course, the reason why the minimum wage is not higher is because of the real threat of serious employment consequences. At the current level, such consequences are </w:t>
      </w:r>
      <w:r>
        <w:rPr>
          <w:spacing w:val="-3"/>
        </w:rPr>
        <w:t>minimal </w:t>
      </w:r>
      <w:r>
        <w:rPr/>
        <w:t>as we </w:t>
      </w:r>
      <w:r>
        <w:rPr>
          <w:spacing w:val="-3"/>
        </w:rPr>
        <w:t>have seen. </w:t>
      </w:r>
      <w:r>
        <w:rPr/>
        <w:t>But </w:t>
      </w:r>
      <w:r>
        <w:rPr>
          <w:spacing w:val="-3"/>
        </w:rPr>
        <w:t>should the </w:t>
      </w:r>
      <w:r>
        <w:rPr/>
        <w:t>minimum wage be moved up to a “decent” wage for a person with dependents, all </w:t>
      </w:r>
      <w:r>
        <w:rPr>
          <w:spacing w:val="-2"/>
        </w:rPr>
        <w:t>the </w:t>
      </w:r>
      <w:r>
        <w:rPr/>
        <w:t>evidence suggests that the consequences for employment would be serious and the whole object of the exercise would be defeated. Even larger numbers of unskilled men would simply not be working. This leads naturally on to a policy of in-work benefits which we discuss</w:t>
      </w:r>
      <w:r>
        <w:rPr>
          <w:spacing w:val="5"/>
        </w:rPr>
        <w:t> </w:t>
      </w:r>
      <w:r>
        <w:rPr/>
        <w:t>next.</w:t>
      </w:r>
    </w:p>
    <w:p>
      <w:pPr>
        <w:pStyle w:val="BodyText"/>
        <w:spacing w:before="9"/>
        <w:rPr>
          <w:sz w:val="35"/>
        </w:rPr>
      </w:pPr>
    </w:p>
    <w:p>
      <w:pPr>
        <w:pStyle w:val="BodyText"/>
        <w:ind w:left="235"/>
      </w:pPr>
      <w:r>
        <w:rPr>
          <w:u w:val="single"/>
        </w:rPr>
        <w:t>Increasing the rewards for working (ii) the Working Families Tax Credit</w:t>
      </w:r>
    </w:p>
    <w:p>
      <w:pPr>
        <w:pStyle w:val="BodyText"/>
        <w:rPr>
          <w:sz w:val="20"/>
        </w:rPr>
      </w:pPr>
    </w:p>
    <w:p>
      <w:pPr>
        <w:pStyle w:val="BodyText"/>
        <w:spacing w:before="11"/>
        <w:rPr>
          <w:sz w:val="19"/>
        </w:rPr>
      </w:pPr>
    </w:p>
    <w:p>
      <w:pPr>
        <w:pStyle w:val="BodyText"/>
        <w:spacing w:line="360" w:lineRule="auto" w:before="90"/>
        <w:ind w:left="235" w:right="378"/>
      </w:pPr>
      <w:r>
        <w:rPr/>
        <w:t>The Working Families Tax Credit (WFTC) was fully phased in from April 2000, replacing Family Credit (FC), a benefit paid to low earners with dependent children.</w:t>
      </w:r>
      <w:r>
        <w:rPr>
          <w:vertAlign w:val="superscript"/>
        </w:rPr>
        <w:t>11</w:t>
      </w:r>
      <w:r>
        <w:rPr>
          <w:vertAlign w:val="baseline"/>
        </w:rPr>
        <w:t> The WFTC is substantially more generous than FC, increasing both credits for younger children and the threshold, and reducing the benefit reduction rate.</w:t>
      </w:r>
    </w:p>
    <w:p>
      <w:pPr>
        <w:pStyle w:val="BodyText"/>
        <w:spacing w:line="360" w:lineRule="auto"/>
        <w:ind w:left="235" w:right="427"/>
      </w:pPr>
      <w:r>
        <w:rPr/>
        <w:t>Furthermore, it also includes a new childcare credit. Analyses of the impact of these changes by Blundell and Hoynes (2000) and Gregg et al. (1999) suggest that the introduction of the WFTC will cause around 30,000 currently workless lone parents with children to enter work but it will probably drive some workers in married couples to move out of work. Overall, the positive labour supply effects are not great but it will generate a significant reduction in child poverty without negative labour</w:t>
      </w:r>
    </w:p>
    <w:p>
      <w:pPr>
        <w:spacing w:after="0" w:line="360" w:lineRule="auto"/>
        <w:sectPr>
          <w:pgSz w:w="11920" w:h="16840"/>
          <w:pgMar w:header="0" w:footer="779" w:top="1360" w:bottom="960" w:left="1580" w:right="1460"/>
        </w:sectPr>
      </w:pPr>
    </w:p>
    <w:p>
      <w:pPr>
        <w:pStyle w:val="BodyText"/>
        <w:spacing w:line="360" w:lineRule="auto" w:before="76"/>
        <w:ind w:left="235" w:right="387"/>
      </w:pPr>
      <w:r>
        <w:rPr/>
        <w:t>supply effects. This is probably the main achievement of the new system of in-work benefits. It is also worth mentioning that a related tax credit system has been introduced for disabled individuals, namely the Disabled Person’s Tax Credit (DPTC). This replaced the previous in-work benefit for disabled persons, the Disability Working Allowance, in October 1999. From April 2000, it has been paid through the wage packet and represents a similar increase in generosity as the WFTC.</w:t>
      </w:r>
    </w:p>
    <w:p>
      <w:pPr>
        <w:pStyle w:val="BodyText"/>
        <w:spacing w:before="8"/>
        <w:rPr>
          <w:sz w:val="35"/>
        </w:rPr>
      </w:pPr>
    </w:p>
    <w:p>
      <w:pPr>
        <w:pStyle w:val="BodyText"/>
        <w:ind w:left="235"/>
      </w:pPr>
      <w:r>
        <w:rPr>
          <w:u w:val="single"/>
        </w:rPr>
        <w:t>The Outlook for Policy in the Future</w:t>
      </w:r>
    </w:p>
    <w:p>
      <w:pPr>
        <w:pStyle w:val="BodyText"/>
        <w:rPr>
          <w:sz w:val="20"/>
        </w:rPr>
      </w:pPr>
    </w:p>
    <w:p>
      <w:pPr>
        <w:pStyle w:val="BodyText"/>
        <w:spacing w:before="11"/>
        <w:rPr>
          <w:sz w:val="19"/>
        </w:rPr>
      </w:pPr>
    </w:p>
    <w:p>
      <w:pPr>
        <w:pStyle w:val="BodyText"/>
        <w:spacing w:line="360" w:lineRule="auto" w:before="90"/>
        <w:ind w:left="235" w:right="360"/>
      </w:pPr>
      <w:r>
        <w:rPr/>
        <w:t>Two important changes are particularly relevant in the current context. The first is the ONE system (now called ………..) which is currently being piloted. This represents a significant change in the benefits system whereby the Employment Service, the Benefits Agency and local authorities come together at a single point of contact for benefit claimants. Each new claimant will be allocated a Personal Adviser who will deal with all work, benefit and related issues. Interestingly this reverses the change introduced in 1974 when Benefit Offices and Job Centres were split in order to encourage the Employment Service to compete effectively with private sector job placement agencies. The idea underlying ONE is to enhance the effectiveness of the system in getting people off benefit and into work. It will certainly have a greater potential for doing so than the more diffuse system which it replaces.</w:t>
      </w:r>
    </w:p>
    <w:p>
      <w:pPr>
        <w:pStyle w:val="BodyText"/>
        <w:spacing w:before="9"/>
        <w:rPr>
          <w:sz w:val="35"/>
        </w:rPr>
      </w:pPr>
    </w:p>
    <w:p>
      <w:pPr>
        <w:pStyle w:val="BodyText"/>
        <w:spacing w:line="360" w:lineRule="auto"/>
        <w:ind w:left="235" w:right="360"/>
      </w:pPr>
      <w:r>
        <w:rPr/>
        <w:t>The other change in prospect is to extend the in-work benefit system to non-disabled individuals without children. This involves splitting off the child element of the WFTC and placing it into a “seamless” means-tested system of financial support for children with parents in and out of employment. What remains will be an ‘Employment Tax Credit’ which can then be extended to individuals or families without children. Eligibility for this new tax credit remains to be decided. For example, a restricted version would be one for adults aged over 25, working 30 hours or more per week and with a lower rate for single persons than for couples. The aim would, of course, be to raise the benefits of working for low skilled persons without dependent children.</w:t>
      </w:r>
    </w:p>
    <w:p>
      <w:pPr>
        <w:pStyle w:val="BodyText"/>
        <w:spacing w:before="6"/>
        <w:rPr>
          <w:sz w:val="36"/>
        </w:rPr>
      </w:pPr>
    </w:p>
    <w:p>
      <w:pPr>
        <w:pStyle w:val="BodyText"/>
        <w:spacing w:line="352" w:lineRule="auto"/>
        <w:ind w:left="235" w:right="760"/>
      </w:pPr>
      <w:r>
        <w:rPr/>
        <w:t>Overall, the above changes will probably have some input in reducing both unemployment and inactivity among the low skilled but they are unlikely to make</w:t>
      </w:r>
    </w:p>
    <w:p>
      <w:pPr>
        <w:spacing w:after="0" w:line="352" w:lineRule="auto"/>
        <w:sectPr>
          <w:pgSz w:w="11920" w:h="16840"/>
          <w:pgMar w:header="0" w:footer="779" w:top="1360" w:bottom="960" w:left="1580" w:right="1460"/>
        </w:sectPr>
      </w:pPr>
    </w:p>
    <w:p>
      <w:pPr>
        <w:pStyle w:val="BodyText"/>
        <w:spacing w:line="357" w:lineRule="auto" w:before="76"/>
        <w:ind w:left="235" w:right="474"/>
      </w:pPr>
      <w:r>
        <w:rPr/>
        <w:t>much of a dent in the huge increase in inactivity among low skilled men which we have seen over the last twenty years. At the moment, this is fundamentally a disability issue and providing the kind of assistance which will enable a significant portion of this large group to re-enter the labour market is likely to remain an unresolved problem.</w:t>
      </w:r>
    </w:p>
    <w:p>
      <w:pPr>
        <w:pStyle w:val="BodyText"/>
        <w:spacing w:before="8"/>
        <w:rPr>
          <w:sz w:val="37"/>
        </w:rPr>
      </w:pPr>
    </w:p>
    <w:p>
      <w:pPr>
        <w:pStyle w:val="ListParagraph"/>
        <w:numPr>
          <w:ilvl w:val="0"/>
          <w:numId w:val="1"/>
        </w:numPr>
        <w:tabs>
          <w:tab w:pos="3280" w:val="left" w:leader="none"/>
        </w:tabs>
        <w:spacing w:line="240" w:lineRule="auto" w:before="0" w:after="0"/>
        <w:ind w:left="3279" w:right="98" w:hanging="3280"/>
        <w:jc w:val="left"/>
        <w:rPr>
          <w:sz w:val="24"/>
        </w:rPr>
      </w:pPr>
      <w:r>
        <w:rPr>
          <w:sz w:val="24"/>
          <w:u w:val="single"/>
        </w:rPr>
        <w:t>Summary and</w:t>
      </w:r>
      <w:r>
        <w:rPr>
          <w:spacing w:val="-3"/>
          <w:sz w:val="24"/>
          <w:u w:val="single"/>
        </w:rPr>
        <w:t> </w:t>
      </w:r>
      <w:r>
        <w:rPr>
          <w:sz w:val="24"/>
          <w:u w:val="single"/>
        </w:rPr>
        <w:t>Conclusions</w:t>
      </w:r>
    </w:p>
    <w:p>
      <w:pPr>
        <w:pStyle w:val="BodyText"/>
        <w:rPr>
          <w:sz w:val="20"/>
        </w:rPr>
      </w:pPr>
    </w:p>
    <w:p>
      <w:pPr>
        <w:pStyle w:val="BodyText"/>
        <w:spacing w:before="7"/>
        <w:rPr>
          <w:sz w:val="18"/>
        </w:rPr>
      </w:pPr>
    </w:p>
    <w:p>
      <w:pPr>
        <w:pStyle w:val="BodyText"/>
        <w:spacing w:line="360" w:lineRule="auto" w:before="90"/>
        <w:ind w:left="235" w:right="397"/>
      </w:pPr>
      <w:r>
        <w:rPr/>
        <w:t>In judging the recent performance of the UK labour market, we consider both the overall macroeconomic performance and some of the underlying micro problems, particularly those facing unskilled workers. On the macro front, the news is rather good. We have seen a continuing decline in unemployment down to its lowest level for a generation without excessive inflationary pressure. This suggests that equilibrium unemployment has been declining and, in fact, it has been doing so since the mid 1980s. The reasons why this has happened are first, because the balance of power in wage bargaining has shifted away from workers as union coverage has declined significantly over the last twenty years and unions have become far less adversarial. Second, unemployment benefits have also declined over the same period and the whole benefit system has become much more focused on getting the unemployed back into work. These are the most important factors with a small additional contribution from the decline in taxes on employment.</w:t>
      </w:r>
    </w:p>
    <w:p>
      <w:pPr>
        <w:pStyle w:val="BodyText"/>
        <w:spacing w:before="10"/>
        <w:rPr>
          <w:sz w:val="36"/>
        </w:rPr>
      </w:pPr>
    </w:p>
    <w:p>
      <w:pPr>
        <w:pStyle w:val="BodyText"/>
        <w:spacing w:line="360" w:lineRule="auto"/>
        <w:ind w:left="235" w:right="374"/>
      </w:pPr>
      <w:r>
        <w:rPr/>
        <w:t>These changes were, of course, initiated long before the present government came to </w:t>
      </w:r>
      <w:r>
        <w:rPr>
          <w:spacing w:val="-3"/>
        </w:rPr>
        <w:t>power </w:t>
      </w:r>
      <w:r>
        <w:rPr/>
        <w:t>in </w:t>
      </w:r>
      <w:r>
        <w:rPr>
          <w:spacing w:val="-3"/>
        </w:rPr>
        <w:t>1997. </w:t>
      </w:r>
      <w:r>
        <w:rPr/>
        <w:t>So </w:t>
      </w:r>
      <w:r>
        <w:rPr>
          <w:spacing w:val="-3"/>
        </w:rPr>
        <w:t>what </w:t>
      </w:r>
      <w:r>
        <w:rPr/>
        <w:t>is the </w:t>
      </w:r>
      <w:r>
        <w:rPr>
          <w:spacing w:val="-3"/>
        </w:rPr>
        <w:t>likely future impact </w:t>
      </w:r>
      <w:r>
        <w:rPr/>
        <w:t>on </w:t>
      </w:r>
      <w:r>
        <w:rPr>
          <w:spacing w:val="-3"/>
        </w:rPr>
        <w:t>unemployment </w:t>
      </w:r>
      <w:r>
        <w:rPr/>
        <w:t>of the </w:t>
      </w:r>
      <w:r>
        <w:rPr>
          <w:spacing w:val="-3"/>
        </w:rPr>
        <w:t>relevant </w:t>
      </w:r>
      <w:r>
        <w:rPr/>
        <w:t>changes instituted after 1997? Overall, we think these are likely to be small. </w:t>
      </w:r>
      <w:r>
        <w:rPr>
          <w:spacing w:val="8"/>
        </w:rPr>
        <w:t>For </w:t>
      </w:r>
      <w:r>
        <w:rPr/>
        <w:t>example, the introduction of the National Minimum Wage and the new procedure </w:t>
      </w:r>
      <w:r>
        <w:rPr>
          <w:spacing w:val="-2"/>
        </w:rPr>
        <w:t>for </w:t>
      </w:r>
      <w:r>
        <w:rPr/>
        <w:t>union recognition are unlikely to generate any significant increases in </w:t>
      </w:r>
      <w:r>
        <w:rPr>
          <w:spacing w:val="-2"/>
        </w:rPr>
        <w:t>unemployment </w:t>
      </w:r>
      <w:r>
        <w:rPr/>
        <w:t>and the </w:t>
      </w:r>
      <w:r>
        <w:rPr>
          <w:spacing w:val="-3"/>
        </w:rPr>
        <w:t>same </w:t>
      </w:r>
      <w:r>
        <w:rPr/>
        <w:t>is true of the </w:t>
      </w:r>
      <w:r>
        <w:rPr>
          <w:spacing w:val="-3"/>
        </w:rPr>
        <w:t>significant </w:t>
      </w:r>
      <w:r>
        <w:rPr/>
        <w:t>increases in the </w:t>
      </w:r>
      <w:r>
        <w:rPr>
          <w:spacing w:val="-3"/>
        </w:rPr>
        <w:t>financial burdens </w:t>
      </w:r>
      <w:r>
        <w:rPr/>
        <w:t>on </w:t>
      </w:r>
      <w:r>
        <w:rPr>
          <w:spacing w:val="-3"/>
        </w:rPr>
        <w:t>UK </w:t>
      </w:r>
      <w:r>
        <w:rPr/>
        <w:t>business because of new regulations on working time, part-time workers, parental leave and the like. Pointing the other way, the New Deals and the increasing rigour of competition policy will probably only have a small positive impact on employment </w:t>
      </w:r>
      <w:r>
        <w:rPr>
          <w:spacing w:val="-3"/>
        </w:rPr>
        <w:t>over the </w:t>
      </w:r>
      <w:r>
        <w:rPr>
          <w:spacing w:val="-4"/>
        </w:rPr>
        <w:t>medium</w:t>
      </w:r>
      <w:r>
        <w:rPr>
          <w:spacing w:val="39"/>
        </w:rPr>
        <w:t> </w:t>
      </w:r>
      <w:r>
        <w:rPr>
          <w:spacing w:val="-4"/>
        </w:rPr>
        <w:t>term.</w:t>
      </w:r>
    </w:p>
    <w:p>
      <w:pPr>
        <w:spacing w:after="0" w:line="360" w:lineRule="auto"/>
        <w:sectPr>
          <w:pgSz w:w="11920" w:h="16840"/>
          <w:pgMar w:header="0" w:footer="779" w:top="1360" w:bottom="960" w:left="1580" w:right="1460"/>
        </w:sectPr>
      </w:pPr>
    </w:p>
    <w:p>
      <w:pPr>
        <w:pStyle w:val="BodyText"/>
        <w:spacing w:line="357" w:lineRule="auto" w:before="76"/>
        <w:ind w:left="235" w:right="397"/>
      </w:pPr>
      <w:r>
        <w:rPr/>
        <w:t>Turning now to the imbalances underlying the favourable macroeconomic labour market performance, the key problem is the rapid increase in the level of inactivity among men. This has been particularly dramatic among unskilled men, so that by the late 1990s, around 30 percent of working age men with no qualifications were inactive. Underlying this has been the rapid fall in demand for unskilled male labour which significantly outpaced the fall in supply as educational standards rose. The majority of inactive men of working age report themselves as sick or disabled, so there has been a spectacular rise in the number of working age men in receipt of incapacity benefit, concentrated among the unskilled.</w:t>
      </w:r>
    </w:p>
    <w:p>
      <w:pPr>
        <w:pStyle w:val="BodyText"/>
        <w:spacing w:before="2"/>
        <w:rPr>
          <w:sz w:val="38"/>
        </w:rPr>
      </w:pPr>
    </w:p>
    <w:p>
      <w:pPr>
        <w:pStyle w:val="BodyText"/>
        <w:spacing w:line="360" w:lineRule="auto"/>
        <w:ind w:left="235" w:right="393"/>
      </w:pPr>
      <w:r>
        <w:rPr/>
        <w:t>The policy response to this situation since 1997 has been to focus on policies to encourage the unskilled into work while simultaneously raising the rewards for working. The main set of policies in the first category are the New Deal policies which are targeted on a variety of groups and provide systematic mechanisms aimed at getting participants into jobs. The second set of policies include the introduction of the National Minimum Wage and new forms of “in-work” benefits, notably the Working Families Tax Credit. Since these policies are all relatively new, their overall impact is hard to judge but the New Deal for young people has had considerable success in getting long-term unemployed young people into work. On the other hand, the Working Families Tax Credit has had only a small positive impact on labour supply although it has had a significant effect in terms of reducing child poverty. So far, however, the existing policies do not seem likely to help in significantly reducing the high levels of worklessness among unskilled men, particularly in the older age groups.</w:t>
      </w:r>
    </w:p>
    <w:p>
      <w:pPr>
        <w:spacing w:after="0" w:line="360" w:lineRule="auto"/>
        <w:sectPr>
          <w:pgSz w:w="11920" w:h="16840"/>
          <w:pgMar w:header="0" w:footer="779" w:top="1360" w:bottom="960" w:left="1580" w:right="1460"/>
        </w:sectPr>
      </w:pPr>
    </w:p>
    <w:p>
      <w:pPr>
        <w:pStyle w:val="BodyText"/>
        <w:spacing w:before="76"/>
        <w:ind w:left="768" w:right="867"/>
        <w:jc w:val="center"/>
      </w:pPr>
      <w:r>
        <w:rPr>
          <w:u w:val="single"/>
        </w:rPr>
        <w:t>End Notes</w:t>
      </w:r>
    </w:p>
    <w:p>
      <w:pPr>
        <w:pStyle w:val="BodyText"/>
        <w:rPr>
          <w:sz w:val="20"/>
        </w:rPr>
      </w:pPr>
    </w:p>
    <w:p>
      <w:pPr>
        <w:pStyle w:val="BodyText"/>
        <w:spacing w:before="10"/>
        <w:rPr>
          <w:sz w:val="19"/>
        </w:rPr>
      </w:pPr>
    </w:p>
    <w:p>
      <w:pPr>
        <w:pStyle w:val="ListParagraph"/>
        <w:numPr>
          <w:ilvl w:val="0"/>
          <w:numId w:val="4"/>
        </w:numPr>
        <w:tabs>
          <w:tab w:pos="595" w:val="left" w:leader="none"/>
        </w:tabs>
        <w:spacing w:line="360" w:lineRule="auto" w:before="90" w:after="0"/>
        <w:ind w:left="595" w:right="648" w:hanging="360"/>
        <w:jc w:val="left"/>
        <w:rPr>
          <w:sz w:val="24"/>
        </w:rPr>
      </w:pPr>
      <w:r>
        <w:rPr>
          <w:sz w:val="24"/>
        </w:rPr>
        <w:t>This level of unemployment is sometimes called the ‘non-accelerating inflation rate of unemployment’ (NAIRU) or the natural rate. Neither of these names is </w:t>
      </w:r>
      <w:r>
        <w:rPr>
          <w:spacing w:val="-3"/>
          <w:sz w:val="24"/>
        </w:rPr>
        <w:t>very </w:t>
      </w:r>
      <w:r>
        <w:rPr>
          <w:sz w:val="24"/>
        </w:rPr>
        <w:t>appealing, the latter </w:t>
      </w:r>
      <w:r>
        <w:rPr>
          <w:spacing w:val="-3"/>
          <w:sz w:val="24"/>
        </w:rPr>
        <w:t>because </w:t>
      </w:r>
      <w:r>
        <w:rPr>
          <w:sz w:val="24"/>
        </w:rPr>
        <w:t>there is </w:t>
      </w:r>
      <w:r>
        <w:rPr>
          <w:spacing w:val="-3"/>
          <w:sz w:val="24"/>
        </w:rPr>
        <w:t>nothing natural </w:t>
      </w:r>
      <w:r>
        <w:rPr>
          <w:sz w:val="24"/>
        </w:rPr>
        <w:t>about it, the </w:t>
      </w:r>
      <w:r>
        <w:rPr>
          <w:spacing w:val="-3"/>
          <w:sz w:val="24"/>
        </w:rPr>
        <w:t>former </w:t>
      </w:r>
      <w:r>
        <w:rPr>
          <w:sz w:val="24"/>
        </w:rPr>
        <w:t>because the inflation rate should be unchanging rather than</w:t>
      </w:r>
      <w:r>
        <w:rPr>
          <w:spacing w:val="-8"/>
          <w:sz w:val="24"/>
        </w:rPr>
        <w:t> </w:t>
      </w:r>
      <w:r>
        <w:rPr>
          <w:sz w:val="24"/>
        </w:rPr>
        <w:t>non-accelerating.</w:t>
      </w:r>
    </w:p>
    <w:p>
      <w:pPr>
        <w:pStyle w:val="BodyText"/>
        <w:spacing w:before="3"/>
      </w:pPr>
    </w:p>
    <w:p>
      <w:pPr>
        <w:pStyle w:val="ListParagraph"/>
        <w:numPr>
          <w:ilvl w:val="0"/>
          <w:numId w:val="4"/>
        </w:numPr>
        <w:tabs>
          <w:tab w:pos="595" w:val="left" w:leader="none"/>
        </w:tabs>
        <w:spacing w:line="357" w:lineRule="auto" w:before="0" w:after="0"/>
        <w:ind w:left="595" w:right="363" w:hanging="360"/>
        <w:jc w:val="left"/>
        <w:rPr>
          <w:sz w:val="24"/>
        </w:rPr>
      </w:pPr>
      <w:r>
        <w:rPr>
          <w:sz w:val="24"/>
        </w:rPr>
        <w:t>For detailed evidence on this issue see, for example, Nickell, 1997. Many heavily unionised countries in Europe, such as the Netherlands, Denmark and Norway have systems of collective bargaining which enable the parties to the bargain to take account of the macroeconomic consequences of the agreements they strike. This has helped them to achieve low levels of unemployment. Such co-ordination was </w:t>
      </w:r>
      <w:r>
        <w:rPr>
          <w:spacing w:val="-3"/>
          <w:sz w:val="24"/>
        </w:rPr>
        <w:t>attempted </w:t>
      </w:r>
      <w:r>
        <w:rPr>
          <w:sz w:val="24"/>
        </w:rPr>
        <w:t>in </w:t>
      </w:r>
      <w:r>
        <w:rPr>
          <w:spacing w:val="-3"/>
          <w:sz w:val="24"/>
        </w:rPr>
        <w:t>Britain </w:t>
      </w:r>
      <w:r>
        <w:rPr>
          <w:sz w:val="24"/>
        </w:rPr>
        <w:t>in the </w:t>
      </w:r>
      <w:r>
        <w:rPr>
          <w:spacing w:val="-3"/>
          <w:sz w:val="24"/>
        </w:rPr>
        <w:t>late 1970s with only limited success because the </w:t>
      </w:r>
      <w:r>
        <w:rPr>
          <w:sz w:val="24"/>
        </w:rPr>
        <w:t>institutional framework was simply not up to the</w:t>
      </w:r>
      <w:r>
        <w:rPr>
          <w:spacing w:val="28"/>
          <w:sz w:val="24"/>
        </w:rPr>
        <w:t> </w:t>
      </w:r>
      <w:r>
        <w:rPr>
          <w:sz w:val="24"/>
        </w:rPr>
        <w:t>task.</w:t>
      </w:r>
    </w:p>
    <w:p>
      <w:pPr>
        <w:pStyle w:val="BodyText"/>
        <w:spacing w:before="8"/>
        <w:rPr>
          <w:sz w:val="36"/>
        </w:rPr>
      </w:pPr>
    </w:p>
    <w:p>
      <w:pPr>
        <w:pStyle w:val="ListParagraph"/>
        <w:numPr>
          <w:ilvl w:val="0"/>
          <w:numId w:val="4"/>
        </w:numPr>
        <w:tabs>
          <w:tab w:pos="595" w:val="left" w:leader="none"/>
        </w:tabs>
        <w:spacing w:line="364" w:lineRule="auto" w:before="0" w:after="0"/>
        <w:ind w:left="595" w:right="768" w:hanging="360"/>
        <w:jc w:val="left"/>
        <w:rPr>
          <w:sz w:val="24"/>
        </w:rPr>
      </w:pPr>
      <w:r>
        <w:rPr>
          <w:sz w:val="24"/>
        </w:rPr>
        <w:t>Evidence suggests that most public sector wages follow the lead of the private sector, often with a considerable</w:t>
      </w:r>
      <w:r>
        <w:rPr>
          <w:spacing w:val="15"/>
          <w:sz w:val="24"/>
        </w:rPr>
        <w:t> </w:t>
      </w:r>
      <w:r>
        <w:rPr>
          <w:sz w:val="24"/>
        </w:rPr>
        <w:t>lag.</w:t>
      </w:r>
    </w:p>
    <w:p>
      <w:pPr>
        <w:pStyle w:val="BodyText"/>
        <w:spacing w:before="3"/>
        <w:rPr>
          <w:sz w:val="35"/>
        </w:rPr>
      </w:pPr>
    </w:p>
    <w:p>
      <w:pPr>
        <w:pStyle w:val="ListParagraph"/>
        <w:numPr>
          <w:ilvl w:val="0"/>
          <w:numId w:val="4"/>
        </w:numPr>
        <w:tabs>
          <w:tab w:pos="595" w:val="left" w:leader="none"/>
        </w:tabs>
        <w:spacing w:line="357" w:lineRule="auto" w:before="1" w:after="0"/>
        <w:ind w:left="595" w:right="648" w:hanging="360"/>
        <w:jc w:val="left"/>
        <w:rPr>
          <w:sz w:val="24"/>
        </w:rPr>
      </w:pPr>
      <w:r>
        <w:rPr>
          <w:sz w:val="24"/>
        </w:rPr>
        <w:t>The rough and ready numbers reported in Nickell and Van Ours (2000) suggest </w:t>
      </w:r>
      <w:r>
        <w:rPr>
          <w:spacing w:val="-3"/>
          <w:sz w:val="24"/>
        </w:rPr>
        <w:t>that this factor </w:t>
      </w:r>
      <w:r>
        <w:rPr>
          <w:sz w:val="24"/>
        </w:rPr>
        <w:t>has </w:t>
      </w:r>
      <w:r>
        <w:rPr>
          <w:spacing w:val="-3"/>
          <w:sz w:val="24"/>
        </w:rPr>
        <w:t>made </w:t>
      </w:r>
      <w:r>
        <w:rPr>
          <w:sz w:val="24"/>
        </w:rPr>
        <w:t>the </w:t>
      </w:r>
      <w:r>
        <w:rPr>
          <w:spacing w:val="-3"/>
          <w:sz w:val="24"/>
        </w:rPr>
        <w:t>most important contribution </w:t>
      </w:r>
      <w:r>
        <w:rPr>
          <w:sz w:val="24"/>
        </w:rPr>
        <w:t>to the </w:t>
      </w:r>
      <w:r>
        <w:rPr>
          <w:spacing w:val="-3"/>
          <w:sz w:val="24"/>
        </w:rPr>
        <w:t>decline in </w:t>
      </w:r>
      <w:r>
        <w:rPr>
          <w:sz w:val="24"/>
        </w:rPr>
        <w:t>equilibrium</w:t>
      </w:r>
      <w:r>
        <w:rPr>
          <w:spacing w:val="13"/>
          <w:sz w:val="24"/>
        </w:rPr>
        <w:t> </w:t>
      </w:r>
      <w:r>
        <w:rPr>
          <w:sz w:val="24"/>
        </w:rPr>
        <w:t>unemployment.</w:t>
      </w:r>
    </w:p>
    <w:p>
      <w:pPr>
        <w:pStyle w:val="BodyText"/>
        <w:spacing w:before="5"/>
        <w:rPr>
          <w:sz w:val="37"/>
        </w:rPr>
      </w:pPr>
    </w:p>
    <w:p>
      <w:pPr>
        <w:pStyle w:val="ListParagraph"/>
        <w:numPr>
          <w:ilvl w:val="0"/>
          <w:numId w:val="4"/>
        </w:numPr>
        <w:tabs>
          <w:tab w:pos="595" w:val="left" w:leader="none"/>
        </w:tabs>
        <w:spacing w:line="360" w:lineRule="auto" w:before="0" w:after="0"/>
        <w:ind w:left="595" w:right="603" w:hanging="360"/>
        <w:jc w:val="left"/>
        <w:rPr>
          <w:sz w:val="24"/>
        </w:rPr>
      </w:pPr>
      <w:r>
        <w:rPr>
          <w:sz w:val="24"/>
        </w:rPr>
        <w:t>That is, they might consider asking employees whether they want to sacrifice wages in order to have new rights. Typically, however, employees and </w:t>
      </w:r>
      <w:r>
        <w:rPr>
          <w:spacing w:val="-2"/>
          <w:sz w:val="24"/>
        </w:rPr>
        <w:t>others </w:t>
      </w:r>
      <w:r>
        <w:rPr>
          <w:spacing w:val="-3"/>
          <w:sz w:val="24"/>
        </w:rPr>
        <w:t>usually have </w:t>
      </w:r>
      <w:r>
        <w:rPr>
          <w:sz w:val="24"/>
        </w:rPr>
        <w:t>the </w:t>
      </w:r>
      <w:r>
        <w:rPr>
          <w:spacing w:val="-3"/>
          <w:sz w:val="24"/>
        </w:rPr>
        <w:t>impression that </w:t>
      </w:r>
      <w:r>
        <w:rPr>
          <w:sz w:val="24"/>
        </w:rPr>
        <w:t>the </w:t>
      </w:r>
      <w:r>
        <w:rPr>
          <w:spacing w:val="-3"/>
          <w:sz w:val="24"/>
        </w:rPr>
        <w:t>costs </w:t>
      </w:r>
      <w:r>
        <w:rPr>
          <w:sz w:val="24"/>
        </w:rPr>
        <w:t>of </w:t>
      </w:r>
      <w:r>
        <w:rPr>
          <w:spacing w:val="-3"/>
          <w:sz w:val="24"/>
        </w:rPr>
        <w:t>their </w:t>
      </w:r>
      <w:r>
        <w:rPr>
          <w:sz w:val="24"/>
        </w:rPr>
        <w:t>new </w:t>
      </w:r>
      <w:r>
        <w:rPr>
          <w:spacing w:val="-3"/>
          <w:sz w:val="24"/>
        </w:rPr>
        <w:t>rights will </w:t>
      </w:r>
      <w:r>
        <w:rPr>
          <w:sz w:val="24"/>
        </w:rPr>
        <w:t>be </w:t>
      </w:r>
      <w:r>
        <w:rPr>
          <w:spacing w:val="-3"/>
          <w:sz w:val="24"/>
        </w:rPr>
        <w:t>paid </w:t>
      </w:r>
      <w:r>
        <w:rPr>
          <w:sz w:val="24"/>
        </w:rPr>
        <w:t>for </w:t>
      </w:r>
      <w:r>
        <w:rPr>
          <w:spacing w:val="-3"/>
          <w:sz w:val="24"/>
        </w:rPr>
        <w:t>out </w:t>
      </w:r>
      <w:r>
        <w:rPr>
          <w:sz w:val="24"/>
        </w:rPr>
        <w:t>of profits, an impression reinforced because managers also like to claim this as </w:t>
      </w:r>
      <w:r>
        <w:rPr>
          <w:spacing w:val="-3"/>
          <w:sz w:val="24"/>
        </w:rPr>
        <w:t>well. </w:t>
      </w:r>
      <w:r>
        <w:rPr>
          <w:sz w:val="24"/>
        </w:rPr>
        <w:t>In the </w:t>
      </w:r>
      <w:r>
        <w:rPr>
          <w:spacing w:val="-3"/>
          <w:sz w:val="24"/>
        </w:rPr>
        <w:t>longer run, however, this </w:t>
      </w:r>
      <w:r>
        <w:rPr>
          <w:sz w:val="24"/>
        </w:rPr>
        <w:t>is not the </w:t>
      </w:r>
      <w:r>
        <w:rPr>
          <w:spacing w:val="-3"/>
          <w:sz w:val="24"/>
        </w:rPr>
        <w:t>case because market wages </w:t>
      </w:r>
      <w:r>
        <w:rPr>
          <w:sz w:val="24"/>
        </w:rPr>
        <w:t>typically adjust to</w:t>
      </w:r>
      <w:r>
        <w:rPr>
          <w:spacing w:val="7"/>
          <w:sz w:val="24"/>
        </w:rPr>
        <w:t> </w:t>
      </w:r>
      <w:r>
        <w:rPr>
          <w:sz w:val="24"/>
        </w:rPr>
        <w:t>compensate.</w:t>
      </w:r>
    </w:p>
    <w:p>
      <w:pPr>
        <w:pStyle w:val="BodyText"/>
        <w:spacing w:before="9"/>
        <w:rPr>
          <w:sz w:val="35"/>
        </w:rPr>
      </w:pPr>
    </w:p>
    <w:p>
      <w:pPr>
        <w:pStyle w:val="ListParagraph"/>
        <w:numPr>
          <w:ilvl w:val="0"/>
          <w:numId w:val="4"/>
        </w:numPr>
        <w:tabs>
          <w:tab w:pos="595" w:val="left" w:leader="none"/>
        </w:tabs>
        <w:spacing w:line="240" w:lineRule="auto" w:before="0" w:after="0"/>
        <w:ind w:left="595" w:right="0" w:hanging="360"/>
        <w:jc w:val="left"/>
        <w:rPr>
          <w:sz w:val="24"/>
        </w:rPr>
      </w:pPr>
      <w:r>
        <w:rPr>
          <w:sz w:val="24"/>
        </w:rPr>
        <w:t>See Schweitzer (2001), Table 1. Figures refer to</w:t>
      </w:r>
      <w:r>
        <w:rPr>
          <w:spacing w:val="18"/>
          <w:sz w:val="24"/>
        </w:rPr>
        <w:t> </w:t>
      </w:r>
      <w:r>
        <w:rPr>
          <w:sz w:val="24"/>
        </w:rPr>
        <w:t>1993-9.</w:t>
      </w:r>
    </w:p>
    <w:p>
      <w:pPr>
        <w:pStyle w:val="BodyText"/>
        <w:rPr>
          <w:sz w:val="26"/>
        </w:rPr>
      </w:pPr>
    </w:p>
    <w:p>
      <w:pPr>
        <w:pStyle w:val="BodyText"/>
        <w:spacing w:before="9"/>
        <w:rPr>
          <w:sz w:val="21"/>
        </w:rPr>
      </w:pPr>
    </w:p>
    <w:p>
      <w:pPr>
        <w:pStyle w:val="ListParagraph"/>
        <w:numPr>
          <w:ilvl w:val="0"/>
          <w:numId w:val="4"/>
        </w:numPr>
        <w:tabs>
          <w:tab w:pos="595" w:val="left" w:leader="none"/>
        </w:tabs>
        <w:spacing w:line="357" w:lineRule="auto" w:before="0" w:after="0"/>
        <w:ind w:left="595" w:right="393" w:hanging="360"/>
        <w:jc w:val="left"/>
        <w:rPr>
          <w:sz w:val="24"/>
        </w:rPr>
      </w:pPr>
      <w:r>
        <w:rPr>
          <w:sz w:val="24"/>
        </w:rPr>
        <w:t>The overall picture of rapidly rising inactivity among men due to sickness </w:t>
      </w:r>
      <w:r>
        <w:rPr>
          <w:spacing w:val="-2"/>
          <w:sz w:val="24"/>
        </w:rPr>
        <w:t>and </w:t>
      </w:r>
      <w:r>
        <w:rPr>
          <w:sz w:val="24"/>
        </w:rPr>
        <w:t>disability is consistent with the rapid rise in the number of claimants to Incapacity Benefit (previously Sickness and Invalidity Benefit). In 1985 there were</w:t>
      </w:r>
      <w:r>
        <w:rPr>
          <w:spacing w:val="-15"/>
          <w:sz w:val="24"/>
        </w:rPr>
        <w:t> </w:t>
      </w:r>
      <w:r>
        <w:rPr>
          <w:spacing w:val="-2"/>
          <w:sz w:val="24"/>
        </w:rPr>
        <w:t>830</w:t>
      </w:r>
    </w:p>
    <w:p>
      <w:pPr>
        <w:spacing w:after="0" w:line="357" w:lineRule="auto"/>
        <w:jc w:val="left"/>
        <w:rPr>
          <w:sz w:val="24"/>
        </w:rPr>
        <w:sectPr>
          <w:pgSz w:w="11920" w:h="16840"/>
          <w:pgMar w:header="0" w:footer="779" w:top="1360" w:bottom="960" w:left="1580" w:right="1460"/>
        </w:sectPr>
      </w:pPr>
    </w:p>
    <w:p>
      <w:pPr>
        <w:pStyle w:val="BodyText"/>
        <w:spacing w:line="357" w:lineRule="auto" w:before="76"/>
        <w:ind w:left="595" w:right="433"/>
      </w:pPr>
      <w:r>
        <w:rPr/>
        <w:t>thousand male claimants. By 1996, this had doubled to 1.63 million. However, after this date the numbers declined to 1.46 million in 1999, basically because the system was tightened when Incapacity Benefit was introduced in 1995. (See UK Social Security Statistics, 2000). In Table 12, we can also see some flattening off in the numbers after 1996.</w:t>
      </w:r>
    </w:p>
    <w:p>
      <w:pPr>
        <w:pStyle w:val="BodyText"/>
        <w:spacing w:before="4"/>
        <w:rPr>
          <w:sz w:val="36"/>
        </w:rPr>
      </w:pPr>
    </w:p>
    <w:p>
      <w:pPr>
        <w:pStyle w:val="ListParagraph"/>
        <w:numPr>
          <w:ilvl w:val="0"/>
          <w:numId w:val="4"/>
        </w:numPr>
        <w:tabs>
          <w:tab w:pos="595" w:val="left" w:leader="none"/>
        </w:tabs>
        <w:spacing w:line="364" w:lineRule="auto" w:before="1" w:after="0"/>
        <w:ind w:left="595" w:right="843" w:hanging="360"/>
        <w:jc w:val="left"/>
        <w:rPr>
          <w:sz w:val="24"/>
        </w:rPr>
      </w:pPr>
      <w:r>
        <w:rPr>
          <w:sz w:val="24"/>
        </w:rPr>
        <w:t>So the supply of housing, medical and banking services, for example, will </w:t>
      </w:r>
      <w:r>
        <w:rPr>
          <w:spacing w:val="-2"/>
          <w:sz w:val="24"/>
        </w:rPr>
        <w:t>all </w:t>
      </w:r>
      <w:r>
        <w:rPr>
          <w:sz w:val="24"/>
        </w:rPr>
        <w:t>typically deteriorate as the relative economic position of the locality</w:t>
      </w:r>
      <w:r>
        <w:rPr>
          <w:spacing w:val="6"/>
          <w:sz w:val="24"/>
        </w:rPr>
        <w:t> </w:t>
      </w:r>
      <w:r>
        <w:rPr>
          <w:spacing w:val="-3"/>
          <w:sz w:val="24"/>
        </w:rPr>
        <w:t>declines.</w:t>
      </w:r>
    </w:p>
    <w:p>
      <w:pPr>
        <w:pStyle w:val="BodyText"/>
        <w:spacing w:before="3"/>
        <w:rPr>
          <w:sz w:val="35"/>
        </w:rPr>
      </w:pPr>
    </w:p>
    <w:p>
      <w:pPr>
        <w:pStyle w:val="ListParagraph"/>
        <w:numPr>
          <w:ilvl w:val="0"/>
          <w:numId w:val="4"/>
        </w:numPr>
        <w:tabs>
          <w:tab w:pos="595" w:val="left" w:leader="none"/>
        </w:tabs>
        <w:spacing w:line="360" w:lineRule="auto" w:before="0" w:after="0"/>
        <w:ind w:left="595" w:right="573" w:hanging="360"/>
        <w:jc w:val="left"/>
        <w:rPr>
          <w:sz w:val="24"/>
        </w:rPr>
      </w:pPr>
      <w:r>
        <w:rPr>
          <w:sz w:val="24"/>
        </w:rPr>
        <w:t>For example, the results of the OECD Literacy Survey (OECD, 1997a) indicate that some 22 percent of the population of working age in the UK is at the </w:t>
      </w:r>
      <w:r>
        <w:rPr>
          <w:spacing w:val="-2"/>
          <w:sz w:val="24"/>
        </w:rPr>
        <w:t>lowest </w:t>
      </w:r>
      <w:r>
        <w:rPr>
          <w:sz w:val="24"/>
        </w:rPr>
        <w:t>level of literacy (close to illiteracy) compared with around 10 percent in </w:t>
      </w:r>
      <w:r>
        <w:rPr>
          <w:spacing w:val="-2"/>
          <w:sz w:val="24"/>
        </w:rPr>
        <w:t>the </w:t>
      </w:r>
      <w:r>
        <w:rPr>
          <w:sz w:val="24"/>
        </w:rPr>
        <w:t>typical Northern European country (Germany, Netherlands,</w:t>
      </w:r>
      <w:r>
        <w:rPr>
          <w:spacing w:val="-2"/>
          <w:sz w:val="24"/>
        </w:rPr>
        <w:t> </w:t>
      </w:r>
      <w:r>
        <w:rPr>
          <w:sz w:val="24"/>
        </w:rPr>
        <w:t>Sweden).</w:t>
      </w:r>
    </w:p>
    <w:p>
      <w:pPr>
        <w:pStyle w:val="BodyText"/>
        <w:rPr>
          <w:sz w:val="36"/>
        </w:rPr>
      </w:pPr>
    </w:p>
    <w:p>
      <w:pPr>
        <w:pStyle w:val="ListParagraph"/>
        <w:numPr>
          <w:ilvl w:val="0"/>
          <w:numId w:val="4"/>
        </w:numPr>
        <w:tabs>
          <w:tab w:pos="595" w:val="left" w:leader="none"/>
        </w:tabs>
        <w:spacing w:line="360" w:lineRule="auto" w:before="0" w:after="0"/>
        <w:ind w:left="595" w:right="363" w:hanging="360"/>
        <w:jc w:val="left"/>
        <w:rPr>
          <w:sz w:val="24"/>
        </w:rPr>
      </w:pPr>
      <w:r>
        <w:rPr>
          <w:sz w:val="24"/>
        </w:rPr>
        <w:t>For example, Alistair Darling, the Secretary of State for Work and Pensions recently proposed that those on incapacity benefit might periodically have their capacity for undertaking employment reassessed.  This was greeted by a high level of protest despite the fact that the number of persons drawing sickness </w:t>
      </w:r>
      <w:r>
        <w:rPr>
          <w:spacing w:val="-2"/>
          <w:sz w:val="24"/>
        </w:rPr>
        <w:t>and </w:t>
      </w:r>
      <w:r>
        <w:rPr>
          <w:sz w:val="24"/>
        </w:rPr>
        <w:t>incapacity benefit has more or less doubled since 1985 while, at the same time,</w:t>
      </w:r>
      <w:r>
        <w:rPr>
          <w:spacing w:val="-33"/>
          <w:sz w:val="24"/>
        </w:rPr>
        <w:t> </w:t>
      </w:r>
      <w:r>
        <w:rPr>
          <w:spacing w:val="-2"/>
          <w:sz w:val="24"/>
        </w:rPr>
        <w:t>the </w:t>
      </w:r>
      <w:r>
        <w:rPr>
          <w:sz w:val="24"/>
        </w:rPr>
        <w:t>overall health of the population</w:t>
      </w:r>
      <w:r>
        <w:rPr>
          <w:spacing w:val="15"/>
          <w:sz w:val="24"/>
        </w:rPr>
        <w:t> </w:t>
      </w:r>
      <w:r>
        <w:rPr>
          <w:sz w:val="24"/>
        </w:rPr>
        <w:t>improved.</w:t>
      </w:r>
    </w:p>
    <w:p>
      <w:pPr>
        <w:pStyle w:val="BodyText"/>
        <w:spacing w:before="9"/>
        <w:rPr>
          <w:sz w:val="35"/>
        </w:rPr>
      </w:pPr>
    </w:p>
    <w:p>
      <w:pPr>
        <w:pStyle w:val="ListParagraph"/>
        <w:numPr>
          <w:ilvl w:val="0"/>
          <w:numId w:val="4"/>
        </w:numPr>
        <w:tabs>
          <w:tab w:pos="595" w:val="left" w:leader="none"/>
        </w:tabs>
        <w:spacing w:line="360" w:lineRule="auto" w:before="0" w:after="0"/>
        <w:ind w:left="595" w:right="348" w:hanging="360"/>
        <w:jc w:val="left"/>
        <w:rPr>
          <w:sz w:val="24"/>
        </w:rPr>
      </w:pPr>
      <w:r>
        <w:rPr>
          <w:sz w:val="24"/>
        </w:rPr>
        <w:t>It is also worth remarking that in 1998, the system of National Insurance</w:t>
      </w:r>
      <w:r>
        <w:rPr>
          <w:spacing w:val="-31"/>
          <w:sz w:val="24"/>
        </w:rPr>
        <w:t> </w:t>
      </w:r>
      <w:r>
        <w:rPr>
          <w:sz w:val="24"/>
        </w:rPr>
        <w:t>payments by firms was changed so that when they paid workers above the lower </w:t>
      </w:r>
      <w:r>
        <w:rPr>
          <w:spacing w:val="-2"/>
          <w:sz w:val="24"/>
        </w:rPr>
        <w:t>tax </w:t>
      </w:r>
      <w:r>
        <w:rPr>
          <w:spacing w:val="-3"/>
          <w:sz w:val="24"/>
        </w:rPr>
        <w:t>threshold, they </w:t>
      </w:r>
      <w:r>
        <w:rPr>
          <w:sz w:val="24"/>
        </w:rPr>
        <w:t>no </w:t>
      </w:r>
      <w:r>
        <w:rPr>
          <w:spacing w:val="-3"/>
          <w:sz w:val="24"/>
        </w:rPr>
        <w:t>longer </w:t>
      </w:r>
      <w:r>
        <w:rPr>
          <w:sz w:val="24"/>
        </w:rPr>
        <w:t>had to pay tax on </w:t>
      </w:r>
      <w:r>
        <w:rPr>
          <w:sz w:val="24"/>
          <w:u w:val="single"/>
        </w:rPr>
        <w:t>all</w:t>
      </w:r>
      <w:r>
        <w:rPr>
          <w:sz w:val="24"/>
        </w:rPr>
        <w:t> earnings but instead they paid tax simply on the marginal earnings above the threshold. This eliminated the incentive for firms to pay wages just below the threshold which also </w:t>
      </w:r>
      <w:r>
        <w:rPr>
          <w:spacing w:val="-2"/>
          <w:sz w:val="24"/>
        </w:rPr>
        <w:t>helped </w:t>
      </w:r>
      <w:r>
        <w:rPr>
          <w:sz w:val="24"/>
        </w:rPr>
        <w:t>increase the benefits of working for low paid</w:t>
      </w:r>
      <w:r>
        <w:rPr>
          <w:spacing w:val="27"/>
          <w:sz w:val="24"/>
        </w:rPr>
        <w:t> </w:t>
      </w:r>
      <w:r>
        <w:rPr>
          <w:sz w:val="24"/>
        </w:rPr>
        <w:t>workers.</w:t>
      </w:r>
    </w:p>
    <w:p>
      <w:pPr>
        <w:spacing w:after="0" w:line="360" w:lineRule="auto"/>
        <w:jc w:val="left"/>
        <w:rPr>
          <w:sz w:val="24"/>
        </w:rPr>
        <w:sectPr>
          <w:pgSz w:w="11920" w:h="16840"/>
          <w:pgMar w:header="0" w:footer="779" w:top="1360" w:bottom="960" w:left="1580" w:right="1460"/>
        </w:sectPr>
      </w:pPr>
    </w:p>
    <w:p>
      <w:pPr>
        <w:pStyle w:val="BodyText"/>
        <w:spacing w:before="76"/>
        <w:ind w:left="768" w:right="866"/>
        <w:jc w:val="center"/>
      </w:pPr>
      <w:r>
        <w:rPr>
          <w:u w:val="single"/>
        </w:rPr>
        <w:t>References</w:t>
      </w:r>
    </w:p>
    <w:p>
      <w:pPr>
        <w:pStyle w:val="BodyText"/>
        <w:rPr>
          <w:sz w:val="20"/>
        </w:rPr>
      </w:pPr>
    </w:p>
    <w:p>
      <w:pPr>
        <w:pStyle w:val="BodyText"/>
        <w:spacing w:before="10"/>
        <w:rPr>
          <w:sz w:val="19"/>
        </w:rPr>
      </w:pPr>
    </w:p>
    <w:p>
      <w:pPr>
        <w:pStyle w:val="BodyText"/>
        <w:spacing w:line="357" w:lineRule="auto" w:before="90"/>
        <w:ind w:left="805" w:right="474" w:hanging="570"/>
      </w:pPr>
      <w:r>
        <w:rPr>
          <w:spacing w:val="-3"/>
        </w:rPr>
        <w:t>Anderton, </w:t>
      </w:r>
      <w:r>
        <w:rPr/>
        <w:t>R., </w:t>
      </w:r>
      <w:r>
        <w:rPr>
          <w:spacing w:val="-3"/>
        </w:rPr>
        <w:t>Riley, </w:t>
      </w:r>
      <w:r>
        <w:rPr/>
        <w:t>R. and </w:t>
      </w:r>
      <w:r>
        <w:rPr>
          <w:spacing w:val="-3"/>
        </w:rPr>
        <w:t>Young, </w:t>
      </w:r>
      <w:r>
        <w:rPr/>
        <w:t>G. </w:t>
      </w:r>
      <w:r>
        <w:rPr>
          <w:spacing w:val="-3"/>
        </w:rPr>
        <w:t>(1999), </w:t>
      </w:r>
      <w:r>
        <w:rPr>
          <w:u w:val="single"/>
        </w:rPr>
        <w:t>The New </w:t>
      </w:r>
      <w:r>
        <w:rPr>
          <w:spacing w:val="-3"/>
          <w:u w:val="single"/>
        </w:rPr>
        <w:t>Deal </w:t>
      </w:r>
      <w:r>
        <w:rPr>
          <w:u w:val="single"/>
        </w:rPr>
        <w:t>for </w:t>
      </w:r>
      <w:r>
        <w:rPr>
          <w:spacing w:val="-3"/>
          <w:u w:val="single"/>
        </w:rPr>
        <w:t>Young </w:t>
      </w:r>
      <w:r>
        <w:rPr>
          <w:u w:val="single"/>
        </w:rPr>
        <w:t>People: First</w:t>
      </w:r>
      <w:r>
        <w:rPr/>
        <w:t> </w:t>
      </w:r>
      <w:r>
        <w:rPr>
          <w:u w:val="single"/>
        </w:rPr>
        <w:t>Year Analysis of the Implications for the Macro-Economy</w:t>
      </w:r>
      <w:r>
        <w:rPr/>
        <w:t>, </w:t>
      </w:r>
      <w:r>
        <w:rPr>
          <w:spacing w:val="-4"/>
        </w:rPr>
        <w:t>Employment </w:t>
      </w:r>
      <w:r>
        <w:rPr/>
        <w:t>Service Research and Development Report No.</w:t>
      </w:r>
      <w:r>
        <w:rPr>
          <w:spacing w:val="19"/>
        </w:rPr>
        <w:t> </w:t>
      </w:r>
      <w:r>
        <w:rPr/>
        <w:t>33.</w:t>
      </w:r>
    </w:p>
    <w:p>
      <w:pPr>
        <w:pStyle w:val="BodyText"/>
        <w:spacing w:line="357" w:lineRule="auto" w:before="12"/>
        <w:ind w:left="805" w:right="826" w:hanging="570"/>
      </w:pPr>
      <w:r>
        <w:rPr/>
        <w:t>Anderton, R., Riley, R. and Young, G (1999a), </w:t>
      </w:r>
      <w:r>
        <w:rPr>
          <w:u w:val="single"/>
        </w:rPr>
        <w:t>The New Deal for Young People</w:t>
      </w:r>
      <w:r>
        <w:rPr/>
        <w:t>: </w:t>
      </w:r>
      <w:r>
        <w:rPr>
          <w:u w:val="single"/>
        </w:rPr>
        <w:t>Early Findings from Pathfinder Areas</w:t>
      </w:r>
      <w:r>
        <w:rPr/>
        <w:t>, Employment Service Research and Development Report No. 34.</w:t>
      </w:r>
    </w:p>
    <w:p>
      <w:pPr>
        <w:pStyle w:val="BodyText"/>
        <w:spacing w:line="364" w:lineRule="auto"/>
        <w:ind w:left="805" w:right="738" w:hanging="570"/>
        <w:jc w:val="both"/>
      </w:pPr>
      <w:r>
        <w:rPr/>
        <w:t>Atkinson, A. B. and Micklewright, J. (1988) “Turning the Screw: </w:t>
      </w:r>
      <w:r>
        <w:rPr>
          <w:spacing w:val="-3"/>
        </w:rPr>
        <w:t>Benefits </w:t>
      </w:r>
      <w:r>
        <w:rPr/>
        <w:t>for </w:t>
      </w:r>
      <w:r>
        <w:rPr>
          <w:spacing w:val="-3"/>
        </w:rPr>
        <w:t>the </w:t>
      </w:r>
      <w:r>
        <w:rPr/>
        <w:t>Unemployed 1979088”, Taxation, Incentives and the Distribution of</w:t>
      </w:r>
      <w:r>
        <w:rPr>
          <w:spacing w:val="-30"/>
        </w:rPr>
        <w:t> </w:t>
      </w:r>
      <w:r>
        <w:rPr/>
        <w:t>Income Programme, STICERD, WP No. TIDI/121, London School of</w:t>
      </w:r>
      <w:r>
        <w:rPr>
          <w:spacing w:val="-17"/>
        </w:rPr>
        <w:t> </w:t>
      </w:r>
      <w:r>
        <w:rPr/>
        <w:t>Economics.</w:t>
      </w:r>
    </w:p>
    <w:p>
      <w:pPr>
        <w:pStyle w:val="BodyText"/>
        <w:spacing w:line="357" w:lineRule="auto"/>
        <w:ind w:left="805" w:right="1353" w:hanging="570"/>
        <w:jc w:val="both"/>
      </w:pPr>
      <w:r>
        <w:rPr/>
        <w:t>Berman, E., Bound, J. and Machin, S. (1998), “Implications of Skill Biased Technological Change : International Evidence”, </w:t>
      </w:r>
      <w:r>
        <w:rPr>
          <w:u w:val="single"/>
        </w:rPr>
        <w:t>Quarterly Journal o</w:t>
      </w:r>
      <w:r>
        <w:rPr/>
        <w:t>f </w:t>
      </w:r>
      <w:r>
        <w:rPr>
          <w:u w:val="single"/>
        </w:rPr>
        <w:t>Economics</w:t>
      </w:r>
      <w:r>
        <w:rPr/>
        <w:t>, 113, 1245-79.</w:t>
      </w:r>
    </w:p>
    <w:p>
      <w:pPr>
        <w:pStyle w:val="BodyText"/>
        <w:spacing w:line="357" w:lineRule="auto"/>
        <w:ind w:left="805" w:right="407" w:hanging="570"/>
      </w:pPr>
      <w:r>
        <w:rPr/>
        <w:t>Blundell, R. and Hoynes, H. (2000), “Has In-Work Benefit Reform Helped the Labour Market”, NBER Conference “Seeking a Premier League Economy”, LSE, December 2000.</w:t>
      </w:r>
    </w:p>
    <w:p>
      <w:pPr>
        <w:pStyle w:val="BodyText"/>
        <w:spacing w:line="357" w:lineRule="auto" w:before="5"/>
        <w:ind w:left="805" w:right="888" w:hanging="570"/>
        <w:jc w:val="both"/>
      </w:pPr>
      <w:r>
        <w:rPr/>
        <w:t>Dolado, J., Kramarz, F., Machin, S., Manning, A., Margolis, D. and Teulings, C. (1996), “The Economic Impact of Minimum Wages in Europe”,</w:t>
      </w:r>
      <w:r>
        <w:rPr>
          <w:spacing w:val="-24"/>
        </w:rPr>
        <w:t> </w:t>
      </w:r>
      <w:r>
        <w:rPr>
          <w:u w:val="single"/>
        </w:rPr>
        <w:t>Economic</w:t>
      </w:r>
      <w:r>
        <w:rPr/>
        <w:t> </w:t>
      </w:r>
      <w:r>
        <w:rPr>
          <w:spacing w:val="-3"/>
          <w:u w:val="single"/>
        </w:rPr>
        <w:t>Policy</w:t>
      </w:r>
      <w:r>
        <w:rPr>
          <w:spacing w:val="-3"/>
        </w:rPr>
        <w:t>, </w:t>
      </w:r>
      <w:r>
        <w:rPr/>
        <w:t>23,</w:t>
      </w:r>
      <w:r>
        <w:rPr>
          <w:spacing w:val="5"/>
        </w:rPr>
        <w:t> </w:t>
      </w:r>
      <w:r>
        <w:rPr/>
        <w:t>317-72</w:t>
      </w:r>
    </w:p>
    <w:p>
      <w:pPr>
        <w:pStyle w:val="BodyText"/>
        <w:spacing w:before="12"/>
        <w:ind w:left="235"/>
        <w:jc w:val="both"/>
      </w:pPr>
      <w:r>
        <w:rPr/>
        <w:t>Glennerster, H. (2001)</w:t>
      </w:r>
    </w:p>
    <w:p>
      <w:pPr>
        <w:pStyle w:val="BodyText"/>
        <w:spacing w:line="357" w:lineRule="auto" w:before="129"/>
        <w:ind w:left="805" w:right="360" w:hanging="570"/>
      </w:pPr>
      <w:r>
        <w:rPr/>
        <w:t>Gregg, P. and Wadsworth, J. (1999), “Economic Inactivity” in P. Gregg and J. Wadsworth (eds.) </w:t>
      </w:r>
      <w:r>
        <w:rPr>
          <w:u w:val="single"/>
        </w:rPr>
        <w:t>The State of Working Britain</w:t>
      </w:r>
      <w:r>
        <w:rPr/>
        <w:t> (Manchester: Manchester University Press).</w:t>
      </w:r>
    </w:p>
    <w:p>
      <w:pPr>
        <w:pStyle w:val="BodyText"/>
        <w:spacing w:line="364" w:lineRule="auto" w:before="11"/>
        <w:ind w:left="805" w:right="360" w:hanging="570"/>
      </w:pPr>
      <w:r>
        <w:rPr/>
        <w:t>Gregg, P., Johnson, P. and Reed, H. (1999), “Entering Work and the British Tax and Benefit System”, IFS Monograph, London.</w:t>
      </w:r>
    </w:p>
    <w:p>
      <w:pPr>
        <w:pStyle w:val="BodyText"/>
        <w:spacing w:line="364" w:lineRule="auto"/>
        <w:ind w:left="805" w:right="360" w:hanging="570"/>
      </w:pPr>
      <w:r>
        <w:rPr/>
        <w:t>Hicks, S. (2000), “Trade Union Membership 1998-99”, </w:t>
      </w:r>
      <w:r>
        <w:rPr>
          <w:u w:val="single"/>
        </w:rPr>
        <w:t>UK Labour Market Trends</w:t>
      </w:r>
      <w:r>
        <w:rPr/>
        <w:t> (London: Dept. for Education and Employment), July, 329-337.</w:t>
      </w:r>
    </w:p>
    <w:p>
      <w:pPr>
        <w:pStyle w:val="BodyText"/>
        <w:spacing w:line="364" w:lineRule="auto"/>
        <w:ind w:left="805" w:right="553" w:hanging="570"/>
      </w:pPr>
      <w:r>
        <w:rPr/>
        <w:t>Layard, R., Nickell, S. and Jackman, R. (1994), </w:t>
      </w:r>
      <w:r>
        <w:rPr>
          <w:u w:val="single"/>
        </w:rPr>
        <w:t>The Unemployment Crisis</w:t>
      </w:r>
      <w:r>
        <w:rPr/>
        <w:t> (Oxford: Oxford University Press)</w:t>
      </w:r>
    </w:p>
    <w:p>
      <w:pPr>
        <w:pStyle w:val="BodyText"/>
        <w:spacing w:line="352" w:lineRule="auto"/>
        <w:ind w:left="805" w:right="599" w:hanging="570"/>
      </w:pPr>
      <w:r>
        <w:rPr/>
        <w:t>Machin, S. (2000), “Union Decline in Britain”, CEP Discussion Paper 455, London School of Economics.</w:t>
      </w:r>
    </w:p>
    <w:p>
      <w:pPr>
        <w:spacing w:after="0" w:line="352" w:lineRule="auto"/>
        <w:sectPr>
          <w:pgSz w:w="11920" w:h="16840"/>
          <w:pgMar w:header="0" w:footer="779" w:top="1360" w:bottom="960" w:left="1580" w:right="1460"/>
        </w:sectPr>
      </w:pPr>
    </w:p>
    <w:p>
      <w:pPr>
        <w:pStyle w:val="BodyText"/>
        <w:spacing w:before="76"/>
        <w:ind w:left="235"/>
      </w:pPr>
      <w:r>
        <w:rPr/>
        <w:t>Machin, S. (1999), “Wage Inequality in the 1970s, 1980s and 1990s” in P. Gregg and</w:t>
      </w:r>
    </w:p>
    <w:p>
      <w:pPr>
        <w:pStyle w:val="BodyText"/>
        <w:spacing w:line="364" w:lineRule="auto" w:before="129"/>
        <w:ind w:left="805" w:right="360"/>
      </w:pPr>
      <w:r>
        <w:rPr/>
        <w:t>J. Wadsworth (eds.) </w:t>
      </w:r>
      <w:r>
        <w:rPr>
          <w:u w:val="single"/>
        </w:rPr>
        <w:t>The State of Working Britain</w:t>
      </w:r>
      <w:r>
        <w:rPr/>
        <w:t> (Manchester: Manchester University Press).</w:t>
      </w:r>
    </w:p>
    <w:p>
      <w:pPr>
        <w:pStyle w:val="BodyText"/>
        <w:spacing w:line="364" w:lineRule="auto"/>
        <w:ind w:left="805" w:right="360" w:hanging="570"/>
      </w:pPr>
      <w:r>
        <w:rPr/>
        <w:t>Machin, S., Manning, A. and Rahman, L. (2001), “The Economic Effects of the Introduction of the UK National Minimum Wage”, Centre for Economic Performance, London School of Economics, mimeo.</w:t>
      </w:r>
    </w:p>
    <w:p>
      <w:pPr>
        <w:pStyle w:val="BodyText"/>
        <w:spacing w:line="364" w:lineRule="auto"/>
        <w:ind w:left="805" w:right="397" w:hanging="570"/>
      </w:pPr>
      <w:r>
        <w:rPr/>
        <w:t>Metcalf, D. (2001), “British Unions : Dissolution or Resurgence Revisited”, Centre for Economic Performance, DP No. 493, London School of Economics, April.</w:t>
      </w:r>
    </w:p>
    <w:p>
      <w:pPr>
        <w:pStyle w:val="BodyText"/>
        <w:spacing w:line="364" w:lineRule="auto"/>
        <w:ind w:left="805" w:right="360" w:hanging="570"/>
      </w:pPr>
      <w:r>
        <w:rPr/>
        <w:t>Millward, N., Smart, D. and Hawes, W. (1992), </w:t>
      </w:r>
      <w:r>
        <w:rPr>
          <w:u w:val="single"/>
        </w:rPr>
        <w:t>Workplace Industrial Relations in</w:t>
      </w:r>
      <w:r>
        <w:rPr/>
        <w:t> </w:t>
      </w:r>
      <w:r>
        <w:rPr>
          <w:u w:val="single"/>
        </w:rPr>
        <w:t>Transition</w:t>
      </w:r>
      <w:r>
        <w:rPr/>
        <w:t> (Aldershot).</w:t>
      </w:r>
    </w:p>
    <w:p>
      <w:pPr>
        <w:pStyle w:val="BodyText"/>
        <w:spacing w:line="352" w:lineRule="auto"/>
        <w:ind w:left="805" w:right="713" w:hanging="570"/>
      </w:pPr>
      <w:r>
        <w:rPr/>
        <w:t>Milner, S. (1995), “The Coverage of Collective Pay-Setting Institutions in Britain, 1895-1990”, </w:t>
      </w:r>
      <w:r>
        <w:rPr>
          <w:u w:val="single"/>
        </w:rPr>
        <w:t>British Journal of Industrial Relations</w:t>
      </w:r>
      <w:r>
        <w:rPr/>
        <w:t> 33(1), 71-91.</w:t>
      </w:r>
    </w:p>
    <w:p>
      <w:pPr>
        <w:pStyle w:val="BodyText"/>
        <w:spacing w:line="352" w:lineRule="auto"/>
        <w:ind w:left="805" w:right="360" w:hanging="570"/>
      </w:pPr>
      <w:r>
        <w:rPr/>
        <w:t>Minford, P. and Haldenby, A. (1999), “The Price of Fairness”, Centre for Policy Studies.</w:t>
      </w:r>
    </w:p>
    <w:p>
      <w:pPr>
        <w:pStyle w:val="BodyText"/>
        <w:spacing w:line="364" w:lineRule="auto"/>
        <w:ind w:left="805" w:right="360" w:hanging="570"/>
      </w:pPr>
      <w:r>
        <w:rPr/>
        <w:t>National Audit Office (1989), </w:t>
      </w:r>
      <w:r>
        <w:rPr>
          <w:u w:val="single"/>
        </w:rPr>
        <w:t>Invalidity Benefit: Report by the Comptroller and</w:t>
      </w:r>
      <w:r>
        <w:rPr/>
        <w:t> </w:t>
      </w:r>
      <w:r>
        <w:rPr>
          <w:u w:val="single"/>
        </w:rPr>
        <w:t>Auditor Genera</w:t>
      </w:r>
      <w:r>
        <w:rPr/>
        <w:t>l, HMSO, London.</w:t>
      </w:r>
    </w:p>
    <w:p>
      <w:pPr>
        <w:pStyle w:val="BodyText"/>
        <w:spacing w:line="364" w:lineRule="auto"/>
        <w:ind w:left="805" w:right="1207" w:hanging="570"/>
      </w:pPr>
      <w:r>
        <w:rPr/>
        <w:pict>
          <v:line style="position:absolute;mso-position-horizontal-relative:page;mso-position-vertical-relative:paragraph;z-index:-253933568" from="119.25pt,34.078125pt" to="200.25pt,34.078125pt" stroked="true" strokeweight=".75pt" strokecolor="#000000">
            <v:stroke dashstyle="solid"/>
            <w10:wrap type="none"/>
          </v:line>
        </w:pict>
      </w:r>
      <w:r>
        <w:rPr/>
        <w:t>Nickell, S. (1990), “Inflation and the UK Labour Market”, </w:t>
      </w:r>
      <w:r>
        <w:rPr>
          <w:u w:val="single"/>
        </w:rPr>
        <w:t>Oxford Review of</w:t>
      </w:r>
      <w:r>
        <w:rPr/>
        <w:t> Economic Policy 6(4)</w:t>
      </w:r>
    </w:p>
    <w:p>
      <w:pPr>
        <w:pStyle w:val="BodyText"/>
        <w:spacing w:line="364" w:lineRule="auto"/>
        <w:ind w:left="805" w:right="870" w:hanging="570"/>
      </w:pPr>
      <w:r>
        <w:rPr/>
        <w:pict>
          <v:line style="position:absolute;mso-position-horizontal-relative:page;mso-position-vertical-relative:paragraph;z-index:-253932544" from="202.5pt,34.078125pt" to="364.5pt,34.078125pt" stroked="true" strokeweight=".75pt" strokecolor="#000000">
            <v:stroke dashstyle="solid"/>
            <w10:wrap type="none"/>
          </v:line>
        </w:pict>
      </w:r>
      <w:r>
        <w:rPr/>
        <w:t>Nickell, S. (1997), “Unemployment and Labor Market Rigidities: Europe versus North America”, Journal of Economic Perspectives 11(3), Summer, 55-74.</w:t>
      </w:r>
    </w:p>
    <w:p>
      <w:pPr>
        <w:pStyle w:val="BodyText"/>
        <w:spacing w:line="357" w:lineRule="auto"/>
        <w:ind w:left="805" w:right="360" w:hanging="570"/>
      </w:pPr>
      <w:r>
        <w:rPr/>
        <w:pict>
          <v:line style="position:absolute;mso-position-horizontal-relative:page;mso-position-vertical-relative:paragraph;z-index:-253931520" from="366pt,33.328125pt" to="459.75pt,33.328125pt" stroked="true" strokeweight=".75pt" strokecolor="#000000">
            <v:stroke dashstyle="solid"/>
            <w10:wrap type="none"/>
          </v:line>
        </w:pict>
      </w:r>
      <w:r>
        <w:rPr/>
        <w:t>Nickell, S. J. and Layard, R. (1999) “Labour Market Institutions and Economic Performance” in O. Ashenfelter and D. Card (eds.) Handbook of Labor </w:t>
      </w:r>
      <w:r>
        <w:rPr>
          <w:u w:val="single"/>
        </w:rPr>
        <w:t>Economics</w:t>
      </w:r>
      <w:r>
        <w:rPr/>
        <w:t> Vol. 3 (Amsterdam: North Holland).</w:t>
      </w:r>
    </w:p>
    <w:p>
      <w:pPr>
        <w:pStyle w:val="BodyText"/>
        <w:spacing w:line="364" w:lineRule="auto"/>
        <w:ind w:left="805" w:right="360" w:hanging="570"/>
      </w:pPr>
      <w:r>
        <w:rPr/>
        <w:t>Nickell, S. J. and Van Ours, J. (2000), “The Netherlands and the United Kingdom: A European Unemployment Miracle?”, </w:t>
      </w:r>
      <w:r>
        <w:rPr>
          <w:u w:val="single"/>
        </w:rPr>
        <w:t>Economic Policy</w:t>
      </w:r>
      <w:r>
        <w:rPr/>
        <w:t> 30, April, 135-175.</w:t>
      </w:r>
    </w:p>
    <w:p>
      <w:pPr>
        <w:pStyle w:val="BodyText"/>
        <w:ind w:left="235"/>
      </w:pPr>
      <w:r>
        <w:rPr/>
        <w:t>OECD (1997), </w:t>
      </w:r>
      <w:r>
        <w:rPr>
          <w:u w:val="single"/>
        </w:rPr>
        <w:t>Employment Outlook</w:t>
      </w:r>
      <w:r>
        <w:rPr/>
        <w:t> (Paris: OECD)</w:t>
      </w:r>
    </w:p>
    <w:p>
      <w:pPr>
        <w:pStyle w:val="BodyText"/>
        <w:spacing w:line="364" w:lineRule="auto" w:before="86"/>
        <w:ind w:left="235" w:right="826"/>
      </w:pPr>
      <w:r>
        <w:rPr/>
        <w:t>OECD (1997a) </w:t>
      </w:r>
      <w:r>
        <w:rPr>
          <w:u w:val="single"/>
        </w:rPr>
        <w:t>Literacy Skills for the Knowledge Society</w:t>
      </w:r>
      <w:r>
        <w:rPr/>
        <w:t> (Paris: OECD) Schmitt, J. and Wadsworth, J. (1999), “You Won’t Feel the Benefit: Changing</w:t>
      </w:r>
    </w:p>
    <w:p>
      <w:pPr>
        <w:pStyle w:val="BodyText"/>
        <w:spacing w:line="364" w:lineRule="auto"/>
        <w:ind w:left="805" w:right="397"/>
      </w:pPr>
      <w:r>
        <w:rPr/>
        <w:t>Unemployment Benefit Entitlement and Labour Market Activity in Britain”, Leverhulme Trust Programme on the Labour Market Consequences of Technical and Structural Change, Discussion Paper No. 40, December.</w:t>
      </w:r>
    </w:p>
    <w:p>
      <w:pPr>
        <w:pStyle w:val="BodyText"/>
        <w:spacing w:line="364" w:lineRule="auto"/>
        <w:ind w:left="805" w:right="420" w:hanging="570"/>
      </w:pPr>
      <w:r>
        <w:rPr/>
        <w:t>Schweitzer, M. E. (2001), “Ready, Willing and Able? Measuring Labour Availability in the UK” Bank of England, mimeo</w:t>
      </w:r>
    </w:p>
    <w:p>
      <w:pPr>
        <w:spacing w:after="0" w:line="364" w:lineRule="auto"/>
        <w:sectPr>
          <w:pgSz w:w="11920" w:h="16840"/>
          <w:pgMar w:header="0" w:footer="779" w:top="1360" w:bottom="960" w:left="1580" w:right="1460"/>
        </w:sectPr>
      </w:pPr>
    </w:p>
    <w:p>
      <w:pPr>
        <w:pStyle w:val="BodyText"/>
        <w:spacing w:line="357" w:lineRule="auto" w:before="76"/>
        <w:ind w:left="805" w:right="633" w:hanging="570"/>
        <w:jc w:val="both"/>
      </w:pPr>
      <w:r>
        <w:rPr/>
        <w:t>Van Reenen, J. (2000), “Active Labour Market Policies: The British New Deal for the Young Unemployed in Context”, NBER Conference. “Seeking a Premier League Economy”, LSE, December 2000.</w:t>
      </w:r>
    </w:p>
    <w:p>
      <w:pPr>
        <w:pStyle w:val="BodyText"/>
        <w:spacing w:line="364" w:lineRule="auto"/>
        <w:ind w:left="805" w:right="360" w:hanging="570"/>
      </w:pPr>
      <w:r>
        <w:rPr/>
        <w:t>Visser, J. (1996), “Unionisation Trends. The OECD Countries Union Membership File”, University of Amsterdam, Centre for Research of European Societies and Labour Relations.</w:t>
      </w:r>
    </w:p>
    <w:p>
      <w:pPr>
        <w:pStyle w:val="BodyText"/>
        <w:spacing w:line="364" w:lineRule="auto"/>
        <w:ind w:left="805" w:right="1346" w:hanging="570"/>
      </w:pPr>
      <w:r>
        <w:rPr/>
        <w:t>Wood, A. (1994), </w:t>
      </w:r>
      <w:r>
        <w:rPr>
          <w:u w:val="single"/>
        </w:rPr>
        <w:t>North-South Trade, Employment and Inequality</w:t>
      </w:r>
      <w:r>
        <w:rPr/>
        <w:t> (Oxford: Clarendon Press)</w:t>
      </w:r>
    </w:p>
    <w:sectPr>
      <w:pgSz w:w="11920" w:h="16840"/>
      <w:pgMar w:header="0" w:footer="779" w:top="1360" w:bottom="960" w:left="15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pt;margin-top:792.056641pt;width:18pt;height:15.3pt;mso-position-horizontal-relative:page;mso-position-vertical-relative:page;z-index:-2539601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95" w:hanging="36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800" w:hanging="360"/>
      </w:pPr>
      <w:rPr>
        <w:rFonts w:hint="default"/>
      </w:rPr>
    </w:lvl>
    <w:lvl w:ilvl="2">
      <w:start w:val="0"/>
      <w:numFmt w:val="bullet"/>
      <w:lvlText w:val="•"/>
      <w:lvlJc w:val="left"/>
      <w:pPr>
        <w:ind w:left="1697" w:hanging="360"/>
      </w:pPr>
      <w:rPr>
        <w:rFonts w:hint="default"/>
      </w:rPr>
    </w:lvl>
    <w:lvl w:ilvl="3">
      <w:start w:val="0"/>
      <w:numFmt w:val="bullet"/>
      <w:lvlText w:val="•"/>
      <w:lvlJc w:val="left"/>
      <w:pPr>
        <w:ind w:left="2595" w:hanging="360"/>
      </w:pPr>
      <w:rPr>
        <w:rFonts w:hint="default"/>
      </w:rPr>
    </w:lvl>
    <w:lvl w:ilvl="4">
      <w:start w:val="0"/>
      <w:numFmt w:val="bullet"/>
      <w:lvlText w:val="•"/>
      <w:lvlJc w:val="left"/>
      <w:pPr>
        <w:ind w:left="3493" w:hanging="360"/>
      </w:pPr>
      <w:rPr>
        <w:rFonts w:hint="default"/>
      </w:rPr>
    </w:lvl>
    <w:lvl w:ilvl="5">
      <w:start w:val="0"/>
      <w:numFmt w:val="bullet"/>
      <w:lvlText w:val="•"/>
      <w:lvlJc w:val="left"/>
      <w:pPr>
        <w:ind w:left="4391" w:hanging="360"/>
      </w:pPr>
      <w:rPr>
        <w:rFonts w:hint="default"/>
      </w:rPr>
    </w:lvl>
    <w:lvl w:ilvl="6">
      <w:start w:val="0"/>
      <w:numFmt w:val="bullet"/>
      <w:lvlText w:val="•"/>
      <w:lvlJc w:val="left"/>
      <w:pPr>
        <w:ind w:left="5288" w:hanging="360"/>
      </w:pPr>
      <w:rPr>
        <w:rFonts w:hint="default"/>
      </w:rPr>
    </w:lvl>
    <w:lvl w:ilvl="7">
      <w:start w:val="0"/>
      <w:numFmt w:val="bullet"/>
      <w:lvlText w:val="•"/>
      <w:lvlJc w:val="left"/>
      <w:pPr>
        <w:ind w:left="6186" w:hanging="360"/>
      </w:pPr>
      <w:rPr>
        <w:rFonts w:hint="default"/>
      </w:rPr>
    </w:lvl>
    <w:lvl w:ilvl="8">
      <w:start w:val="0"/>
      <w:numFmt w:val="bullet"/>
      <w:lvlText w:val="•"/>
      <w:lvlJc w:val="left"/>
      <w:pPr>
        <w:ind w:left="7084" w:hanging="360"/>
      </w:pPr>
      <w:rPr>
        <w:rFonts w:hint="default"/>
      </w:rPr>
    </w:lvl>
  </w:abstractNum>
  <w:abstractNum w:abstractNumId="2">
    <w:multiLevelType w:val="hybridMultilevel"/>
    <w:lvl w:ilvl="0">
      <w:start w:val="1"/>
      <w:numFmt w:val="lowerLetter"/>
      <w:lvlText w:val="(%1)"/>
      <w:lvlJc w:val="left"/>
      <w:pPr>
        <w:ind w:left="955" w:hanging="72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752" w:hanging="720"/>
      </w:pPr>
      <w:rPr>
        <w:rFonts w:hint="default"/>
      </w:rPr>
    </w:lvl>
    <w:lvl w:ilvl="2">
      <w:start w:val="0"/>
      <w:numFmt w:val="bullet"/>
      <w:lvlText w:val="•"/>
      <w:lvlJc w:val="left"/>
      <w:pPr>
        <w:ind w:left="2544" w:hanging="720"/>
      </w:pPr>
      <w:rPr>
        <w:rFonts w:hint="default"/>
      </w:rPr>
    </w:lvl>
    <w:lvl w:ilvl="3">
      <w:start w:val="0"/>
      <w:numFmt w:val="bullet"/>
      <w:lvlText w:val="•"/>
      <w:lvlJc w:val="left"/>
      <w:pPr>
        <w:ind w:left="3336" w:hanging="720"/>
      </w:pPr>
      <w:rPr>
        <w:rFonts w:hint="default"/>
      </w:rPr>
    </w:lvl>
    <w:lvl w:ilvl="4">
      <w:start w:val="0"/>
      <w:numFmt w:val="bullet"/>
      <w:lvlText w:val="•"/>
      <w:lvlJc w:val="left"/>
      <w:pPr>
        <w:ind w:left="4128" w:hanging="720"/>
      </w:pPr>
      <w:rPr>
        <w:rFonts w:hint="default"/>
      </w:rPr>
    </w:lvl>
    <w:lvl w:ilvl="5">
      <w:start w:val="0"/>
      <w:numFmt w:val="bullet"/>
      <w:lvlText w:val="•"/>
      <w:lvlJc w:val="left"/>
      <w:pPr>
        <w:ind w:left="4920" w:hanging="720"/>
      </w:pPr>
      <w:rPr>
        <w:rFonts w:hint="default"/>
      </w:rPr>
    </w:lvl>
    <w:lvl w:ilvl="6">
      <w:start w:val="0"/>
      <w:numFmt w:val="bullet"/>
      <w:lvlText w:val="•"/>
      <w:lvlJc w:val="left"/>
      <w:pPr>
        <w:ind w:left="5712"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96" w:hanging="720"/>
      </w:pPr>
      <w:rPr>
        <w:rFonts w:hint="default"/>
      </w:rPr>
    </w:lvl>
  </w:abstractNum>
  <w:abstractNum w:abstractNumId="1">
    <w:multiLevelType w:val="hybridMultilevel"/>
    <w:lvl w:ilvl="0">
      <w:start w:val="1"/>
      <w:numFmt w:val="lowerLetter"/>
      <w:lvlText w:val="(%1)"/>
      <w:lvlJc w:val="left"/>
      <w:pPr>
        <w:ind w:left="757" w:hanging="268"/>
        <w:jc w:val="left"/>
      </w:pPr>
      <w:rPr>
        <w:rFonts w:hint="default"/>
        <w:b/>
        <w:bCs/>
        <w:spacing w:val="-18"/>
        <w:w w:val="102"/>
      </w:rPr>
    </w:lvl>
    <w:lvl w:ilvl="1">
      <w:start w:val="0"/>
      <w:numFmt w:val="bullet"/>
      <w:lvlText w:val="•"/>
      <w:lvlJc w:val="left"/>
      <w:pPr>
        <w:ind w:left="1074" w:hanging="268"/>
      </w:pPr>
      <w:rPr>
        <w:rFonts w:hint="default"/>
      </w:rPr>
    </w:lvl>
    <w:lvl w:ilvl="2">
      <w:start w:val="0"/>
      <w:numFmt w:val="bullet"/>
      <w:lvlText w:val="•"/>
      <w:lvlJc w:val="left"/>
      <w:pPr>
        <w:ind w:left="1389" w:hanging="268"/>
      </w:pPr>
      <w:rPr>
        <w:rFonts w:hint="default"/>
      </w:rPr>
    </w:lvl>
    <w:lvl w:ilvl="3">
      <w:start w:val="0"/>
      <w:numFmt w:val="bullet"/>
      <w:lvlText w:val="•"/>
      <w:lvlJc w:val="left"/>
      <w:pPr>
        <w:ind w:left="1703" w:hanging="268"/>
      </w:pPr>
      <w:rPr>
        <w:rFonts w:hint="default"/>
      </w:rPr>
    </w:lvl>
    <w:lvl w:ilvl="4">
      <w:start w:val="0"/>
      <w:numFmt w:val="bullet"/>
      <w:lvlText w:val="•"/>
      <w:lvlJc w:val="left"/>
      <w:pPr>
        <w:ind w:left="2018" w:hanging="268"/>
      </w:pPr>
      <w:rPr>
        <w:rFonts w:hint="default"/>
      </w:rPr>
    </w:lvl>
    <w:lvl w:ilvl="5">
      <w:start w:val="0"/>
      <w:numFmt w:val="bullet"/>
      <w:lvlText w:val="•"/>
      <w:lvlJc w:val="left"/>
      <w:pPr>
        <w:ind w:left="2332" w:hanging="268"/>
      </w:pPr>
      <w:rPr>
        <w:rFonts w:hint="default"/>
      </w:rPr>
    </w:lvl>
    <w:lvl w:ilvl="6">
      <w:start w:val="0"/>
      <w:numFmt w:val="bullet"/>
      <w:lvlText w:val="•"/>
      <w:lvlJc w:val="left"/>
      <w:pPr>
        <w:ind w:left="2647" w:hanging="268"/>
      </w:pPr>
      <w:rPr>
        <w:rFonts w:hint="default"/>
      </w:rPr>
    </w:lvl>
    <w:lvl w:ilvl="7">
      <w:start w:val="0"/>
      <w:numFmt w:val="bullet"/>
      <w:lvlText w:val="•"/>
      <w:lvlJc w:val="left"/>
      <w:pPr>
        <w:ind w:left="2961" w:hanging="268"/>
      </w:pPr>
      <w:rPr>
        <w:rFonts w:hint="default"/>
      </w:rPr>
    </w:lvl>
    <w:lvl w:ilvl="8">
      <w:start w:val="0"/>
      <w:numFmt w:val="bullet"/>
      <w:lvlText w:val="•"/>
      <w:lvlJc w:val="left"/>
      <w:pPr>
        <w:ind w:left="3276" w:hanging="268"/>
      </w:pPr>
      <w:rPr>
        <w:rFonts w:hint="default"/>
      </w:rPr>
    </w:lvl>
  </w:abstractNum>
  <w:abstractNum w:abstractNumId="0">
    <w:multiLevelType w:val="hybridMultilevel"/>
    <w:lvl w:ilvl="0">
      <w:start w:val="1"/>
      <w:numFmt w:val="decimal"/>
      <w:lvlText w:val="%1."/>
      <w:lvlJc w:val="left"/>
      <w:pPr>
        <w:ind w:left="3956" w:hanging="302"/>
        <w:jc w:val="right"/>
      </w:pPr>
      <w:rPr>
        <w:rFonts w:hint="default" w:ascii="Times New Roman" w:hAnsi="Times New Roman" w:eastAsia="Times New Roman" w:cs="Times New Roman"/>
        <w:w w:val="100"/>
        <w:sz w:val="24"/>
        <w:szCs w:val="24"/>
        <w:u w:val="single" w:color="000000"/>
      </w:rPr>
    </w:lvl>
    <w:lvl w:ilvl="1">
      <w:start w:val="0"/>
      <w:numFmt w:val="bullet"/>
      <w:lvlText w:val="•"/>
      <w:lvlJc w:val="left"/>
      <w:pPr>
        <w:ind w:left="4452" w:hanging="302"/>
      </w:pPr>
      <w:rPr>
        <w:rFonts w:hint="default"/>
      </w:rPr>
    </w:lvl>
    <w:lvl w:ilvl="2">
      <w:start w:val="0"/>
      <w:numFmt w:val="bullet"/>
      <w:lvlText w:val="•"/>
      <w:lvlJc w:val="left"/>
      <w:pPr>
        <w:ind w:left="4944" w:hanging="302"/>
      </w:pPr>
      <w:rPr>
        <w:rFonts w:hint="default"/>
      </w:rPr>
    </w:lvl>
    <w:lvl w:ilvl="3">
      <w:start w:val="0"/>
      <w:numFmt w:val="bullet"/>
      <w:lvlText w:val="•"/>
      <w:lvlJc w:val="left"/>
      <w:pPr>
        <w:ind w:left="5436" w:hanging="302"/>
      </w:pPr>
      <w:rPr>
        <w:rFonts w:hint="default"/>
      </w:rPr>
    </w:lvl>
    <w:lvl w:ilvl="4">
      <w:start w:val="0"/>
      <w:numFmt w:val="bullet"/>
      <w:lvlText w:val="•"/>
      <w:lvlJc w:val="left"/>
      <w:pPr>
        <w:ind w:left="5928" w:hanging="302"/>
      </w:pPr>
      <w:rPr>
        <w:rFonts w:hint="default"/>
      </w:rPr>
    </w:lvl>
    <w:lvl w:ilvl="5">
      <w:start w:val="0"/>
      <w:numFmt w:val="bullet"/>
      <w:lvlText w:val="•"/>
      <w:lvlJc w:val="left"/>
      <w:pPr>
        <w:ind w:left="6420" w:hanging="302"/>
      </w:pPr>
      <w:rPr>
        <w:rFonts w:hint="default"/>
      </w:rPr>
    </w:lvl>
    <w:lvl w:ilvl="6">
      <w:start w:val="0"/>
      <w:numFmt w:val="bullet"/>
      <w:lvlText w:val="•"/>
      <w:lvlJc w:val="left"/>
      <w:pPr>
        <w:ind w:left="6912" w:hanging="302"/>
      </w:pPr>
      <w:rPr>
        <w:rFonts w:hint="default"/>
      </w:rPr>
    </w:lvl>
    <w:lvl w:ilvl="7">
      <w:start w:val="0"/>
      <w:numFmt w:val="bullet"/>
      <w:lvlText w:val="•"/>
      <w:lvlJc w:val="left"/>
      <w:pPr>
        <w:ind w:left="7404" w:hanging="302"/>
      </w:pPr>
      <w:rPr>
        <w:rFonts w:hint="default"/>
      </w:rPr>
    </w:lvl>
    <w:lvl w:ilvl="8">
      <w:start w:val="0"/>
      <w:numFmt w:val="bullet"/>
      <w:lvlText w:val="•"/>
      <w:lvlJc w:val="left"/>
      <w:pPr>
        <w:ind w:left="7896" w:hanging="30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50" w:lineRule="exact"/>
      <w:ind w:left="751" w:hanging="296"/>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95"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Recent Performance of the UK Labour Market - speech by Stephen Nickell</dc:title>
  <dcterms:created xsi:type="dcterms:W3CDTF">2020-06-02T18:50:06Z</dcterms:created>
  <dcterms:modified xsi:type="dcterms:W3CDTF">2020-06-02T18:50:06Z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2001-08-29T00:00:00Z</vt:filetime>
  </property>
  <property fmtid="{D5CDD505-2E9C-101B-9397-08002B2CF9AE}" pid="3" name="Creator">
    <vt:lpwstr>Microsoft Word - 148274_1</vt:lpwstr>
  </property>
  <property fmtid="{D5CDD505-2E9C-101B-9397-08002B2CF9AE}" pid="4" name="LastSaved">
    <vt:filetime>2020-06-02T00:00:00Z</vt:filetime>
  </property>
</Properties>
</file>