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Return of the Credit Cycle: Old lessons in New Markets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3959"/>
        <w:rPr>
          <w:rFonts w:ascii="Arial"/>
        </w:rPr>
      </w:pPr>
      <w:r>
        <w:rPr>
          <w:rFonts w:ascii="Arial"/>
        </w:rPr>
        <w:t>At the Euromoney Bond Investors Congress, London 27 February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8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2"/>
        </w:sectPr>
      </w:pPr>
    </w:p>
    <w:p>
      <w:pPr>
        <w:pStyle w:val="Heading1"/>
        <w:spacing w:before="120"/>
      </w:pPr>
      <w:r>
        <w:rPr/>
        <w:t>Introduction</w:t>
      </w:r>
    </w:p>
    <w:p>
      <w:pPr>
        <w:pStyle w:val="BodyText"/>
        <w:rPr>
          <w:b/>
          <w:sz w:val="26"/>
        </w:rPr>
      </w:pPr>
    </w:p>
    <w:p>
      <w:pPr>
        <w:pStyle w:val="BodyText"/>
        <w:spacing w:before="9"/>
        <w:rPr>
          <w:b/>
          <w:sz w:val="21"/>
        </w:rPr>
      </w:pPr>
    </w:p>
    <w:p>
      <w:pPr>
        <w:pStyle w:val="BodyText"/>
        <w:spacing w:line="360" w:lineRule="auto"/>
        <w:ind w:left="1017" w:right="201"/>
      </w:pPr>
      <w:r>
        <w:rPr/>
        <w:t>The turmoil in credit markets since August has been novel in some ways; but in others, the longer it has gone on the more familiar it has seemed. It has been looking less and less like the crystallisation of a “tail” risk –the “unprecedented and unforeseeable” event described by Northern Rock directors – and more and more like the unwinding of a wider credit boom during which risk premia had become unsustainably compressed. The excesses may have been most obvious in the complexities of structured credit and the sub-prime sector but they have not been confined to them.</w:t>
      </w:r>
    </w:p>
    <w:p>
      <w:pPr>
        <w:pStyle w:val="BodyText"/>
        <w:rPr>
          <w:sz w:val="36"/>
        </w:rPr>
      </w:pPr>
    </w:p>
    <w:p>
      <w:pPr>
        <w:pStyle w:val="BodyText"/>
        <w:spacing w:line="360" w:lineRule="auto"/>
        <w:ind w:left="1017" w:right="374"/>
      </w:pPr>
      <w:r>
        <w:rPr/>
        <w:t>As in previous banking cycles, a period of strong growth, low interest rates and rapid increases in asset prices lead to over confidence and bad lending at the top of the cycle; defaults, deleveraging and retrenchment follow in the downswing. But the way this old story has unfolded through the new credit markets has sprung some unpleasant surprises, including the speed with which losses in just one market in one country – the housing market in the US – have disrupted wider credit markets in all advanced economies.</w:t>
      </w:r>
    </w:p>
    <w:p>
      <w:pPr>
        <w:pStyle w:val="BodyText"/>
        <w:spacing w:before="3"/>
        <w:rPr>
          <w:sz w:val="36"/>
        </w:rPr>
      </w:pPr>
    </w:p>
    <w:p>
      <w:pPr>
        <w:pStyle w:val="Heading1"/>
      </w:pPr>
      <w:r>
        <w:rPr/>
        <w:t>The upswing - a new structure of banking</w:t>
      </w:r>
    </w:p>
    <w:p>
      <w:pPr>
        <w:pStyle w:val="BodyText"/>
        <w:rPr>
          <w:b/>
          <w:sz w:val="26"/>
        </w:rPr>
      </w:pPr>
    </w:p>
    <w:p>
      <w:pPr>
        <w:pStyle w:val="BodyText"/>
        <w:spacing w:before="9"/>
        <w:rPr>
          <w:b/>
          <w:sz w:val="21"/>
        </w:rPr>
      </w:pPr>
    </w:p>
    <w:p>
      <w:pPr>
        <w:pStyle w:val="BodyText"/>
        <w:spacing w:line="360" w:lineRule="auto"/>
        <w:ind w:left="1017" w:right="108"/>
      </w:pPr>
      <w:r>
        <w:rPr/>
        <w:t>The roots of the problem lay in the so-called “great stability” of steady growth and inflation and in particular the last five years of persistently low nominal interest rates.</w:t>
      </w:r>
    </w:p>
    <w:p>
      <w:pPr>
        <w:pStyle w:val="BodyText"/>
        <w:spacing w:before="10"/>
        <w:rPr>
          <w:sz w:val="35"/>
        </w:rPr>
      </w:pPr>
    </w:p>
    <w:p>
      <w:pPr>
        <w:pStyle w:val="BodyText"/>
        <w:spacing w:line="360" w:lineRule="auto"/>
        <w:ind w:left="1017" w:right="152"/>
      </w:pPr>
      <w:r>
        <w:rPr/>
        <w:t>The confidence born of that stability was combined with an increased institutional demand for fixed income and heightened international competition among the largest banks to develop scale. That led to a remarkable decline in corporate investment yields which was matched, and for a while seemed justified, by declining volatility (see Chart 1 which shows the fall the spreads and volatility of high yield bonds).</w:t>
      </w:r>
      <w:r>
        <w:rPr>
          <w:vertAlign w:val="superscript"/>
        </w:rPr>
        <w:t>1</w:t>
      </w:r>
      <w:r>
        <w:rPr>
          <w:vertAlign w:val="baseline"/>
        </w:rPr>
        <w:t> And it put pressure on investors to find new ways of generating returns from credit. At the same time advances in IT and financial modelling allowed the development of new derivatives, and the slicing, dicing and recombining of credits in new structured credit</w:t>
      </w:r>
      <w:r>
        <w:rPr>
          <w:spacing w:val="-4"/>
          <w:vertAlign w:val="baseline"/>
        </w:rPr>
        <w:t> </w:t>
      </w:r>
      <w:r>
        <w:rPr>
          <w:vertAlign w:val="baseline"/>
        </w:rPr>
        <w:t>instruments.</w:t>
      </w:r>
    </w:p>
    <w:p>
      <w:pPr>
        <w:pStyle w:val="BodyText"/>
        <w:rPr>
          <w:sz w:val="20"/>
        </w:rPr>
      </w:pPr>
    </w:p>
    <w:p>
      <w:pPr>
        <w:pStyle w:val="BodyText"/>
        <w:rPr>
          <w:sz w:val="20"/>
        </w:rPr>
      </w:pPr>
    </w:p>
    <w:p>
      <w:pPr>
        <w:pStyle w:val="BodyText"/>
        <w:rPr>
          <w:sz w:val="20"/>
        </w:rPr>
      </w:pPr>
    </w:p>
    <w:p>
      <w:pPr>
        <w:pStyle w:val="BodyText"/>
        <w:spacing w:before="2"/>
        <w:rPr>
          <w:sz w:val="16"/>
        </w:rPr>
      </w:pPr>
      <w:r>
        <w:rPr/>
        <w:pict>
          <v:shape style="position:absolute;margin-left:89.879997pt;margin-top:11.550512pt;width:144pt;height:.1pt;mso-position-horizontal-relative:page;mso-position-vertical-relative:paragraph;z-index:-251656192;mso-wrap-distance-left:0;mso-wrap-distance-right:0" coordorigin="1798,231" coordsize="2880,0" path="m1798,231l4678,231e" filled="false" stroked="true" strokeweight=".600010pt" strokecolor="#000000">
            <v:path arrowok="t"/>
            <v:stroke dashstyle="solid"/>
            <w10:wrap type="topAndBottom"/>
          </v:shape>
        </w:pict>
      </w:r>
    </w:p>
    <w:p>
      <w:pPr>
        <w:spacing w:before="49"/>
        <w:ind w:left="1017" w:right="0" w:firstLine="0"/>
        <w:jc w:val="left"/>
        <w:rPr>
          <w:sz w:val="20"/>
        </w:rPr>
      </w:pPr>
      <w:r>
        <w:rPr>
          <w:position w:val="9"/>
          <w:sz w:val="13"/>
        </w:rPr>
        <w:t>1 </w:t>
      </w:r>
      <w:r>
        <w:rPr>
          <w:sz w:val="20"/>
        </w:rPr>
        <w:t>The dotted line represents the end of 2006.</w:t>
      </w:r>
    </w:p>
    <w:p>
      <w:pPr>
        <w:spacing w:after="0"/>
        <w:jc w:val="left"/>
        <w:rPr>
          <w:sz w:val="20"/>
        </w:rPr>
        <w:sectPr>
          <w:footerReference w:type="default" r:id="rId7"/>
          <w:pgSz w:w="11910" w:h="16840"/>
          <w:pgMar w:footer="963" w:header="0" w:top="1600" w:bottom="1160" w:left="780" w:right="1180"/>
          <w:pgNumType w:start="2"/>
        </w:sectPr>
      </w:pPr>
    </w:p>
    <w:p>
      <w:pPr>
        <w:pStyle w:val="BodyText"/>
        <w:spacing w:line="360" w:lineRule="auto" w:before="117"/>
        <w:ind w:left="1017" w:right="429"/>
      </w:pPr>
      <w:r>
        <w:rPr/>
        <w:t>The search for yield would have made the US sub-prime mortgage market attractive to many investors. What made it irresistible was the financial engineering that offered high yields with high credit ratings.</w:t>
      </w:r>
    </w:p>
    <w:p>
      <w:pPr>
        <w:pStyle w:val="BodyText"/>
        <w:rPr>
          <w:sz w:val="36"/>
        </w:rPr>
      </w:pPr>
    </w:p>
    <w:p>
      <w:pPr>
        <w:pStyle w:val="BodyText"/>
        <w:spacing w:line="360" w:lineRule="auto"/>
        <w:ind w:left="1017" w:right="201"/>
      </w:pPr>
      <w:r>
        <w:rPr/>
        <w:t>The success of structured credit created a huge demand for the raw material of these products in particular sub-prime mortgages (Chart 2). It allowed banks to move increasingly from the traditional “lend and hold” model towards an “originate and distribute” model. This boosted the supply of credit and allowed risk to be more widely dispersed across the system as a whole. But it also involved a long chain of participants from the original lenders to end-investors. Investors at the end of this chain, who bore the final risk, had less information about the underlying quality of loans than those at the start and became very dependent on rating agencies and their models. It also reduced the incentives on originators to assess and monitor credit risk carefully.</w:t>
      </w:r>
    </w:p>
    <w:p>
      <w:pPr>
        <w:pStyle w:val="BodyText"/>
        <w:spacing w:before="3"/>
        <w:rPr>
          <w:sz w:val="36"/>
        </w:rPr>
      </w:pPr>
    </w:p>
    <w:p>
      <w:pPr>
        <w:pStyle w:val="Heading1"/>
      </w:pPr>
      <w:r>
        <w:rPr/>
        <w:t>The downswing - how the crisis unfolded</w:t>
      </w:r>
    </w:p>
    <w:p>
      <w:pPr>
        <w:pStyle w:val="BodyText"/>
        <w:rPr>
          <w:b/>
          <w:sz w:val="26"/>
        </w:rPr>
      </w:pPr>
    </w:p>
    <w:p>
      <w:pPr>
        <w:pStyle w:val="BodyText"/>
        <w:spacing w:before="9"/>
        <w:rPr>
          <w:b/>
          <w:sz w:val="21"/>
        </w:rPr>
      </w:pPr>
    </w:p>
    <w:p>
      <w:pPr>
        <w:pStyle w:val="BodyText"/>
        <w:spacing w:line="360" w:lineRule="auto"/>
        <w:ind w:left="1017" w:right="361"/>
      </w:pPr>
      <w:r>
        <w:rPr/>
        <w:t>Growing problems in the sub-prime market started the downswing. Chart 3 compares the path of US housing prices with the price of the triple-B ABX index (which captures the cost of insuring against default losses on sub-prime mortgages) and bank equity prices:</w:t>
      </w:r>
    </w:p>
    <w:p>
      <w:pPr>
        <w:pStyle w:val="BodyText"/>
        <w:spacing w:before="1"/>
        <w:rPr>
          <w:sz w:val="36"/>
        </w:rPr>
      </w:pPr>
    </w:p>
    <w:p>
      <w:pPr>
        <w:pStyle w:val="ListParagraph"/>
        <w:numPr>
          <w:ilvl w:val="0"/>
          <w:numId w:val="1"/>
        </w:numPr>
        <w:tabs>
          <w:tab w:pos="2455" w:val="left" w:leader="none"/>
          <w:tab w:pos="2456" w:val="left" w:leader="none"/>
        </w:tabs>
        <w:spacing w:line="355" w:lineRule="auto" w:before="0" w:after="0"/>
        <w:ind w:left="2455" w:right="509" w:hanging="360"/>
        <w:jc w:val="left"/>
        <w:rPr>
          <w:rFonts w:ascii="Symbol" w:hAnsi="Symbol"/>
          <w:sz w:val="24"/>
        </w:rPr>
      </w:pPr>
      <w:r>
        <w:rPr>
          <w:sz w:val="24"/>
        </w:rPr>
        <w:t>As you can see, the US housing market began to turn down in mid 2006; and banks holding sub-prime loans on balance sheet began to make provisions at that</w:t>
      </w:r>
      <w:r>
        <w:rPr>
          <w:spacing w:val="-3"/>
          <w:sz w:val="24"/>
        </w:rPr>
        <w:t> </w:t>
      </w:r>
      <w:r>
        <w:rPr>
          <w:sz w:val="24"/>
        </w:rPr>
        <w:t>point.</w:t>
      </w:r>
    </w:p>
    <w:p>
      <w:pPr>
        <w:pStyle w:val="ListParagraph"/>
        <w:numPr>
          <w:ilvl w:val="0"/>
          <w:numId w:val="1"/>
        </w:numPr>
        <w:tabs>
          <w:tab w:pos="2455" w:val="left" w:leader="none"/>
          <w:tab w:pos="2456" w:val="left" w:leader="none"/>
        </w:tabs>
        <w:spacing w:line="350" w:lineRule="auto" w:before="7" w:after="0"/>
        <w:ind w:left="2455" w:right="550" w:hanging="360"/>
        <w:jc w:val="left"/>
        <w:rPr>
          <w:rFonts w:ascii="Symbol" w:hAnsi="Symbol"/>
          <w:sz w:val="24"/>
        </w:rPr>
      </w:pPr>
      <w:r>
        <w:rPr>
          <w:sz w:val="24"/>
        </w:rPr>
        <w:t>But it wasn’t until early in 2007 that rising defaults led to markdowns in even the riskier tranches of sub-prime backed</w:t>
      </w:r>
      <w:r>
        <w:rPr>
          <w:spacing w:val="-7"/>
          <w:sz w:val="24"/>
        </w:rPr>
        <w:t> </w:t>
      </w:r>
      <w:r>
        <w:rPr>
          <w:sz w:val="24"/>
        </w:rPr>
        <w:t>securities.</w:t>
      </w:r>
    </w:p>
    <w:p>
      <w:pPr>
        <w:pStyle w:val="ListParagraph"/>
        <w:numPr>
          <w:ilvl w:val="0"/>
          <w:numId w:val="1"/>
        </w:numPr>
        <w:tabs>
          <w:tab w:pos="2455" w:val="left" w:leader="none"/>
          <w:tab w:pos="2456" w:val="left" w:leader="none"/>
        </w:tabs>
        <w:spacing w:line="357" w:lineRule="auto" w:before="13" w:after="0"/>
        <w:ind w:left="2455" w:right="674" w:hanging="360"/>
        <w:jc w:val="left"/>
        <w:rPr>
          <w:rFonts w:ascii="Symbol" w:hAnsi="Symbol"/>
          <w:sz w:val="24"/>
        </w:rPr>
      </w:pPr>
      <w:r>
        <w:rPr>
          <w:sz w:val="24"/>
        </w:rPr>
        <w:t>Last summer, problems at Bear Stearns, IKB and BNP Paribas brought home to investors the market risks they were running and led to an ‘investors’ strike’ on mortgage-backed securities and asset-backed commercial</w:t>
      </w:r>
      <w:r>
        <w:rPr>
          <w:spacing w:val="-1"/>
          <w:sz w:val="24"/>
        </w:rPr>
        <w:t> </w:t>
      </w:r>
      <w:r>
        <w:rPr>
          <w:sz w:val="24"/>
        </w:rPr>
        <w:t>paper.</w:t>
      </w:r>
    </w:p>
    <w:p>
      <w:pPr>
        <w:pStyle w:val="ListParagraph"/>
        <w:numPr>
          <w:ilvl w:val="0"/>
          <w:numId w:val="1"/>
        </w:numPr>
        <w:tabs>
          <w:tab w:pos="2455" w:val="left" w:leader="none"/>
          <w:tab w:pos="2456" w:val="left" w:leader="none"/>
        </w:tabs>
        <w:spacing w:line="355" w:lineRule="auto" w:before="1" w:after="0"/>
        <w:ind w:left="2455" w:right="141" w:hanging="360"/>
        <w:jc w:val="left"/>
        <w:rPr>
          <w:rFonts w:ascii="Symbol" w:hAnsi="Symbol"/>
          <w:sz w:val="24"/>
        </w:rPr>
      </w:pPr>
      <w:r>
        <w:rPr>
          <w:sz w:val="24"/>
        </w:rPr>
        <w:t>That in turn led banks to hoard liquidity; inter-bank markets spreads rose and volumes fell beyond the very short term; Northern Rock ran out of </w:t>
      </w:r>
      <w:r>
        <w:rPr>
          <w:spacing w:val="-3"/>
          <w:sz w:val="24"/>
        </w:rPr>
        <w:t>road, </w:t>
      </w:r>
      <w:r>
        <w:rPr>
          <w:sz w:val="24"/>
        </w:rPr>
        <w:t>and bank equity prices began to drop.</w:t>
      </w:r>
    </w:p>
    <w:p>
      <w:pPr>
        <w:spacing w:after="0" w:line="355" w:lineRule="auto"/>
        <w:jc w:val="left"/>
        <w:rPr>
          <w:rFonts w:ascii="Symbol" w:hAnsi="Symbol"/>
          <w:sz w:val="24"/>
        </w:rPr>
        <w:sectPr>
          <w:pgSz w:w="11910" w:h="16840"/>
          <w:pgMar w:header="0" w:footer="963" w:top="1600" w:bottom="1160" w:left="780" w:right="1180"/>
        </w:sectPr>
      </w:pPr>
    </w:p>
    <w:p>
      <w:pPr>
        <w:pStyle w:val="ListParagraph"/>
        <w:numPr>
          <w:ilvl w:val="0"/>
          <w:numId w:val="1"/>
        </w:numPr>
        <w:tabs>
          <w:tab w:pos="2455" w:val="left" w:leader="none"/>
          <w:tab w:pos="2456" w:val="left" w:leader="none"/>
        </w:tabs>
        <w:spacing w:line="360" w:lineRule="auto" w:before="117" w:after="0"/>
        <w:ind w:left="2455" w:right="141" w:hanging="360"/>
        <w:jc w:val="left"/>
        <w:rPr>
          <w:rFonts w:ascii="Symbol" w:hAnsi="Symbol"/>
          <w:sz w:val="20"/>
        </w:rPr>
      </w:pPr>
      <w:r>
        <w:rPr>
          <w:sz w:val="24"/>
        </w:rPr>
        <w:t>For a few weeks in October the market thought the worst was over but the publication of Q3 results renewed fears about the scale of bank losses which sparked a new squeeze in the money markets and a further sharp fall in bank share prices towards the end of the</w:t>
      </w:r>
      <w:r>
        <w:rPr>
          <w:spacing w:val="-7"/>
          <w:sz w:val="24"/>
        </w:rPr>
        <w:t> </w:t>
      </w:r>
      <w:r>
        <w:rPr>
          <w:sz w:val="24"/>
        </w:rPr>
        <w:t>year.</w:t>
      </w:r>
    </w:p>
    <w:p>
      <w:pPr>
        <w:pStyle w:val="ListParagraph"/>
        <w:numPr>
          <w:ilvl w:val="0"/>
          <w:numId w:val="1"/>
        </w:numPr>
        <w:tabs>
          <w:tab w:pos="2455" w:val="left" w:leader="none"/>
          <w:tab w:pos="2456" w:val="left" w:leader="none"/>
        </w:tabs>
        <w:spacing w:line="360" w:lineRule="auto" w:before="0" w:after="0"/>
        <w:ind w:left="2455" w:right="174" w:hanging="360"/>
        <w:jc w:val="left"/>
        <w:rPr>
          <w:rFonts w:ascii="Symbol" w:hAnsi="Symbol"/>
          <w:sz w:val="20"/>
        </w:rPr>
      </w:pPr>
      <w:r>
        <w:rPr>
          <w:sz w:val="24"/>
        </w:rPr>
        <w:t>Co-ordinated action by central banks helped to ease the short-term funding pressures at the year end (Chart 4); and hopes rose that the acute phase was over as banks declared their losses and, where necessary, managed to attract new capital including from sovereign wealth funds.</w:t>
      </w:r>
    </w:p>
    <w:p>
      <w:pPr>
        <w:pStyle w:val="BodyText"/>
        <w:rPr>
          <w:sz w:val="26"/>
        </w:rPr>
      </w:pPr>
    </w:p>
    <w:p>
      <w:pPr>
        <w:pStyle w:val="BodyText"/>
        <w:rPr>
          <w:sz w:val="26"/>
        </w:rPr>
      </w:pPr>
    </w:p>
    <w:p>
      <w:pPr>
        <w:pStyle w:val="BodyText"/>
        <w:rPr>
          <w:sz w:val="26"/>
        </w:rPr>
      </w:pPr>
    </w:p>
    <w:p>
      <w:pPr>
        <w:pStyle w:val="Heading1"/>
        <w:spacing w:before="210"/>
      </w:pPr>
      <w:r>
        <w:rPr/>
        <w:t>Where we are now</w:t>
      </w:r>
    </w:p>
    <w:p>
      <w:pPr>
        <w:pStyle w:val="BodyText"/>
        <w:rPr>
          <w:b/>
          <w:sz w:val="26"/>
        </w:rPr>
      </w:pPr>
    </w:p>
    <w:p>
      <w:pPr>
        <w:pStyle w:val="BodyText"/>
        <w:spacing w:before="9"/>
        <w:rPr>
          <w:b/>
          <w:sz w:val="21"/>
        </w:rPr>
      </w:pPr>
    </w:p>
    <w:p>
      <w:pPr>
        <w:pStyle w:val="BodyText"/>
        <w:spacing w:line="360" w:lineRule="auto"/>
        <w:ind w:left="1017" w:right="201"/>
      </w:pPr>
      <w:r>
        <w:rPr/>
        <w:t>But markets have remained difficult in the New Year. While LIBOR spreads have not returned to the levels of early December, money markets are sticky. Corporate bond and credit default swap rates have continued to climb, leveraged loan prices are dropping quickly, securitisation markets remain largely closed and the CDS and equity prices for banks continue to deteriorate.</w:t>
      </w:r>
    </w:p>
    <w:p>
      <w:pPr>
        <w:pStyle w:val="BodyText"/>
        <w:rPr>
          <w:sz w:val="36"/>
        </w:rPr>
      </w:pPr>
    </w:p>
    <w:p>
      <w:pPr>
        <w:pStyle w:val="BodyText"/>
        <w:ind w:left="1017"/>
      </w:pPr>
      <w:r>
        <w:rPr/>
        <w:t>This continuing strain reflects three main factors.</w:t>
      </w:r>
    </w:p>
    <w:p>
      <w:pPr>
        <w:pStyle w:val="BodyText"/>
        <w:rPr>
          <w:sz w:val="26"/>
        </w:rPr>
      </w:pPr>
    </w:p>
    <w:p>
      <w:pPr>
        <w:pStyle w:val="BodyText"/>
        <w:spacing w:before="11"/>
        <w:rPr>
          <w:sz w:val="21"/>
        </w:rPr>
      </w:pPr>
    </w:p>
    <w:p>
      <w:pPr>
        <w:pStyle w:val="BodyText"/>
        <w:spacing w:line="360" w:lineRule="auto"/>
        <w:ind w:left="1017" w:right="207"/>
      </w:pPr>
      <w:r>
        <w:rPr/>
        <w:t>First, it reflects fears about the future path of the economy especially in the US and the scale of new losses that may bring – not just in housing, but also in other forms of lending.</w:t>
      </w:r>
    </w:p>
    <w:p>
      <w:pPr>
        <w:pStyle w:val="BodyText"/>
        <w:rPr>
          <w:sz w:val="36"/>
        </w:rPr>
      </w:pPr>
    </w:p>
    <w:p>
      <w:pPr>
        <w:pStyle w:val="BodyText"/>
        <w:spacing w:line="360" w:lineRule="auto"/>
        <w:ind w:left="1017" w:right="261"/>
      </w:pPr>
      <w:r>
        <w:rPr/>
        <w:t>Second, however, there is continuing uncertainty about the scale and distribution of losses that have already occurred:</w:t>
      </w:r>
    </w:p>
    <w:p>
      <w:pPr>
        <w:pStyle w:val="BodyText"/>
        <w:spacing w:before="1"/>
        <w:rPr>
          <w:sz w:val="36"/>
        </w:rPr>
      </w:pPr>
    </w:p>
    <w:p>
      <w:pPr>
        <w:pStyle w:val="ListParagraph"/>
        <w:numPr>
          <w:ilvl w:val="0"/>
          <w:numId w:val="2"/>
        </w:numPr>
        <w:tabs>
          <w:tab w:pos="2097" w:val="left" w:leader="none"/>
          <w:tab w:pos="2098" w:val="left" w:leader="none"/>
        </w:tabs>
        <w:spacing w:line="357" w:lineRule="auto" w:before="0" w:after="0"/>
        <w:ind w:left="2097" w:right="159" w:hanging="360"/>
        <w:jc w:val="left"/>
        <w:rPr>
          <w:sz w:val="24"/>
        </w:rPr>
      </w:pPr>
      <w:r>
        <w:rPr>
          <w:sz w:val="24"/>
        </w:rPr>
        <w:t>To illustrate the uncertainty on overall scale, Chart 5 sets out different estimates of sub-prime losses based on different estimation methods. First, given the length of the foreclosure process, realised losses on the sub-prime mortgages which underpin securities may not total much more than $30 billion so far. Second, if projecting forward the rate at which delinquencies are cumulating on recent vintages of sub-prime mortgages, we can estimate that losses on</w:t>
      </w:r>
      <w:r>
        <w:rPr>
          <w:spacing w:val="-14"/>
          <w:sz w:val="24"/>
        </w:rPr>
        <w:t> </w:t>
      </w:r>
      <w:r>
        <w:rPr>
          <w:sz w:val="24"/>
        </w:rPr>
        <w:t>the</w:t>
      </w:r>
    </w:p>
    <w:p>
      <w:pPr>
        <w:spacing w:after="0" w:line="357" w:lineRule="auto"/>
        <w:jc w:val="left"/>
        <w:rPr>
          <w:sz w:val="24"/>
        </w:rPr>
        <w:sectPr>
          <w:pgSz w:w="11910" w:h="16840"/>
          <w:pgMar w:header="0" w:footer="963" w:top="1600" w:bottom="1160" w:left="780" w:right="1180"/>
        </w:sectPr>
      </w:pPr>
    </w:p>
    <w:p>
      <w:pPr>
        <w:pStyle w:val="BodyText"/>
        <w:spacing w:line="360" w:lineRule="auto" w:before="117"/>
        <w:ind w:left="2097" w:right="108"/>
      </w:pPr>
      <w:r>
        <w:rPr/>
        <w:t>securitised loans might ultimately exceed $150 billion. Thirdly, using the sub- prime ABX indices to “mark-to-market” sub-prime securities, can produce figures of $300 to 400 billion. Against these figures, international banks have </w:t>
      </w:r>
      <w:r>
        <w:rPr>
          <w:spacing w:val="-7"/>
        </w:rPr>
        <w:t>so </w:t>
      </w:r>
      <w:r>
        <w:rPr/>
        <w:t>far announced writedowns (net of hedging) of $100 to $150</w:t>
      </w:r>
      <w:r>
        <w:rPr>
          <w:spacing w:val="-1"/>
        </w:rPr>
        <w:t> </w:t>
      </w:r>
      <w:r>
        <w:rPr/>
        <w:t>billion.</w:t>
      </w:r>
    </w:p>
    <w:p>
      <w:pPr>
        <w:pStyle w:val="ListParagraph"/>
        <w:numPr>
          <w:ilvl w:val="0"/>
          <w:numId w:val="2"/>
        </w:numPr>
        <w:tabs>
          <w:tab w:pos="2097" w:val="left" w:leader="none"/>
          <w:tab w:pos="2098" w:val="left" w:leader="none"/>
        </w:tabs>
        <w:spacing w:line="357" w:lineRule="auto" w:before="1" w:after="0"/>
        <w:ind w:left="2097" w:right="267" w:hanging="360"/>
        <w:jc w:val="left"/>
        <w:rPr>
          <w:sz w:val="24"/>
        </w:rPr>
      </w:pPr>
      <w:r>
        <w:rPr>
          <w:sz w:val="24"/>
        </w:rPr>
        <w:t>Although these are huge numbers, they amount to less than 1% of the total assets of the Large Complex Financial Institutions (LCFIs) in the US and Europe. In relation to GDP, even the higher estimates would be comparable </w:t>
      </w:r>
      <w:r>
        <w:rPr>
          <w:spacing w:val="-6"/>
          <w:sz w:val="24"/>
        </w:rPr>
        <w:t>to </w:t>
      </w:r>
      <w:r>
        <w:rPr>
          <w:sz w:val="24"/>
        </w:rPr>
        <w:t>the losses in the Savings and Loans</w:t>
      </w:r>
      <w:r>
        <w:rPr>
          <w:spacing w:val="-1"/>
          <w:sz w:val="24"/>
        </w:rPr>
        <w:t> </w:t>
      </w:r>
      <w:r>
        <w:rPr>
          <w:sz w:val="24"/>
        </w:rPr>
        <w:t>crisis.</w:t>
      </w:r>
      <w:r>
        <w:rPr>
          <w:sz w:val="24"/>
          <w:vertAlign w:val="superscript"/>
        </w:rPr>
        <w:t>2</w:t>
      </w:r>
    </w:p>
    <w:p>
      <w:pPr>
        <w:pStyle w:val="ListParagraph"/>
        <w:numPr>
          <w:ilvl w:val="0"/>
          <w:numId w:val="2"/>
        </w:numPr>
        <w:tabs>
          <w:tab w:pos="2097" w:val="left" w:leader="none"/>
          <w:tab w:pos="2098" w:val="left" w:leader="none"/>
        </w:tabs>
        <w:spacing w:line="357" w:lineRule="auto" w:before="1" w:after="0"/>
        <w:ind w:left="2097" w:right="121" w:hanging="360"/>
        <w:jc w:val="left"/>
        <w:rPr>
          <w:sz w:val="24"/>
        </w:rPr>
      </w:pPr>
      <w:r>
        <w:rPr>
          <w:sz w:val="24"/>
        </w:rPr>
        <w:t>But the securitisation model has not just made it difficult to scale the problem; it has added a large measure of uncertainty and opacity to the distribution of losses and that is a key factor in the continued reluctance to lend and the closure of most ABS markets. The current worries on the future of the monoline bond insurers reflected in their CDS prices in Chart 6 are exacerbating the uncertainties about individual banks’</w:t>
      </w:r>
      <w:r>
        <w:rPr>
          <w:spacing w:val="-3"/>
          <w:sz w:val="24"/>
        </w:rPr>
        <w:t> </w:t>
      </w:r>
      <w:r>
        <w:rPr>
          <w:sz w:val="24"/>
        </w:rPr>
        <w:t>exposures.</w:t>
      </w:r>
    </w:p>
    <w:p>
      <w:pPr>
        <w:pStyle w:val="BodyText"/>
        <w:spacing w:before="6"/>
        <w:rPr>
          <w:sz w:val="36"/>
        </w:rPr>
      </w:pPr>
    </w:p>
    <w:p>
      <w:pPr>
        <w:pStyle w:val="BodyText"/>
        <w:spacing w:line="360" w:lineRule="auto"/>
        <w:ind w:left="1017" w:right="135"/>
      </w:pPr>
      <w:r>
        <w:rPr/>
        <w:t>The third factor is the dislocation of the investor base for ABS. Since the summer many of the main buyers of ABS have withdrawn from the market. The conduits and SIVs are greatly diminished where they are not being wound up altogether. And the money market and other funds that stepped away from these off-balance-sheet vehicles are not willing at least yet to buy ABS directly. Finding new homes for these securities is bound to take time. So long as there are known to be reluctant holders, even long term real money investors will tend to hold back to see whether prices are driven lower in coming months by forced sales. On the other side many issuers are reluctant to accept the prices on offer today since they could become benchmarks for the future.</w:t>
      </w:r>
    </w:p>
    <w:p>
      <w:pPr>
        <w:pStyle w:val="Heading1"/>
        <w:spacing w:before="3"/>
      </w:pPr>
      <w:r>
        <w:rPr/>
        <w:t>Lessons from the crisis</w:t>
      </w:r>
    </w:p>
    <w:p>
      <w:pPr>
        <w:pStyle w:val="BodyText"/>
        <w:rPr>
          <w:b/>
          <w:sz w:val="26"/>
        </w:rPr>
      </w:pPr>
    </w:p>
    <w:p>
      <w:pPr>
        <w:pStyle w:val="BodyText"/>
        <w:spacing w:before="9"/>
        <w:rPr>
          <w:b/>
          <w:sz w:val="21"/>
        </w:rPr>
      </w:pPr>
    </w:p>
    <w:p>
      <w:pPr>
        <w:pStyle w:val="BodyText"/>
        <w:spacing w:line="360" w:lineRule="auto"/>
        <w:ind w:left="1017"/>
      </w:pPr>
      <w:r>
        <w:rPr/>
        <w:t>The story is far from over but it is still possible to identify some lessons. The past seven months have taught market participants a lot about the risks and limitations of the new markets and their business models; their responses will be the most powerful force for change. On the official side, a recent consultative document has set out proposed responses</w:t>
      </w:r>
    </w:p>
    <w:p>
      <w:pPr>
        <w:pStyle w:val="BodyText"/>
        <w:spacing w:before="1"/>
        <w:rPr>
          <w:sz w:val="13"/>
        </w:rPr>
      </w:pPr>
      <w:r>
        <w:rPr/>
        <w:pict>
          <v:shape style="position:absolute;margin-left:89.879997pt;margin-top:9.788579pt;width:144pt;height:.1pt;mso-position-horizontal-relative:page;mso-position-vertical-relative:paragraph;z-index:-251655168;mso-wrap-distance-left:0;mso-wrap-distance-right:0" coordorigin="1798,196" coordsize="2880,0" path="m1798,196l4678,196e" filled="false" stroked="true" strokeweight=".600010pt" strokecolor="#000000">
            <v:path arrowok="t"/>
            <v:stroke dashstyle="solid"/>
            <w10:wrap type="topAndBottom"/>
          </v:shape>
        </w:pict>
      </w:r>
    </w:p>
    <w:p>
      <w:pPr>
        <w:spacing w:before="49"/>
        <w:ind w:left="1017" w:right="214" w:hanging="1"/>
        <w:jc w:val="left"/>
        <w:rPr>
          <w:sz w:val="20"/>
        </w:rPr>
      </w:pPr>
      <w:r>
        <w:rPr>
          <w:position w:val="9"/>
          <w:sz w:val="13"/>
        </w:rPr>
        <w:t>2 </w:t>
      </w:r>
      <w:r>
        <w:rPr>
          <w:sz w:val="20"/>
        </w:rPr>
        <w:t>Arguably the cash flow projection of losses of $150 billion comes closest to the sort of provisions banks would be making if the loans had been held on their banking books rather than securitised and sold on. On that basis the losses currently projected would be only 50% of the Savings and Loans losses as a share of US GDP.</w:t>
      </w:r>
    </w:p>
    <w:p>
      <w:pPr>
        <w:spacing w:after="0"/>
        <w:jc w:val="left"/>
        <w:rPr>
          <w:sz w:val="20"/>
        </w:rPr>
        <w:sectPr>
          <w:pgSz w:w="11910" w:h="16840"/>
          <w:pgMar w:header="0" w:footer="963" w:top="1600" w:bottom="1160" w:left="780" w:right="1180"/>
        </w:sectPr>
      </w:pPr>
    </w:p>
    <w:p>
      <w:pPr>
        <w:pStyle w:val="BodyText"/>
        <w:rPr>
          <w:sz w:val="20"/>
        </w:rPr>
      </w:pPr>
    </w:p>
    <w:p>
      <w:pPr>
        <w:pStyle w:val="BodyText"/>
        <w:spacing w:before="2"/>
        <w:rPr>
          <w:sz w:val="26"/>
        </w:rPr>
      </w:pPr>
    </w:p>
    <w:p>
      <w:pPr>
        <w:pStyle w:val="BodyText"/>
        <w:spacing w:line="360" w:lineRule="auto"/>
        <w:ind w:left="1017" w:right="322"/>
      </w:pPr>
      <w:r>
        <w:rPr/>
        <w:t>by the UK tripartite authorities. </w:t>
      </w:r>
      <w:r>
        <w:rPr>
          <w:vertAlign w:val="superscript"/>
        </w:rPr>
        <w:t>3</w:t>
      </w:r>
      <w:r>
        <w:rPr>
          <w:vertAlign w:val="baseline"/>
        </w:rPr>
        <w:t> Internationally, the Financial Stability Forum (FSF), which draws together central banks, supervisors and finance ministries from the main financial centres, is co-ordinating an action plan for authorities to develop and implement recommendations across a number of areas (Chart 7).</w:t>
      </w:r>
      <w:r>
        <w:rPr>
          <w:vertAlign w:val="superscript"/>
        </w:rPr>
        <w:t>4</w:t>
      </w:r>
    </w:p>
    <w:p>
      <w:pPr>
        <w:pStyle w:val="BodyText"/>
        <w:rPr>
          <w:sz w:val="36"/>
        </w:rPr>
      </w:pPr>
    </w:p>
    <w:p>
      <w:pPr>
        <w:pStyle w:val="BodyText"/>
        <w:ind w:left="1017"/>
      </w:pPr>
      <w:r>
        <w:rPr/>
        <w:t>Among the key lessons are:</w:t>
      </w:r>
    </w:p>
    <w:p>
      <w:pPr>
        <w:pStyle w:val="BodyText"/>
        <w:rPr>
          <w:sz w:val="26"/>
        </w:rPr>
      </w:pPr>
    </w:p>
    <w:p>
      <w:pPr>
        <w:pStyle w:val="BodyText"/>
        <w:spacing w:before="1"/>
        <w:rPr>
          <w:sz w:val="22"/>
        </w:rPr>
      </w:pPr>
    </w:p>
    <w:p>
      <w:pPr>
        <w:pStyle w:val="ListParagraph"/>
        <w:numPr>
          <w:ilvl w:val="0"/>
          <w:numId w:val="2"/>
        </w:numPr>
        <w:tabs>
          <w:tab w:pos="2097" w:val="left" w:leader="none"/>
          <w:tab w:pos="2098" w:val="left" w:leader="none"/>
        </w:tabs>
        <w:spacing w:line="350" w:lineRule="auto" w:before="0" w:after="0"/>
        <w:ind w:left="2097" w:right="1092" w:hanging="360"/>
        <w:jc w:val="left"/>
        <w:rPr>
          <w:sz w:val="24"/>
        </w:rPr>
      </w:pPr>
      <w:r>
        <w:rPr>
          <w:sz w:val="24"/>
        </w:rPr>
        <w:t>the critical importance of liquidity, alongside capital, in managing and regulating banks;</w:t>
      </w:r>
    </w:p>
    <w:p>
      <w:pPr>
        <w:pStyle w:val="ListParagraph"/>
        <w:numPr>
          <w:ilvl w:val="0"/>
          <w:numId w:val="2"/>
        </w:numPr>
        <w:tabs>
          <w:tab w:pos="2097" w:val="left" w:leader="none"/>
          <w:tab w:pos="2098" w:val="left" w:leader="none"/>
        </w:tabs>
        <w:spacing w:line="350" w:lineRule="auto" w:before="13" w:after="0"/>
        <w:ind w:left="2097" w:right="946" w:hanging="360"/>
        <w:jc w:val="left"/>
        <w:rPr>
          <w:sz w:val="24"/>
        </w:rPr>
      </w:pPr>
      <w:r>
        <w:rPr>
          <w:sz w:val="24"/>
        </w:rPr>
        <w:t>the limitations of the models which underpin the valuation and rating of structured products;</w:t>
      </w:r>
    </w:p>
    <w:p>
      <w:pPr>
        <w:pStyle w:val="ListParagraph"/>
        <w:numPr>
          <w:ilvl w:val="0"/>
          <w:numId w:val="2"/>
        </w:numPr>
        <w:tabs>
          <w:tab w:pos="2097" w:val="left" w:leader="none"/>
          <w:tab w:pos="2098" w:val="left" w:leader="none"/>
        </w:tabs>
        <w:spacing w:line="352" w:lineRule="auto" w:before="12" w:after="0"/>
        <w:ind w:left="2097" w:right="313" w:hanging="360"/>
        <w:jc w:val="left"/>
        <w:rPr>
          <w:sz w:val="24"/>
        </w:rPr>
      </w:pPr>
      <w:r>
        <w:rPr>
          <w:sz w:val="24"/>
        </w:rPr>
        <w:t>the importance of disclosure on risk exposures and valuation practices for the maintenance of confidence and effective market functioning in times of</w:t>
      </w:r>
      <w:r>
        <w:rPr>
          <w:spacing w:val="-8"/>
          <w:sz w:val="24"/>
        </w:rPr>
        <w:t> </w:t>
      </w:r>
      <w:r>
        <w:rPr>
          <w:sz w:val="24"/>
        </w:rPr>
        <w:t>stress;</w:t>
      </w:r>
    </w:p>
    <w:p>
      <w:pPr>
        <w:pStyle w:val="ListParagraph"/>
        <w:numPr>
          <w:ilvl w:val="0"/>
          <w:numId w:val="2"/>
        </w:numPr>
        <w:tabs>
          <w:tab w:pos="2097" w:val="left" w:leader="none"/>
          <w:tab w:pos="2098" w:val="left" w:leader="none"/>
        </w:tabs>
        <w:spacing w:line="357" w:lineRule="auto" w:before="9" w:after="0"/>
        <w:ind w:left="2097" w:right="259" w:hanging="360"/>
        <w:jc w:val="left"/>
        <w:rPr>
          <w:sz w:val="24"/>
        </w:rPr>
      </w:pPr>
      <w:r>
        <w:rPr>
          <w:sz w:val="24"/>
        </w:rPr>
        <w:t>the need to alter the adverse incentives that had developed in the distribution chain for mortgages including for originators to maximise the volume of loans, for the rating agencies to expand their scope as widely as possible, and for banks to use off-balance-sheet vehicles; and</w:t>
      </w:r>
    </w:p>
    <w:p>
      <w:pPr>
        <w:pStyle w:val="ListParagraph"/>
        <w:numPr>
          <w:ilvl w:val="0"/>
          <w:numId w:val="2"/>
        </w:numPr>
        <w:tabs>
          <w:tab w:pos="2097" w:val="left" w:leader="none"/>
          <w:tab w:pos="2098" w:val="left" w:leader="none"/>
        </w:tabs>
        <w:spacing w:line="355" w:lineRule="auto" w:before="1" w:after="0"/>
        <w:ind w:left="2097" w:right="145" w:hanging="360"/>
        <w:jc w:val="left"/>
        <w:rPr>
          <w:sz w:val="24"/>
        </w:rPr>
      </w:pPr>
      <w:r>
        <w:rPr>
          <w:sz w:val="24"/>
        </w:rPr>
        <w:t>improving crisis management arrangements, including the process for providing liquidity to institutions under stress and for restructuring weak and failing banks.</w:t>
      </w:r>
    </w:p>
    <w:p>
      <w:pPr>
        <w:pStyle w:val="BodyText"/>
        <w:spacing w:before="8"/>
        <w:rPr>
          <w:sz w:val="36"/>
        </w:rPr>
      </w:pPr>
    </w:p>
    <w:p>
      <w:pPr>
        <w:pStyle w:val="Heading1"/>
      </w:pPr>
      <w:r>
        <w:rPr/>
        <w:t>Measuring and adjusting for</w:t>
      </w:r>
      <w:r>
        <w:rPr>
          <w:spacing w:val="-6"/>
        </w:rPr>
        <w:t> </w:t>
      </w:r>
      <w:r>
        <w:rPr/>
        <w:t>risk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1"/>
        </w:rPr>
      </w:pPr>
      <w:r>
        <w:rPr/>
        <w:pict>
          <v:shape style="position:absolute;margin-left:89.879997pt;margin-top:14.890561pt;width:144pt;height:.1pt;mso-position-horizontal-relative:page;mso-position-vertical-relative:paragraph;z-index:-251654144;mso-wrap-distance-left:0;mso-wrap-distance-right:0" coordorigin="1798,298" coordsize="2880,0" path="m1798,298l4678,298e" filled="false" stroked="true" strokeweight=".600010pt" strokecolor="#000000">
            <v:path arrowok="t"/>
            <v:stroke dashstyle="solid"/>
            <w10:wrap type="topAndBottom"/>
          </v:shape>
        </w:pict>
      </w:r>
    </w:p>
    <w:p>
      <w:pPr>
        <w:spacing w:before="49"/>
        <w:ind w:left="1017" w:right="0" w:firstLine="0"/>
        <w:jc w:val="left"/>
        <w:rPr>
          <w:sz w:val="20"/>
        </w:rPr>
      </w:pPr>
      <w:r>
        <w:rPr>
          <w:position w:val="9"/>
          <w:sz w:val="13"/>
        </w:rPr>
        <w:t>3 </w:t>
      </w:r>
      <w:r>
        <w:rPr>
          <w:sz w:val="20"/>
        </w:rPr>
        <w:t>See 'Financial stability and depositor protection: strengthening the framework', Consultation Document, January 2008. </w:t>
      </w:r>
      <w:hyperlink r:id="rId8">
        <w:r>
          <w:rPr>
            <w:color w:val="0000FF"/>
            <w:sz w:val="20"/>
            <w:u w:val="single" w:color="0000FF"/>
          </w:rPr>
          <w:t>http://www.bankofengland.co.uk/publications/financialstabilityanddepositorprotection080130.pdf</w:t>
        </w:r>
      </w:hyperlink>
    </w:p>
    <w:p>
      <w:pPr>
        <w:spacing w:before="95"/>
        <w:ind w:left="1017" w:right="228" w:firstLine="0"/>
        <w:jc w:val="left"/>
        <w:rPr>
          <w:sz w:val="20"/>
        </w:rPr>
      </w:pPr>
      <w:r>
        <w:rPr>
          <w:position w:val="9"/>
          <w:sz w:val="13"/>
        </w:rPr>
        <w:t>4 </w:t>
      </w:r>
      <w:r>
        <w:rPr>
          <w:sz w:val="20"/>
        </w:rPr>
        <w:t>Private sector initiatives have also been launched. There are European industry plans to compile information on a variety of instruments including ABCP, ABS and CDO and to disseminate this to investors and other interested parties on a regular basis. See ‘Summary of European Industry Commitments to the European Commission regarding Transparency in the European Securitisation Market’ </w:t>
      </w:r>
      <w:hyperlink r:id="rId9">
        <w:r>
          <w:rPr>
            <w:sz w:val="20"/>
          </w:rPr>
          <w:t>(www.europea</w:t>
        </w:r>
      </w:hyperlink>
      <w:r>
        <w:rPr>
          <w:sz w:val="20"/>
        </w:rPr>
        <w:t>n</w:t>
      </w:r>
      <w:hyperlink r:id="rId9">
        <w:r>
          <w:rPr>
            <w:sz w:val="20"/>
          </w:rPr>
          <w:t>securitisation.com/Industry-letter-08Feb08.pdf). </w:t>
        </w:r>
      </w:hyperlink>
      <w:r>
        <w:rPr>
          <w:sz w:val="20"/>
        </w:rPr>
        <w:t>The Institute of International Finance (IIF) also has an active agenda of work, covering risk management, liquidity, valuation, ratings, and transparency. (See </w:t>
      </w:r>
      <w:hyperlink r:id="rId10">
        <w:r>
          <w:rPr>
            <w:color w:val="0000FF"/>
            <w:sz w:val="20"/>
            <w:u w:val="single" w:color="0000FF"/>
          </w:rPr>
          <w:t>http://www.iif.com/press/press+releases+2007/press+46.php</w:t>
        </w:r>
        <w:r>
          <w:rPr>
            <w:sz w:val="20"/>
          </w:rPr>
          <w:t>).</w:t>
        </w:r>
      </w:hyperlink>
    </w:p>
    <w:p>
      <w:pPr>
        <w:spacing w:after="0"/>
        <w:jc w:val="left"/>
        <w:rPr>
          <w:sz w:val="20"/>
        </w:rPr>
        <w:sectPr>
          <w:pgSz w:w="11910" w:h="16840"/>
          <w:pgMar w:header="0" w:footer="963" w:top="1600" w:bottom="1160" w:left="780" w:right="1180"/>
        </w:sectPr>
      </w:pPr>
    </w:p>
    <w:p>
      <w:pPr>
        <w:pStyle w:val="BodyText"/>
        <w:spacing w:line="360" w:lineRule="auto" w:before="117"/>
        <w:ind w:left="1017" w:right="402"/>
      </w:pPr>
      <w:r>
        <w:rPr/>
        <w:t>The focus of this work is the recent structural changes in banking and credit markets and ways to prevent those making the financial system more prone or less resilient to large cyclical swings.</w:t>
      </w:r>
    </w:p>
    <w:p>
      <w:pPr>
        <w:pStyle w:val="BodyText"/>
        <w:spacing w:line="360" w:lineRule="auto"/>
        <w:ind w:left="1017" w:right="201"/>
      </w:pPr>
      <w:r>
        <w:rPr/>
        <w:t>That is important. But we have been here before. It is not so long since a vast amount of work was set in train in the wake of the LTCM crisis in 1998 and again after the dotcom boom blew out. While each crisis has its own idiosyncrasies there are common elements and they too need to be addressed.</w:t>
      </w:r>
    </w:p>
    <w:p>
      <w:pPr>
        <w:pStyle w:val="BodyText"/>
        <w:rPr>
          <w:sz w:val="36"/>
        </w:rPr>
      </w:pPr>
    </w:p>
    <w:p>
      <w:pPr>
        <w:pStyle w:val="BodyText"/>
        <w:spacing w:line="360" w:lineRule="auto" w:before="1"/>
        <w:ind w:left="1017" w:right="136"/>
      </w:pPr>
      <w:r>
        <w:rPr/>
        <w:t>In my view the key lies in the measurement of risk and the repeated inclination to underprice risks at the top of the cycle and thus take comfort from exaggerated estimates of risk adjusted returns; and the corollary, a tendency to overprice risk as the cycle swings down.</w:t>
      </w:r>
    </w:p>
    <w:p>
      <w:pPr>
        <w:pStyle w:val="BodyText"/>
        <w:spacing w:before="11"/>
        <w:rPr>
          <w:sz w:val="35"/>
        </w:rPr>
      </w:pPr>
    </w:p>
    <w:p>
      <w:pPr>
        <w:pStyle w:val="BodyText"/>
        <w:spacing w:line="360" w:lineRule="auto"/>
        <w:ind w:left="1017" w:right="363"/>
      </w:pPr>
      <w:r>
        <w:rPr/>
        <w:t>At the macro level it is hard to assess what is a warranted rise in asset prices and what an unsustainable boom; in regulation it has proved hard to design systems which adjust appropriately for the cycle, never mind which effectively lean against it; and at the micro level firms find it difficult to measure the risks in their strategies and to base their targets and incentive systems on risk adjusted returns.</w:t>
      </w:r>
    </w:p>
    <w:p>
      <w:pPr>
        <w:pStyle w:val="BodyText"/>
        <w:rPr>
          <w:sz w:val="36"/>
        </w:rPr>
      </w:pPr>
    </w:p>
    <w:p>
      <w:pPr>
        <w:pStyle w:val="BodyText"/>
        <w:spacing w:line="360" w:lineRule="auto"/>
        <w:ind w:left="1017" w:right="395"/>
      </w:pPr>
      <w:r>
        <w:rPr/>
        <w:t>We must try to align incentives between actual risk and return by improving risk management practices (for example on off-balance sheet activities) and rectifying the revealed weaknesses in the originate-to-distribute model whether in the US mortgage market, in valuation practices or in the use of rating agencies. But we know that many of the incentive problems are deeply embedded – after all, asymmetry is inherent in any limited liability arrangement. The protection of depositors is well established. And it is hard for firms to take account of the collective implications for the credit cycle of their individual behaviours.</w:t>
      </w:r>
    </w:p>
    <w:p>
      <w:pPr>
        <w:pStyle w:val="BodyText"/>
        <w:spacing w:before="11"/>
        <w:rPr>
          <w:sz w:val="35"/>
        </w:rPr>
      </w:pPr>
    </w:p>
    <w:p>
      <w:pPr>
        <w:pStyle w:val="BodyText"/>
        <w:spacing w:line="360" w:lineRule="auto"/>
        <w:ind w:left="1017" w:right="134"/>
      </w:pPr>
      <w:r>
        <w:rPr/>
        <w:t>Of course there is a role for monetary policy in smoothing the cycle but it has to address the whole economy and not just the financial sector. So we need also to consider again how far we can make our regulatory regime for capital and liquidity counter cyclical – that is create a system which raises requirements as the boom gathers pace in order to dampen the upswing and create additional headroom for losses as the cycle turns. Basle II is a step</w:t>
      </w:r>
      <w:r>
        <w:rPr>
          <w:spacing w:val="-9"/>
        </w:rPr>
        <w:t> </w:t>
      </w:r>
      <w:r>
        <w:rPr/>
        <w:t>in</w:t>
      </w:r>
    </w:p>
    <w:p>
      <w:pPr>
        <w:spacing w:after="0" w:line="360" w:lineRule="auto"/>
        <w:sectPr>
          <w:pgSz w:w="11910" w:h="16840"/>
          <w:pgMar w:header="0" w:footer="963" w:top="1600" w:bottom="1160" w:left="780" w:right="1180"/>
        </w:sectPr>
      </w:pPr>
    </w:p>
    <w:p>
      <w:pPr>
        <w:pStyle w:val="BodyText"/>
        <w:spacing w:line="360" w:lineRule="auto" w:before="117"/>
        <w:ind w:left="1017" w:right="262"/>
      </w:pPr>
      <w:r>
        <w:rPr/>
        <w:t>the right direction in many ways, particularly in its treatment of off-balance sheet vehicles and in stimulating improved risk management systems, but it still has known pro-cyclical features which we need to address. If we cannot do so effectively an alternative may be to require larger capital and liquidity buffers across the whole cycle.</w:t>
      </w:r>
    </w:p>
    <w:p>
      <w:pPr>
        <w:pStyle w:val="BodyText"/>
        <w:rPr>
          <w:sz w:val="36"/>
        </w:rPr>
      </w:pPr>
    </w:p>
    <w:p>
      <w:pPr>
        <w:pStyle w:val="BodyText"/>
        <w:spacing w:line="360" w:lineRule="auto"/>
        <w:ind w:left="1017" w:right="121"/>
      </w:pPr>
      <w:r>
        <w:rPr/>
        <w:t>The past seven months have been testimony to Mark Twain’s comment that “history doesn’t repeat itself but it does sometimes rhyme.” The structured credit markets and the growth of “originate and distribute” banking have amplified the turmoil in credit markets in recent months. But under the new clothes, the old credit cycle is still recognisable. It is important we learn the lessons about the new credit instruments and markets. But we also need to address again the roots of the credit</w:t>
      </w:r>
      <w:r>
        <w:rPr>
          <w:spacing w:val="-10"/>
        </w:rPr>
        <w:t> </w:t>
      </w:r>
      <w:r>
        <w:rPr/>
        <w:t>cycle.</w:t>
      </w:r>
    </w:p>
    <w:p>
      <w:pPr>
        <w:pStyle w:val="BodyText"/>
        <w:rPr>
          <w:sz w:val="20"/>
        </w:rPr>
      </w:pPr>
    </w:p>
    <w:p>
      <w:pPr>
        <w:pStyle w:val="BodyText"/>
        <w:rPr>
          <w:sz w:val="20"/>
        </w:rPr>
      </w:pPr>
    </w:p>
    <w:p>
      <w:pPr>
        <w:pStyle w:val="BodyText"/>
        <w:rPr>
          <w:sz w:val="20"/>
        </w:rPr>
      </w:pPr>
    </w:p>
    <w:p>
      <w:pPr>
        <w:pStyle w:val="BodyText"/>
        <w:spacing w:before="5"/>
        <w:rPr>
          <w:sz w:val="28"/>
        </w:rPr>
      </w:pPr>
    </w:p>
    <w:p>
      <w:pPr>
        <w:spacing w:after="0"/>
        <w:rPr>
          <w:sz w:val="28"/>
        </w:rPr>
        <w:sectPr>
          <w:pgSz w:w="11910" w:h="16840"/>
          <w:pgMar w:header="0" w:footer="963" w:top="1600" w:bottom="1160" w:left="780" w:right="1180"/>
        </w:sectPr>
      </w:pPr>
    </w:p>
    <w:p>
      <w:pPr>
        <w:pStyle w:val="Heading1"/>
        <w:spacing w:before="90"/>
        <w:ind w:left="405" w:right="-20"/>
      </w:pPr>
      <w:r>
        <w:rPr/>
        <w:t>Chart 1: Credit spreads: levels and volatility</w:t>
      </w:r>
      <w:r>
        <w:rPr>
          <w:vertAlign w:val="superscript"/>
        </w:rPr>
        <w:t>(a)</w:t>
      </w:r>
    </w:p>
    <w:p>
      <w:pPr>
        <w:spacing w:line="292" w:lineRule="auto" w:before="89"/>
        <w:ind w:left="739" w:right="2891" w:hanging="1"/>
        <w:jc w:val="left"/>
        <w:rPr>
          <w:sz w:val="16"/>
        </w:rPr>
      </w:pPr>
      <w:r>
        <w:rPr/>
        <w:pict>
          <v:group style="position:absolute;margin-left:93.18pt;margin-top:4.569552pt;width:160.5pt;height:165.65pt;mso-position-horizontal-relative:page;mso-position-vertical-relative:paragraph;z-index:251666432" coordorigin="1864,91" coordsize="3210,3313">
            <v:shape style="position:absolute;left:1863;top:418;width:3210;height:2985" type="#_x0000_t75" stroked="false">
              <v:imagedata r:id="rId11" o:title=""/>
            </v:shape>
            <v:shape style="position:absolute;left:1909;top:91;width:1666;height:603" type="#_x0000_t202" filled="false" stroked="false">
              <v:textbox inset="0,0,0,0">
                <w:txbxContent>
                  <w:p>
                    <w:pPr>
                      <w:spacing w:line="182" w:lineRule="exact" w:before="0"/>
                      <w:ind w:left="0" w:right="0" w:firstLine="0"/>
                      <w:jc w:val="left"/>
                      <w:rPr>
                        <w:sz w:val="16"/>
                      </w:rPr>
                    </w:pPr>
                    <w:r>
                      <w:rPr>
                        <w:w w:val="105"/>
                        <w:sz w:val="16"/>
                      </w:rPr>
                      <w:t>points</w:t>
                    </w:r>
                  </w:p>
                  <w:p>
                    <w:pPr>
                      <w:tabs>
                        <w:tab w:pos="584" w:val="left" w:leader="none"/>
                      </w:tabs>
                      <w:spacing w:line="182" w:lineRule="exact" w:before="56"/>
                      <w:ind w:left="224" w:right="0" w:firstLine="0"/>
                      <w:jc w:val="left"/>
                      <w:rPr>
                        <w:sz w:val="16"/>
                      </w:rPr>
                    </w:pPr>
                    <w:r>
                      <w:rPr>
                        <w:w w:val="103"/>
                        <w:position w:val="2"/>
                        <w:sz w:val="16"/>
                        <w:u w:val="single" w:color="3365FF"/>
                      </w:rPr>
                      <w:t> </w:t>
                    </w:r>
                    <w:r>
                      <w:rPr>
                        <w:position w:val="2"/>
                        <w:sz w:val="16"/>
                        <w:u w:val="single" w:color="3365FF"/>
                      </w:rPr>
                      <w:tab/>
                    </w:r>
                    <w:r>
                      <w:rPr>
                        <w:spacing w:val="5"/>
                        <w:position w:val="2"/>
                        <w:sz w:val="16"/>
                      </w:rPr>
                      <w:t> </w:t>
                    </w:r>
                    <w:r>
                      <w:rPr>
                        <w:w w:val="105"/>
                        <w:sz w:val="16"/>
                      </w:rPr>
                      <w:t>Spread</w:t>
                    </w:r>
                    <w:r>
                      <w:rPr>
                        <w:spacing w:val="-8"/>
                        <w:w w:val="105"/>
                        <w:sz w:val="16"/>
                      </w:rPr>
                      <w:t> </w:t>
                    </w:r>
                    <w:r>
                      <w:rPr>
                        <w:spacing w:val="2"/>
                        <w:w w:val="105"/>
                        <w:sz w:val="16"/>
                      </w:rPr>
                      <w:t>(rhs)</w:t>
                    </w:r>
                  </w:p>
                  <w:p>
                    <w:pPr>
                      <w:spacing w:line="182" w:lineRule="exact" w:before="0"/>
                      <w:ind w:left="630" w:right="0" w:firstLine="0"/>
                      <w:jc w:val="left"/>
                      <w:rPr>
                        <w:sz w:val="16"/>
                      </w:rPr>
                    </w:pPr>
                    <w:r>
                      <w:rPr>
                        <w:w w:val="105"/>
                        <w:sz w:val="16"/>
                      </w:rPr>
                      <w:t>Volatility (lhs)</w:t>
                    </w:r>
                  </w:p>
                </w:txbxContent>
              </v:textbox>
              <w10:wrap type="none"/>
            </v:shape>
            <v:shape style="position:absolute;left:4593;top:91;width:445;height:483" type="#_x0000_t202" filled="false" stroked="false">
              <v:textbox inset="0,0,0,0">
                <w:txbxContent>
                  <w:p>
                    <w:pPr>
                      <w:spacing w:line="182" w:lineRule="exact" w:before="0"/>
                      <w:ind w:left="75" w:right="0" w:firstLine="0"/>
                      <w:jc w:val="left"/>
                      <w:rPr>
                        <w:sz w:val="16"/>
                      </w:rPr>
                    </w:pPr>
                    <w:r>
                      <w:rPr>
                        <w:w w:val="105"/>
                        <w:sz w:val="16"/>
                      </w:rPr>
                      <w:t>Basis</w:t>
                    </w:r>
                  </w:p>
                  <w:p>
                    <w:pPr>
                      <w:spacing w:before="116"/>
                      <w:ind w:left="0" w:right="0" w:firstLine="0"/>
                      <w:jc w:val="left"/>
                      <w:rPr>
                        <w:sz w:val="16"/>
                      </w:rPr>
                    </w:pPr>
                    <w:r>
                      <w:rPr>
                        <w:w w:val="105"/>
                        <w:sz w:val="16"/>
                      </w:rPr>
                      <w:t>(b)</w:t>
                    </w:r>
                  </w:p>
                </w:txbxContent>
              </v:textbox>
              <w10:wrap type="none"/>
            </v:shape>
            <v:shape style="position:absolute;left:2950;top:1291;width:51;height:183" type="#_x0000_t202" filled="false" stroked="false">
              <v:textbox inset="0,0,0,0">
                <w:txbxContent>
                  <w:p>
                    <w:pPr>
                      <w:spacing w:line="182" w:lineRule="exact" w:before="0"/>
                      <w:ind w:left="0" w:right="0" w:firstLine="0"/>
                      <w:jc w:val="left"/>
                      <w:rPr>
                        <w:sz w:val="16"/>
                      </w:rPr>
                    </w:pPr>
                    <w:r>
                      <w:rPr>
                        <w:spacing w:val="-11"/>
                        <w:w w:val="103"/>
                        <w:sz w:val="16"/>
                        <w:u w:val="thick" w:color="9A3365"/>
                      </w:rPr>
                      <w:t> </w:t>
                    </w:r>
                  </w:p>
                </w:txbxContent>
              </v:textbox>
              <w10:wrap type="none"/>
            </v:shape>
            <w10:wrap type="none"/>
          </v:group>
        </w:pict>
      </w:r>
      <w:r>
        <w:rPr>
          <w:spacing w:val="-3"/>
          <w:w w:val="105"/>
          <w:sz w:val="16"/>
        </w:rPr>
        <w:t>Basis </w:t>
      </w:r>
      <w:r>
        <w:rPr>
          <w:spacing w:val="7"/>
          <w:w w:val="105"/>
          <w:sz w:val="16"/>
        </w:rPr>
        <w:t>300</w:t>
      </w:r>
    </w:p>
    <w:p>
      <w:pPr>
        <w:pStyle w:val="BodyText"/>
        <w:spacing w:before="7"/>
        <w:rPr>
          <w:sz w:val="23"/>
        </w:rPr>
      </w:pPr>
    </w:p>
    <w:p>
      <w:pPr>
        <w:spacing w:before="0"/>
        <w:ind w:left="0" w:right="2987" w:firstLine="0"/>
        <w:jc w:val="right"/>
        <w:rPr>
          <w:sz w:val="16"/>
        </w:rPr>
      </w:pPr>
      <w:r>
        <w:rPr>
          <w:spacing w:val="6"/>
          <w:sz w:val="16"/>
        </w:rPr>
        <w:t>250</w:t>
      </w:r>
    </w:p>
    <w:p>
      <w:pPr>
        <w:pStyle w:val="BodyText"/>
        <w:spacing w:before="8"/>
        <w:rPr>
          <w:sz w:val="25"/>
        </w:rPr>
      </w:pPr>
    </w:p>
    <w:p>
      <w:pPr>
        <w:spacing w:before="0"/>
        <w:ind w:left="0" w:right="2987" w:firstLine="0"/>
        <w:jc w:val="right"/>
        <w:rPr>
          <w:sz w:val="16"/>
        </w:rPr>
      </w:pPr>
      <w:r>
        <w:rPr>
          <w:spacing w:val="6"/>
          <w:sz w:val="16"/>
        </w:rPr>
        <w:t>200</w:t>
      </w:r>
    </w:p>
    <w:p>
      <w:pPr>
        <w:pStyle w:val="BodyText"/>
        <w:rPr>
          <w:sz w:val="18"/>
        </w:rPr>
      </w:pPr>
    </w:p>
    <w:p>
      <w:pPr>
        <w:spacing w:before="104"/>
        <w:ind w:left="0" w:right="2987" w:firstLine="0"/>
        <w:jc w:val="right"/>
        <w:rPr>
          <w:sz w:val="16"/>
        </w:rPr>
      </w:pPr>
      <w:r>
        <w:rPr>
          <w:spacing w:val="6"/>
          <w:sz w:val="16"/>
        </w:rPr>
        <w:t>150</w:t>
      </w:r>
    </w:p>
    <w:p>
      <w:pPr>
        <w:pStyle w:val="BodyText"/>
        <w:rPr>
          <w:sz w:val="18"/>
        </w:rPr>
      </w:pPr>
    </w:p>
    <w:p>
      <w:pPr>
        <w:spacing w:before="103"/>
        <w:ind w:left="0" w:right="2987" w:firstLine="0"/>
        <w:jc w:val="right"/>
        <w:rPr>
          <w:sz w:val="16"/>
        </w:rPr>
      </w:pPr>
      <w:r>
        <w:rPr>
          <w:spacing w:val="6"/>
          <w:sz w:val="16"/>
        </w:rPr>
        <w:t>100</w:t>
      </w:r>
    </w:p>
    <w:p>
      <w:pPr>
        <w:pStyle w:val="BodyText"/>
        <w:spacing w:before="9"/>
        <w:rPr>
          <w:sz w:val="25"/>
        </w:rPr>
      </w:pPr>
    </w:p>
    <w:p>
      <w:pPr>
        <w:spacing w:before="0"/>
        <w:ind w:left="0" w:right="2987" w:firstLine="0"/>
        <w:jc w:val="right"/>
        <w:rPr>
          <w:sz w:val="16"/>
        </w:rPr>
      </w:pPr>
      <w:r>
        <w:rPr>
          <w:spacing w:val="7"/>
          <w:sz w:val="16"/>
        </w:rPr>
        <w:t>50</w:t>
      </w:r>
    </w:p>
    <w:p>
      <w:pPr>
        <w:pStyle w:val="BodyText"/>
        <w:rPr>
          <w:sz w:val="18"/>
        </w:rPr>
      </w:pPr>
    </w:p>
    <w:p>
      <w:pPr>
        <w:spacing w:before="104"/>
        <w:ind w:left="0" w:right="2994" w:firstLine="0"/>
        <w:jc w:val="right"/>
        <w:rPr>
          <w:sz w:val="16"/>
        </w:rPr>
      </w:pPr>
      <w:r>
        <w:rPr>
          <w:w w:val="103"/>
          <w:sz w:val="16"/>
        </w:rPr>
        <w:t>0</w:t>
      </w:r>
    </w:p>
    <w:p>
      <w:pPr>
        <w:pStyle w:val="BodyText"/>
        <w:rPr>
          <w:sz w:val="18"/>
        </w:rPr>
      </w:pPr>
      <w:r>
        <w:rPr/>
        <w:br w:type="column"/>
      </w:r>
      <w:r>
        <w:rPr>
          <w:sz w:val="18"/>
        </w:rPr>
      </w:r>
    </w:p>
    <w:p>
      <w:pPr>
        <w:pStyle w:val="BodyText"/>
        <w:rPr>
          <w:sz w:val="18"/>
        </w:rPr>
      </w:pPr>
    </w:p>
    <w:p>
      <w:pPr>
        <w:pStyle w:val="BodyText"/>
        <w:rPr>
          <w:sz w:val="18"/>
        </w:rPr>
      </w:pPr>
    </w:p>
    <w:p>
      <w:pPr>
        <w:spacing w:line="292" w:lineRule="auto" w:before="110"/>
        <w:ind w:left="330" w:right="23" w:hanging="91"/>
        <w:jc w:val="left"/>
        <w:rPr>
          <w:sz w:val="16"/>
        </w:rPr>
      </w:pPr>
      <w:r>
        <w:rPr>
          <w:spacing w:val="5"/>
          <w:w w:val="105"/>
          <w:sz w:val="16"/>
        </w:rPr>
        <w:t>points </w:t>
      </w:r>
      <w:r>
        <w:rPr>
          <w:spacing w:val="5"/>
          <w:sz w:val="16"/>
        </w:rPr>
        <w:t>1600</w:t>
      </w:r>
    </w:p>
    <w:p>
      <w:pPr>
        <w:spacing w:before="151"/>
        <w:ind w:left="330" w:right="0" w:firstLine="0"/>
        <w:jc w:val="left"/>
        <w:rPr>
          <w:sz w:val="16"/>
        </w:rPr>
      </w:pPr>
      <w:r>
        <w:rPr>
          <w:spacing w:val="5"/>
          <w:w w:val="105"/>
          <w:sz w:val="16"/>
        </w:rPr>
        <w:t>1400</w:t>
      </w:r>
    </w:p>
    <w:p>
      <w:pPr>
        <w:pStyle w:val="BodyText"/>
        <w:spacing w:before="4"/>
        <w:rPr>
          <w:sz w:val="15"/>
        </w:rPr>
      </w:pPr>
    </w:p>
    <w:p>
      <w:pPr>
        <w:spacing w:before="0"/>
        <w:ind w:left="330" w:right="0" w:firstLine="0"/>
        <w:jc w:val="left"/>
        <w:rPr>
          <w:sz w:val="16"/>
        </w:rPr>
      </w:pPr>
      <w:r>
        <w:rPr>
          <w:spacing w:val="5"/>
          <w:w w:val="105"/>
          <w:sz w:val="16"/>
        </w:rPr>
        <w:t>1200</w:t>
      </w:r>
    </w:p>
    <w:p>
      <w:pPr>
        <w:pStyle w:val="BodyText"/>
        <w:spacing w:before="6"/>
        <w:rPr>
          <w:sz w:val="16"/>
        </w:rPr>
      </w:pPr>
    </w:p>
    <w:p>
      <w:pPr>
        <w:spacing w:before="0"/>
        <w:ind w:left="330" w:right="0" w:firstLine="0"/>
        <w:jc w:val="left"/>
        <w:rPr>
          <w:sz w:val="16"/>
        </w:rPr>
      </w:pPr>
      <w:r>
        <w:rPr>
          <w:spacing w:val="5"/>
          <w:w w:val="105"/>
          <w:sz w:val="16"/>
        </w:rPr>
        <w:t>1000</w:t>
      </w:r>
    </w:p>
    <w:p>
      <w:pPr>
        <w:pStyle w:val="BodyText"/>
        <w:spacing w:before="4"/>
        <w:rPr>
          <w:sz w:val="15"/>
        </w:rPr>
      </w:pPr>
    </w:p>
    <w:p>
      <w:pPr>
        <w:spacing w:before="0"/>
        <w:ind w:left="330" w:right="0" w:firstLine="0"/>
        <w:jc w:val="left"/>
        <w:rPr>
          <w:sz w:val="16"/>
        </w:rPr>
      </w:pPr>
      <w:r>
        <w:rPr>
          <w:spacing w:val="7"/>
          <w:w w:val="105"/>
          <w:sz w:val="16"/>
        </w:rPr>
        <w:t>800</w:t>
      </w:r>
    </w:p>
    <w:p>
      <w:pPr>
        <w:pStyle w:val="BodyText"/>
        <w:spacing w:before="6"/>
        <w:rPr>
          <w:sz w:val="16"/>
        </w:rPr>
      </w:pPr>
    </w:p>
    <w:p>
      <w:pPr>
        <w:spacing w:before="0"/>
        <w:ind w:left="330" w:right="0" w:firstLine="0"/>
        <w:jc w:val="left"/>
        <w:rPr>
          <w:sz w:val="16"/>
        </w:rPr>
      </w:pPr>
      <w:r>
        <w:rPr>
          <w:spacing w:val="7"/>
          <w:w w:val="105"/>
          <w:sz w:val="16"/>
        </w:rPr>
        <w:t>600</w:t>
      </w:r>
    </w:p>
    <w:p>
      <w:pPr>
        <w:pStyle w:val="BodyText"/>
        <w:spacing w:before="4"/>
        <w:rPr>
          <w:sz w:val="15"/>
        </w:rPr>
      </w:pPr>
    </w:p>
    <w:p>
      <w:pPr>
        <w:spacing w:before="0"/>
        <w:ind w:left="330" w:right="0" w:firstLine="0"/>
        <w:jc w:val="left"/>
        <w:rPr>
          <w:sz w:val="16"/>
        </w:rPr>
      </w:pPr>
      <w:r>
        <w:rPr>
          <w:spacing w:val="7"/>
          <w:w w:val="105"/>
          <w:sz w:val="16"/>
        </w:rPr>
        <w:t>400</w:t>
      </w:r>
    </w:p>
    <w:p>
      <w:pPr>
        <w:pStyle w:val="BodyText"/>
        <w:spacing w:before="7"/>
        <w:rPr>
          <w:sz w:val="16"/>
        </w:rPr>
      </w:pPr>
    </w:p>
    <w:p>
      <w:pPr>
        <w:spacing w:before="0"/>
        <w:ind w:left="330" w:right="0" w:firstLine="0"/>
        <w:jc w:val="left"/>
        <w:rPr>
          <w:sz w:val="16"/>
        </w:rPr>
      </w:pPr>
      <w:r>
        <w:rPr>
          <w:spacing w:val="7"/>
          <w:w w:val="105"/>
          <w:sz w:val="16"/>
        </w:rPr>
        <w:t>200</w:t>
      </w:r>
    </w:p>
    <w:p>
      <w:pPr>
        <w:pStyle w:val="BodyText"/>
        <w:spacing w:before="4"/>
        <w:rPr>
          <w:sz w:val="15"/>
        </w:rPr>
      </w:pPr>
    </w:p>
    <w:p>
      <w:pPr>
        <w:spacing w:before="0"/>
        <w:ind w:left="330" w:right="0" w:firstLine="0"/>
        <w:jc w:val="left"/>
        <w:rPr>
          <w:sz w:val="16"/>
        </w:rPr>
      </w:pPr>
      <w:r>
        <w:rPr>
          <w:w w:val="103"/>
          <w:sz w:val="16"/>
        </w:rPr>
        <w:t>0</w:t>
      </w:r>
    </w:p>
    <w:p>
      <w:pPr>
        <w:pStyle w:val="Heading1"/>
        <w:spacing w:before="90"/>
        <w:ind w:left="405" w:right="497"/>
      </w:pPr>
      <w:r>
        <w:rPr>
          <w:b w:val="0"/>
        </w:rPr>
        <w:br w:type="column"/>
      </w:r>
      <w:r>
        <w:rPr/>
        <w:t>Chart 2: Global RMBS, CMBS and ABS issuance</w:t>
      </w:r>
    </w:p>
    <w:p>
      <w:pPr>
        <w:spacing w:line="372" w:lineRule="auto" w:before="89"/>
        <w:ind w:left="4083" w:right="203" w:hanging="285"/>
        <w:jc w:val="left"/>
        <w:rPr>
          <w:sz w:val="16"/>
        </w:rPr>
      </w:pPr>
      <w:r>
        <w:rPr/>
        <w:pict>
          <v:group style="position:absolute;margin-left:331.649994pt;margin-top:23.949011pt;width:150.75pt;height:146.25pt;mso-position-horizontal-relative:page;mso-position-vertical-relative:paragraph;z-index:-252180480" coordorigin="6633,479" coordsize="3015,2925">
            <v:shape style="position:absolute;left:6633;top:478;width:3015;height:2925" type="#_x0000_t75" stroked="false">
              <v:imagedata r:id="rId12" o:title=""/>
            </v:shape>
            <v:shape style="position:absolute;left:6633;top:478;width:3015;height:2925" type="#_x0000_t202" filled="false" stroked="false">
              <v:textbox inset="0,0,0,0">
                <w:txbxContent>
                  <w:p>
                    <w:pPr>
                      <w:spacing w:line="266" w:lineRule="auto" w:before="0"/>
                      <w:ind w:left="166" w:right="1458" w:firstLine="0"/>
                      <w:jc w:val="left"/>
                      <w:rPr>
                        <w:sz w:val="16"/>
                      </w:rPr>
                    </w:pPr>
                    <w:r>
                      <w:rPr>
                        <w:w w:val="105"/>
                        <w:sz w:val="16"/>
                      </w:rPr>
                      <w:t>ABS</w:t>
                    </w:r>
                    <w:r>
                      <w:rPr>
                        <w:spacing w:val="-24"/>
                        <w:w w:val="105"/>
                        <w:sz w:val="16"/>
                      </w:rPr>
                      <w:t> </w:t>
                    </w:r>
                    <w:r>
                      <w:rPr>
                        <w:w w:val="105"/>
                        <w:sz w:val="16"/>
                      </w:rPr>
                      <w:t>excluding</w:t>
                    </w:r>
                    <w:r>
                      <w:rPr>
                        <w:spacing w:val="-19"/>
                        <w:w w:val="105"/>
                        <w:sz w:val="16"/>
                      </w:rPr>
                      <w:t> </w:t>
                    </w:r>
                    <w:r>
                      <w:rPr>
                        <w:spacing w:val="-5"/>
                        <w:w w:val="105"/>
                        <w:sz w:val="16"/>
                      </w:rPr>
                      <w:t>MBS </w:t>
                    </w:r>
                    <w:r>
                      <w:rPr>
                        <w:w w:val="105"/>
                        <w:sz w:val="16"/>
                      </w:rPr>
                      <w:t>RMBS </w:t>
                    </w:r>
                    <w:r>
                      <w:rPr>
                        <w:spacing w:val="2"/>
                        <w:w w:val="105"/>
                        <w:sz w:val="16"/>
                      </w:rPr>
                      <w:t>Non </w:t>
                    </w:r>
                    <w:r>
                      <w:rPr>
                        <w:spacing w:val="4"/>
                        <w:w w:val="105"/>
                        <w:sz w:val="16"/>
                      </w:rPr>
                      <w:t>Prime </w:t>
                    </w:r>
                    <w:r>
                      <w:rPr>
                        <w:w w:val="105"/>
                        <w:sz w:val="16"/>
                      </w:rPr>
                      <w:t>RMBS </w:t>
                    </w:r>
                    <w:r>
                      <w:rPr>
                        <w:spacing w:val="4"/>
                        <w:w w:val="105"/>
                        <w:sz w:val="16"/>
                      </w:rPr>
                      <w:t>Prime </w:t>
                    </w:r>
                    <w:r>
                      <w:rPr>
                        <w:w w:val="105"/>
                        <w:sz w:val="16"/>
                      </w:rPr>
                      <w:t>CMBS</w:t>
                    </w:r>
                  </w:p>
                </w:txbxContent>
              </v:textbox>
              <w10:wrap type="none"/>
            </v:shape>
            <w10:wrap type="none"/>
          </v:group>
        </w:pict>
      </w:r>
      <w:r>
        <w:rPr>
          <w:spacing w:val="-6"/>
          <w:w w:val="105"/>
          <w:sz w:val="16"/>
        </w:rPr>
        <w:t>US$ </w:t>
      </w:r>
      <w:r>
        <w:rPr>
          <w:w w:val="105"/>
          <w:sz w:val="16"/>
        </w:rPr>
        <w:t>billions </w:t>
      </w:r>
      <w:r>
        <w:rPr>
          <w:spacing w:val="6"/>
          <w:w w:val="105"/>
          <w:sz w:val="16"/>
        </w:rPr>
        <w:t>3,000</w:t>
      </w:r>
    </w:p>
    <w:p>
      <w:pPr>
        <w:pStyle w:val="BodyText"/>
        <w:spacing w:before="10"/>
        <w:rPr>
          <w:sz w:val="16"/>
        </w:rPr>
      </w:pPr>
    </w:p>
    <w:p>
      <w:pPr>
        <w:spacing w:before="0"/>
        <w:ind w:left="4083" w:right="0" w:firstLine="0"/>
        <w:jc w:val="left"/>
        <w:rPr>
          <w:sz w:val="16"/>
        </w:rPr>
      </w:pPr>
      <w:r>
        <w:rPr>
          <w:spacing w:val="6"/>
          <w:w w:val="105"/>
          <w:sz w:val="16"/>
        </w:rPr>
        <w:t>2,500</w:t>
      </w:r>
    </w:p>
    <w:p>
      <w:pPr>
        <w:pStyle w:val="BodyText"/>
        <w:spacing w:before="9"/>
        <w:rPr>
          <w:sz w:val="25"/>
        </w:rPr>
      </w:pPr>
    </w:p>
    <w:p>
      <w:pPr>
        <w:spacing w:before="0"/>
        <w:ind w:left="4083" w:right="0" w:firstLine="0"/>
        <w:jc w:val="left"/>
        <w:rPr>
          <w:sz w:val="16"/>
        </w:rPr>
      </w:pPr>
      <w:r>
        <w:rPr>
          <w:spacing w:val="6"/>
          <w:w w:val="105"/>
          <w:sz w:val="16"/>
        </w:rPr>
        <w:t>2,000</w:t>
      </w:r>
    </w:p>
    <w:p>
      <w:pPr>
        <w:pStyle w:val="BodyText"/>
        <w:spacing w:before="8"/>
        <w:rPr>
          <w:sz w:val="25"/>
        </w:rPr>
      </w:pPr>
    </w:p>
    <w:p>
      <w:pPr>
        <w:spacing w:before="0"/>
        <w:ind w:left="4083" w:right="0" w:firstLine="0"/>
        <w:jc w:val="left"/>
        <w:rPr>
          <w:sz w:val="16"/>
        </w:rPr>
      </w:pPr>
      <w:r>
        <w:rPr>
          <w:spacing w:val="6"/>
          <w:w w:val="105"/>
          <w:sz w:val="16"/>
        </w:rPr>
        <w:t>1,500</w:t>
      </w:r>
    </w:p>
    <w:p>
      <w:pPr>
        <w:pStyle w:val="BodyText"/>
        <w:spacing w:before="9"/>
        <w:rPr>
          <w:sz w:val="25"/>
        </w:rPr>
      </w:pPr>
    </w:p>
    <w:p>
      <w:pPr>
        <w:spacing w:before="0"/>
        <w:ind w:left="4083" w:right="0" w:firstLine="0"/>
        <w:jc w:val="left"/>
        <w:rPr>
          <w:sz w:val="16"/>
        </w:rPr>
      </w:pPr>
      <w:r>
        <w:rPr>
          <w:spacing w:val="6"/>
          <w:w w:val="105"/>
          <w:sz w:val="16"/>
        </w:rPr>
        <w:t>1,000</w:t>
      </w:r>
    </w:p>
    <w:p>
      <w:pPr>
        <w:pStyle w:val="BodyText"/>
        <w:spacing w:before="8"/>
        <w:rPr>
          <w:sz w:val="25"/>
        </w:rPr>
      </w:pPr>
    </w:p>
    <w:p>
      <w:pPr>
        <w:spacing w:before="0"/>
        <w:ind w:left="4083" w:right="0" w:firstLine="0"/>
        <w:jc w:val="left"/>
        <w:rPr>
          <w:sz w:val="16"/>
        </w:rPr>
      </w:pPr>
      <w:r>
        <w:rPr>
          <w:w w:val="105"/>
          <w:sz w:val="16"/>
        </w:rPr>
        <w:t>500</w:t>
      </w:r>
    </w:p>
    <w:p>
      <w:pPr>
        <w:pStyle w:val="BodyText"/>
        <w:spacing w:before="8"/>
        <w:rPr>
          <w:sz w:val="25"/>
        </w:rPr>
      </w:pPr>
    </w:p>
    <w:p>
      <w:pPr>
        <w:spacing w:before="0"/>
        <w:ind w:left="4083" w:right="0" w:firstLine="0"/>
        <w:jc w:val="left"/>
        <w:rPr>
          <w:sz w:val="16"/>
        </w:rPr>
      </w:pPr>
      <w:r>
        <w:rPr>
          <w:w w:val="103"/>
          <w:sz w:val="16"/>
        </w:rPr>
        <w:t>0</w:t>
      </w:r>
    </w:p>
    <w:p>
      <w:pPr>
        <w:spacing w:after="0"/>
        <w:jc w:val="left"/>
        <w:rPr>
          <w:sz w:val="16"/>
        </w:rPr>
        <w:sectPr>
          <w:type w:val="continuous"/>
          <w:pgSz w:w="11910" w:h="16840"/>
          <w:pgMar w:top="1180" w:bottom="280" w:left="780" w:right="1180"/>
          <w:cols w:num="3" w:equalWidth="0">
            <w:col w:w="3999" w:space="40"/>
            <w:col w:w="723" w:space="98"/>
            <w:col w:w="5090"/>
          </w:cols>
        </w:sectPr>
      </w:pPr>
    </w:p>
    <w:p>
      <w:pPr>
        <w:spacing w:before="56"/>
        <w:ind w:left="1039" w:right="0" w:firstLine="0"/>
        <w:jc w:val="left"/>
        <w:rPr>
          <w:sz w:val="16"/>
        </w:rPr>
      </w:pPr>
      <w:r>
        <w:rPr/>
        <w:pict>
          <v:shape style="position:absolute;margin-left:318.190094pt;margin-top:10.149502pt;width:17.25pt;height:8.25pt;mso-position-horizontal-relative:page;mso-position-vertical-relative:paragraph;z-index:251669504;rotation:315" type="#_x0000_t136" fillcolor="#000000" stroked="f">
            <o:extrusion v:ext="view" autorotationcenter="t"/>
            <v:textpath style="font-family:&quot;Times New Roman&quot;;font-size:8pt;v-text-kern:t;mso-text-shadow:auto" string="1997"/>
            <w10:wrap type="none"/>
          </v:shape>
        </w:pict>
      </w:r>
      <w:r>
        <w:rPr/>
        <w:pict>
          <v:shape style="position:absolute;margin-left:333.190186pt;margin-top:10.149065pt;width:17.25pt;height:8.25pt;mso-position-horizontal-relative:page;mso-position-vertical-relative:paragraph;z-index:251670528;rotation:315" type="#_x0000_t136" fillcolor="#000000" stroked="f">
            <o:extrusion v:ext="view" autorotationcenter="t"/>
            <v:textpath style="font-family:&quot;Times New Roman&quot;;font-size:8pt;v-text-kern:t;mso-text-shadow:auto" string="1998"/>
            <w10:wrap type="none"/>
          </v:shape>
        </w:pict>
      </w:r>
      <w:r>
        <w:rPr/>
        <w:pict>
          <v:shape style="position:absolute;margin-left:348.190277pt;margin-top:10.148628pt;width:17.25pt;height:8.25pt;mso-position-horizontal-relative:page;mso-position-vertical-relative:paragraph;z-index:251671552;rotation:315" type="#_x0000_t136" fillcolor="#000000" stroked="f">
            <o:extrusion v:ext="view" autorotationcenter="t"/>
            <v:textpath style="font-family:&quot;Times New Roman&quot;;font-size:8pt;v-text-kern:t;mso-text-shadow:auto" string="1999"/>
            <w10:wrap type="none"/>
          </v:shape>
        </w:pict>
      </w:r>
      <w:r>
        <w:rPr/>
        <w:pict>
          <v:shape style="position:absolute;margin-left:362.470154pt;margin-top:10.14888pt;width:17.25pt;height:8.25pt;mso-position-horizontal-relative:page;mso-position-vertical-relative:paragraph;z-index:251672576;rotation:315" type="#_x0000_t136" fillcolor="#000000" stroked="f">
            <o:extrusion v:ext="view" autorotationcenter="t"/>
            <v:textpath style="font-family:&quot;Times New Roman&quot;;font-size:8pt;v-text-kern:t;mso-text-shadow:auto" string="2000"/>
            <w10:wrap type="none"/>
          </v:shape>
        </w:pict>
      </w:r>
      <w:r>
        <w:rPr/>
        <w:pict>
          <v:shape style="position:absolute;margin-left:377.470245pt;margin-top:10.148443pt;width:17.25pt;height:8.25pt;mso-position-horizontal-relative:page;mso-position-vertical-relative:paragraph;z-index:251673600;rotation:315" type="#_x0000_t136" fillcolor="#000000" stroked="f">
            <o:extrusion v:ext="view" autorotationcenter="t"/>
            <v:textpath style="font-family:&quot;Times New Roman&quot;;font-size:8pt;v-text-kern:t;mso-text-shadow:auto" string="2001"/>
            <w10:wrap type="none"/>
          </v:shape>
        </w:pict>
      </w:r>
      <w:r>
        <w:rPr/>
        <w:pict>
          <v:shape style="position:absolute;margin-left:392.470367pt;margin-top:10.148006pt;width:17.25pt;height:8.25pt;mso-position-horizontal-relative:page;mso-position-vertical-relative:paragraph;z-index:251674624;rotation:315" type="#_x0000_t136" fillcolor="#000000" stroked="f">
            <o:extrusion v:ext="view" autorotationcenter="t"/>
            <v:textpath style="font-family:&quot;Times New Roman&quot;;font-size:8pt;v-text-kern:t;mso-text-shadow:auto" string="2002"/>
            <w10:wrap type="none"/>
          </v:shape>
        </w:pict>
      </w:r>
      <w:r>
        <w:rPr/>
        <w:pict>
          <v:shape style="position:absolute;margin-left:407.473572pt;margin-top:10.279685pt;width:16.9pt;height:8.25pt;mso-position-horizontal-relative:page;mso-position-vertical-relative:paragraph;z-index:251675648;rotation:315" type="#_x0000_t136" fillcolor="#000000" stroked="f">
            <o:extrusion v:ext="view" autorotationcenter="t"/>
            <v:textpath style="font-family:&quot;Times New Roman&quot;;font-size:8pt;v-text-kern:t;mso-text-shadow:auto" string="2003"/>
            <w10:wrap type="none"/>
          </v:shape>
        </w:pict>
      </w:r>
      <w:r>
        <w:rPr/>
        <w:pict>
          <v:shape style="position:absolute;margin-left:429.495758pt;margin-top:7.237199pt;width:9pt;height:8.25pt;mso-position-horizontal-relative:page;mso-position-vertical-relative:paragraph;z-index:251676672;rotation:315" type="#_x0000_t136" fillcolor="#000000" stroked="f">
            <o:extrusion v:ext="view" autorotationcenter="t"/>
            <v:textpath style="font-family:&quot;Times New Roman&quot;;font-size:8pt;v-text-kern:t;mso-text-shadow:auto" string="04"/>
            <w10:wrap type="none"/>
          </v:shape>
        </w:pict>
      </w:r>
      <w:r>
        <w:rPr/>
        <w:pict>
          <v:shape style="position:absolute;margin-left:436.690369pt;margin-top:10.146811pt;width:17.25pt;height:8.25pt;mso-position-horizontal-relative:page;mso-position-vertical-relative:paragraph;z-index:251677696;rotation:315" type="#_x0000_t136" fillcolor="#000000" stroked="f">
            <o:extrusion v:ext="view" autorotationcenter="t"/>
            <v:textpath style="font-family:&quot;Times New Roman&quot;;font-size:8pt;v-text-kern:t;mso-text-shadow:auto" string="2005"/>
            <w10:wrap type="none"/>
          </v:shape>
        </w:pict>
      </w:r>
      <w:r>
        <w:rPr/>
        <w:pict>
          <v:shape style="position:absolute;margin-left:451.69046pt;margin-top:10.146374pt;width:17.25pt;height:8.25pt;mso-position-horizontal-relative:page;mso-position-vertical-relative:paragraph;z-index:251678720;rotation:315" type="#_x0000_t136" fillcolor="#000000" stroked="f">
            <o:extrusion v:ext="view" autorotationcenter="t"/>
            <v:textpath style="font-family:&quot;Times New Roman&quot;;font-size:8pt;v-text-kern:t;mso-text-shadow:auto" string="2006"/>
            <w10:wrap type="none"/>
          </v:shape>
        </w:pict>
      </w:r>
      <w:r>
        <w:rPr/>
        <w:pict>
          <v:shape style="position:absolute;margin-left:423.536804pt;margin-top:13.057676pt;width:9.2pt;height:8.25pt;mso-position-horizontal-relative:page;mso-position-vertical-relative:paragraph;z-index:251679744;rotation:316" type="#_x0000_t136" fillcolor="#000000" stroked="f">
            <o:extrusion v:ext="view" autorotationcenter="t"/>
            <v:textpath style="font-family:&quot;Times New Roman&quot;;font-size:8pt;v-text-kern:t;mso-text-shadow:auto" string="20"/>
            <w10:wrap type="none"/>
          </v:shape>
        </w:pict>
      </w:r>
      <w:r>
        <w:rPr>
          <w:w w:val="105"/>
          <w:sz w:val="16"/>
        </w:rPr>
        <w:t>98 99 00 01 02 03 04 05 06 07 08</w:t>
      </w:r>
    </w:p>
    <w:p>
      <w:pPr>
        <w:pStyle w:val="BodyText"/>
        <w:spacing w:before="8"/>
        <w:rPr>
          <w:sz w:val="22"/>
        </w:rPr>
      </w:pPr>
    </w:p>
    <w:p>
      <w:pPr>
        <w:spacing w:after="0"/>
        <w:rPr>
          <w:sz w:val="22"/>
        </w:rPr>
        <w:sectPr>
          <w:type w:val="continuous"/>
          <w:pgSz w:w="11910" w:h="16840"/>
          <w:pgMar w:top="1180" w:bottom="280" w:left="780" w:right="1180"/>
        </w:sectPr>
      </w:pPr>
    </w:p>
    <w:p>
      <w:pPr>
        <w:spacing w:line="184" w:lineRule="exact" w:before="93"/>
        <w:ind w:left="405" w:right="0" w:firstLine="0"/>
        <w:jc w:val="left"/>
        <w:rPr>
          <w:sz w:val="16"/>
        </w:rPr>
      </w:pPr>
      <w:r>
        <w:rPr>
          <w:sz w:val="16"/>
        </w:rPr>
        <w:t>Sources: Merrill Lynch and Bank calculations.</w:t>
      </w:r>
    </w:p>
    <w:p>
      <w:pPr>
        <w:spacing w:before="0"/>
        <w:ind w:left="405" w:right="0" w:firstLine="0"/>
        <w:jc w:val="left"/>
        <w:rPr>
          <w:sz w:val="16"/>
        </w:rPr>
      </w:pPr>
      <w:r>
        <w:rPr>
          <w:sz w:val="16"/>
        </w:rPr>
        <w:t>(a) Option-adjusted spreads over government bond yields and 90-day annualised historical volatilities.</w:t>
      </w:r>
    </w:p>
    <w:p>
      <w:pPr>
        <w:spacing w:before="0"/>
        <w:ind w:left="405" w:right="0" w:firstLine="0"/>
        <w:jc w:val="left"/>
        <w:rPr>
          <w:sz w:val="16"/>
        </w:rPr>
      </w:pPr>
      <w:r>
        <w:rPr>
          <w:sz w:val="16"/>
        </w:rPr>
        <w:t>(b) 31 Dec. 2006.</w:t>
      </w:r>
    </w:p>
    <w:p>
      <w:pPr>
        <w:pStyle w:val="Heading1"/>
        <w:spacing w:before="3"/>
        <w:ind w:left="405" w:right="636"/>
      </w:pPr>
      <w:r>
        <w:rPr/>
        <w:t>Chart 3: Housing problems spread to banks</w:t>
      </w:r>
      <w:r>
        <w:rPr>
          <w:vertAlign w:val="superscript"/>
        </w:rPr>
        <w:t>(a)</w:t>
      </w:r>
    </w:p>
    <w:p>
      <w:pPr>
        <w:spacing w:before="93"/>
        <w:ind w:left="344" w:right="0" w:firstLine="0"/>
        <w:jc w:val="left"/>
        <w:rPr>
          <w:sz w:val="16"/>
        </w:rPr>
      </w:pPr>
      <w:r>
        <w:rPr/>
        <w:br w:type="column"/>
      </w:r>
      <w:r>
        <w:rPr>
          <w:sz w:val="16"/>
        </w:rPr>
        <w:t>Source: Dealogic</w:t>
      </w:r>
    </w:p>
    <w:p>
      <w:pPr>
        <w:pStyle w:val="BodyText"/>
        <w:rPr>
          <w:sz w:val="18"/>
        </w:rPr>
      </w:pPr>
    </w:p>
    <w:p>
      <w:pPr>
        <w:pStyle w:val="BodyText"/>
        <w:rPr>
          <w:sz w:val="18"/>
        </w:rPr>
      </w:pPr>
    </w:p>
    <w:p>
      <w:pPr>
        <w:pStyle w:val="Heading1"/>
        <w:spacing w:before="141"/>
        <w:ind w:left="344"/>
      </w:pPr>
      <w:r>
        <w:rPr/>
        <w:t>Chart 4: 3-month LIBOR spreads over expected policy rates</w:t>
      </w:r>
      <w:r>
        <w:rPr>
          <w:vertAlign w:val="superscript"/>
        </w:rPr>
        <w:t>(a)(b)</w:t>
      </w:r>
    </w:p>
    <w:p>
      <w:pPr>
        <w:spacing w:after="0"/>
        <w:sectPr>
          <w:type w:val="continuous"/>
          <w:pgSz w:w="11910" w:h="16840"/>
          <w:pgMar w:top="1180" w:bottom="280" w:left="780" w:right="1180"/>
          <w:cols w:num="2" w:equalWidth="0">
            <w:col w:w="4882" w:space="40"/>
            <w:col w:w="5028"/>
          </w:cols>
        </w:sectPr>
      </w:pPr>
    </w:p>
    <w:p>
      <w:pPr>
        <w:pStyle w:val="BodyText"/>
        <w:spacing w:before="7"/>
        <w:rPr>
          <w:b/>
          <w:sz w:val="9"/>
        </w:rPr>
      </w:pPr>
    </w:p>
    <w:p>
      <w:pPr>
        <w:spacing w:after="0"/>
        <w:rPr>
          <w:sz w:val="9"/>
        </w:rPr>
        <w:sectPr>
          <w:pgSz w:w="11910" w:h="16840"/>
          <w:pgMar w:header="0" w:footer="963" w:top="1600" w:bottom="1160" w:left="780" w:right="1180"/>
        </w:sectPr>
      </w:pPr>
    </w:p>
    <w:p>
      <w:pPr>
        <w:spacing w:line="292" w:lineRule="auto" w:before="98"/>
        <w:ind w:left="717" w:right="21" w:firstLine="14"/>
        <w:jc w:val="left"/>
        <w:rPr>
          <w:sz w:val="16"/>
        </w:rPr>
      </w:pPr>
      <w:r>
        <w:rPr/>
        <w:pict>
          <v:group style="position:absolute;margin-left:92.040001pt;margin-top:21.398829pt;width:166.5pt;height:126.85pt;mso-position-horizontal-relative:page;mso-position-vertical-relative:paragraph;z-index:-252167168" coordorigin="1841,428" coordsize="3330,2537">
            <v:shape style="position:absolute;left:1840;top:427;width:3330;height:2537" type="#_x0000_t75" stroked="false">
              <v:imagedata r:id="rId13" o:title=""/>
            </v:shape>
            <v:shape style="position:absolute;left:1840;top:427;width:3330;height:2537"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1"/>
                      <w:rPr>
                        <w:sz w:val="23"/>
                      </w:rPr>
                    </w:pPr>
                  </w:p>
                  <w:p>
                    <w:pPr>
                      <w:tabs>
                        <w:tab w:pos="509" w:val="left" w:leader="none"/>
                      </w:tabs>
                      <w:spacing w:line="312" w:lineRule="auto" w:before="0"/>
                      <w:ind w:left="555" w:right="543" w:hanging="406"/>
                      <w:jc w:val="left"/>
                      <w:rPr>
                        <w:sz w:val="16"/>
                      </w:rPr>
                    </w:pPr>
                    <w:r>
                      <w:rPr>
                        <w:w w:val="103"/>
                        <w:position w:val="1"/>
                        <w:sz w:val="16"/>
                        <w:u w:val="single" w:color="3365FF"/>
                      </w:rPr>
                      <w:t> </w:t>
                    </w:r>
                    <w:r>
                      <w:rPr>
                        <w:position w:val="1"/>
                        <w:sz w:val="16"/>
                        <w:u w:val="single" w:color="3365FF"/>
                      </w:rPr>
                      <w:tab/>
                    </w:r>
                    <w:r>
                      <w:rPr>
                        <w:spacing w:val="5"/>
                        <w:position w:val="1"/>
                        <w:sz w:val="16"/>
                      </w:rPr>
                      <w:t> </w:t>
                    </w:r>
                    <w:r>
                      <w:rPr>
                        <w:w w:val="105"/>
                        <w:sz w:val="16"/>
                      </w:rPr>
                      <w:t>ABX index (BBB </w:t>
                    </w:r>
                    <w:r>
                      <w:rPr>
                        <w:spacing w:val="5"/>
                        <w:w w:val="105"/>
                        <w:sz w:val="16"/>
                      </w:rPr>
                      <w:t>2006H1)</w:t>
                    </w:r>
                    <w:r>
                      <w:rPr>
                        <w:spacing w:val="-28"/>
                        <w:w w:val="105"/>
                        <w:sz w:val="16"/>
                      </w:rPr>
                      <w:t> </w:t>
                    </w:r>
                    <w:r>
                      <w:rPr>
                        <w:spacing w:val="2"/>
                        <w:w w:val="105"/>
                        <w:sz w:val="16"/>
                      </w:rPr>
                      <w:t>(rhs) </w:t>
                    </w:r>
                    <w:r>
                      <w:rPr>
                        <w:spacing w:val="-3"/>
                        <w:w w:val="105"/>
                        <w:sz w:val="16"/>
                      </w:rPr>
                      <w:t>Global </w:t>
                    </w:r>
                    <w:r>
                      <w:rPr>
                        <w:w w:val="105"/>
                        <w:sz w:val="16"/>
                      </w:rPr>
                      <w:t>bank equity index</w:t>
                    </w:r>
                    <w:r>
                      <w:rPr>
                        <w:spacing w:val="19"/>
                        <w:w w:val="105"/>
                        <w:sz w:val="16"/>
                      </w:rPr>
                      <w:t> </w:t>
                    </w:r>
                    <w:r>
                      <w:rPr>
                        <w:spacing w:val="2"/>
                        <w:w w:val="105"/>
                        <w:sz w:val="16"/>
                      </w:rPr>
                      <w:t>(rhs)</w:t>
                    </w:r>
                  </w:p>
                  <w:p>
                    <w:pPr>
                      <w:spacing w:before="1"/>
                      <w:ind w:left="555" w:right="0" w:firstLine="0"/>
                      <w:jc w:val="left"/>
                      <w:rPr>
                        <w:sz w:val="16"/>
                      </w:rPr>
                    </w:pPr>
                    <w:r>
                      <w:rPr>
                        <w:w w:val="105"/>
                        <w:sz w:val="16"/>
                      </w:rPr>
                      <w:t>Case Shiller US property index (lhs)</w:t>
                    </w:r>
                  </w:p>
                </w:txbxContent>
              </v:textbox>
              <w10:wrap type="none"/>
            </v:shape>
            <w10:wrap type="none"/>
          </v:group>
        </w:pict>
      </w:r>
      <w:r>
        <w:rPr>
          <w:w w:val="105"/>
          <w:sz w:val="16"/>
        </w:rPr>
        <w:t>Index </w:t>
      </w:r>
      <w:r>
        <w:rPr>
          <w:spacing w:val="4"/>
          <w:w w:val="105"/>
          <w:sz w:val="16"/>
        </w:rPr>
        <w:t>104</w:t>
      </w:r>
    </w:p>
    <w:p>
      <w:pPr>
        <w:spacing w:before="136"/>
        <w:ind w:left="0" w:right="173" w:firstLine="0"/>
        <w:jc w:val="right"/>
        <w:rPr>
          <w:sz w:val="16"/>
        </w:rPr>
      </w:pPr>
      <w:r>
        <w:rPr>
          <w:spacing w:val="4"/>
          <w:sz w:val="16"/>
        </w:rPr>
        <w:t>102</w:t>
      </w:r>
    </w:p>
    <w:p>
      <w:pPr>
        <w:pStyle w:val="BodyText"/>
        <w:spacing w:before="3"/>
        <w:rPr>
          <w:sz w:val="15"/>
        </w:rPr>
      </w:pPr>
    </w:p>
    <w:p>
      <w:pPr>
        <w:spacing w:before="0"/>
        <w:ind w:left="0" w:right="173" w:firstLine="0"/>
        <w:jc w:val="right"/>
        <w:rPr>
          <w:sz w:val="16"/>
        </w:rPr>
      </w:pPr>
      <w:r>
        <w:rPr>
          <w:spacing w:val="4"/>
          <w:sz w:val="16"/>
        </w:rPr>
        <w:t>100</w:t>
      </w:r>
    </w:p>
    <w:p>
      <w:pPr>
        <w:pStyle w:val="BodyText"/>
        <w:spacing w:before="4"/>
        <w:rPr>
          <w:sz w:val="15"/>
        </w:rPr>
      </w:pPr>
    </w:p>
    <w:p>
      <w:pPr>
        <w:spacing w:before="0"/>
        <w:ind w:left="0" w:right="166" w:firstLine="0"/>
        <w:jc w:val="right"/>
        <w:rPr>
          <w:sz w:val="16"/>
        </w:rPr>
      </w:pPr>
      <w:r>
        <w:rPr>
          <w:spacing w:val="7"/>
          <w:sz w:val="16"/>
        </w:rPr>
        <w:t>98</w:t>
      </w:r>
    </w:p>
    <w:p>
      <w:pPr>
        <w:pStyle w:val="BodyText"/>
        <w:spacing w:before="7"/>
        <w:rPr>
          <w:sz w:val="16"/>
        </w:rPr>
      </w:pPr>
    </w:p>
    <w:p>
      <w:pPr>
        <w:spacing w:before="0"/>
        <w:ind w:left="0" w:right="166" w:firstLine="0"/>
        <w:jc w:val="right"/>
        <w:rPr>
          <w:sz w:val="16"/>
        </w:rPr>
      </w:pPr>
      <w:r>
        <w:rPr>
          <w:spacing w:val="7"/>
          <w:sz w:val="16"/>
        </w:rPr>
        <w:t>96</w:t>
      </w:r>
    </w:p>
    <w:p>
      <w:pPr>
        <w:pStyle w:val="BodyText"/>
        <w:spacing w:before="4"/>
        <w:rPr>
          <w:sz w:val="15"/>
        </w:rPr>
      </w:pPr>
    </w:p>
    <w:p>
      <w:pPr>
        <w:spacing w:before="0"/>
        <w:ind w:left="0" w:right="166" w:firstLine="0"/>
        <w:jc w:val="right"/>
        <w:rPr>
          <w:sz w:val="16"/>
        </w:rPr>
      </w:pPr>
      <w:r>
        <w:rPr>
          <w:spacing w:val="7"/>
          <w:sz w:val="16"/>
        </w:rPr>
        <w:t>94</w:t>
      </w:r>
    </w:p>
    <w:p>
      <w:pPr>
        <w:pStyle w:val="BodyText"/>
        <w:spacing w:before="3"/>
        <w:rPr>
          <w:sz w:val="15"/>
        </w:rPr>
      </w:pPr>
    </w:p>
    <w:p>
      <w:pPr>
        <w:spacing w:before="0"/>
        <w:ind w:left="0" w:right="166" w:firstLine="0"/>
        <w:jc w:val="right"/>
        <w:rPr>
          <w:sz w:val="16"/>
        </w:rPr>
      </w:pPr>
      <w:r>
        <w:rPr>
          <w:spacing w:val="7"/>
          <w:sz w:val="16"/>
        </w:rPr>
        <w:t>92</w:t>
      </w:r>
    </w:p>
    <w:p>
      <w:pPr>
        <w:pStyle w:val="BodyText"/>
        <w:spacing w:before="4"/>
        <w:rPr>
          <w:sz w:val="15"/>
        </w:rPr>
      </w:pPr>
    </w:p>
    <w:p>
      <w:pPr>
        <w:spacing w:before="0"/>
        <w:ind w:left="0" w:right="166" w:firstLine="0"/>
        <w:jc w:val="right"/>
        <w:rPr>
          <w:sz w:val="16"/>
        </w:rPr>
      </w:pPr>
      <w:r>
        <w:rPr>
          <w:spacing w:val="7"/>
          <w:sz w:val="16"/>
        </w:rPr>
        <w:t>90</w:t>
      </w:r>
    </w:p>
    <w:p>
      <w:pPr>
        <w:spacing w:before="98"/>
        <w:ind w:left="717" w:right="0" w:firstLine="0"/>
        <w:jc w:val="left"/>
        <w:rPr>
          <w:sz w:val="16"/>
        </w:rPr>
      </w:pPr>
      <w:r>
        <w:rPr/>
        <w:br w:type="column"/>
      </w:r>
      <w:r>
        <w:rPr>
          <w:w w:val="105"/>
          <w:sz w:val="16"/>
        </w:rPr>
        <w:t>Price / Index</w:t>
      </w:r>
    </w:p>
    <w:p>
      <w:pPr>
        <w:spacing w:before="41"/>
        <w:ind w:left="1543" w:right="0" w:firstLine="0"/>
        <w:jc w:val="left"/>
        <w:rPr>
          <w:sz w:val="16"/>
        </w:rPr>
      </w:pPr>
      <w:r>
        <w:rPr>
          <w:spacing w:val="7"/>
          <w:w w:val="105"/>
          <w:sz w:val="16"/>
        </w:rPr>
        <w:t>140</w:t>
      </w:r>
    </w:p>
    <w:p>
      <w:pPr>
        <w:pStyle w:val="BodyText"/>
        <w:spacing w:before="3"/>
        <w:rPr>
          <w:sz w:val="15"/>
        </w:rPr>
      </w:pPr>
    </w:p>
    <w:p>
      <w:pPr>
        <w:spacing w:before="0"/>
        <w:ind w:left="1543" w:right="0" w:firstLine="0"/>
        <w:jc w:val="left"/>
        <w:rPr>
          <w:sz w:val="16"/>
        </w:rPr>
      </w:pPr>
      <w:r>
        <w:rPr>
          <w:spacing w:val="7"/>
          <w:w w:val="105"/>
          <w:sz w:val="16"/>
        </w:rPr>
        <w:t>120</w:t>
      </w:r>
    </w:p>
    <w:p>
      <w:pPr>
        <w:pStyle w:val="BodyText"/>
        <w:spacing w:before="4"/>
        <w:rPr>
          <w:sz w:val="15"/>
        </w:rPr>
      </w:pPr>
    </w:p>
    <w:p>
      <w:pPr>
        <w:spacing w:before="0"/>
        <w:ind w:left="1543" w:right="0" w:firstLine="0"/>
        <w:jc w:val="left"/>
        <w:rPr>
          <w:sz w:val="16"/>
        </w:rPr>
      </w:pPr>
      <w:r>
        <w:rPr>
          <w:spacing w:val="7"/>
          <w:w w:val="105"/>
          <w:sz w:val="16"/>
        </w:rPr>
        <w:t>100</w:t>
      </w:r>
    </w:p>
    <w:p>
      <w:pPr>
        <w:pStyle w:val="BodyText"/>
        <w:spacing w:before="3"/>
        <w:rPr>
          <w:sz w:val="15"/>
        </w:rPr>
      </w:pPr>
    </w:p>
    <w:p>
      <w:pPr>
        <w:spacing w:before="0"/>
        <w:ind w:left="1543" w:right="0" w:firstLine="0"/>
        <w:jc w:val="left"/>
        <w:rPr>
          <w:sz w:val="16"/>
        </w:rPr>
      </w:pPr>
      <w:r>
        <w:rPr>
          <w:spacing w:val="7"/>
          <w:w w:val="105"/>
          <w:sz w:val="16"/>
        </w:rPr>
        <w:t>80</w:t>
      </w:r>
    </w:p>
    <w:p>
      <w:pPr>
        <w:pStyle w:val="BodyText"/>
        <w:spacing w:before="8"/>
        <w:rPr>
          <w:sz w:val="16"/>
        </w:rPr>
      </w:pPr>
    </w:p>
    <w:p>
      <w:pPr>
        <w:spacing w:before="0"/>
        <w:ind w:left="1543" w:right="0" w:firstLine="0"/>
        <w:jc w:val="left"/>
        <w:rPr>
          <w:sz w:val="16"/>
        </w:rPr>
      </w:pPr>
      <w:r>
        <w:rPr>
          <w:spacing w:val="7"/>
          <w:w w:val="105"/>
          <w:sz w:val="16"/>
        </w:rPr>
        <w:t>60</w:t>
      </w:r>
    </w:p>
    <w:p>
      <w:pPr>
        <w:pStyle w:val="BodyText"/>
        <w:spacing w:before="3"/>
        <w:rPr>
          <w:sz w:val="15"/>
        </w:rPr>
      </w:pPr>
    </w:p>
    <w:p>
      <w:pPr>
        <w:spacing w:before="0"/>
        <w:ind w:left="1543" w:right="0" w:firstLine="0"/>
        <w:jc w:val="left"/>
        <w:rPr>
          <w:sz w:val="16"/>
        </w:rPr>
      </w:pPr>
      <w:r>
        <w:rPr>
          <w:spacing w:val="7"/>
          <w:w w:val="105"/>
          <w:sz w:val="16"/>
        </w:rPr>
        <w:t>40</w:t>
      </w:r>
    </w:p>
    <w:p>
      <w:pPr>
        <w:pStyle w:val="BodyText"/>
        <w:spacing w:before="4"/>
        <w:rPr>
          <w:sz w:val="15"/>
        </w:rPr>
      </w:pPr>
    </w:p>
    <w:p>
      <w:pPr>
        <w:spacing w:before="0"/>
        <w:ind w:left="1543" w:right="0" w:firstLine="0"/>
        <w:jc w:val="left"/>
        <w:rPr>
          <w:sz w:val="16"/>
        </w:rPr>
      </w:pPr>
      <w:r>
        <w:rPr>
          <w:spacing w:val="7"/>
          <w:w w:val="105"/>
          <w:sz w:val="16"/>
        </w:rPr>
        <w:t>20</w:t>
      </w:r>
    </w:p>
    <w:p>
      <w:pPr>
        <w:pStyle w:val="BodyText"/>
        <w:spacing w:before="3"/>
        <w:rPr>
          <w:sz w:val="15"/>
        </w:rPr>
      </w:pPr>
    </w:p>
    <w:p>
      <w:pPr>
        <w:spacing w:before="0"/>
        <w:ind w:left="1543" w:right="0" w:firstLine="0"/>
        <w:jc w:val="left"/>
        <w:rPr>
          <w:sz w:val="16"/>
        </w:rPr>
      </w:pPr>
      <w:r>
        <w:rPr>
          <w:w w:val="103"/>
          <w:sz w:val="16"/>
        </w:rPr>
        <w:t>0</w:t>
      </w:r>
    </w:p>
    <w:p>
      <w:pPr>
        <w:spacing w:before="98"/>
        <w:ind w:left="0" w:right="477" w:firstLine="0"/>
        <w:jc w:val="right"/>
        <w:rPr>
          <w:sz w:val="16"/>
        </w:rPr>
      </w:pPr>
      <w:r>
        <w:rPr/>
        <w:br w:type="column"/>
      </w:r>
      <w:r>
        <w:rPr>
          <w:w w:val="105"/>
          <w:sz w:val="16"/>
        </w:rPr>
        <w:t>Basis points</w:t>
      </w:r>
    </w:p>
    <w:p>
      <w:pPr>
        <w:spacing w:before="56"/>
        <w:ind w:left="0" w:right="436" w:firstLine="0"/>
        <w:jc w:val="right"/>
        <w:rPr>
          <w:sz w:val="16"/>
        </w:rPr>
      </w:pPr>
      <w:r>
        <w:rPr/>
        <w:pict>
          <v:group style="position:absolute;margin-left:322.290009pt;margin-top:8.079865pt;width:174.75pt;height:136.5pt;mso-position-horizontal-relative:page;mso-position-vertical-relative:paragraph;z-index:251683840" coordorigin="6446,162" coordsize="3495,2730">
            <v:shape style="position:absolute;left:6445;top:161;width:3495;height:2730" type="#_x0000_t75" stroked="false">
              <v:imagedata r:id="rId14" o:title=""/>
            </v:shape>
            <v:shape style="position:absolute;left:6445;top:161;width:3495;height:2730"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
                      <w:rPr>
                        <w:sz w:val="26"/>
                      </w:rPr>
                    </w:pPr>
                  </w:p>
                  <w:p>
                    <w:pPr>
                      <w:spacing w:before="0"/>
                      <w:ind w:left="2100" w:right="0" w:firstLine="0"/>
                      <w:jc w:val="left"/>
                      <w:rPr>
                        <w:sz w:val="16"/>
                      </w:rPr>
                    </w:pPr>
                    <w:r>
                      <w:rPr>
                        <w:w w:val="105"/>
                        <w:sz w:val="16"/>
                      </w:rPr>
                      <w:t>United States</w:t>
                    </w:r>
                  </w:p>
                  <w:p>
                    <w:pPr>
                      <w:tabs>
                        <w:tab w:pos="2054" w:val="left" w:leader="none"/>
                      </w:tabs>
                      <w:spacing w:before="101"/>
                      <w:ind w:left="1695" w:right="0" w:firstLine="0"/>
                      <w:jc w:val="left"/>
                      <w:rPr>
                        <w:sz w:val="16"/>
                      </w:rPr>
                    </w:pPr>
                    <w:r>
                      <w:rPr>
                        <w:w w:val="103"/>
                        <w:position w:val="6"/>
                        <w:sz w:val="16"/>
                        <w:u w:val="single" w:color="3365FF"/>
                      </w:rPr>
                      <w:t> </w:t>
                    </w:r>
                    <w:r>
                      <w:rPr>
                        <w:position w:val="6"/>
                        <w:sz w:val="16"/>
                        <w:u w:val="single" w:color="3365FF"/>
                      </w:rPr>
                      <w:tab/>
                    </w:r>
                    <w:r>
                      <w:rPr>
                        <w:spacing w:val="5"/>
                        <w:position w:val="6"/>
                        <w:sz w:val="16"/>
                      </w:rPr>
                      <w:t> </w:t>
                    </w:r>
                    <w:r>
                      <w:rPr>
                        <w:spacing w:val="3"/>
                        <w:w w:val="105"/>
                        <w:sz w:val="16"/>
                      </w:rPr>
                      <w:t>United</w:t>
                    </w:r>
                    <w:r>
                      <w:rPr>
                        <w:spacing w:val="-8"/>
                        <w:w w:val="105"/>
                        <w:sz w:val="16"/>
                      </w:rPr>
                      <w:t> </w:t>
                    </w:r>
                    <w:r>
                      <w:rPr>
                        <w:w w:val="105"/>
                        <w:sz w:val="16"/>
                      </w:rPr>
                      <w:t>Kingdom</w:t>
                    </w:r>
                  </w:p>
                  <w:p>
                    <w:pPr>
                      <w:tabs>
                        <w:tab w:pos="2054" w:val="left" w:leader="none"/>
                      </w:tabs>
                      <w:spacing w:before="86"/>
                      <w:ind w:left="1695" w:right="0" w:firstLine="0"/>
                      <w:jc w:val="left"/>
                      <w:rPr>
                        <w:sz w:val="16"/>
                      </w:rPr>
                    </w:pPr>
                    <w:r>
                      <w:rPr>
                        <w:w w:val="103"/>
                        <w:position w:val="10"/>
                        <w:sz w:val="16"/>
                        <w:u w:val="single" w:color="9ACC00"/>
                      </w:rPr>
                      <w:t> </w:t>
                    </w:r>
                    <w:r>
                      <w:rPr>
                        <w:position w:val="10"/>
                        <w:sz w:val="16"/>
                        <w:u w:val="single" w:color="9ACC00"/>
                      </w:rPr>
                      <w:tab/>
                    </w:r>
                    <w:r>
                      <w:rPr>
                        <w:spacing w:val="5"/>
                        <w:position w:val="10"/>
                        <w:sz w:val="16"/>
                      </w:rPr>
                      <w:t> </w:t>
                    </w:r>
                    <w:r>
                      <w:rPr>
                        <w:w w:val="105"/>
                        <w:sz w:val="16"/>
                      </w:rPr>
                      <w:t>Euro</w:t>
                    </w:r>
                    <w:r>
                      <w:rPr>
                        <w:spacing w:val="8"/>
                        <w:w w:val="105"/>
                        <w:sz w:val="16"/>
                      </w:rPr>
                      <w:t> </w:t>
                    </w:r>
                    <w:r>
                      <w:rPr>
                        <w:w w:val="105"/>
                        <w:sz w:val="16"/>
                      </w:rPr>
                      <w:t>area</w:t>
                    </w:r>
                  </w:p>
                </w:txbxContent>
              </v:textbox>
              <w10:wrap type="none"/>
            </v:shape>
            <w10:wrap type="none"/>
          </v:group>
        </w:pict>
      </w:r>
      <w:r>
        <w:rPr>
          <w:spacing w:val="7"/>
          <w:sz w:val="16"/>
        </w:rPr>
        <w:t>120</w:t>
      </w:r>
    </w:p>
    <w:p>
      <w:pPr>
        <w:pStyle w:val="BodyText"/>
        <w:spacing w:before="11"/>
        <w:rPr>
          <w:sz w:val="17"/>
        </w:rPr>
      </w:pPr>
    </w:p>
    <w:p>
      <w:pPr>
        <w:spacing w:before="0"/>
        <w:ind w:left="0" w:right="436" w:firstLine="0"/>
        <w:jc w:val="right"/>
        <w:rPr>
          <w:sz w:val="16"/>
        </w:rPr>
      </w:pPr>
      <w:r>
        <w:rPr>
          <w:spacing w:val="7"/>
          <w:sz w:val="16"/>
        </w:rPr>
        <w:t>100</w:t>
      </w:r>
    </w:p>
    <w:p>
      <w:pPr>
        <w:pStyle w:val="BodyText"/>
        <w:spacing w:before="10"/>
        <w:rPr>
          <w:sz w:val="17"/>
        </w:rPr>
      </w:pPr>
    </w:p>
    <w:p>
      <w:pPr>
        <w:spacing w:before="0"/>
        <w:ind w:left="0" w:right="526" w:firstLine="0"/>
        <w:jc w:val="right"/>
        <w:rPr>
          <w:sz w:val="16"/>
        </w:rPr>
      </w:pPr>
      <w:r>
        <w:rPr>
          <w:spacing w:val="6"/>
          <w:sz w:val="16"/>
        </w:rPr>
        <w:t>80</w:t>
      </w:r>
    </w:p>
    <w:p>
      <w:pPr>
        <w:pStyle w:val="BodyText"/>
        <w:spacing w:before="9"/>
        <w:rPr>
          <w:sz w:val="17"/>
        </w:rPr>
      </w:pPr>
    </w:p>
    <w:p>
      <w:pPr>
        <w:spacing w:before="1"/>
        <w:ind w:left="0" w:right="526" w:firstLine="0"/>
        <w:jc w:val="right"/>
        <w:rPr>
          <w:sz w:val="16"/>
        </w:rPr>
      </w:pPr>
      <w:r>
        <w:rPr>
          <w:spacing w:val="6"/>
          <w:sz w:val="16"/>
        </w:rPr>
        <w:t>60</w:t>
      </w:r>
    </w:p>
    <w:p>
      <w:pPr>
        <w:pStyle w:val="BodyText"/>
        <w:spacing w:before="10"/>
        <w:rPr>
          <w:sz w:val="17"/>
        </w:rPr>
      </w:pPr>
    </w:p>
    <w:p>
      <w:pPr>
        <w:spacing w:before="0"/>
        <w:ind w:left="0" w:right="526" w:firstLine="0"/>
        <w:jc w:val="right"/>
        <w:rPr>
          <w:sz w:val="16"/>
        </w:rPr>
      </w:pPr>
      <w:r>
        <w:rPr>
          <w:spacing w:val="6"/>
          <w:sz w:val="16"/>
        </w:rPr>
        <w:t>40</w:t>
      </w:r>
    </w:p>
    <w:p>
      <w:pPr>
        <w:pStyle w:val="BodyText"/>
        <w:spacing w:before="11"/>
        <w:rPr>
          <w:sz w:val="17"/>
        </w:rPr>
      </w:pPr>
    </w:p>
    <w:p>
      <w:pPr>
        <w:spacing w:before="0"/>
        <w:ind w:left="0" w:right="526" w:firstLine="0"/>
        <w:jc w:val="right"/>
        <w:rPr>
          <w:sz w:val="16"/>
        </w:rPr>
      </w:pPr>
      <w:r>
        <w:rPr>
          <w:spacing w:val="6"/>
          <w:sz w:val="16"/>
        </w:rPr>
        <w:t>20</w:t>
      </w:r>
    </w:p>
    <w:p>
      <w:pPr>
        <w:pStyle w:val="BodyText"/>
        <w:spacing w:before="10"/>
        <w:rPr>
          <w:sz w:val="17"/>
        </w:rPr>
      </w:pPr>
    </w:p>
    <w:p>
      <w:pPr>
        <w:spacing w:before="0"/>
        <w:ind w:left="1317" w:right="0" w:firstLine="0"/>
        <w:jc w:val="left"/>
        <w:rPr>
          <w:sz w:val="16"/>
        </w:rPr>
      </w:pPr>
      <w:r>
        <w:rPr>
          <w:w w:val="103"/>
          <w:sz w:val="16"/>
        </w:rPr>
        <w:t>0</w:t>
      </w:r>
    </w:p>
    <w:p>
      <w:pPr>
        <w:spacing w:after="0"/>
        <w:jc w:val="left"/>
        <w:rPr>
          <w:sz w:val="16"/>
        </w:rPr>
        <w:sectPr>
          <w:type w:val="continuous"/>
          <w:pgSz w:w="11910" w:h="16840"/>
          <w:pgMar w:top="1180" w:bottom="280" w:left="780" w:right="1180"/>
          <w:cols w:num="3" w:equalWidth="0">
            <w:col w:w="1155" w:space="1768"/>
            <w:col w:w="1854" w:space="3142"/>
            <w:col w:w="2031"/>
          </w:cols>
        </w:sectPr>
      </w:pPr>
    </w:p>
    <w:p>
      <w:pPr>
        <w:spacing w:before="55"/>
        <w:ind w:left="971" w:right="0" w:firstLine="0"/>
        <w:jc w:val="left"/>
        <w:rPr>
          <w:sz w:val="16"/>
        </w:rPr>
      </w:pPr>
      <w:r>
        <w:rPr>
          <w:w w:val="105"/>
          <w:sz w:val="16"/>
        </w:rPr>
        <w:t>Jan. Apr. Jul. Oct. Jan. Apr. Jul. Oct. Jan.</w:t>
      </w:r>
    </w:p>
    <w:p>
      <w:pPr>
        <w:spacing w:before="25"/>
        <w:ind w:left="971" w:right="0" w:firstLine="0"/>
        <w:jc w:val="left"/>
        <w:rPr>
          <w:sz w:val="16"/>
        </w:rPr>
      </w:pPr>
      <w:r>
        <w:rPr/>
        <w:br w:type="column"/>
      </w:r>
      <w:r>
        <w:rPr>
          <w:w w:val="105"/>
          <w:sz w:val="16"/>
        </w:rPr>
        <w:t>-20</w:t>
      </w:r>
    </w:p>
    <w:p>
      <w:pPr>
        <w:spacing w:after="0"/>
        <w:jc w:val="left"/>
        <w:rPr>
          <w:sz w:val="16"/>
        </w:rPr>
        <w:sectPr>
          <w:type w:val="continuous"/>
          <w:pgSz w:w="11910" w:h="16840"/>
          <w:pgMar w:top="1180" w:bottom="280" w:left="780" w:right="1180"/>
          <w:cols w:num="2" w:equalWidth="0">
            <w:col w:w="4322" w:space="3942"/>
            <w:col w:w="1686"/>
          </w:cols>
        </w:sectPr>
      </w:pPr>
    </w:p>
    <w:p>
      <w:pPr>
        <w:spacing w:before="101"/>
        <w:ind w:left="0" w:right="0" w:firstLine="0"/>
        <w:jc w:val="right"/>
        <w:rPr>
          <w:sz w:val="16"/>
        </w:rPr>
      </w:pPr>
      <w:r>
        <w:rPr>
          <w:sz w:val="16"/>
        </w:rPr>
        <w:t>2006</w:t>
      </w:r>
    </w:p>
    <w:p>
      <w:pPr>
        <w:tabs>
          <w:tab w:pos="2149" w:val="left" w:leader="none"/>
        </w:tabs>
        <w:spacing w:before="81"/>
        <w:ind w:left="1024" w:right="0" w:firstLine="0"/>
        <w:jc w:val="left"/>
        <w:rPr>
          <w:sz w:val="16"/>
        </w:rPr>
      </w:pPr>
      <w:r>
        <w:rPr/>
        <w:br w:type="column"/>
      </w:r>
      <w:r>
        <w:rPr>
          <w:spacing w:val="5"/>
          <w:w w:val="105"/>
          <w:sz w:val="16"/>
        </w:rPr>
        <w:t>2007</w:t>
        <w:tab/>
      </w:r>
      <w:r>
        <w:rPr>
          <w:w w:val="105"/>
          <w:position w:val="2"/>
          <w:sz w:val="16"/>
        </w:rPr>
        <w:t>08</w:t>
      </w:r>
    </w:p>
    <w:p>
      <w:pPr>
        <w:tabs>
          <w:tab w:pos="1789" w:val="left" w:leader="none"/>
          <w:tab w:pos="2375" w:val="left" w:leader="none"/>
          <w:tab w:pos="2869" w:val="left" w:leader="none"/>
          <w:tab w:pos="3424" w:val="left" w:leader="none"/>
          <w:tab w:pos="3919" w:val="left" w:leader="none"/>
          <w:tab w:pos="4489" w:val="left" w:leader="none"/>
        </w:tabs>
        <w:spacing w:before="26"/>
        <w:ind w:left="1265" w:right="0" w:firstLine="0"/>
        <w:jc w:val="left"/>
        <w:rPr>
          <w:sz w:val="16"/>
        </w:rPr>
      </w:pPr>
      <w:r>
        <w:rPr/>
        <w:br w:type="column"/>
      </w:r>
      <w:r>
        <w:rPr>
          <w:w w:val="105"/>
          <w:sz w:val="16"/>
        </w:rPr>
        <w:t>Jan.</w:t>
        <w:tab/>
      </w:r>
      <w:r>
        <w:rPr>
          <w:spacing w:val="3"/>
          <w:w w:val="105"/>
          <w:sz w:val="16"/>
        </w:rPr>
        <w:t>Apr.</w:t>
        <w:tab/>
      </w:r>
      <w:r>
        <w:rPr>
          <w:spacing w:val="-4"/>
          <w:w w:val="105"/>
          <w:sz w:val="16"/>
        </w:rPr>
        <w:t>Jul.</w:t>
        <w:tab/>
      </w:r>
      <w:r>
        <w:rPr>
          <w:spacing w:val="4"/>
          <w:w w:val="105"/>
          <w:sz w:val="16"/>
        </w:rPr>
        <w:t>Oct.</w:t>
        <w:tab/>
      </w:r>
      <w:r>
        <w:rPr>
          <w:spacing w:val="-3"/>
          <w:w w:val="105"/>
          <w:sz w:val="16"/>
        </w:rPr>
        <w:t>Feb.</w:t>
        <w:tab/>
      </w:r>
      <w:r>
        <w:rPr>
          <w:spacing w:val="2"/>
          <w:w w:val="105"/>
          <w:sz w:val="16"/>
        </w:rPr>
        <w:t>May.</w:t>
        <w:tab/>
      </w:r>
      <w:r>
        <w:rPr>
          <w:spacing w:val="-4"/>
          <w:w w:val="105"/>
          <w:sz w:val="16"/>
        </w:rPr>
        <w:t>Aug.</w:t>
      </w:r>
    </w:p>
    <w:p>
      <w:pPr>
        <w:tabs>
          <w:tab w:pos="4024" w:val="left" w:leader="none"/>
        </w:tabs>
        <w:spacing w:before="56"/>
        <w:ind w:left="2105" w:right="0" w:firstLine="0"/>
        <w:jc w:val="left"/>
        <w:rPr>
          <w:sz w:val="16"/>
        </w:rPr>
      </w:pPr>
      <w:r>
        <w:rPr>
          <w:spacing w:val="5"/>
          <w:w w:val="105"/>
          <w:sz w:val="16"/>
        </w:rPr>
        <w:t>2007</w:t>
        <w:tab/>
      </w:r>
      <w:r>
        <w:rPr>
          <w:spacing w:val="7"/>
          <w:w w:val="105"/>
          <w:sz w:val="16"/>
        </w:rPr>
        <w:t>08</w:t>
      </w:r>
    </w:p>
    <w:p>
      <w:pPr>
        <w:spacing w:after="0"/>
        <w:jc w:val="left"/>
        <w:rPr>
          <w:sz w:val="16"/>
        </w:rPr>
        <w:sectPr>
          <w:type w:val="continuous"/>
          <w:pgSz w:w="11910" w:h="16840"/>
          <w:pgMar w:top="1180" w:bottom="280" w:left="780" w:right="1180"/>
          <w:cols w:num="3" w:equalWidth="0">
            <w:col w:w="1857" w:space="40"/>
            <w:col w:w="2331" w:space="39"/>
            <w:col w:w="5683"/>
          </w:cols>
        </w:sectPr>
      </w:pPr>
    </w:p>
    <w:p>
      <w:pPr>
        <w:spacing w:line="184" w:lineRule="exact" w:before="130"/>
        <w:ind w:left="405" w:right="0" w:firstLine="0"/>
        <w:jc w:val="left"/>
        <w:rPr>
          <w:sz w:val="16"/>
        </w:rPr>
      </w:pPr>
      <w:r>
        <w:rPr>
          <w:sz w:val="16"/>
        </w:rPr>
        <w:t>Source: Datastream and JP Morgan Chase &amp; Co.</w:t>
      </w:r>
    </w:p>
    <w:p>
      <w:pPr>
        <w:spacing w:before="0"/>
        <w:ind w:left="405" w:right="0" w:firstLine="0"/>
        <w:jc w:val="left"/>
        <w:rPr>
          <w:sz w:val="16"/>
        </w:rPr>
      </w:pPr>
      <w:r>
        <w:rPr>
          <w:sz w:val="16"/>
        </w:rPr>
        <w:t>(a) Equity and property indices rebased to Jan. 06 = 100.</w:t>
      </w:r>
    </w:p>
    <w:p>
      <w:pPr>
        <w:spacing w:line="184" w:lineRule="exact" w:before="130"/>
        <w:ind w:left="405" w:right="0" w:firstLine="0"/>
        <w:jc w:val="left"/>
        <w:rPr>
          <w:sz w:val="16"/>
        </w:rPr>
      </w:pPr>
      <w:r>
        <w:rPr/>
        <w:br w:type="column"/>
      </w:r>
      <w:r>
        <w:rPr>
          <w:sz w:val="16"/>
        </w:rPr>
        <w:t>Source: Bloomberg.</w:t>
      </w:r>
    </w:p>
    <w:p>
      <w:pPr>
        <w:pStyle w:val="ListParagraph"/>
        <w:numPr>
          <w:ilvl w:val="0"/>
          <w:numId w:val="3"/>
        </w:numPr>
        <w:tabs>
          <w:tab w:pos="663" w:val="left" w:leader="none"/>
        </w:tabs>
        <w:spacing w:line="240" w:lineRule="auto" w:before="0" w:after="0"/>
        <w:ind w:left="405" w:right="512" w:firstLine="0"/>
        <w:jc w:val="left"/>
        <w:rPr>
          <w:sz w:val="16"/>
        </w:rPr>
      </w:pPr>
      <w:r>
        <w:rPr>
          <w:sz w:val="16"/>
        </w:rPr>
        <w:t>3-month LIBOR spreads over 3-month overnight index swap (OIS)</w:t>
      </w:r>
      <w:r>
        <w:rPr>
          <w:spacing w:val="-2"/>
          <w:sz w:val="16"/>
        </w:rPr>
        <w:t> </w:t>
      </w:r>
      <w:r>
        <w:rPr>
          <w:sz w:val="16"/>
        </w:rPr>
        <w:t>rates.</w:t>
      </w:r>
    </w:p>
    <w:p>
      <w:pPr>
        <w:pStyle w:val="ListParagraph"/>
        <w:numPr>
          <w:ilvl w:val="0"/>
          <w:numId w:val="3"/>
        </w:numPr>
        <w:tabs>
          <w:tab w:pos="671" w:val="left" w:leader="none"/>
        </w:tabs>
        <w:spacing w:line="240" w:lineRule="auto" w:before="0" w:after="0"/>
        <w:ind w:left="405" w:right="693" w:firstLine="0"/>
        <w:jc w:val="left"/>
        <w:rPr>
          <w:sz w:val="16"/>
        </w:rPr>
      </w:pPr>
      <w:r>
        <w:rPr>
          <w:sz w:val="16"/>
        </w:rPr>
        <w:t>Solid lines show 3 month historical data, with dotted lines derived from</w:t>
      </w:r>
      <w:r>
        <w:rPr>
          <w:spacing w:val="-4"/>
          <w:sz w:val="16"/>
        </w:rPr>
        <w:t> </w:t>
      </w:r>
      <w:r>
        <w:rPr>
          <w:sz w:val="16"/>
        </w:rPr>
        <w:t>forwards.</w:t>
      </w:r>
    </w:p>
    <w:p>
      <w:pPr>
        <w:spacing w:after="0" w:line="240" w:lineRule="auto"/>
        <w:jc w:val="left"/>
        <w:rPr>
          <w:sz w:val="16"/>
        </w:rPr>
        <w:sectPr>
          <w:type w:val="continuous"/>
          <w:pgSz w:w="11910" w:h="16840"/>
          <w:pgMar w:top="1180" w:bottom="280" w:left="780" w:right="1180"/>
          <w:cols w:num="2" w:equalWidth="0">
            <w:col w:w="4116" w:space="744"/>
            <w:col w:w="5090"/>
          </w:cols>
        </w:sectPr>
      </w:pPr>
    </w:p>
    <w:p>
      <w:pPr>
        <w:pStyle w:val="Heading1"/>
        <w:tabs>
          <w:tab w:pos="5265" w:val="left" w:leader="none"/>
        </w:tabs>
        <w:spacing w:before="165"/>
        <w:ind w:left="405"/>
      </w:pPr>
      <w:r>
        <w:rPr/>
        <w:t>Chart 5: Sub-prime</w:t>
      </w:r>
      <w:r>
        <w:rPr>
          <w:spacing w:val="-4"/>
        </w:rPr>
        <w:t> </w:t>
      </w:r>
      <w:r>
        <w:rPr/>
        <w:t>mortgage</w:t>
      </w:r>
      <w:r>
        <w:rPr>
          <w:spacing w:val="-1"/>
        </w:rPr>
        <w:t> </w:t>
      </w:r>
      <w:r>
        <w:rPr/>
        <w:t>losses</w:t>
        <w:tab/>
        <w:t>Chart 6: Monoline CDS</w:t>
      </w:r>
      <w:r>
        <w:rPr>
          <w:spacing w:val="-1"/>
        </w:rPr>
        <w:t> </w:t>
      </w:r>
      <w:r>
        <w:rPr/>
        <w:t>prices</w:t>
      </w:r>
      <w:r>
        <w:rPr>
          <w:vertAlign w:val="superscript"/>
        </w:rPr>
        <w:t>(a)</w:t>
      </w:r>
    </w:p>
    <w:p>
      <w:pPr>
        <w:pStyle w:val="BodyText"/>
        <w:spacing w:before="8"/>
        <w:rPr>
          <w:b/>
          <w:sz w:val="22"/>
        </w:rPr>
      </w:pPr>
    </w:p>
    <w:p>
      <w:pPr>
        <w:spacing w:before="98"/>
        <w:ind w:left="0" w:right="5479" w:firstLine="0"/>
        <w:jc w:val="right"/>
        <w:rPr>
          <w:sz w:val="15"/>
        </w:rPr>
      </w:pPr>
      <w:r>
        <w:rPr>
          <w:spacing w:val="-11"/>
          <w:w w:val="120"/>
          <w:sz w:val="15"/>
        </w:rPr>
        <w:t>US$</w:t>
      </w:r>
      <w:r>
        <w:rPr>
          <w:spacing w:val="-9"/>
          <w:w w:val="120"/>
          <w:sz w:val="15"/>
        </w:rPr>
        <w:t> </w:t>
      </w:r>
      <w:r>
        <w:rPr>
          <w:spacing w:val="-4"/>
          <w:w w:val="120"/>
          <w:sz w:val="15"/>
        </w:rPr>
        <w:t>billions</w:t>
      </w:r>
    </w:p>
    <w:p>
      <w:pPr>
        <w:spacing w:before="137"/>
        <w:ind w:left="0" w:right="5487" w:firstLine="0"/>
        <w:jc w:val="right"/>
        <w:rPr>
          <w:sz w:val="15"/>
        </w:rPr>
      </w:pPr>
      <w:r>
        <w:rPr/>
        <w:drawing>
          <wp:anchor distT="0" distB="0" distL="0" distR="0" allowOverlap="1" layoutInCell="1" locked="0" behindDoc="0" simplePos="0" relativeHeight="251684864">
            <wp:simplePos x="0" y="0"/>
            <wp:positionH relativeFrom="page">
              <wp:posOffset>3870171</wp:posOffset>
            </wp:positionH>
            <wp:positionV relativeFrom="paragraph">
              <wp:posOffset>62846</wp:posOffset>
            </wp:positionV>
            <wp:extent cx="2715043" cy="2120804"/>
            <wp:effectExtent l="0" t="0" r="0" b="0"/>
            <wp:wrapNone/>
            <wp:docPr id="3" name="image6.jpeg"/>
            <wp:cNvGraphicFramePr>
              <a:graphicFrameLocks noChangeAspect="1"/>
            </wp:cNvGraphicFramePr>
            <a:graphic>
              <a:graphicData uri="http://schemas.openxmlformats.org/drawingml/2006/picture">
                <pic:pic>
                  <pic:nvPicPr>
                    <pic:cNvPr id="4" name="image6.jpeg"/>
                    <pic:cNvPicPr/>
                  </pic:nvPicPr>
                  <pic:blipFill>
                    <a:blip r:embed="rId15" cstate="print"/>
                    <a:stretch>
                      <a:fillRect/>
                    </a:stretch>
                  </pic:blipFill>
                  <pic:spPr>
                    <a:xfrm>
                      <a:off x="0" y="0"/>
                      <a:ext cx="2715043" cy="2120804"/>
                    </a:xfrm>
                    <a:prstGeom prst="rect">
                      <a:avLst/>
                    </a:prstGeom>
                  </pic:spPr>
                </pic:pic>
              </a:graphicData>
            </a:graphic>
          </wp:anchor>
        </w:drawing>
      </w:r>
      <w:r>
        <w:rPr/>
        <w:pict>
          <v:group style="position:absolute;margin-left:62.970001pt;margin-top:11.783296pt;width:181.5pt;height:94.55pt;mso-position-horizontal-relative:page;mso-position-vertical-relative:paragraph;z-index:251685888" coordorigin="1259,236" coordsize="3630,1891">
            <v:shape style="position:absolute;left:1334;top:545;width:3435;height:1572" coordorigin="1334,546" coordsize="3435,1572" path="m2084,1935l1334,1935,1334,2118,2084,2118,2084,1935m2984,1219l2234,1219,2234,2118,2984,2118,2984,1219m3869,546l3134,546,3134,2118,3869,2118,3869,546m4769,1598l4019,1598,4019,2118,4769,2118,4769,1598e" filled="true" fillcolor="#3365ff" stroked="false">
              <v:path arrowok="t"/>
              <v:fill type="solid"/>
            </v:shape>
            <v:shape style="position:absolute;left:1260;top:236;width:3629;height:1882" coordorigin="1260,236" coordsize="3629,1882" path="m4843,236l4843,2118m4843,2118l4889,2118m4843,1851l4889,1851m4843,1584l4889,1584m4843,1317l4889,1317m4843,1037l4889,1037m4843,770l4889,770m4843,503l4889,503m4843,236l4889,236m1260,2118l4843,2118m1260,2118l1260,2076m2160,2118l2160,2076m3059,2118l3059,2076m3944,2118l3944,2076m4843,2118l4843,2076e" filled="false" stroked="true" strokeweight=".06pt" strokecolor="#000000">
              <v:path arrowok="t"/>
              <v:stroke dashstyle="solid"/>
            </v:shape>
            <v:line style="position:absolute" from="3953,2126" to="3953,259" stroked="true" strokeweight=".75pt" strokecolor="#010101">
              <v:stroke dashstyle="dash"/>
            </v:line>
            <w10:wrap type="none"/>
          </v:group>
        </w:pict>
      </w:r>
      <w:r>
        <w:rPr>
          <w:w w:val="115"/>
          <w:sz w:val="15"/>
        </w:rPr>
        <w:t>350</w:t>
      </w:r>
    </w:p>
    <w:p>
      <w:pPr>
        <w:spacing w:before="94"/>
        <w:ind w:left="0" w:right="5487" w:firstLine="0"/>
        <w:jc w:val="right"/>
        <w:rPr>
          <w:sz w:val="15"/>
        </w:rPr>
      </w:pPr>
      <w:r>
        <w:rPr>
          <w:w w:val="115"/>
          <w:sz w:val="15"/>
        </w:rPr>
        <w:t>300</w:t>
      </w:r>
    </w:p>
    <w:p>
      <w:pPr>
        <w:spacing w:before="94"/>
        <w:ind w:left="0" w:right="5487" w:firstLine="0"/>
        <w:jc w:val="right"/>
        <w:rPr>
          <w:sz w:val="15"/>
        </w:rPr>
      </w:pPr>
      <w:r>
        <w:rPr>
          <w:w w:val="115"/>
          <w:sz w:val="15"/>
        </w:rPr>
        <w:t>250</w:t>
      </w:r>
    </w:p>
    <w:p>
      <w:pPr>
        <w:spacing w:before="95"/>
        <w:ind w:left="0" w:right="5487" w:firstLine="0"/>
        <w:jc w:val="right"/>
        <w:rPr>
          <w:sz w:val="15"/>
        </w:rPr>
      </w:pPr>
      <w:r>
        <w:rPr>
          <w:w w:val="115"/>
          <w:sz w:val="15"/>
        </w:rPr>
        <w:t>200</w:t>
      </w:r>
    </w:p>
    <w:p>
      <w:pPr>
        <w:spacing w:before="108"/>
        <w:ind w:left="0" w:right="5487" w:firstLine="0"/>
        <w:jc w:val="right"/>
        <w:rPr>
          <w:sz w:val="15"/>
        </w:rPr>
      </w:pPr>
      <w:r>
        <w:rPr>
          <w:w w:val="115"/>
          <w:sz w:val="15"/>
        </w:rPr>
        <w:t>150</w:t>
      </w:r>
    </w:p>
    <w:p>
      <w:pPr>
        <w:spacing w:before="94"/>
        <w:ind w:left="0" w:right="5487" w:firstLine="0"/>
        <w:jc w:val="right"/>
        <w:rPr>
          <w:sz w:val="15"/>
        </w:rPr>
      </w:pPr>
      <w:r>
        <w:rPr>
          <w:w w:val="115"/>
          <w:sz w:val="15"/>
        </w:rPr>
        <w:t>100</w:t>
      </w:r>
    </w:p>
    <w:p>
      <w:pPr>
        <w:spacing w:before="94"/>
        <w:ind w:left="0" w:right="5577" w:firstLine="0"/>
        <w:jc w:val="right"/>
        <w:rPr>
          <w:sz w:val="15"/>
        </w:rPr>
      </w:pPr>
      <w:r>
        <w:rPr>
          <w:w w:val="115"/>
          <w:sz w:val="15"/>
        </w:rPr>
        <w:t>50</w:t>
      </w:r>
    </w:p>
    <w:p>
      <w:pPr>
        <w:spacing w:before="95"/>
        <w:ind w:left="0" w:right="1485" w:firstLine="0"/>
        <w:jc w:val="center"/>
        <w:rPr>
          <w:sz w:val="15"/>
        </w:rPr>
      </w:pPr>
      <w:r>
        <w:rPr>
          <w:w w:val="118"/>
          <w:sz w:val="15"/>
        </w:rPr>
        <w:t>0</w:t>
      </w:r>
    </w:p>
    <w:p>
      <w:pPr>
        <w:spacing w:after="0"/>
        <w:jc w:val="center"/>
        <w:rPr>
          <w:sz w:val="15"/>
        </w:rPr>
        <w:sectPr>
          <w:pgSz w:w="11910" w:h="16840"/>
          <w:pgMar w:header="0" w:footer="963" w:top="1600" w:bottom="1160" w:left="780" w:right="1180"/>
        </w:sectPr>
      </w:pPr>
    </w:p>
    <w:p>
      <w:pPr>
        <w:spacing w:line="292" w:lineRule="auto" w:before="52"/>
        <w:ind w:left="645" w:right="0" w:firstLine="5"/>
        <w:jc w:val="center"/>
        <w:rPr>
          <w:sz w:val="15"/>
        </w:rPr>
      </w:pPr>
      <w:r>
        <w:rPr>
          <w:spacing w:val="-5"/>
          <w:w w:val="120"/>
          <w:sz w:val="15"/>
        </w:rPr>
        <w:t>Default losses </w:t>
      </w:r>
      <w:r>
        <w:rPr>
          <w:spacing w:val="-3"/>
          <w:w w:val="120"/>
          <w:sz w:val="15"/>
        </w:rPr>
        <w:t>to date</w:t>
      </w:r>
    </w:p>
    <w:p>
      <w:pPr>
        <w:spacing w:before="71"/>
        <w:ind w:left="802" w:right="186" w:firstLine="0"/>
        <w:jc w:val="center"/>
        <w:rPr>
          <w:sz w:val="15"/>
        </w:rPr>
      </w:pPr>
      <w:r>
        <w:rPr>
          <w:w w:val="120"/>
          <w:sz w:val="15"/>
        </w:rPr>
        <w:t>(a)</w:t>
      </w:r>
    </w:p>
    <w:p>
      <w:pPr>
        <w:spacing w:line="292" w:lineRule="auto" w:before="52"/>
        <w:ind w:left="231" w:right="0" w:hanging="10"/>
        <w:jc w:val="center"/>
        <w:rPr>
          <w:sz w:val="15"/>
        </w:rPr>
      </w:pPr>
      <w:r>
        <w:rPr/>
        <w:br w:type="column"/>
      </w:r>
      <w:r>
        <w:rPr>
          <w:w w:val="115"/>
          <w:sz w:val="15"/>
        </w:rPr>
        <w:t>Projected </w:t>
      </w:r>
      <w:r>
        <w:rPr>
          <w:w w:val="120"/>
          <w:sz w:val="15"/>
        </w:rPr>
        <w:t>losses </w:t>
      </w:r>
      <w:r>
        <w:rPr>
          <w:w w:val="115"/>
          <w:sz w:val="15"/>
        </w:rPr>
        <w:t>(cashflow </w:t>
      </w:r>
      <w:r>
        <w:rPr>
          <w:w w:val="120"/>
          <w:sz w:val="15"/>
        </w:rPr>
        <w:t>method)</w:t>
      </w:r>
    </w:p>
    <w:p>
      <w:pPr>
        <w:spacing w:line="292" w:lineRule="auto" w:before="52"/>
        <w:ind w:left="162" w:right="0" w:firstLine="0"/>
        <w:jc w:val="center"/>
        <w:rPr>
          <w:sz w:val="15"/>
        </w:rPr>
      </w:pPr>
      <w:r>
        <w:rPr/>
        <w:br w:type="column"/>
      </w:r>
      <w:r>
        <w:rPr>
          <w:w w:val="115"/>
          <w:sz w:val="15"/>
        </w:rPr>
        <w:t>Projected </w:t>
      </w:r>
      <w:r>
        <w:rPr>
          <w:w w:val="120"/>
          <w:sz w:val="15"/>
        </w:rPr>
        <w:t>losses (market prices)</w:t>
      </w:r>
    </w:p>
    <w:p>
      <w:pPr>
        <w:spacing w:line="292" w:lineRule="auto" w:before="52"/>
        <w:ind w:left="90" w:right="5876" w:firstLine="0"/>
        <w:jc w:val="center"/>
        <w:rPr>
          <w:sz w:val="15"/>
        </w:rPr>
      </w:pPr>
      <w:r>
        <w:rPr/>
        <w:br w:type="column"/>
      </w:r>
      <w:r>
        <w:rPr>
          <w:w w:val="115"/>
          <w:sz w:val="15"/>
        </w:rPr>
        <w:t>Writedowns </w:t>
      </w:r>
      <w:r>
        <w:rPr>
          <w:w w:val="120"/>
          <w:sz w:val="15"/>
        </w:rPr>
        <w:t>to date</w:t>
      </w:r>
    </w:p>
    <w:p>
      <w:pPr>
        <w:pStyle w:val="BodyText"/>
        <w:rPr>
          <w:sz w:val="16"/>
        </w:rPr>
      </w:pPr>
    </w:p>
    <w:p>
      <w:pPr>
        <w:spacing w:before="97"/>
        <w:ind w:left="90" w:right="5858" w:firstLine="0"/>
        <w:jc w:val="center"/>
        <w:rPr>
          <w:sz w:val="15"/>
        </w:rPr>
      </w:pPr>
      <w:r>
        <w:rPr>
          <w:w w:val="120"/>
          <w:sz w:val="15"/>
        </w:rPr>
        <w:t>(b)</w:t>
      </w:r>
    </w:p>
    <w:p>
      <w:pPr>
        <w:spacing w:after="0"/>
        <w:jc w:val="center"/>
        <w:rPr>
          <w:sz w:val="15"/>
        </w:rPr>
        <w:sectPr>
          <w:type w:val="continuous"/>
          <w:pgSz w:w="11910" w:h="16840"/>
          <w:pgMar w:top="1180" w:bottom="280" w:left="780" w:right="1180"/>
          <w:cols w:num="4" w:equalWidth="0">
            <w:col w:w="1229" w:space="40"/>
            <w:col w:w="914" w:space="39"/>
            <w:col w:w="837" w:space="40"/>
            <w:col w:w="6851"/>
          </w:cols>
        </w:sectPr>
      </w:pPr>
    </w:p>
    <w:p>
      <w:pPr>
        <w:pStyle w:val="BodyText"/>
        <w:spacing w:before="2"/>
        <w:rPr>
          <w:sz w:val="28"/>
        </w:rPr>
      </w:pPr>
    </w:p>
    <w:p>
      <w:pPr>
        <w:spacing w:after="0"/>
        <w:rPr>
          <w:sz w:val="28"/>
        </w:rPr>
        <w:sectPr>
          <w:type w:val="continuous"/>
          <w:pgSz w:w="11910" w:h="16840"/>
          <w:pgMar w:top="1180" w:bottom="280" w:left="780" w:right="1180"/>
        </w:sectPr>
      </w:pPr>
    </w:p>
    <w:p>
      <w:pPr>
        <w:spacing w:before="93"/>
        <w:ind w:left="405" w:right="0" w:firstLine="0"/>
        <w:jc w:val="left"/>
        <w:rPr>
          <w:sz w:val="16"/>
        </w:rPr>
      </w:pPr>
      <w:r>
        <w:rPr>
          <w:sz w:val="16"/>
        </w:rPr>
        <w:t>Sources: Bloomberg, Banks' financial statements and Bank calculations.</w:t>
      </w:r>
    </w:p>
    <w:p>
      <w:pPr>
        <w:pStyle w:val="ListParagraph"/>
        <w:numPr>
          <w:ilvl w:val="0"/>
          <w:numId w:val="4"/>
        </w:numPr>
        <w:tabs>
          <w:tab w:pos="623" w:val="left" w:leader="none"/>
        </w:tabs>
        <w:spacing w:line="240" w:lineRule="auto" w:before="0" w:after="0"/>
        <w:ind w:left="405" w:right="38" w:firstLine="0"/>
        <w:jc w:val="left"/>
        <w:rPr>
          <w:sz w:val="16"/>
        </w:rPr>
      </w:pPr>
      <w:r>
        <w:rPr>
          <w:sz w:val="16"/>
        </w:rPr>
        <w:t>Estimated default losses to date on subprime securities based on cumulative delinquency</w:t>
      </w:r>
      <w:r>
        <w:rPr>
          <w:spacing w:val="-3"/>
          <w:sz w:val="16"/>
        </w:rPr>
        <w:t> </w:t>
      </w:r>
      <w:r>
        <w:rPr>
          <w:sz w:val="16"/>
        </w:rPr>
        <w:t>rates.</w:t>
      </w:r>
    </w:p>
    <w:p>
      <w:pPr>
        <w:pStyle w:val="ListParagraph"/>
        <w:numPr>
          <w:ilvl w:val="0"/>
          <w:numId w:val="4"/>
        </w:numPr>
        <w:tabs>
          <w:tab w:pos="632" w:val="left" w:leader="none"/>
        </w:tabs>
        <w:spacing w:line="183" w:lineRule="exact" w:before="0" w:after="0"/>
        <w:ind w:left="631" w:right="0" w:hanging="227"/>
        <w:jc w:val="left"/>
        <w:rPr>
          <w:sz w:val="16"/>
        </w:rPr>
      </w:pPr>
      <w:r>
        <w:rPr>
          <w:sz w:val="16"/>
        </w:rPr>
        <w:t>Net of</w:t>
      </w:r>
      <w:r>
        <w:rPr>
          <w:spacing w:val="-1"/>
          <w:sz w:val="16"/>
        </w:rPr>
        <w:t> </w:t>
      </w:r>
      <w:r>
        <w:rPr>
          <w:sz w:val="16"/>
        </w:rPr>
        <w:t>hedging.</w:t>
      </w:r>
    </w:p>
    <w:p>
      <w:pPr>
        <w:spacing w:before="93"/>
        <w:ind w:left="405" w:right="203" w:firstLine="0"/>
        <w:jc w:val="left"/>
        <w:rPr>
          <w:sz w:val="16"/>
        </w:rPr>
      </w:pPr>
      <w:r>
        <w:rPr/>
        <w:br w:type="column"/>
      </w:r>
      <w:r>
        <w:rPr>
          <w:sz w:val="16"/>
        </w:rPr>
        <w:t>Sources: Bank of England, Barclays Capital, Goldman Sachs, IMF and Moodys.</w:t>
      </w:r>
    </w:p>
    <w:p>
      <w:pPr>
        <w:spacing w:before="0"/>
        <w:ind w:left="405" w:right="203" w:firstLine="0"/>
        <w:jc w:val="left"/>
        <w:rPr>
          <w:sz w:val="16"/>
        </w:rPr>
      </w:pPr>
      <w:r>
        <w:rPr>
          <w:sz w:val="16"/>
        </w:rPr>
        <w:t>(a) Average of bid and offer premia of five-year senior debt CDS contracts.</w:t>
      </w:r>
    </w:p>
    <w:p>
      <w:pPr>
        <w:spacing w:after="0"/>
        <w:jc w:val="left"/>
        <w:rPr>
          <w:sz w:val="16"/>
        </w:rPr>
        <w:sectPr>
          <w:type w:val="continuous"/>
          <w:pgSz w:w="11910" w:h="16840"/>
          <w:pgMar w:top="1180" w:bottom="280" w:left="780" w:right="1180"/>
          <w:cols w:num="2" w:equalWidth="0">
            <w:col w:w="4767" w:space="93"/>
            <w:col w:w="5090"/>
          </w:cols>
        </w:sectPr>
      </w:pPr>
    </w:p>
    <w:p>
      <w:pPr>
        <w:pStyle w:val="BodyText"/>
        <w:spacing w:before="7"/>
        <w:rPr>
          <w:sz w:val="16"/>
        </w:rPr>
      </w:pPr>
    </w:p>
    <w:p>
      <w:pPr>
        <w:pStyle w:val="Heading1"/>
        <w:spacing w:line="275" w:lineRule="exact" w:before="90"/>
        <w:ind w:left="405"/>
      </w:pPr>
      <w:r>
        <w:rPr/>
        <w:t>Chart 7: Key strands of FSF work</w:t>
      </w:r>
    </w:p>
    <w:p>
      <w:pPr>
        <w:pStyle w:val="ListParagraph"/>
        <w:numPr>
          <w:ilvl w:val="0"/>
          <w:numId w:val="5"/>
        </w:numPr>
        <w:tabs>
          <w:tab w:pos="657" w:val="left" w:leader="none"/>
          <w:tab w:pos="658" w:val="left" w:leader="none"/>
        </w:tabs>
        <w:spacing w:line="244" w:lineRule="exact" w:before="0" w:after="0"/>
        <w:ind w:left="657" w:right="0" w:hanging="361"/>
        <w:jc w:val="left"/>
        <w:rPr>
          <w:sz w:val="20"/>
        </w:rPr>
      </w:pPr>
      <w:r>
        <w:rPr>
          <w:sz w:val="20"/>
        </w:rPr>
        <w:t>Supervisory framework and</w:t>
      </w:r>
      <w:r>
        <w:rPr>
          <w:spacing w:val="-2"/>
          <w:sz w:val="20"/>
        </w:rPr>
        <w:t> </w:t>
      </w:r>
      <w:r>
        <w:rPr>
          <w:sz w:val="20"/>
        </w:rPr>
        <w:t>oversight</w:t>
      </w:r>
    </w:p>
    <w:p>
      <w:pPr>
        <w:pStyle w:val="ListParagraph"/>
        <w:numPr>
          <w:ilvl w:val="1"/>
          <w:numId w:val="5"/>
        </w:numPr>
        <w:tabs>
          <w:tab w:pos="765" w:val="left" w:leader="none"/>
          <w:tab w:pos="766" w:val="left" w:leader="none"/>
        </w:tabs>
        <w:spacing w:line="240" w:lineRule="auto" w:before="113" w:after="0"/>
        <w:ind w:left="765" w:right="0" w:hanging="361"/>
        <w:jc w:val="left"/>
        <w:rPr>
          <w:sz w:val="20"/>
        </w:rPr>
      </w:pPr>
      <w:r>
        <w:rPr>
          <w:sz w:val="20"/>
        </w:rPr>
        <w:t>Capital</w:t>
      </w:r>
      <w:r>
        <w:rPr>
          <w:spacing w:val="-2"/>
          <w:sz w:val="20"/>
        </w:rPr>
        <w:t> </w:t>
      </w:r>
      <w:r>
        <w:rPr>
          <w:sz w:val="20"/>
        </w:rPr>
        <w:t>arrangements</w:t>
      </w:r>
    </w:p>
    <w:p>
      <w:pPr>
        <w:pStyle w:val="ListParagraph"/>
        <w:numPr>
          <w:ilvl w:val="1"/>
          <w:numId w:val="5"/>
        </w:numPr>
        <w:tabs>
          <w:tab w:pos="765" w:val="left" w:leader="none"/>
          <w:tab w:pos="766" w:val="left" w:leader="none"/>
        </w:tabs>
        <w:spacing w:line="240" w:lineRule="auto" w:before="115" w:after="0"/>
        <w:ind w:left="765" w:right="0" w:hanging="361"/>
        <w:jc w:val="left"/>
        <w:rPr>
          <w:sz w:val="20"/>
        </w:rPr>
      </w:pPr>
      <w:r>
        <w:rPr>
          <w:sz w:val="20"/>
        </w:rPr>
        <w:t>Liquidity</w:t>
      </w:r>
      <w:r>
        <w:rPr>
          <w:spacing w:val="-2"/>
          <w:sz w:val="20"/>
        </w:rPr>
        <w:t> </w:t>
      </w:r>
      <w:r>
        <w:rPr>
          <w:sz w:val="20"/>
        </w:rPr>
        <w:t>buffers</w:t>
      </w:r>
    </w:p>
    <w:p>
      <w:pPr>
        <w:pStyle w:val="ListParagraph"/>
        <w:numPr>
          <w:ilvl w:val="1"/>
          <w:numId w:val="5"/>
        </w:numPr>
        <w:tabs>
          <w:tab w:pos="765" w:val="left" w:leader="none"/>
          <w:tab w:pos="766" w:val="left" w:leader="none"/>
        </w:tabs>
        <w:spacing w:line="240" w:lineRule="auto" w:before="114" w:after="0"/>
        <w:ind w:left="765" w:right="0" w:hanging="361"/>
        <w:jc w:val="left"/>
        <w:rPr>
          <w:sz w:val="20"/>
        </w:rPr>
      </w:pPr>
      <w:r>
        <w:rPr>
          <w:sz w:val="20"/>
        </w:rPr>
        <w:t>Risk management</w:t>
      </w:r>
      <w:r>
        <w:rPr>
          <w:spacing w:val="-9"/>
          <w:sz w:val="20"/>
        </w:rPr>
        <w:t> </w:t>
      </w:r>
      <w:r>
        <w:rPr>
          <w:sz w:val="20"/>
        </w:rPr>
        <w:t>practices</w:t>
      </w:r>
    </w:p>
    <w:p>
      <w:pPr>
        <w:pStyle w:val="ListParagraph"/>
        <w:numPr>
          <w:ilvl w:val="1"/>
          <w:numId w:val="5"/>
        </w:numPr>
        <w:tabs>
          <w:tab w:pos="765" w:val="left" w:leader="none"/>
          <w:tab w:pos="766" w:val="left" w:leader="none"/>
        </w:tabs>
        <w:spacing w:line="240" w:lineRule="auto" w:before="114" w:after="0"/>
        <w:ind w:left="765" w:right="0" w:hanging="361"/>
        <w:jc w:val="left"/>
        <w:rPr>
          <w:sz w:val="20"/>
        </w:rPr>
      </w:pPr>
      <w:r>
        <w:rPr>
          <w:sz w:val="20"/>
        </w:rPr>
        <w:t>Off balance sheet</w:t>
      </w:r>
      <w:r>
        <w:rPr>
          <w:spacing w:val="-18"/>
          <w:sz w:val="20"/>
        </w:rPr>
        <w:t> </w:t>
      </w:r>
      <w:r>
        <w:rPr>
          <w:sz w:val="20"/>
        </w:rPr>
        <w:t>activities</w:t>
      </w:r>
    </w:p>
    <w:p>
      <w:pPr>
        <w:pStyle w:val="ListParagraph"/>
        <w:numPr>
          <w:ilvl w:val="0"/>
          <w:numId w:val="5"/>
        </w:numPr>
        <w:tabs>
          <w:tab w:pos="657" w:val="left" w:leader="none"/>
          <w:tab w:pos="658" w:val="left" w:leader="none"/>
        </w:tabs>
        <w:spacing w:line="240" w:lineRule="auto" w:before="115" w:after="0"/>
        <w:ind w:left="657" w:right="0" w:hanging="361"/>
        <w:jc w:val="left"/>
        <w:rPr>
          <w:sz w:val="20"/>
        </w:rPr>
      </w:pPr>
      <w:r>
        <w:rPr>
          <w:sz w:val="20"/>
        </w:rPr>
        <w:t>Underpinnings of the originate and distribute</w:t>
      </w:r>
      <w:r>
        <w:rPr>
          <w:spacing w:val="-4"/>
          <w:sz w:val="20"/>
        </w:rPr>
        <w:t> </w:t>
      </w:r>
      <w:r>
        <w:rPr>
          <w:sz w:val="20"/>
        </w:rPr>
        <w:t>model</w:t>
      </w:r>
    </w:p>
    <w:p>
      <w:pPr>
        <w:pStyle w:val="ListParagraph"/>
        <w:numPr>
          <w:ilvl w:val="0"/>
          <w:numId w:val="5"/>
        </w:numPr>
        <w:tabs>
          <w:tab w:pos="657" w:val="left" w:leader="none"/>
          <w:tab w:pos="658" w:val="left" w:leader="none"/>
        </w:tabs>
        <w:spacing w:line="240" w:lineRule="auto" w:before="114" w:after="0"/>
        <w:ind w:left="657" w:right="0" w:hanging="361"/>
        <w:jc w:val="left"/>
        <w:rPr>
          <w:sz w:val="20"/>
        </w:rPr>
      </w:pPr>
      <w:r>
        <w:rPr>
          <w:sz w:val="20"/>
        </w:rPr>
        <w:t>Uses and role of credit</w:t>
      </w:r>
      <w:r>
        <w:rPr>
          <w:spacing w:val="-3"/>
          <w:sz w:val="20"/>
        </w:rPr>
        <w:t> </w:t>
      </w:r>
      <w:r>
        <w:rPr>
          <w:sz w:val="20"/>
        </w:rPr>
        <w:t>ratings</w:t>
      </w:r>
    </w:p>
    <w:p>
      <w:pPr>
        <w:pStyle w:val="ListParagraph"/>
        <w:numPr>
          <w:ilvl w:val="0"/>
          <w:numId w:val="5"/>
        </w:numPr>
        <w:tabs>
          <w:tab w:pos="657" w:val="left" w:leader="none"/>
          <w:tab w:pos="658" w:val="left" w:leader="none"/>
        </w:tabs>
        <w:spacing w:line="240" w:lineRule="auto" w:before="115" w:after="0"/>
        <w:ind w:left="657" w:right="0" w:hanging="361"/>
        <w:jc w:val="left"/>
        <w:rPr>
          <w:sz w:val="20"/>
        </w:rPr>
      </w:pPr>
      <w:r>
        <w:rPr>
          <w:sz w:val="20"/>
        </w:rPr>
        <w:t>Market</w:t>
      </w:r>
      <w:r>
        <w:rPr>
          <w:spacing w:val="-1"/>
          <w:sz w:val="20"/>
        </w:rPr>
        <w:t> </w:t>
      </w:r>
      <w:r>
        <w:rPr>
          <w:sz w:val="20"/>
        </w:rPr>
        <w:t>transparency</w:t>
      </w:r>
    </w:p>
    <w:p>
      <w:pPr>
        <w:pStyle w:val="ListParagraph"/>
        <w:numPr>
          <w:ilvl w:val="0"/>
          <w:numId w:val="5"/>
        </w:numPr>
        <w:tabs>
          <w:tab w:pos="657" w:val="left" w:leader="none"/>
          <w:tab w:pos="658" w:val="left" w:leader="none"/>
        </w:tabs>
        <w:spacing w:line="240" w:lineRule="auto" w:before="113" w:after="0"/>
        <w:ind w:left="657" w:right="0" w:hanging="361"/>
        <w:jc w:val="left"/>
        <w:rPr>
          <w:sz w:val="20"/>
        </w:rPr>
      </w:pPr>
      <w:r>
        <w:rPr>
          <w:sz w:val="20"/>
        </w:rPr>
        <w:t>Supervisory and regulatory responsiveness to</w:t>
      </w:r>
      <w:r>
        <w:rPr>
          <w:spacing w:val="-4"/>
          <w:sz w:val="20"/>
        </w:rPr>
        <w:t> </w:t>
      </w:r>
      <w:r>
        <w:rPr>
          <w:sz w:val="20"/>
        </w:rPr>
        <w:t>risks</w:t>
      </w:r>
    </w:p>
    <w:p>
      <w:pPr>
        <w:pStyle w:val="ListParagraph"/>
        <w:numPr>
          <w:ilvl w:val="0"/>
          <w:numId w:val="5"/>
        </w:numPr>
        <w:tabs>
          <w:tab w:pos="657" w:val="left" w:leader="none"/>
          <w:tab w:pos="658" w:val="left" w:leader="none"/>
        </w:tabs>
        <w:spacing w:line="240" w:lineRule="auto" w:before="115" w:after="0"/>
        <w:ind w:left="657" w:right="0" w:hanging="361"/>
        <w:jc w:val="left"/>
        <w:rPr>
          <w:sz w:val="20"/>
        </w:rPr>
      </w:pPr>
      <w:r>
        <w:rPr>
          <w:sz w:val="20"/>
        </w:rPr>
        <w:t>Authorities’ ability to respond to</w:t>
      </w:r>
      <w:r>
        <w:rPr>
          <w:spacing w:val="1"/>
          <w:sz w:val="20"/>
        </w:rPr>
        <w:t> </w:t>
      </w:r>
      <w:r>
        <w:rPr>
          <w:sz w:val="20"/>
        </w:rPr>
        <w:t>crises</w:t>
      </w:r>
    </w:p>
    <w:sectPr>
      <w:type w:val="continuous"/>
      <w:pgSz w:w="11910" w:h="16840"/>
      <w:pgMar w:top="1180" w:bottom="280" w:left="7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80005pt;margin-top:782.826355pt;width:18pt;height:15.3pt;mso-position-horizontal-relative:page;mso-position-vertical-relative:page;z-index:-2521907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57" w:hanging="360"/>
      </w:pPr>
      <w:rPr>
        <w:rFonts w:hint="default" w:ascii="Symbol" w:hAnsi="Symbol" w:eastAsia="Symbol" w:cs="Symbol"/>
        <w:w w:val="100"/>
        <w:sz w:val="20"/>
        <w:szCs w:val="20"/>
      </w:rPr>
    </w:lvl>
    <w:lvl w:ilvl="1">
      <w:start w:val="0"/>
      <w:numFmt w:val="bullet"/>
      <w:lvlText w:val=""/>
      <w:lvlJc w:val="left"/>
      <w:pPr>
        <w:ind w:left="765" w:hanging="360"/>
      </w:pPr>
      <w:rPr>
        <w:rFonts w:hint="default" w:ascii="Symbol" w:hAnsi="Symbol" w:eastAsia="Symbol" w:cs="Symbol"/>
        <w:w w:val="100"/>
        <w:sz w:val="20"/>
        <w:szCs w:val="20"/>
      </w:rPr>
    </w:lvl>
    <w:lvl w:ilvl="2">
      <w:start w:val="0"/>
      <w:numFmt w:val="bullet"/>
      <w:lvlText w:val="•"/>
      <w:lvlJc w:val="left"/>
      <w:pPr>
        <w:ind w:left="1780" w:hanging="360"/>
      </w:pPr>
      <w:rPr>
        <w:rFonts w:hint="default"/>
      </w:rPr>
    </w:lvl>
    <w:lvl w:ilvl="3">
      <w:start w:val="0"/>
      <w:numFmt w:val="bullet"/>
      <w:lvlText w:val="•"/>
      <w:lvlJc w:val="left"/>
      <w:pPr>
        <w:ind w:left="2800" w:hanging="360"/>
      </w:pPr>
      <w:rPr>
        <w:rFonts w:hint="default"/>
      </w:rPr>
    </w:lvl>
    <w:lvl w:ilvl="4">
      <w:start w:val="0"/>
      <w:numFmt w:val="bullet"/>
      <w:lvlText w:val="•"/>
      <w:lvlJc w:val="left"/>
      <w:pPr>
        <w:ind w:left="3821" w:hanging="360"/>
      </w:pPr>
      <w:rPr>
        <w:rFonts w:hint="default"/>
      </w:rPr>
    </w:lvl>
    <w:lvl w:ilvl="5">
      <w:start w:val="0"/>
      <w:numFmt w:val="bullet"/>
      <w:lvlText w:val="•"/>
      <w:lvlJc w:val="left"/>
      <w:pPr>
        <w:ind w:left="4841" w:hanging="360"/>
      </w:pPr>
      <w:rPr>
        <w:rFonts w:hint="default"/>
      </w:rPr>
    </w:lvl>
    <w:lvl w:ilvl="6">
      <w:start w:val="0"/>
      <w:numFmt w:val="bullet"/>
      <w:lvlText w:val="•"/>
      <w:lvlJc w:val="left"/>
      <w:pPr>
        <w:ind w:left="5862" w:hanging="360"/>
      </w:pPr>
      <w:rPr>
        <w:rFonts w:hint="default"/>
      </w:rPr>
    </w:lvl>
    <w:lvl w:ilvl="7">
      <w:start w:val="0"/>
      <w:numFmt w:val="bullet"/>
      <w:lvlText w:val="•"/>
      <w:lvlJc w:val="left"/>
      <w:pPr>
        <w:ind w:left="6882" w:hanging="360"/>
      </w:pPr>
      <w:rPr>
        <w:rFonts w:hint="default"/>
      </w:rPr>
    </w:lvl>
    <w:lvl w:ilvl="8">
      <w:start w:val="0"/>
      <w:numFmt w:val="bullet"/>
      <w:lvlText w:val="•"/>
      <w:lvlJc w:val="left"/>
      <w:pPr>
        <w:ind w:left="7903" w:hanging="360"/>
      </w:pPr>
      <w:rPr>
        <w:rFonts w:hint="default"/>
      </w:rPr>
    </w:lvl>
  </w:abstractNum>
  <w:abstractNum w:abstractNumId="3">
    <w:multiLevelType w:val="hybridMultilevel"/>
    <w:lvl w:ilvl="0">
      <w:start w:val="1"/>
      <w:numFmt w:val="lowerLetter"/>
      <w:lvlText w:val="(%1)"/>
      <w:lvlJc w:val="left"/>
      <w:pPr>
        <w:ind w:left="405" w:hanging="218"/>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836" w:hanging="218"/>
      </w:pPr>
      <w:rPr>
        <w:rFonts w:hint="default"/>
      </w:rPr>
    </w:lvl>
    <w:lvl w:ilvl="2">
      <w:start w:val="0"/>
      <w:numFmt w:val="bullet"/>
      <w:lvlText w:val="•"/>
      <w:lvlJc w:val="left"/>
      <w:pPr>
        <w:ind w:left="1273" w:hanging="218"/>
      </w:pPr>
      <w:rPr>
        <w:rFonts w:hint="default"/>
      </w:rPr>
    </w:lvl>
    <w:lvl w:ilvl="3">
      <w:start w:val="0"/>
      <w:numFmt w:val="bullet"/>
      <w:lvlText w:val="•"/>
      <w:lvlJc w:val="left"/>
      <w:pPr>
        <w:ind w:left="1709" w:hanging="218"/>
      </w:pPr>
      <w:rPr>
        <w:rFonts w:hint="default"/>
      </w:rPr>
    </w:lvl>
    <w:lvl w:ilvl="4">
      <w:start w:val="0"/>
      <w:numFmt w:val="bullet"/>
      <w:lvlText w:val="•"/>
      <w:lvlJc w:val="left"/>
      <w:pPr>
        <w:ind w:left="2146" w:hanging="218"/>
      </w:pPr>
      <w:rPr>
        <w:rFonts w:hint="default"/>
      </w:rPr>
    </w:lvl>
    <w:lvl w:ilvl="5">
      <w:start w:val="0"/>
      <w:numFmt w:val="bullet"/>
      <w:lvlText w:val="•"/>
      <w:lvlJc w:val="left"/>
      <w:pPr>
        <w:ind w:left="2583" w:hanging="218"/>
      </w:pPr>
      <w:rPr>
        <w:rFonts w:hint="default"/>
      </w:rPr>
    </w:lvl>
    <w:lvl w:ilvl="6">
      <w:start w:val="0"/>
      <w:numFmt w:val="bullet"/>
      <w:lvlText w:val="•"/>
      <w:lvlJc w:val="left"/>
      <w:pPr>
        <w:ind w:left="3019" w:hanging="218"/>
      </w:pPr>
      <w:rPr>
        <w:rFonts w:hint="default"/>
      </w:rPr>
    </w:lvl>
    <w:lvl w:ilvl="7">
      <w:start w:val="0"/>
      <w:numFmt w:val="bullet"/>
      <w:lvlText w:val="•"/>
      <w:lvlJc w:val="left"/>
      <w:pPr>
        <w:ind w:left="3456" w:hanging="218"/>
      </w:pPr>
      <w:rPr>
        <w:rFonts w:hint="default"/>
      </w:rPr>
    </w:lvl>
    <w:lvl w:ilvl="8">
      <w:start w:val="0"/>
      <w:numFmt w:val="bullet"/>
      <w:lvlText w:val="•"/>
      <w:lvlJc w:val="left"/>
      <w:pPr>
        <w:ind w:left="3893" w:hanging="218"/>
      </w:pPr>
      <w:rPr>
        <w:rFonts w:hint="default"/>
      </w:rPr>
    </w:lvl>
  </w:abstractNum>
  <w:abstractNum w:abstractNumId="2">
    <w:multiLevelType w:val="hybridMultilevel"/>
    <w:lvl w:ilvl="0">
      <w:start w:val="1"/>
      <w:numFmt w:val="lowerLetter"/>
      <w:lvlText w:val="(%1)"/>
      <w:lvlJc w:val="left"/>
      <w:pPr>
        <w:ind w:left="405" w:hanging="257"/>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868" w:hanging="257"/>
      </w:pPr>
      <w:rPr>
        <w:rFonts w:hint="default"/>
      </w:rPr>
    </w:lvl>
    <w:lvl w:ilvl="2">
      <w:start w:val="0"/>
      <w:numFmt w:val="bullet"/>
      <w:lvlText w:val="•"/>
      <w:lvlJc w:val="left"/>
      <w:pPr>
        <w:ind w:left="1336" w:hanging="257"/>
      </w:pPr>
      <w:rPr>
        <w:rFonts w:hint="default"/>
      </w:rPr>
    </w:lvl>
    <w:lvl w:ilvl="3">
      <w:start w:val="0"/>
      <w:numFmt w:val="bullet"/>
      <w:lvlText w:val="•"/>
      <w:lvlJc w:val="left"/>
      <w:pPr>
        <w:ind w:left="1805" w:hanging="257"/>
      </w:pPr>
      <w:rPr>
        <w:rFonts w:hint="default"/>
      </w:rPr>
    </w:lvl>
    <w:lvl w:ilvl="4">
      <w:start w:val="0"/>
      <w:numFmt w:val="bullet"/>
      <w:lvlText w:val="•"/>
      <w:lvlJc w:val="left"/>
      <w:pPr>
        <w:ind w:left="2273" w:hanging="257"/>
      </w:pPr>
      <w:rPr>
        <w:rFonts w:hint="default"/>
      </w:rPr>
    </w:lvl>
    <w:lvl w:ilvl="5">
      <w:start w:val="0"/>
      <w:numFmt w:val="bullet"/>
      <w:lvlText w:val="•"/>
      <w:lvlJc w:val="left"/>
      <w:pPr>
        <w:ind w:left="2742" w:hanging="257"/>
      </w:pPr>
      <w:rPr>
        <w:rFonts w:hint="default"/>
      </w:rPr>
    </w:lvl>
    <w:lvl w:ilvl="6">
      <w:start w:val="0"/>
      <w:numFmt w:val="bullet"/>
      <w:lvlText w:val="•"/>
      <w:lvlJc w:val="left"/>
      <w:pPr>
        <w:ind w:left="3210" w:hanging="257"/>
      </w:pPr>
      <w:rPr>
        <w:rFonts w:hint="default"/>
      </w:rPr>
    </w:lvl>
    <w:lvl w:ilvl="7">
      <w:start w:val="0"/>
      <w:numFmt w:val="bullet"/>
      <w:lvlText w:val="•"/>
      <w:lvlJc w:val="left"/>
      <w:pPr>
        <w:ind w:left="3679" w:hanging="257"/>
      </w:pPr>
      <w:rPr>
        <w:rFonts w:hint="default"/>
      </w:rPr>
    </w:lvl>
    <w:lvl w:ilvl="8">
      <w:start w:val="0"/>
      <w:numFmt w:val="bullet"/>
      <w:lvlText w:val="•"/>
      <w:lvlJc w:val="left"/>
      <w:pPr>
        <w:ind w:left="4147" w:hanging="257"/>
      </w:pPr>
      <w:rPr>
        <w:rFonts w:hint="default"/>
      </w:rPr>
    </w:lvl>
  </w:abstractNum>
  <w:abstractNum w:abstractNumId="1">
    <w:multiLevelType w:val="hybridMultilevel"/>
    <w:lvl w:ilvl="0">
      <w:start w:val="0"/>
      <w:numFmt w:val="bullet"/>
      <w:lvlText w:val=""/>
      <w:lvlJc w:val="left"/>
      <w:pPr>
        <w:ind w:left="2097" w:hanging="360"/>
      </w:pPr>
      <w:rPr>
        <w:rFonts w:hint="default" w:ascii="Symbol" w:hAnsi="Symbol" w:eastAsia="Symbol" w:cs="Symbol"/>
        <w:w w:val="100"/>
        <w:sz w:val="24"/>
        <w:szCs w:val="24"/>
      </w:rPr>
    </w:lvl>
    <w:lvl w:ilvl="1">
      <w:start w:val="0"/>
      <w:numFmt w:val="bullet"/>
      <w:lvlText w:val="•"/>
      <w:lvlJc w:val="left"/>
      <w:pPr>
        <w:ind w:left="2884" w:hanging="360"/>
      </w:pPr>
      <w:rPr>
        <w:rFonts w:hint="default"/>
      </w:rPr>
    </w:lvl>
    <w:lvl w:ilvl="2">
      <w:start w:val="0"/>
      <w:numFmt w:val="bullet"/>
      <w:lvlText w:val="•"/>
      <w:lvlJc w:val="left"/>
      <w:pPr>
        <w:ind w:left="3668" w:hanging="360"/>
      </w:pPr>
      <w:rPr>
        <w:rFonts w:hint="default"/>
      </w:rPr>
    </w:lvl>
    <w:lvl w:ilvl="3">
      <w:start w:val="0"/>
      <w:numFmt w:val="bullet"/>
      <w:lvlText w:val="•"/>
      <w:lvlJc w:val="left"/>
      <w:pPr>
        <w:ind w:left="4453" w:hanging="360"/>
      </w:pPr>
      <w:rPr>
        <w:rFonts w:hint="default"/>
      </w:rPr>
    </w:lvl>
    <w:lvl w:ilvl="4">
      <w:start w:val="0"/>
      <w:numFmt w:val="bullet"/>
      <w:lvlText w:val="•"/>
      <w:lvlJc w:val="left"/>
      <w:pPr>
        <w:ind w:left="5237" w:hanging="360"/>
      </w:pPr>
      <w:rPr>
        <w:rFonts w:hint="default"/>
      </w:rPr>
    </w:lvl>
    <w:lvl w:ilvl="5">
      <w:start w:val="0"/>
      <w:numFmt w:val="bullet"/>
      <w:lvlText w:val="•"/>
      <w:lvlJc w:val="left"/>
      <w:pPr>
        <w:ind w:left="6022" w:hanging="360"/>
      </w:pPr>
      <w:rPr>
        <w:rFonts w:hint="default"/>
      </w:rPr>
    </w:lvl>
    <w:lvl w:ilvl="6">
      <w:start w:val="0"/>
      <w:numFmt w:val="bullet"/>
      <w:lvlText w:val="•"/>
      <w:lvlJc w:val="left"/>
      <w:pPr>
        <w:ind w:left="6806" w:hanging="360"/>
      </w:pPr>
      <w:rPr>
        <w:rFonts w:hint="default"/>
      </w:rPr>
    </w:lvl>
    <w:lvl w:ilvl="7">
      <w:start w:val="0"/>
      <w:numFmt w:val="bullet"/>
      <w:lvlText w:val="•"/>
      <w:lvlJc w:val="left"/>
      <w:pPr>
        <w:ind w:left="7591" w:hanging="360"/>
      </w:pPr>
      <w:rPr>
        <w:rFonts w:hint="default"/>
      </w:rPr>
    </w:lvl>
    <w:lvl w:ilvl="8">
      <w:start w:val="0"/>
      <w:numFmt w:val="bullet"/>
      <w:lvlText w:val="•"/>
      <w:lvlJc w:val="left"/>
      <w:pPr>
        <w:ind w:left="8375" w:hanging="360"/>
      </w:pPr>
      <w:rPr>
        <w:rFonts w:hint="default"/>
      </w:rPr>
    </w:lvl>
  </w:abstractNum>
  <w:abstractNum w:abstractNumId="0">
    <w:multiLevelType w:val="hybridMultilevel"/>
    <w:lvl w:ilvl="0">
      <w:start w:val="0"/>
      <w:numFmt w:val="bullet"/>
      <w:lvlText w:val=""/>
      <w:lvlJc w:val="left"/>
      <w:pPr>
        <w:ind w:left="2455" w:hanging="360"/>
      </w:pPr>
      <w:rPr>
        <w:rFonts w:hint="default"/>
        <w:w w:val="100"/>
      </w:rPr>
    </w:lvl>
    <w:lvl w:ilvl="1">
      <w:start w:val="0"/>
      <w:numFmt w:val="bullet"/>
      <w:lvlText w:val="•"/>
      <w:lvlJc w:val="left"/>
      <w:pPr>
        <w:ind w:left="3208" w:hanging="360"/>
      </w:pPr>
      <w:rPr>
        <w:rFonts w:hint="default"/>
      </w:rPr>
    </w:lvl>
    <w:lvl w:ilvl="2">
      <w:start w:val="0"/>
      <w:numFmt w:val="bullet"/>
      <w:lvlText w:val="•"/>
      <w:lvlJc w:val="left"/>
      <w:pPr>
        <w:ind w:left="3956" w:hanging="360"/>
      </w:pPr>
      <w:rPr>
        <w:rFonts w:hint="default"/>
      </w:rPr>
    </w:lvl>
    <w:lvl w:ilvl="3">
      <w:start w:val="0"/>
      <w:numFmt w:val="bullet"/>
      <w:lvlText w:val="•"/>
      <w:lvlJc w:val="left"/>
      <w:pPr>
        <w:ind w:left="4705" w:hanging="360"/>
      </w:pPr>
      <w:rPr>
        <w:rFonts w:hint="default"/>
      </w:rPr>
    </w:lvl>
    <w:lvl w:ilvl="4">
      <w:start w:val="0"/>
      <w:numFmt w:val="bullet"/>
      <w:lvlText w:val="•"/>
      <w:lvlJc w:val="left"/>
      <w:pPr>
        <w:ind w:left="5453" w:hanging="360"/>
      </w:pPr>
      <w:rPr>
        <w:rFonts w:hint="default"/>
      </w:rPr>
    </w:lvl>
    <w:lvl w:ilvl="5">
      <w:start w:val="0"/>
      <w:numFmt w:val="bullet"/>
      <w:lvlText w:val="•"/>
      <w:lvlJc w:val="left"/>
      <w:pPr>
        <w:ind w:left="6202" w:hanging="360"/>
      </w:pPr>
      <w:rPr>
        <w:rFonts w:hint="default"/>
      </w:rPr>
    </w:lvl>
    <w:lvl w:ilvl="6">
      <w:start w:val="0"/>
      <w:numFmt w:val="bullet"/>
      <w:lvlText w:val="•"/>
      <w:lvlJc w:val="left"/>
      <w:pPr>
        <w:ind w:left="6950" w:hanging="360"/>
      </w:pPr>
      <w:rPr>
        <w:rFonts w:hint="default"/>
      </w:rPr>
    </w:lvl>
    <w:lvl w:ilvl="7">
      <w:start w:val="0"/>
      <w:numFmt w:val="bullet"/>
      <w:lvlText w:val="•"/>
      <w:lvlJc w:val="left"/>
      <w:pPr>
        <w:ind w:left="7699" w:hanging="360"/>
      </w:pPr>
      <w:rPr>
        <w:rFonts w:hint="default"/>
      </w:rPr>
    </w:lvl>
    <w:lvl w:ilvl="8">
      <w:start w:val="0"/>
      <w:numFmt w:val="bullet"/>
      <w:lvlText w:val="•"/>
      <w:lvlJc w:val="left"/>
      <w:pPr>
        <w:ind w:left="8447"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097"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publications/financialstabilityanddepositorprotection080130.pdf" TargetMode="External"/><Relationship Id="rId9" Type="http://schemas.openxmlformats.org/officeDocument/2006/relationships/hyperlink" Target="http://www.europeansecuritisation.com/Industry-letter-08Feb08.pdf)" TargetMode="External"/><Relationship Id="rId10" Type="http://schemas.openxmlformats.org/officeDocument/2006/relationships/hyperlink" Target="http://www.iif.com/press/press%2Breleases%2B2007/press%2B46.ph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return of the credit cycle: old lessons in new markets</dc:subject>
  <dc:title>Speech by Sir John Gieve at the Euromoney Bond Investors Congress in London on 27 February 2008</dc:title>
  <dcterms:created xsi:type="dcterms:W3CDTF">2020-06-02T18:50:41Z</dcterms:created>
  <dcterms:modified xsi:type="dcterms:W3CDTF">2020-06-02T18:50:41Z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2008-02-27T00:00:00Z</vt:filetime>
  </property>
  <property fmtid="{D5CDD505-2E9C-101B-9397-08002B2CF9AE}" pid="3" name="Creator">
    <vt:lpwstr>PScript5.dll Version 5.2</vt:lpwstr>
  </property>
  <property fmtid="{D5CDD505-2E9C-101B-9397-08002B2CF9AE}" pid="4" name="LastSaved">
    <vt:filetime>2020-06-02T00:00:00Z</vt:filetime>
  </property>
</Properties>
</file>