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0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“The Stock Market, Capacity Uncertainties and the Outlook for UK Inflation”</w:t>
      </w:r>
    </w:p>
    <w:p>
      <w:pPr>
        <w:pStyle w:val="BodyText"/>
        <w:spacing w:before="280"/>
        <w:ind w:left="352"/>
        <w:rPr>
          <w:rFonts w:ascii="Arial"/>
        </w:rPr>
      </w:pPr>
      <w:r>
        <w:rPr>
          <w:rFonts w:ascii="Arial"/>
        </w:rPr>
        <w:t>Speech given by</w:t>
      </w:r>
    </w:p>
    <w:p>
      <w:pPr>
        <w:pStyle w:val="BodyText"/>
        <w:spacing w:line="360" w:lineRule="auto" w:before="137"/>
        <w:ind w:left="352" w:right="373"/>
        <w:rPr>
          <w:rFonts w:ascii="Arial"/>
        </w:rPr>
      </w:pPr>
      <w:r>
        <w:rPr>
          <w:rFonts w:ascii="Arial"/>
        </w:rPr>
        <w:t>Dr Sushil Wadhwani, Member of the Monetary Policy Committee, Bank of England and Visiting Professor at the City University Business School and the London School of Economics</w:t>
      </w:r>
    </w:p>
    <w:p>
      <w:pPr>
        <w:pStyle w:val="BodyText"/>
        <w:rPr>
          <w:rFonts w:ascii="Arial"/>
          <w:sz w:val="36"/>
        </w:rPr>
      </w:pPr>
    </w:p>
    <w:p>
      <w:pPr>
        <w:pStyle w:val="BodyText"/>
        <w:spacing w:line="360" w:lineRule="auto"/>
        <w:ind w:left="352" w:right="3294"/>
        <w:rPr>
          <w:rFonts w:ascii="Arial"/>
        </w:rPr>
      </w:pPr>
      <w:r>
        <w:rPr>
          <w:rFonts w:ascii="Arial"/>
        </w:rPr>
        <w:t>To the Edinburgh University Economics Society, Edinburgh 21 November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rPr>
      </w:pPr>
    </w:p>
    <w:p>
      <w:pPr>
        <w:spacing w:before="93"/>
        <w:ind w:left="352" w:right="751" w:firstLine="0"/>
        <w:jc w:val="left"/>
        <w:rPr>
          <w:rFonts w:ascii="Arial" w:hAnsi="Arial"/>
          <w:sz w:val="20"/>
        </w:rPr>
      </w:pPr>
      <w:r>
        <w:rPr>
          <w:rFonts w:ascii="Arial" w:hAnsi="Arial"/>
          <w:sz w:val="20"/>
        </w:rPr>
        <w:t>I am extremely grateful to Jennifer Greenslade, Nick Davey and Kenny Turnbull for their help and advice. Chris Allsopp, Kate Barker, Charlie Bean, Joanne Cutler, Kathy McCarthy, Stephen Nickell, Gus O’Donnell and Peter Rodgers provided me with useful comments on an earlier draft. Of course, the views expressed in this speech are entirely personal, and do not reflect the views of either the Monetary Policy Committee or the Bank of England.</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8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80"/>
        </w:sectPr>
      </w:pPr>
    </w:p>
    <w:p>
      <w:pPr>
        <w:pStyle w:val="Heading1"/>
        <w:spacing w:before="78"/>
      </w:pPr>
      <w:r>
        <w:rPr/>
        <w:t>SUMMARY</w:t>
      </w:r>
    </w:p>
    <w:p>
      <w:pPr>
        <w:pStyle w:val="ListParagraph"/>
        <w:numPr>
          <w:ilvl w:val="0"/>
          <w:numId w:val="1"/>
        </w:numPr>
        <w:tabs>
          <w:tab w:pos="466" w:val="left" w:leader="none"/>
        </w:tabs>
        <w:spacing w:line="240" w:lineRule="auto" w:before="137" w:after="0"/>
        <w:ind w:left="465" w:right="0" w:hanging="306"/>
        <w:jc w:val="left"/>
        <w:rPr>
          <w:b/>
          <w:sz w:val="24"/>
        </w:rPr>
      </w:pPr>
      <w:r>
        <w:rPr>
          <w:b/>
          <w:sz w:val="24"/>
        </w:rPr>
        <w:t>THE OUTLOOK FOR THE GLOBAL</w:t>
      </w:r>
      <w:r>
        <w:rPr>
          <w:b/>
          <w:spacing w:val="7"/>
          <w:sz w:val="24"/>
        </w:rPr>
        <w:t> </w:t>
      </w:r>
      <w:r>
        <w:rPr>
          <w:b/>
          <w:sz w:val="24"/>
        </w:rPr>
        <w:t>ECONOMY</w:t>
      </w:r>
    </w:p>
    <w:p>
      <w:pPr>
        <w:pStyle w:val="BodyText"/>
        <w:spacing w:line="360" w:lineRule="auto" w:before="137"/>
        <w:ind w:left="160"/>
      </w:pPr>
      <w:r>
        <w:rPr/>
        <w:t>Business confidence has declined very significantly in recent months, but global stock markets appear to believe that a recovery is around the corner. In the US, the key downside risks are that the ongoing deterioration in the labour market might impact further on savings behaviour, and weak profitability might keep layoffs high. On the other hand, a possible upside risk is that the post-11 September decline in confidence proves to be relatively transient.</w:t>
      </w:r>
    </w:p>
    <w:p>
      <w:pPr>
        <w:pStyle w:val="BodyText"/>
        <w:spacing w:before="8"/>
        <w:rPr>
          <w:sz w:val="36"/>
        </w:rPr>
      </w:pPr>
    </w:p>
    <w:p>
      <w:pPr>
        <w:pStyle w:val="Heading1"/>
        <w:numPr>
          <w:ilvl w:val="0"/>
          <w:numId w:val="1"/>
        </w:numPr>
        <w:tabs>
          <w:tab w:pos="465" w:val="left" w:leader="none"/>
        </w:tabs>
        <w:spacing w:line="237" w:lineRule="auto" w:before="0" w:after="0"/>
        <w:ind w:left="160" w:right="260" w:firstLine="0"/>
        <w:jc w:val="left"/>
      </w:pPr>
      <w:r>
        <w:rPr/>
        <w:t>DO CURRENT STOCK </w:t>
      </w:r>
      <w:r>
        <w:rPr>
          <w:spacing w:val="2"/>
        </w:rPr>
        <w:t>MARKET </w:t>
      </w:r>
      <w:r>
        <w:rPr/>
        <w:t>VALUATIONS POSE A RISK TO</w:t>
      </w:r>
      <w:r>
        <w:rPr>
          <w:spacing w:val="-36"/>
        </w:rPr>
        <w:t> </w:t>
      </w:r>
      <w:r>
        <w:rPr/>
        <w:t>THE GLOBAL</w:t>
      </w:r>
      <w:r>
        <w:rPr>
          <w:spacing w:val="1"/>
        </w:rPr>
        <w:t> </w:t>
      </w:r>
      <w:r>
        <w:rPr/>
        <w:t>ECONOMY?</w:t>
      </w:r>
    </w:p>
    <w:p>
      <w:pPr>
        <w:pStyle w:val="BodyText"/>
        <w:spacing w:before="8"/>
        <w:rPr>
          <w:b/>
          <w:sz w:val="23"/>
        </w:rPr>
      </w:pPr>
    </w:p>
    <w:p>
      <w:pPr>
        <w:pStyle w:val="BodyText"/>
        <w:spacing w:line="360" w:lineRule="auto"/>
        <w:ind w:left="160" w:right="153"/>
      </w:pPr>
      <w:r>
        <w:rPr/>
        <w:t>On</w:t>
      </w:r>
      <w:r>
        <w:rPr>
          <w:spacing w:val="-6"/>
        </w:rPr>
        <w:t> </w:t>
      </w:r>
      <w:r>
        <w:rPr/>
        <w:t>the</w:t>
      </w:r>
      <w:r>
        <w:rPr>
          <w:spacing w:val="-6"/>
        </w:rPr>
        <w:t> </w:t>
      </w:r>
      <w:r>
        <w:rPr/>
        <w:t>basis</w:t>
      </w:r>
      <w:r>
        <w:rPr>
          <w:spacing w:val="-6"/>
        </w:rPr>
        <w:t> </w:t>
      </w:r>
      <w:r>
        <w:rPr>
          <w:spacing w:val="2"/>
        </w:rPr>
        <w:t>of</w:t>
      </w:r>
      <w:r>
        <w:rPr>
          <w:spacing w:val="-1"/>
        </w:rPr>
        <w:t> </w:t>
      </w:r>
      <w:r>
        <w:rPr/>
        <w:t>current</w:t>
      </w:r>
      <w:r>
        <w:rPr>
          <w:spacing w:val="-2"/>
        </w:rPr>
        <w:t> </w:t>
      </w:r>
      <w:r>
        <w:rPr/>
        <w:t>expectations</w:t>
      </w:r>
      <w:r>
        <w:rPr>
          <w:spacing w:val="-5"/>
        </w:rPr>
        <w:t> </w:t>
      </w:r>
      <w:r>
        <w:rPr>
          <w:spacing w:val="2"/>
        </w:rPr>
        <w:t>of</w:t>
      </w:r>
      <w:r>
        <w:rPr>
          <w:spacing w:val="-2"/>
        </w:rPr>
        <w:t> </w:t>
      </w:r>
      <w:r>
        <w:rPr/>
        <w:t>earnings</w:t>
      </w:r>
      <w:r>
        <w:rPr>
          <w:spacing w:val="-6"/>
        </w:rPr>
        <w:t> </w:t>
      </w:r>
      <w:r>
        <w:rPr/>
        <w:t>growth,</w:t>
      </w:r>
      <w:r>
        <w:rPr>
          <w:spacing w:val="-5"/>
        </w:rPr>
        <w:t> </w:t>
      </w:r>
      <w:r>
        <w:rPr/>
        <w:t>it</w:t>
      </w:r>
      <w:r>
        <w:rPr>
          <w:spacing w:val="-2"/>
        </w:rPr>
        <w:t> </w:t>
      </w:r>
      <w:r>
        <w:rPr/>
        <w:t>is</w:t>
      </w:r>
      <w:r>
        <w:rPr>
          <w:spacing w:val="-6"/>
        </w:rPr>
        <w:t> </w:t>
      </w:r>
      <w:r>
        <w:rPr/>
        <w:t>possible</w:t>
      </w:r>
      <w:r>
        <w:rPr>
          <w:spacing w:val="-6"/>
        </w:rPr>
        <w:t> </w:t>
      </w:r>
      <w:r>
        <w:rPr>
          <w:spacing w:val="3"/>
        </w:rPr>
        <w:t>to</w:t>
      </w:r>
      <w:r>
        <w:rPr>
          <w:spacing w:val="-1"/>
        </w:rPr>
        <w:t> </w:t>
      </w:r>
      <w:r>
        <w:rPr/>
        <w:t>justify</w:t>
      </w:r>
      <w:r>
        <w:rPr>
          <w:spacing w:val="-6"/>
        </w:rPr>
        <w:t> </w:t>
      </w:r>
      <w:r>
        <w:rPr/>
        <w:t>current levels </w:t>
      </w:r>
      <w:r>
        <w:rPr>
          <w:spacing w:val="2"/>
        </w:rPr>
        <w:t>of </w:t>
      </w:r>
      <w:r>
        <w:rPr/>
        <w:t>stock prices. However, long-term expectations </w:t>
      </w:r>
      <w:r>
        <w:rPr>
          <w:spacing w:val="2"/>
        </w:rPr>
        <w:t>of </w:t>
      </w:r>
      <w:r>
        <w:rPr/>
        <w:t>earnings growth are still at a level that has been unusual </w:t>
      </w:r>
      <w:r>
        <w:rPr>
          <w:spacing w:val="3"/>
        </w:rPr>
        <w:t>over </w:t>
      </w:r>
      <w:r>
        <w:rPr/>
        <w:t>the last 125 years. Moreover, there is also a significant mismatch between what the stock market is likely </w:t>
      </w:r>
      <w:r>
        <w:rPr>
          <w:spacing w:val="3"/>
        </w:rPr>
        <w:t>to </w:t>
      </w:r>
      <w:r>
        <w:rPr/>
        <w:t>deliver and what survey evidence implies that individual </w:t>
      </w:r>
      <w:r>
        <w:rPr>
          <w:spacing w:val="2"/>
        </w:rPr>
        <w:t>investors </w:t>
      </w:r>
      <w:r>
        <w:rPr/>
        <w:t>expect. None </w:t>
      </w:r>
      <w:r>
        <w:rPr>
          <w:spacing w:val="3"/>
        </w:rPr>
        <w:t>of </w:t>
      </w:r>
      <w:r>
        <w:rPr/>
        <w:t>this is inconsistent with a significant move up in </w:t>
      </w:r>
      <w:r>
        <w:rPr>
          <w:spacing w:val="2"/>
        </w:rPr>
        <w:t>equity </w:t>
      </w:r>
      <w:r>
        <w:rPr/>
        <w:t>prices if, say, clear signs </w:t>
      </w:r>
      <w:r>
        <w:rPr>
          <w:spacing w:val="3"/>
        </w:rPr>
        <w:t>of </w:t>
      </w:r>
      <w:r>
        <w:rPr/>
        <w:t>an economic recovery do emerge. If, though, the recovery is delayed, we might see a downward valuation adjustment in the stock market. In any case, expectations about long-term earnings growth and stock market returns are likely </w:t>
      </w:r>
      <w:r>
        <w:rPr>
          <w:spacing w:val="2"/>
        </w:rPr>
        <w:t>to </w:t>
      </w:r>
      <w:r>
        <w:rPr/>
        <w:t>need </w:t>
      </w:r>
      <w:r>
        <w:rPr>
          <w:spacing w:val="2"/>
        </w:rPr>
        <w:t>to </w:t>
      </w:r>
      <w:r>
        <w:rPr/>
        <w:t>moderate </w:t>
      </w:r>
      <w:r>
        <w:rPr>
          <w:spacing w:val="3"/>
        </w:rPr>
        <w:t>over </w:t>
      </w:r>
      <w:r>
        <w:rPr/>
        <w:t>the longer-term, and that is likely </w:t>
      </w:r>
      <w:r>
        <w:rPr>
          <w:spacing w:val="3"/>
        </w:rPr>
        <w:t>to </w:t>
      </w:r>
      <w:r>
        <w:rPr/>
        <w:t>accompany a downward valuation</w:t>
      </w:r>
      <w:r>
        <w:rPr>
          <w:spacing w:val="-6"/>
        </w:rPr>
        <w:t> </w:t>
      </w:r>
      <w:r>
        <w:rPr/>
        <w:t>adjustment.</w:t>
      </w:r>
    </w:p>
    <w:p>
      <w:pPr>
        <w:pStyle w:val="BodyText"/>
        <w:spacing w:before="8"/>
        <w:rPr>
          <w:sz w:val="36"/>
        </w:rPr>
      </w:pPr>
    </w:p>
    <w:p>
      <w:pPr>
        <w:pStyle w:val="Heading1"/>
        <w:numPr>
          <w:ilvl w:val="0"/>
          <w:numId w:val="1"/>
        </w:numPr>
        <w:tabs>
          <w:tab w:pos="467" w:val="left" w:leader="none"/>
        </w:tabs>
        <w:spacing w:line="237" w:lineRule="auto" w:before="0" w:after="0"/>
        <w:ind w:left="160" w:right="381" w:firstLine="0"/>
        <w:jc w:val="left"/>
      </w:pPr>
      <w:r>
        <w:rPr/>
        <w:t>UNCERTAINTIES RELATING TO THE SUPPLY POTENTIAL OF</w:t>
      </w:r>
      <w:r>
        <w:rPr>
          <w:spacing w:val="-31"/>
        </w:rPr>
        <w:t> </w:t>
      </w:r>
      <w:r>
        <w:rPr/>
        <w:t>THE ECONOMY</w:t>
      </w:r>
    </w:p>
    <w:p>
      <w:pPr>
        <w:pStyle w:val="BodyText"/>
        <w:spacing w:before="8"/>
        <w:rPr>
          <w:b/>
          <w:sz w:val="23"/>
        </w:rPr>
      </w:pPr>
    </w:p>
    <w:p>
      <w:pPr>
        <w:pStyle w:val="BodyText"/>
        <w:spacing w:line="360" w:lineRule="auto"/>
        <w:ind w:left="160" w:right="153"/>
      </w:pPr>
      <w:r>
        <w:rPr/>
        <w:t>We have to make difficult judgments about the level of spare capacity. The recent upward revisions to the capital stock have increased the measured degree of spare capacity in the Bank’s core model, and partly explain why the November 2001 Inflation Report projection was consistent with less inflationary pressure than the preceding projection, even though the GDP outlook in the two projections differed little. Although the revised measure of capacity utilisation has reduced the size of the errors made in forecasting prices in the past, the previous tendency to over-predicting prices persists. This may be because of an intensification in competitive pressures.</w:t>
      </w:r>
    </w:p>
    <w:p>
      <w:pPr>
        <w:pStyle w:val="BodyText"/>
        <w:spacing w:line="360" w:lineRule="auto"/>
        <w:ind w:left="160" w:right="615"/>
      </w:pPr>
      <w:r>
        <w:rPr/>
        <w:t>Major uncertainties remain, but it is my view that we are possibly overstating the degree of medium-term inflationary pressure.</w:t>
      </w:r>
    </w:p>
    <w:p>
      <w:pPr>
        <w:spacing w:after="0" w:line="360" w:lineRule="auto"/>
        <w:sectPr>
          <w:footerReference w:type="default" r:id="rId7"/>
          <w:pgSz w:w="11900" w:h="16840"/>
          <w:pgMar w:footer="782" w:header="0" w:top="1360" w:bottom="980" w:left="1640" w:right="1680"/>
          <w:pgNumType w:start="2"/>
        </w:sectPr>
      </w:pPr>
    </w:p>
    <w:p>
      <w:pPr>
        <w:pStyle w:val="Heading1"/>
        <w:spacing w:before="78"/>
      </w:pPr>
      <w:r>
        <w:rPr/>
        <w:t>INTRODUCTION</w:t>
      </w:r>
    </w:p>
    <w:p>
      <w:pPr>
        <w:pStyle w:val="BodyText"/>
        <w:rPr>
          <w:b/>
          <w:sz w:val="26"/>
        </w:rPr>
      </w:pPr>
    </w:p>
    <w:p>
      <w:pPr>
        <w:pStyle w:val="BodyText"/>
        <w:spacing w:before="9"/>
        <w:rPr>
          <w:b/>
          <w:sz w:val="21"/>
        </w:rPr>
      </w:pPr>
    </w:p>
    <w:p>
      <w:pPr>
        <w:pStyle w:val="BodyText"/>
        <w:ind w:left="160"/>
      </w:pPr>
      <w:r>
        <w:rPr/>
        <w:t>Good afternoon.</w:t>
      </w:r>
    </w:p>
    <w:p>
      <w:pPr>
        <w:pStyle w:val="BodyText"/>
        <w:rPr>
          <w:sz w:val="26"/>
        </w:rPr>
      </w:pPr>
    </w:p>
    <w:p>
      <w:pPr>
        <w:pStyle w:val="BodyText"/>
        <w:spacing w:before="9"/>
        <w:rPr>
          <w:sz w:val="21"/>
        </w:rPr>
      </w:pPr>
    </w:p>
    <w:p>
      <w:pPr>
        <w:pStyle w:val="BodyText"/>
        <w:ind w:left="160"/>
      </w:pPr>
      <w:r>
        <w:rPr/>
        <w:t>It is a great privilege to be amongst you to discuss the outlook for the UK economy.</w:t>
      </w:r>
    </w:p>
    <w:p>
      <w:pPr>
        <w:pStyle w:val="BodyText"/>
        <w:rPr>
          <w:sz w:val="26"/>
        </w:rPr>
      </w:pPr>
    </w:p>
    <w:p>
      <w:pPr>
        <w:pStyle w:val="BodyText"/>
        <w:spacing w:before="3"/>
        <w:rPr>
          <w:sz w:val="22"/>
        </w:rPr>
      </w:pPr>
    </w:p>
    <w:p>
      <w:pPr>
        <w:pStyle w:val="BodyText"/>
        <w:spacing w:line="360" w:lineRule="auto"/>
        <w:ind w:left="160"/>
      </w:pPr>
      <w:r>
        <w:rPr/>
        <w:t>I shall begin today by considering the prospects for the global economy. I will then spend some time examining current global equity market valuations, as any setback in the markets could have a significant impact on economic growth.</w:t>
      </w:r>
    </w:p>
    <w:p>
      <w:pPr>
        <w:pStyle w:val="BodyText"/>
        <w:rPr>
          <w:sz w:val="36"/>
        </w:rPr>
      </w:pPr>
    </w:p>
    <w:p>
      <w:pPr>
        <w:pStyle w:val="BodyText"/>
        <w:spacing w:line="360" w:lineRule="auto"/>
        <w:ind w:left="160" w:right="152"/>
      </w:pPr>
      <w:r>
        <w:rPr/>
        <w:t>I will then come home and discuss, by way of example, the recent difficulties that we have had in assessing the supply capacity of the UK economy. As all good economics students know, this is an important issue as prices emerge from the interaction of demand-side and supply-side forces.</w:t>
      </w:r>
    </w:p>
    <w:p>
      <w:pPr>
        <w:pStyle w:val="BodyText"/>
        <w:spacing w:before="4"/>
        <w:rPr>
          <w:sz w:val="36"/>
        </w:rPr>
      </w:pPr>
    </w:p>
    <w:p>
      <w:pPr>
        <w:pStyle w:val="Heading1"/>
      </w:pPr>
      <w:r>
        <w:rPr/>
        <w:t>SECTION A</w:t>
      </w:r>
    </w:p>
    <w:p>
      <w:pPr>
        <w:spacing w:before="137"/>
        <w:ind w:left="160" w:right="0" w:firstLine="0"/>
        <w:jc w:val="left"/>
        <w:rPr>
          <w:b/>
          <w:sz w:val="24"/>
        </w:rPr>
      </w:pPr>
      <w:r>
        <w:rPr>
          <w:b/>
          <w:sz w:val="24"/>
        </w:rPr>
        <w:t>THE OUTLOOK FOR THE GLOBAL ECONOMY</w:t>
      </w:r>
    </w:p>
    <w:p>
      <w:pPr>
        <w:pStyle w:val="BodyText"/>
        <w:spacing w:before="7"/>
        <w:rPr>
          <w:b/>
          <w:sz w:val="35"/>
        </w:rPr>
      </w:pPr>
    </w:p>
    <w:p>
      <w:pPr>
        <w:pStyle w:val="BodyText"/>
        <w:spacing w:line="360" w:lineRule="auto" w:before="1"/>
        <w:ind w:left="160"/>
      </w:pPr>
      <w:r>
        <w:rPr/>
        <w:t>In recent weeks, a number of surveys of business opinion have shown a notable weakening in the US and Europe. Figure 1 shows the purchasing manager indices for manufacturing, while those for services are displayed in Figure 2. Notice that both sectors show falls, with a clear deterioration in the last month. Moreover, the</w:t>
      </w:r>
    </w:p>
    <w:p>
      <w:pPr>
        <w:pStyle w:val="BodyText"/>
        <w:spacing w:line="360" w:lineRule="auto"/>
        <w:ind w:left="160"/>
      </w:pPr>
      <w:r>
        <w:rPr/>
        <w:t>business surveys are below the levels they were at during the financial crisis of the Autumn of 1998, when there was also some anxiety about the health of the world economy.</w:t>
      </w:r>
    </w:p>
    <w:p>
      <w:pPr>
        <w:pStyle w:val="BodyText"/>
        <w:rPr>
          <w:sz w:val="36"/>
        </w:rPr>
      </w:pPr>
    </w:p>
    <w:p>
      <w:pPr>
        <w:pStyle w:val="BodyText"/>
        <w:spacing w:line="360" w:lineRule="auto"/>
        <w:ind w:left="160" w:right="153"/>
      </w:pPr>
      <w:r>
        <w:rPr/>
        <w:t>Some of these surveys are designed to measure business perceptions about tangible magnitudes like current production, employment and new orders, and the published composite index is not supposed to reflect vague notions like ‘optimism’. Therefore, the observed deterioration is of potentially greater concern,</w:t>
      </w:r>
      <w:r>
        <w:rPr>
          <w:vertAlign w:val="superscript"/>
        </w:rPr>
        <w:t>1</w:t>
      </w:r>
      <w:r>
        <w:rPr>
          <w:vertAlign w:val="baseline"/>
        </w:rPr>
        <w:t> though, depending on political and military developments, this could turn around quickly.</w:t>
      </w:r>
    </w:p>
    <w:p>
      <w:pPr>
        <w:pStyle w:val="BodyText"/>
        <w:rPr>
          <w:sz w:val="20"/>
        </w:rPr>
      </w:pPr>
    </w:p>
    <w:p>
      <w:pPr>
        <w:pStyle w:val="BodyText"/>
        <w:rPr>
          <w:sz w:val="20"/>
        </w:rPr>
      </w:pPr>
    </w:p>
    <w:p>
      <w:pPr>
        <w:pStyle w:val="BodyText"/>
        <w:spacing w:before="5"/>
        <w:rPr>
          <w:sz w:val="16"/>
        </w:rPr>
      </w:pPr>
      <w:r>
        <w:rPr/>
        <w:pict>
          <v:shape style="position:absolute;margin-left:90pt;margin-top:11.680127pt;width:144pt;height:.1pt;mso-position-horizontal-relative:page;mso-position-vertical-relative:paragraph;z-index:-251656192;mso-wrap-distance-left:0;mso-wrap-distance-right:0" coordorigin="1800,234" coordsize="2880,0" path="m1800,234l4680,234e" filled="false" stroked="true" strokeweight=".48pt" strokecolor="#000000">
            <v:path arrowok="t"/>
            <v:stroke dashstyle="solid"/>
            <w10:wrap type="topAndBottom"/>
          </v:shape>
        </w:pict>
      </w:r>
    </w:p>
    <w:p>
      <w:pPr>
        <w:spacing w:before="47"/>
        <w:ind w:left="160" w:right="0" w:firstLine="0"/>
        <w:jc w:val="left"/>
        <w:rPr>
          <w:sz w:val="20"/>
        </w:rPr>
      </w:pPr>
      <w:r>
        <w:rPr>
          <w:position w:val="9"/>
          <w:sz w:val="13"/>
        </w:rPr>
        <w:t>1 </w:t>
      </w:r>
      <w:r>
        <w:rPr>
          <w:sz w:val="20"/>
        </w:rPr>
        <w:t>One cannot, of course, entirely rule out the possibility that those who answered these questions were, nevertheless, somewhat swayed by current sentiment.</w:t>
      </w:r>
    </w:p>
    <w:p>
      <w:pPr>
        <w:spacing w:after="0"/>
        <w:jc w:val="left"/>
        <w:rPr>
          <w:sz w:val="20"/>
        </w:rPr>
        <w:sectPr>
          <w:pgSz w:w="11900" w:h="16840"/>
          <w:pgMar w:header="0" w:footer="782" w:top="1360" w:bottom="980" w:left="1640" w:right="1680"/>
        </w:sectPr>
      </w:pPr>
    </w:p>
    <w:p>
      <w:pPr>
        <w:pStyle w:val="Heading1"/>
        <w:spacing w:before="78"/>
      </w:pPr>
      <w:r>
        <w:rPr/>
        <w:t>FIGURE 1</w:t>
      </w:r>
    </w:p>
    <w:p>
      <w:pPr>
        <w:pStyle w:val="BodyText"/>
        <w:rPr>
          <w:b/>
          <w:sz w:val="17"/>
        </w:rPr>
      </w:pPr>
    </w:p>
    <w:p>
      <w:pPr>
        <w:spacing w:before="90"/>
        <w:ind w:left="371" w:right="0" w:firstLine="0"/>
        <w:jc w:val="left"/>
        <w:rPr>
          <w:b/>
          <w:sz w:val="24"/>
        </w:rPr>
      </w:pPr>
      <w:r>
        <w:rPr>
          <w:b/>
          <w:sz w:val="24"/>
        </w:rPr>
        <w:t>US and Euro Area Manufacturing</w:t>
      </w:r>
    </w:p>
    <w:p>
      <w:pPr>
        <w:tabs>
          <w:tab w:pos="4739" w:val="right" w:leader="none"/>
        </w:tabs>
        <w:spacing w:before="26"/>
        <w:ind w:left="371" w:right="0" w:firstLine="0"/>
        <w:jc w:val="left"/>
        <w:rPr>
          <w:sz w:val="16"/>
        </w:rPr>
      </w:pPr>
      <w:r>
        <w:rPr/>
        <w:pict>
          <v:group style="position:absolute;margin-left:115.440002pt;margin-top:6.668772pt;width:191.4pt;height:148.7pt;mso-position-horizontal-relative:page;mso-position-vertical-relative:paragraph;z-index:-253083648" coordorigin="2309,133" coordsize="3828,2974">
            <v:shape style="position:absolute;left:2323;top:135;width:3812;height:2972" coordorigin="2323,136" coordsize="3812,2972" path="m6086,136l6086,3059,6134,3059m6086,2641l6134,2641m6086,2219l6134,2219m6086,1801l6134,1801m6086,1393l6134,1393m6086,976l6134,976m6086,553l6134,553m6086,136l6134,136m2323,3059l6086,3059m2323,3107l2323,3059m3197,3107l3197,3059m4066,3107l4066,3059m4934,3107l4934,3059m5803,3107l5803,3059e" filled="false" stroked="true" strokeweight=".24pt" strokecolor="#000000">
              <v:path arrowok="t"/>
              <v:stroke dashstyle="solid"/>
            </v:shape>
            <v:shape style="position:absolute;left:2323;top:735;width:2343;height:898" coordorigin="2323,736" coordsize="2343,898" path="m2371,976l2323,965,2323,997,2357,1005,2371,976m2443,1005l2386,990,2371,1019,2429,1033,2443,1005m2506,990l2477,976,2458,1033,2491,1048,2506,990m2578,885l2549,870,2520,928,2549,947,2578,885m2654,827l2597,827,2597,856,2654,856,2654,827m2731,870l2698,808,2669,793,2698,856,2731,870m2803,961l2746,928,2731,961,2789,990,2803,961m2880,976l2851,961,2818,1019,2851,1033,2880,976m2957,899l2938,870,2880,899,2894,928,2957,899m3014,841l2986,827,2957,885,2986,899,3014,841m3091,793l3029,765,3014,793,3077,827,3091,793m3163,856l3106,827,3091,856,3149,885,3163,856m3240,928l3211,870,3178,856,3211,913,3240,928m3317,1005l3283,947,3254,928,3283,990,3317,1005m3374,1110l3360,1048,3331,1033,3346,1096,3374,1110m3437,1288l3418,1230,3389,1216,3391,1224,3374,1216,3389,1245,3397,1249,3403,1273,3437,1288m3523,1485l3494,1427,3484,1420,3480,1408,3451,1393,3466,1441,3486,1451,3494,1470,3523,1485m3600,1590l3538,1576,3523,1605,3586,1619,3600,1590m3677,1605l3658,1576,3600,1605,3614,1633,3677,1605m3749,1528l3720,1513,3691,1576,3720,1590,3749,1528m3826,1427l3797,1408,3763,1470,3797,1485,3826,1427m3883,1350l3854,1336,3826,1393,3854,1408,3883,1350m3960,1288l3946,1259,3883,1273,3898,1307,3960,1288m4032,1245l4003,1230,3974,1288,4003,1307,4032,1245m4109,1153l4080,1139,4051,1201,4080,1216,4109,1153m4186,1048l4171,1019,4140,1033,4123,1033,4123,1041,4109,1048,4123,1081,4186,1048m4258,990l4229,976,4200,1033,4229,1048,4258,990m4320,899l4291,885,4258,947,4291,961,4320,899m4392,793l4378,765,4363,768,4363,765,4334,765,4334,775,4320,779,4334,808,4392,793m4469,779l4454,750,4392,765,4411,793,4469,779m4546,808l4512,750,4483,736,4512,793,4546,808m4618,885l4589,870,4560,928,4560,947,4589,947,4618,885m4666,765l4632,750,4618,808,4651,827,4666,765e" filled="true" fillcolor="#ff00ff" stroked="false">
              <v:path arrowok="t"/>
              <v:fill type="solid"/>
            </v:shape>
            <v:shape style="position:absolute;left:4680;top:462;width:432;height:240" type="#_x0000_t75" stroked="false">
              <v:imagedata r:id="rId8" o:title=""/>
            </v:shape>
            <v:shape style="position:absolute;left:5131;top:750;width:58;height:77" coordorigin="5131,750" coordsize="58,77" path="m5160,808l5131,808,5131,827,5160,827,5160,808m5189,827l5160,765,5131,750,5160,808,5189,827e" filled="true" fillcolor="#ff00ff" stroked="false">
              <v:path arrowok="t"/>
              <v:fill type="solid"/>
            </v:shape>
            <v:shape style="position:absolute;left:5203;top:870;width:135;height:164" type="#_x0000_t75" stroked="false">
              <v:imagedata r:id="rId9" o:title=""/>
            </v:shape>
            <v:shape style="position:absolute;left:5337;top:1095;width:288;height:240" type="#_x0000_t75" stroked="false">
              <v:imagedata r:id="rId10" o:title=""/>
            </v:shape>
            <v:shape style="position:absolute;left:5625;top:1441;width:461;height:509" coordorigin="5626,1441" coordsize="461,509" path="m5698,1470l5669,1456,5640,1441,5626,1470,5683,1499,5698,1470m5774,1528l5712,1499,5698,1528,5760,1561,5774,1528m5846,1590l5789,1561,5774,1590,5832,1619,5846,1590m5923,1619l5909,1590,5846,1605,5866,1633,5923,1619m5986,1633l5952,1576,5923,1561,5952,1619,5986,1633m6043,1768l6029,1710,6000,1696,6011,1739,6000,1739,6000,1753,6014,1753,6043,1768m6086,1950l6072,1888,6043,1873,6058,1936,6086,1950e" filled="true" fillcolor="#ff00ff" stroked="false">
              <v:path arrowok="t"/>
              <v:fill type="solid"/>
            </v:shape>
            <v:line style="position:absolute" from="2323,928" to="2400,750" stroked="true" strokeweight="1.44pt" strokecolor="#000080">
              <v:stroke dashstyle="solid"/>
            </v:line>
            <v:line style="position:absolute" from="2400,750" to="2477,870" stroked="true" strokeweight="1.44pt" strokecolor="#000080">
              <v:stroke dashstyle="solid"/>
            </v:line>
            <v:line style="position:absolute" from="2477,870" to="2534,1067" stroked="true" strokeweight="1.44pt" strokecolor="#000080">
              <v:stroke dashstyle="solid"/>
            </v:line>
            <v:line style="position:absolute" from="2534,1067" to="2611,856" stroked="true" strokeweight="1.44pt" strokecolor="#000080">
              <v:stroke dashstyle="solid"/>
            </v:line>
            <v:line style="position:absolute" from="2611,856" to="2683,928" stroked="true" strokeweight="1.44pt" strokecolor="#000080">
              <v:stroke dashstyle="solid"/>
            </v:line>
            <v:shape style="position:absolute;left:2683;top:750;width:3120;height:1378" coordorigin="2683,750" coordsize="3120,1378" path="m2683,928l2760,1019m2760,1019l2837,1096m2837,1096l2909,1139m2909,1139l2971,1110m2971,1110l3043,1201m3043,1201l3120,1321m3120,1321l3197,1441m3197,1441l3269,1456m3269,1456l3346,1456m3346,1456l3403,1499m3403,1499l3480,1499m3480,1499l3557,1576m3557,1576l3629,1667m3629,1667l3706,1393m3706,1393l3778,1245m3778,1245l3840,1139m3840,1139l3912,1187m3912,1187l3989,1019m3989,1019l4066,827m4066,827l4138,1110m4138,1110l4214,990m4214,990l4272,793m4272,793l4349,808m4349,808l4426,779m4426,779l4498,750m4498,750l4574,870m4574,870l4632,856m4632,856l4709,947m4709,947l4786,990m4786,990l4858,1125m4858,1125l4934,1216m4934,1216l5011,1245m5011,1245l5069,1393m5069,1393l5146,1427m5146,1427l5218,1528m5218,1528l5294,1561m5294,1561l5371,1859m5371,1859l5443,2128m5443,2128l5506,2070m5506,2070l5578,1965m5578,1965l5654,1950m5654,1950l5726,2056m5726,2056l5803,1830e" filled="false" stroked="true" strokeweight="1.44pt" strokecolor="#000080">
              <v:path arrowok="t"/>
              <v:stroke dashstyle="solid"/>
            </v:shape>
            <v:line style="position:absolute" from="5803,1830" to="5880,1921" stroked="true" strokeweight="1.44pt" strokecolor="#000080">
              <v:stroke dashstyle="solid"/>
            </v:line>
            <v:line style="position:absolute" from="5880,1921" to="5938,1561" stroked="true" strokeweight="1.44pt" strokecolor="#000080">
              <v:stroke dashstyle="solid"/>
            </v:line>
            <v:line style="position:absolute" from="5938,1561" to="6014,1633" stroked="true" strokeweight="1.44pt" strokecolor="#000080">
              <v:stroke dashstyle="solid"/>
            </v:line>
            <v:line style="position:absolute" from="6014,1633" to="6086,2233" stroked="true" strokeweight="1.44pt" strokecolor="#000080">
              <v:stroke dashstyle="solid"/>
            </v:line>
            <w10:wrap type="none"/>
          </v:group>
        </w:pict>
      </w:r>
      <w:r>
        <w:rPr>
          <w:b/>
          <w:sz w:val="24"/>
        </w:rPr>
        <w:t>PMI</w:t>
        <w:tab/>
      </w:r>
      <w:r>
        <w:rPr>
          <w:spacing w:val="3"/>
          <w:position w:val="9"/>
          <w:sz w:val="16"/>
        </w:rPr>
        <w:t>65</w:t>
      </w:r>
    </w:p>
    <w:p>
      <w:pPr>
        <w:spacing w:before="130"/>
        <w:ind w:left="4354" w:right="3629" w:firstLine="0"/>
        <w:jc w:val="center"/>
        <w:rPr>
          <w:sz w:val="16"/>
        </w:rPr>
      </w:pPr>
      <w:r>
        <w:rPr>
          <w:spacing w:val="3"/>
          <w:w w:val="105"/>
          <w:sz w:val="16"/>
        </w:rPr>
        <w:t>60</w:t>
      </w:r>
    </w:p>
    <w:p>
      <w:pPr>
        <w:spacing w:before="238"/>
        <w:ind w:left="4354" w:right="3629" w:firstLine="0"/>
        <w:jc w:val="center"/>
        <w:rPr>
          <w:sz w:val="16"/>
        </w:rPr>
      </w:pPr>
      <w:r>
        <w:rPr>
          <w:spacing w:val="3"/>
          <w:w w:val="105"/>
          <w:sz w:val="16"/>
        </w:rPr>
        <w:t>55</w:t>
      </w:r>
    </w:p>
    <w:p>
      <w:pPr>
        <w:spacing w:before="234"/>
        <w:ind w:left="4354" w:right="3629" w:firstLine="0"/>
        <w:jc w:val="center"/>
        <w:rPr>
          <w:sz w:val="16"/>
        </w:rPr>
      </w:pPr>
      <w:r>
        <w:rPr>
          <w:spacing w:val="3"/>
          <w:w w:val="105"/>
          <w:sz w:val="16"/>
        </w:rPr>
        <w:t>50</w:t>
      </w:r>
    </w:p>
    <w:p>
      <w:pPr>
        <w:spacing w:before="224"/>
        <w:ind w:left="4354" w:right="3629" w:firstLine="0"/>
        <w:jc w:val="center"/>
        <w:rPr>
          <w:sz w:val="16"/>
        </w:rPr>
      </w:pPr>
      <w:r>
        <w:rPr>
          <w:spacing w:val="3"/>
          <w:w w:val="105"/>
          <w:sz w:val="16"/>
        </w:rPr>
        <w:t>45</w:t>
      </w:r>
    </w:p>
    <w:p>
      <w:pPr>
        <w:spacing w:before="233"/>
        <w:ind w:left="4354" w:right="3629" w:firstLine="0"/>
        <w:jc w:val="center"/>
        <w:rPr>
          <w:sz w:val="16"/>
        </w:rPr>
      </w:pPr>
      <w:r>
        <w:rPr>
          <w:spacing w:val="3"/>
          <w:w w:val="105"/>
          <w:sz w:val="16"/>
        </w:rPr>
        <w:t>40</w:t>
      </w:r>
    </w:p>
    <w:p>
      <w:pPr>
        <w:spacing w:before="239"/>
        <w:ind w:left="4354" w:right="3629" w:firstLine="0"/>
        <w:jc w:val="center"/>
        <w:rPr>
          <w:sz w:val="16"/>
        </w:rPr>
      </w:pPr>
      <w:r>
        <w:rPr>
          <w:spacing w:val="3"/>
          <w:w w:val="105"/>
          <w:sz w:val="16"/>
        </w:rPr>
        <w:t>35</w:t>
      </w:r>
    </w:p>
    <w:p>
      <w:pPr>
        <w:spacing w:before="233"/>
        <w:ind w:left="4354" w:right="3629" w:firstLine="0"/>
        <w:jc w:val="center"/>
        <w:rPr>
          <w:sz w:val="16"/>
        </w:rPr>
      </w:pPr>
      <w:r>
        <w:rPr>
          <w:spacing w:val="3"/>
          <w:w w:val="105"/>
          <w:sz w:val="16"/>
        </w:rPr>
        <w:t>30</w:t>
      </w:r>
    </w:p>
    <w:p>
      <w:pPr>
        <w:tabs>
          <w:tab w:pos="868" w:val="left" w:leader="none"/>
          <w:tab w:pos="1737" w:val="left" w:leader="none"/>
          <w:tab w:pos="2606" w:val="left" w:leader="none"/>
          <w:tab w:pos="3475" w:val="left" w:leader="none"/>
        </w:tabs>
        <w:spacing w:before="56"/>
        <w:ind w:left="0" w:right="3723" w:firstLine="0"/>
        <w:jc w:val="center"/>
        <w:rPr>
          <w:sz w:val="16"/>
        </w:rPr>
      </w:pPr>
      <w:r>
        <w:rPr>
          <w:sz w:val="16"/>
        </w:rPr>
        <w:t>Jun-97</w:t>
        <w:tab/>
        <w:t>Jun-98</w:t>
        <w:tab/>
        <w:t>Jun-99</w:t>
        <w:tab/>
        <w:t>Jun-00</w:t>
        <w:tab/>
        <w:t>Jun-01</w:t>
      </w:r>
    </w:p>
    <w:p>
      <w:pPr>
        <w:tabs>
          <w:tab w:pos="3788" w:val="left" w:leader="none"/>
        </w:tabs>
        <w:spacing w:before="359"/>
        <w:ind w:left="1374" w:right="0" w:firstLine="0"/>
        <w:jc w:val="left"/>
        <w:rPr>
          <w:sz w:val="16"/>
        </w:rPr>
      </w:pPr>
      <w:r>
        <w:rPr/>
        <w:pict>
          <v:rect style="position:absolute;margin-left:120pt;margin-top:22.53875pt;width:2.88pt;height:1.44pt;mso-position-horizontal-relative:page;mso-position-vertical-relative:paragraph;z-index:251662336" filled="true" fillcolor="#ff00ff" stroked="false">
            <v:fill type="solid"/>
            <w10:wrap type="none"/>
          </v:rect>
        </w:pict>
      </w:r>
      <w:r>
        <w:rPr/>
        <w:pict>
          <v:rect style="position:absolute;margin-left:128.880005pt;margin-top:22.53875pt;width:3.12pt;height:1.44pt;mso-position-horizontal-relative:page;mso-position-vertical-relative:paragraph;z-index:251663360" filled="true" fillcolor="#ff00ff" stroked="false">
            <v:fill type="solid"/>
            <w10:wrap type="none"/>
          </v:rect>
        </w:pict>
      </w:r>
      <w:r>
        <w:rPr/>
        <w:pict>
          <v:rect style="position:absolute;margin-left:138pt;margin-top:22.53875pt;width:2.88pt;height:1.44pt;mso-position-horizontal-relative:page;mso-position-vertical-relative:paragraph;z-index:251664384" filled="true" fillcolor="#ff00ff" stroked="false">
            <v:fill type="solid"/>
            <w10:wrap type="none"/>
          </v:rect>
        </w:pict>
      </w:r>
      <w:r>
        <w:rPr/>
        <w:pict>
          <v:rect style="position:absolute;margin-left:146.880005pt;margin-top:22.53875pt;width:2.4pt;height:1.44pt;mso-position-horizontal-relative:page;mso-position-vertical-relative:paragraph;z-index:251665408" filled="true" fillcolor="#ff00ff" stroked="false">
            <v:fill type="solid"/>
            <w10:wrap type="none"/>
          </v:rect>
        </w:pict>
      </w:r>
      <w:r>
        <w:rPr/>
        <w:pict>
          <v:line style="position:absolute;mso-position-horizontal-relative:page;mso-position-vertical-relative:paragraph;z-index:-253078528" from="241.440002pt,23.258751pt" to="269.280002pt,23.258751pt" stroked="true" strokeweight="1.44pt" strokecolor="#000080">
            <v:stroke dashstyle="solid"/>
            <w10:wrap type="none"/>
          </v:line>
        </w:pict>
      </w:r>
      <w:r>
        <w:rPr>
          <w:spacing w:val="3"/>
          <w:sz w:val="16"/>
        </w:rPr>
        <w:t>Euro</w:t>
      </w:r>
      <w:r>
        <w:rPr>
          <w:spacing w:val="15"/>
          <w:sz w:val="16"/>
        </w:rPr>
        <w:t> </w:t>
      </w:r>
      <w:r>
        <w:rPr>
          <w:sz w:val="16"/>
        </w:rPr>
        <w:t>Area</w:t>
      </w:r>
      <w:r>
        <w:rPr>
          <w:spacing w:val="15"/>
          <w:sz w:val="16"/>
        </w:rPr>
        <w:t> </w:t>
      </w:r>
      <w:r>
        <w:rPr>
          <w:sz w:val="16"/>
        </w:rPr>
        <w:t>PMI</w:t>
        <w:tab/>
        <w:t>US</w:t>
      </w:r>
      <w:r>
        <w:rPr>
          <w:spacing w:val="3"/>
          <w:sz w:val="16"/>
        </w:rPr>
        <w:t> </w:t>
      </w:r>
      <w:r>
        <w:rPr>
          <w:sz w:val="16"/>
        </w:rPr>
        <w:t>NAPM</w:t>
      </w:r>
    </w:p>
    <w:p>
      <w:pPr>
        <w:pStyle w:val="Heading1"/>
        <w:spacing w:before="845"/>
      </w:pPr>
      <w:r>
        <w:rPr/>
        <w:t>FIGURE 2</w:t>
      </w:r>
    </w:p>
    <w:p>
      <w:pPr>
        <w:pStyle w:val="BodyText"/>
        <w:rPr>
          <w:b/>
          <w:sz w:val="18"/>
        </w:rPr>
      </w:pPr>
    </w:p>
    <w:p>
      <w:pPr>
        <w:pStyle w:val="BodyText"/>
        <w:rPr>
          <w:b/>
          <w:sz w:val="18"/>
        </w:rPr>
      </w:pPr>
    </w:p>
    <w:p>
      <w:pPr>
        <w:pStyle w:val="BodyText"/>
        <w:spacing w:before="4"/>
        <w:rPr>
          <w:b/>
          <w:sz w:val="15"/>
        </w:rPr>
      </w:pPr>
    </w:p>
    <w:p>
      <w:pPr>
        <w:spacing w:before="0"/>
        <w:ind w:left="4354" w:right="3591" w:firstLine="0"/>
        <w:jc w:val="center"/>
        <w:rPr>
          <w:sz w:val="16"/>
        </w:rPr>
      </w:pPr>
      <w:r>
        <w:rPr/>
        <w:pict>
          <v:group style="position:absolute;margin-left:115.440002pt;margin-top:-14.747359pt;width:192.4pt;height:169.35pt;mso-position-horizontal-relative:page;mso-position-vertical-relative:paragraph;z-index:251668480" coordorigin="2309,-295" coordsize="3848,3387">
            <v:shape style="position:absolute;left:2323;top:106;width:3831;height:2986" coordorigin="2323,106" coordsize="3831,2986" path="m6106,106l6106,3044,6154,3044m6106,2684l6154,2684m6106,2309l6154,2309m6106,1949l6154,1949m6106,1575l6154,1575m6106,1215l6154,1215m6106,841l6154,841m6106,481l6154,481m6106,106l6154,106m2323,3044l6106,3044m2323,3092l2323,3044m3211,3092l3211,3044m4114,3092l4114,3044m4997,3092l4997,3044m5880,3092l5880,3044e" filled="false" stroked="true" strokeweight=".24pt" strokecolor="#000000">
              <v:path arrowok="t"/>
              <v:stroke dashstyle="solid"/>
            </v:shape>
            <v:shape style="position:absolute;left:3196;top:960;width:58;height:72" coordorigin="3197,961" coordsize="58,72" path="m3197,961l3226,1018,3254,1033,3226,975,3197,961xe" filled="true" fillcolor="#ff00ff" stroked="false">
              <v:path arrowok="t"/>
              <v:fill type="solid"/>
            </v:shape>
            <v:shape style="position:absolute;left:3268;top:989;width:288;height:269" type="#_x0000_t75" stroked="false">
              <v:imagedata r:id="rId11" o:title=""/>
            </v:shape>
            <v:shape style="position:absolute;left:3556;top:1123;width:452;height:274" type="#_x0000_t75" stroked="false">
              <v:imagedata r:id="rId12" o:title=""/>
            </v:shape>
            <v:shape style="position:absolute;left:4008;top:826;width:284;height:226" type="#_x0000_t75" stroked="false">
              <v:imagedata r:id="rId13" o:title=""/>
            </v:shape>
            <v:shape style="position:absolute;left:4305;top:658;width:874;height:274" coordorigin="4306,658" coordsize="874,274" path="m4368,793l4334,735,4306,721,4334,778,4368,793m4440,869l4382,841,4368,869,4426,898,4440,869m4517,913l4502,884,4440,898,4454,932,4517,913m4594,884l4531,869,4517,898,4574,913,4594,884m4666,869l4637,855,4608,913,4637,932,4666,869m4742,749l4714,735,4705,749,4680,749,4680,764,4697,764,4680,793,4714,812,4742,749m4814,692l4757,658,4742,692,4800,721,4814,692m4891,735l4834,706,4814,735,4877,764,4891,735m4968,778l4906,764,4891,793,4954,812,4968,778m5040,793l4982,778,4968,812,5026,826,5040,793m5117,826l5054,812,5040,841,5102,855,5117,826m5179,884l5160,826,5131,812,5146,869,5179,884e" filled="true" fillcolor="#ff00ff" stroked="false">
              <v:path arrowok="t"/>
              <v:fill type="solid"/>
            </v:shape>
            <v:shape style="position:absolute;left:5193;top:974;width:360;height:298" type="#_x0000_t75" stroked="false">
              <v:imagedata r:id="rId14" o:title=""/>
            </v:shape>
            <v:shape style="position:absolute;left:5553;top:1306;width:432;height:192" type="#_x0000_t75" stroked="false">
              <v:imagedata r:id="rId15" o:title=""/>
            </v:shape>
            <v:shape style="position:absolute;left:6000;top:1603;width:120;height:226" coordorigin="6000,1604" coordsize="120,226" path="m6077,1695l6048,1637,6037,1630,6034,1618,6000,1604,6019,1652,6039,1662,6048,1681,6077,1695m6120,1815l6091,1815,6091,1829,6120,1829,6120,1815e" filled="true" fillcolor="#ff00ff" stroked="false">
              <v:path arrowok="t"/>
              <v:fill type="solid"/>
            </v:shape>
            <v:line style="position:absolute" from="2323,898" to="2400,706" stroked="true" strokeweight="1.44pt" strokecolor="#000080">
              <v:stroke dashstyle="solid"/>
            </v:line>
            <v:line style="position:absolute" from="2400,706" to="2477,913" stroked="true" strokeweight="1.44pt" strokecolor="#000080">
              <v:stroke dashstyle="solid"/>
            </v:line>
            <v:line style="position:absolute" from="2477,913" to="2549,629" stroked="true" strokeweight="1.44pt" strokecolor="#000080">
              <v:stroke dashstyle="solid"/>
            </v:line>
            <v:line style="position:absolute" from="2549,629" to="2626,673" stroked="true" strokeweight="1.44pt" strokecolor="#000080">
              <v:stroke dashstyle="solid"/>
            </v:line>
            <v:shape style="position:absolute;left:2625;top:538;width:3183;height:1292" coordorigin="2626,538" coordsize="3183,1292" path="m2626,673l2702,884m2702,884l2774,841m2774,841l2851,932m2851,932l2928,1095m2928,1095l2986,975m2986,975l3062,778m3062,778l3134,975m3134,975l3211,898m3211,898l3288,1469m3288,1469l3360,1018m3360,1018l3437,1258m3437,1258l3509,1186m3509,1186l3586,1052m3586,1052l3662,1066m3662,1066l3734,1052m3734,1052l3811,884m3811,884l3888,898m3888,898l3960,1052m3960,1052l4037,1004m4037,1004l4114,749m4114,749l4186,913m4186,913l4248,869m4248,869l4320,778m4320,778l4397,975m4397,975l4474,538m4474,538l4546,1186m4546,1186l4622,975m4622,975l4694,778m4694,778l4771,841m4771,841l4848,946m4848,946l4920,793m4920,793l4997,1052m4997,1052l5074,884m5074,884l5146,812m5146,812l5222,932m5222,932l5299,749m5299,749l5371,764m5371,764l5448,1575m5448,1575l5506,1455m5506,1455l5582,1561m5582,1561l5659,1786m5659,1786l5731,1829m5731,1829l5808,1426e" filled="false" stroked="true" strokeweight="1.44pt" strokecolor="#000080">
              <v:path arrowok="t"/>
              <v:stroke dashstyle="solid"/>
            </v:shape>
            <v:line style="position:absolute" from="5808,1426" to="5880,1652" stroked="true" strokeweight="1.44pt" strokecolor="#000080">
              <v:stroke dashstyle="solid"/>
            </v:line>
            <v:line style="position:absolute" from="5880,1652" to="5957,1906" stroked="true" strokeweight="1.44pt" strokecolor="#000080">
              <v:stroke dashstyle="solid"/>
            </v:line>
            <v:line style="position:absolute" from="5957,1906" to="6034,1561" stroked="true" strokeweight="1.44pt" strokecolor="#000080">
              <v:stroke dashstyle="solid"/>
            </v:line>
            <v:line style="position:absolute" from="6034,1561" to="6106,2266" stroked="true" strokeweight="1.44pt" strokecolor="#000080">
              <v:stroke dashstyle="solid"/>
            </v:line>
            <v:shape style="position:absolute;left:2308;top:-295;width:3848;height:3387" type="#_x0000_t202" filled="false" stroked="false">
              <v:textbox inset="0,0,0,0">
                <w:txbxContent>
                  <w:p>
                    <w:pPr>
                      <w:spacing w:line="266" w:lineRule="exact" w:before="0"/>
                      <w:ind w:left="153" w:right="0" w:firstLine="0"/>
                      <w:jc w:val="left"/>
                      <w:rPr>
                        <w:b/>
                        <w:sz w:val="24"/>
                      </w:rPr>
                    </w:pPr>
                    <w:r>
                      <w:rPr>
                        <w:b/>
                        <w:sz w:val="24"/>
                      </w:rPr>
                      <w:t>US and Euro Area</w:t>
                    </w:r>
                  </w:p>
                  <w:p>
                    <w:pPr>
                      <w:spacing w:before="41"/>
                      <w:ind w:left="153" w:right="0" w:firstLine="0"/>
                      <w:jc w:val="left"/>
                      <w:rPr>
                        <w:b/>
                        <w:sz w:val="24"/>
                      </w:rPr>
                    </w:pPr>
                    <w:r>
                      <w:rPr>
                        <w:b/>
                        <w:sz w:val="24"/>
                      </w:rPr>
                      <w:t>Non-Manufacturing PMI</w:t>
                    </w:r>
                  </w:p>
                </w:txbxContent>
              </v:textbox>
              <w10:wrap type="none"/>
            </v:shape>
            <w10:wrap type="none"/>
          </v:group>
        </w:pict>
      </w:r>
      <w:r>
        <w:rPr>
          <w:spacing w:val="3"/>
          <w:w w:val="105"/>
          <w:sz w:val="16"/>
        </w:rPr>
        <w:t>70</w:t>
      </w:r>
    </w:p>
    <w:p>
      <w:pPr>
        <w:pStyle w:val="BodyText"/>
        <w:spacing w:before="7"/>
        <w:rPr>
          <w:sz w:val="16"/>
        </w:rPr>
      </w:pPr>
    </w:p>
    <w:p>
      <w:pPr>
        <w:spacing w:before="0"/>
        <w:ind w:left="4354" w:right="3591" w:firstLine="0"/>
        <w:jc w:val="center"/>
        <w:rPr>
          <w:sz w:val="16"/>
        </w:rPr>
      </w:pPr>
      <w:r>
        <w:rPr>
          <w:spacing w:val="3"/>
          <w:w w:val="105"/>
          <w:sz w:val="16"/>
        </w:rPr>
        <w:t>65</w:t>
      </w:r>
    </w:p>
    <w:p>
      <w:pPr>
        <w:pStyle w:val="BodyText"/>
        <w:spacing w:before="3"/>
        <w:rPr>
          <w:sz w:val="15"/>
        </w:rPr>
      </w:pPr>
    </w:p>
    <w:p>
      <w:pPr>
        <w:spacing w:before="0"/>
        <w:ind w:left="4354" w:right="3591" w:firstLine="0"/>
        <w:jc w:val="center"/>
        <w:rPr>
          <w:sz w:val="16"/>
        </w:rPr>
      </w:pPr>
      <w:r>
        <w:rPr>
          <w:spacing w:val="3"/>
          <w:w w:val="105"/>
          <w:sz w:val="16"/>
        </w:rPr>
        <w:t>60</w:t>
      </w:r>
    </w:p>
    <w:p>
      <w:pPr>
        <w:pStyle w:val="BodyText"/>
        <w:spacing w:before="7"/>
        <w:rPr>
          <w:sz w:val="16"/>
        </w:rPr>
      </w:pPr>
    </w:p>
    <w:p>
      <w:pPr>
        <w:spacing w:before="0"/>
        <w:ind w:left="4354" w:right="3591" w:firstLine="0"/>
        <w:jc w:val="center"/>
        <w:rPr>
          <w:sz w:val="16"/>
        </w:rPr>
      </w:pPr>
      <w:r>
        <w:rPr>
          <w:spacing w:val="3"/>
          <w:w w:val="105"/>
          <w:sz w:val="16"/>
        </w:rPr>
        <w:t>55</w:t>
      </w:r>
    </w:p>
    <w:p>
      <w:pPr>
        <w:pStyle w:val="BodyText"/>
        <w:spacing w:before="3"/>
        <w:rPr>
          <w:sz w:val="15"/>
        </w:rPr>
      </w:pPr>
    </w:p>
    <w:p>
      <w:pPr>
        <w:spacing w:before="0"/>
        <w:ind w:left="4354" w:right="3591" w:firstLine="0"/>
        <w:jc w:val="center"/>
        <w:rPr>
          <w:sz w:val="16"/>
        </w:rPr>
      </w:pPr>
      <w:r>
        <w:rPr>
          <w:spacing w:val="3"/>
          <w:w w:val="105"/>
          <w:sz w:val="16"/>
        </w:rPr>
        <w:t>50</w:t>
      </w:r>
    </w:p>
    <w:p>
      <w:pPr>
        <w:pStyle w:val="BodyText"/>
        <w:spacing w:before="6"/>
        <w:rPr>
          <w:sz w:val="16"/>
        </w:rPr>
      </w:pPr>
    </w:p>
    <w:p>
      <w:pPr>
        <w:spacing w:before="1"/>
        <w:ind w:left="4354" w:right="3591" w:firstLine="0"/>
        <w:jc w:val="center"/>
        <w:rPr>
          <w:sz w:val="16"/>
        </w:rPr>
      </w:pPr>
      <w:r>
        <w:rPr>
          <w:spacing w:val="3"/>
          <w:w w:val="105"/>
          <w:sz w:val="16"/>
        </w:rPr>
        <w:t>45</w:t>
      </w:r>
    </w:p>
    <w:p>
      <w:pPr>
        <w:pStyle w:val="BodyText"/>
        <w:spacing w:before="3"/>
        <w:rPr>
          <w:sz w:val="15"/>
        </w:rPr>
      </w:pPr>
    </w:p>
    <w:p>
      <w:pPr>
        <w:spacing w:before="0"/>
        <w:ind w:left="4354" w:right="3591" w:firstLine="0"/>
        <w:jc w:val="center"/>
        <w:rPr>
          <w:sz w:val="16"/>
        </w:rPr>
      </w:pPr>
      <w:r>
        <w:rPr>
          <w:spacing w:val="3"/>
          <w:w w:val="105"/>
          <w:sz w:val="16"/>
        </w:rPr>
        <w:t>40</w:t>
      </w:r>
    </w:p>
    <w:p>
      <w:pPr>
        <w:pStyle w:val="BodyText"/>
        <w:spacing w:before="6"/>
        <w:rPr>
          <w:sz w:val="16"/>
        </w:rPr>
      </w:pPr>
    </w:p>
    <w:p>
      <w:pPr>
        <w:spacing w:before="1"/>
        <w:ind w:left="4354" w:right="3591" w:firstLine="0"/>
        <w:jc w:val="center"/>
        <w:rPr>
          <w:sz w:val="16"/>
        </w:rPr>
      </w:pPr>
      <w:r>
        <w:rPr>
          <w:spacing w:val="3"/>
          <w:w w:val="105"/>
          <w:sz w:val="16"/>
        </w:rPr>
        <w:t>35</w:t>
      </w:r>
    </w:p>
    <w:p>
      <w:pPr>
        <w:pStyle w:val="BodyText"/>
        <w:spacing w:before="3"/>
        <w:rPr>
          <w:sz w:val="15"/>
        </w:rPr>
      </w:pPr>
    </w:p>
    <w:p>
      <w:pPr>
        <w:spacing w:before="0"/>
        <w:ind w:left="4354" w:right="3591" w:firstLine="0"/>
        <w:jc w:val="center"/>
        <w:rPr>
          <w:sz w:val="16"/>
        </w:rPr>
      </w:pPr>
      <w:r>
        <w:rPr>
          <w:spacing w:val="3"/>
          <w:w w:val="105"/>
          <w:sz w:val="16"/>
        </w:rPr>
        <w:t>30</w:t>
      </w:r>
    </w:p>
    <w:p>
      <w:pPr>
        <w:tabs>
          <w:tab w:pos="883" w:val="left" w:leader="none"/>
          <w:tab w:pos="1785" w:val="left" w:leader="none"/>
          <w:tab w:pos="2668" w:val="left" w:leader="none"/>
          <w:tab w:pos="3556" w:val="left" w:leader="none"/>
        </w:tabs>
        <w:spacing w:before="56"/>
        <w:ind w:left="0" w:right="3660" w:firstLine="0"/>
        <w:jc w:val="center"/>
        <w:rPr>
          <w:sz w:val="16"/>
        </w:rPr>
      </w:pPr>
      <w:r>
        <w:rPr>
          <w:sz w:val="16"/>
        </w:rPr>
        <w:t>Jul-97</w:t>
        <w:tab/>
        <w:t>Jul-98</w:t>
        <w:tab/>
        <w:t>Jul-99</w:t>
        <w:tab/>
        <w:t>Jul-00</w:t>
        <w:tab/>
        <w:t>Jul-01</w:t>
      </w:r>
    </w:p>
    <w:p>
      <w:pPr>
        <w:pStyle w:val="BodyText"/>
        <w:spacing w:before="8"/>
        <w:rPr>
          <w:sz w:val="22"/>
        </w:rPr>
      </w:pPr>
    </w:p>
    <w:p>
      <w:pPr>
        <w:tabs>
          <w:tab w:pos="3807" w:val="left" w:leader="none"/>
        </w:tabs>
        <w:spacing w:before="98"/>
        <w:ind w:left="1388" w:right="0" w:firstLine="0"/>
        <w:jc w:val="left"/>
        <w:rPr>
          <w:sz w:val="16"/>
        </w:rPr>
      </w:pPr>
      <w:r>
        <w:rPr/>
        <w:pict>
          <v:rect style="position:absolute;margin-left:120.720001pt;margin-top:9.488747pt;width:3.12pt;height:1.44pt;mso-position-horizontal-relative:page;mso-position-vertical-relative:paragraph;z-index:251669504" filled="true" fillcolor="#ff00ff" stroked="false">
            <v:fill type="solid"/>
            <w10:wrap type="none"/>
          </v:rect>
        </w:pict>
      </w:r>
      <w:r>
        <w:rPr/>
        <w:pict>
          <v:rect style="position:absolute;margin-left:129.839996pt;margin-top:9.488747pt;width:2.88pt;height:1.44pt;mso-position-horizontal-relative:page;mso-position-vertical-relative:paragraph;z-index:251670528" filled="true" fillcolor="#ff00ff" stroked="false">
            <v:fill type="solid"/>
            <w10:wrap type="none"/>
          </v:rect>
        </w:pict>
      </w:r>
      <w:r>
        <w:rPr/>
        <w:pict>
          <v:rect style="position:absolute;margin-left:138.720001pt;margin-top:9.488747pt;width:3.12pt;height:1.44pt;mso-position-horizontal-relative:page;mso-position-vertical-relative:paragraph;z-index:251671552" filled="true" fillcolor="#ff00ff" stroked="false">
            <v:fill type="solid"/>
            <w10:wrap type="none"/>
          </v:rect>
        </w:pict>
      </w:r>
      <w:r>
        <w:rPr/>
        <w:pict>
          <v:rect style="position:absolute;margin-left:147.839996pt;margin-top:9.488747pt;width:2.16pt;height:1.44pt;mso-position-horizontal-relative:page;mso-position-vertical-relative:paragraph;z-index:251672576" filled="true" fillcolor="#ff00ff" stroked="false">
            <v:fill type="solid"/>
            <w10:wrap type="none"/>
          </v:rect>
        </w:pict>
      </w:r>
      <w:r>
        <w:rPr/>
        <w:pict>
          <v:line style="position:absolute;mso-position-horizontal-relative:page;mso-position-vertical-relative:paragraph;z-index:-253071360" from="242.399994pt,10.208747pt" to="269.999994pt,10.208747pt" stroked="true" strokeweight="1.44pt" strokecolor="#000080">
            <v:stroke dashstyle="solid"/>
            <w10:wrap type="none"/>
          </v:line>
        </w:pict>
      </w:r>
      <w:r>
        <w:rPr>
          <w:spacing w:val="3"/>
          <w:sz w:val="16"/>
        </w:rPr>
        <w:t>Euro</w:t>
      </w:r>
      <w:r>
        <w:rPr>
          <w:spacing w:val="20"/>
          <w:sz w:val="16"/>
        </w:rPr>
        <w:t> </w:t>
      </w:r>
      <w:r>
        <w:rPr>
          <w:sz w:val="16"/>
        </w:rPr>
        <w:t>Area</w:t>
      </w:r>
      <w:r>
        <w:rPr>
          <w:spacing w:val="18"/>
          <w:sz w:val="16"/>
        </w:rPr>
        <w:t> </w:t>
      </w:r>
      <w:r>
        <w:rPr>
          <w:sz w:val="16"/>
        </w:rPr>
        <w:t>PMI</w:t>
        <w:tab/>
        <w:t>US</w:t>
      </w:r>
      <w:r>
        <w:rPr>
          <w:spacing w:val="9"/>
          <w:sz w:val="16"/>
        </w:rPr>
        <w:t> </w:t>
      </w:r>
      <w:r>
        <w:rPr>
          <w:sz w:val="16"/>
        </w:rPr>
        <w:t>NAPM</w:t>
      </w:r>
    </w:p>
    <w:p>
      <w:pPr>
        <w:pStyle w:val="BodyText"/>
        <w:rPr>
          <w:sz w:val="18"/>
        </w:rPr>
      </w:pPr>
    </w:p>
    <w:p>
      <w:pPr>
        <w:pStyle w:val="BodyText"/>
        <w:rPr>
          <w:sz w:val="18"/>
        </w:rPr>
      </w:pPr>
    </w:p>
    <w:p>
      <w:pPr>
        <w:pStyle w:val="BodyText"/>
        <w:spacing w:before="11"/>
      </w:pPr>
    </w:p>
    <w:p>
      <w:pPr>
        <w:pStyle w:val="BodyText"/>
        <w:spacing w:line="360" w:lineRule="auto"/>
        <w:ind w:left="159"/>
      </w:pPr>
      <w:r>
        <w:rPr/>
        <w:t>There is also clear evidence of weakening consumer confidence in the US and Europe (Figure 3). Notably, US consumer sentiment had already weakened significantly in August and early September (</w:t>
      </w:r>
      <w:r>
        <w:rPr>
          <w:u w:val="single"/>
        </w:rPr>
        <w:t>before</w:t>
      </w:r>
      <w:r>
        <w:rPr/>
        <w:t> the tragic events of 11 September), with mixed evidence on whether there has been any further weakening thereafter (Table 1), ie the different indices yield divergent answers.</w:t>
      </w:r>
    </w:p>
    <w:p>
      <w:pPr>
        <w:spacing w:after="0" w:line="360" w:lineRule="auto"/>
        <w:sectPr>
          <w:pgSz w:w="11900" w:h="16840"/>
          <w:pgMar w:header="0" w:footer="782" w:top="1360" w:bottom="980" w:left="1640" w:right="1680"/>
        </w:sectPr>
      </w:pPr>
    </w:p>
    <w:p>
      <w:pPr>
        <w:pStyle w:val="Heading1"/>
        <w:spacing w:before="78"/>
      </w:pPr>
      <w:r>
        <w:rPr/>
        <w:t>TABLE 1</w:t>
      </w:r>
    </w:p>
    <w:p>
      <w:pPr>
        <w:spacing w:before="142"/>
        <w:ind w:left="160" w:right="0" w:firstLine="0"/>
        <w:jc w:val="left"/>
        <w:rPr>
          <w:b/>
          <w:sz w:val="24"/>
        </w:rPr>
      </w:pPr>
      <w:r>
        <w:rPr>
          <w:b/>
          <w:sz w:val="24"/>
        </w:rPr>
        <w:t>CONSUMER SENTIMENT IN THE US IN 2001</w:t>
      </w:r>
    </w:p>
    <w:p>
      <w:pPr>
        <w:pStyle w:val="BodyText"/>
        <w:rPr>
          <w:b/>
          <w:sz w:val="20"/>
        </w:rPr>
      </w:pPr>
    </w:p>
    <w:p>
      <w:pPr>
        <w:pStyle w:val="BodyText"/>
        <w:spacing w:before="3"/>
        <w:rPr>
          <w:b/>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9"/>
        <w:gridCol w:w="2586"/>
        <w:gridCol w:w="1959"/>
      </w:tblGrid>
      <w:tr>
        <w:trPr>
          <w:trHeight w:val="408" w:hRule="atLeast"/>
        </w:trPr>
        <w:tc>
          <w:tcPr>
            <w:tcW w:w="2439" w:type="dxa"/>
          </w:tcPr>
          <w:p>
            <w:pPr>
              <w:pStyle w:val="TableParagraph"/>
              <w:rPr>
                <w:sz w:val="22"/>
              </w:rPr>
            </w:pPr>
          </w:p>
        </w:tc>
        <w:tc>
          <w:tcPr>
            <w:tcW w:w="2586" w:type="dxa"/>
          </w:tcPr>
          <w:p>
            <w:pPr>
              <w:pStyle w:val="TableParagraph"/>
              <w:spacing w:line="266" w:lineRule="exact"/>
              <w:ind w:left="169"/>
              <w:rPr>
                <w:sz w:val="24"/>
              </w:rPr>
            </w:pPr>
            <w:r>
              <w:rPr>
                <w:sz w:val="24"/>
              </w:rPr>
              <w:t>University of Michigan</w:t>
            </w:r>
          </w:p>
        </w:tc>
        <w:tc>
          <w:tcPr>
            <w:tcW w:w="1959" w:type="dxa"/>
          </w:tcPr>
          <w:p>
            <w:pPr>
              <w:pStyle w:val="TableParagraph"/>
              <w:spacing w:line="266" w:lineRule="exact"/>
              <w:ind w:left="170"/>
              <w:rPr>
                <w:sz w:val="24"/>
              </w:rPr>
            </w:pPr>
            <w:r>
              <w:rPr>
                <w:sz w:val="24"/>
              </w:rPr>
              <w:t>Conference Board</w:t>
            </w:r>
          </w:p>
        </w:tc>
      </w:tr>
      <w:tr>
        <w:trPr>
          <w:trHeight w:val="415" w:hRule="atLeast"/>
        </w:trPr>
        <w:tc>
          <w:tcPr>
            <w:tcW w:w="2439" w:type="dxa"/>
          </w:tcPr>
          <w:p>
            <w:pPr>
              <w:pStyle w:val="TableParagraph"/>
              <w:spacing w:line="262" w:lineRule="exact" w:before="133"/>
              <w:ind w:left="50"/>
              <w:rPr>
                <w:sz w:val="24"/>
              </w:rPr>
            </w:pPr>
            <w:r>
              <w:rPr>
                <w:sz w:val="24"/>
              </w:rPr>
              <w:t>June</w:t>
            </w:r>
          </w:p>
        </w:tc>
        <w:tc>
          <w:tcPr>
            <w:tcW w:w="2586" w:type="dxa"/>
          </w:tcPr>
          <w:p>
            <w:pPr>
              <w:pStyle w:val="TableParagraph"/>
              <w:spacing w:line="262" w:lineRule="exact" w:before="133"/>
              <w:ind w:left="169"/>
              <w:rPr>
                <w:sz w:val="24"/>
              </w:rPr>
            </w:pPr>
            <w:r>
              <w:rPr>
                <w:sz w:val="24"/>
              </w:rPr>
              <w:t>92.6</w:t>
            </w:r>
          </w:p>
        </w:tc>
        <w:tc>
          <w:tcPr>
            <w:tcW w:w="1959" w:type="dxa"/>
          </w:tcPr>
          <w:p>
            <w:pPr>
              <w:pStyle w:val="TableParagraph"/>
              <w:spacing w:line="262" w:lineRule="exact" w:before="133"/>
              <w:ind w:left="170"/>
              <w:rPr>
                <w:sz w:val="24"/>
              </w:rPr>
            </w:pPr>
            <w:r>
              <w:rPr>
                <w:sz w:val="24"/>
              </w:rPr>
              <w:t>118.9</w:t>
            </w:r>
          </w:p>
        </w:tc>
      </w:tr>
      <w:tr>
        <w:trPr>
          <w:trHeight w:val="275" w:hRule="atLeast"/>
        </w:trPr>
        <w:tc>
          <w:tcPr>
            <w:tcW w:w="2439" w:type="dxa"/>
          </w:tcPr>
          <w:p>
            <w:pPr>
              <w:pStyle w:val="TableParagraph"/>
              <w:spacing w:line="256" w:lineRule="exact"/>
              <w:ind w:left="50"/>
              <w:rPr>
                <w:sz w:val="24"/>
              </w:rPr>
            </w:pPr>
            <w:r>
              <w:rPr>
                <w:sz w:val="24"/>
              </w:rPr>
              <w:t>July</w:t>
            </w:r>
          </w:p>
        </w:tc>
        <w:tc>
          <w:tcPr>
            <w:tcW w:w="2586" w:type="dxa"/>
          </w:tcPr>
          <w:p>
            <w:pPr>
              <w:pStyle w:val="TableParagraph"/>
              <w:spacing w:line="256" w:lineRule="exact"/>
              <w:ind w:left="169"/>
              <w:rPr>
                <w:sz w:val="24"/>
              </w:rPr>
            </w:pPr>
            <w:r>
              <w:rPr>
                <w:sz w:val="24"/>
              </w:rPr>
              <w:t>92.4</w:t>
            </w:r>
          </w:p>
        </w:tc>
        <w:tc>
          <w:tcPr>
            <w:tcW w:w="1959" w:type="dxa"/>
          </w:tcPr>
          <w:p>
            <w:pPr>
              <w:pStyle w:val="TableParagraph"/>
              <w:spacing w:line="256" w:lineRule="exact"/>
              <w:ind w:left="170"/>
              <w:rPr>
                <w:sz w:val="24"/>
              </w:rPr>
            </w:pPr>
            <w:r>
              <w:rPr>
                <w:sz w:val="24"/>
              </w:rPr>
              <w:t>116.3</w:t>
            </w:r>
          </w:p>
        </w:tc>
      </w:tr>
      <w:tr>
        <w:trPr>
          <w:trHeight w:val="275" w:hRule="atLeast"/>
        </w:trPr>
        <w:tc>
          <w:tcPr>
            <w:tcW w:w="2439" w:type="dxa"/>
          </w:tcPr>
          <w:p>
            <w:pPr>
              <w:pStyle w:val="TableParagraph"/>
              <w:spacing w:line="256" w:lineRule="exact"/>
              <w:ind w:left="50"/>
              <w:rPr>
                <w:sz w:val="24"/>
              </w:rPr>
            </w:pPr>
            <w:r>
              <w:rPr>
                <w:sz w:val="24"/>
              </w:rPr>
              <w:t>August</w:t>
            </w:r>
          </w:p>
        </w:tc>
        <w:tc>
          <w:tcPr>
            <w:tcW w:w="2586" w:type="dxa"/>
          </w:tcPr>
          <w:p>
            <w:pPr>
              <w:pStyle w:val="TableParagraph"/>
              <w:spacing w:line="256" w:lineRule="exact"/>
              <w:ind w:left="169"/>
              <w:rPr>
                <w:sz w:val="24"/>
              </w:rPr>
            </w:pPr>
            <w:r>
              <w:rPr>
                <w:sz w:val="24"/>
              </w:rPr>
              <w:t>91.5</w:t>
            </w:r>
          </w:p>
        </w:tc>
        <w:tc>
          <w:tcPr>
            <w:tcW w:w="1959" w:type="dxa"/>
          </w:tcPr>
          <w:p>
            <w:pPr>
              <w:pStyle w:val="TableParagraph"/>
              <w:spacing w:line="256" w:lineRule="exact"/>
              <w:ind w:left="170"/>
              <w:rPr>
                <w:sz w:val="24"/>
              </w:rPr>
            </w:pPr>
            <w:r>
              <w:rPr>
                <w:sz w:val="24"/>
              </w:rPr>
              <w:t>114.0</w:t>
            </w:r>
          </w:p>
        </w:tc>
      </w:tr>
      <w:tr>
        <w:trPr>
          <w:trHeight w:val="275" w:hRule="atLeast"/>
        </w:trPr>
        <w:tc>
          <w:tcPr>
            <w:tcW w:w="2439" w:type="dxa"/>
          </w:tcPr>
          <w:p>
            <w:pPr>
              <w:pStyle w:val="TableParagraph"/>
              <w:spacing w:line="256" w:lineRule="exact"/>
              <w:ind w:left="50"/>
              <w:rPr>
                <w:sz w:val="24"/>
              </w:rPr>
            </w:pPr>
            <w:r>
              <w:rPr>
                <w:sz w:val="24"/>
              </w:rPr>
              <w:t>Preliminary September</w:t>
            </w:r>
          </w:p>
        </w:tc>
        <w:tc>
          <w:tcPr>
            <w:tcW w:w="2586" w:type="dxa"/>
          </w:tcPr>
          <w:p>
            <w:pPr>
              <w:pStyle w:val="TableParagraph"/>
              <w:spacing w:line="256" w:lineRule="exact"/>
              <w:ind w:left="169"/>
              <w:rPr>
                <w:sz w:val="24"/>
              </w:rPr>
            </w:pPr>
            <w:r>
              <w:rPr>
                <w:sz w:val="24"/>
              </w:rPr>
              <w:t>83.6</w:t>
            </w:r>
          </w:p>
        </w:tc>
        <w:tc>
          <w:tcPr>
            <w:tcW w:w="1959" w:type="dxa"/>
          </w:tcPr>
          <w:p>
            <w:pPr>
              <w:pStyle w:val="TableParagraph"/>
              <w:spacing w:line="256" w:lineRule="exact"/>
              <w:ind w:left="592"/>
              <w:rPr>
                <w:sz w:val="24"/>
              </w:rPr>
            </w:pPr>
            <w:r>
              <w:rPr>
                <w:sz w:val="24"/>
              </w:rPr>
              <w:t>-</w:t>
            </w:r>
          </w:p>
        </w:tc>
      </w:tr>
      <w:tr>
        <w:trPr>
          <w:trHeight w:val="275" w:hRule="atLeast"/>
        </w:trPr>
        <w:tc>
          <w:tcPr>
            <w:tcW w:w="2439" w:type="dxa"/>
          </w:tcPr>
          <w:p>
            <w:pPr>
              <w:pStyle w:val="TableParagraph"/>
              <w:spacing w:line="256" w:lineRule="exact"/>
              <w:ind w:left="50"/>
              <w:rPr>
                <w:sz w:val="24"/>
              </w:rPr>
            </w:pPr>
            <w:r>
              <w:rPr>
                <w:sz w:val="24"/>
              </w:rPr>
              <w:t>Final September</w:t>
            </w:r>
          </w:p>
        </w:tc>
        <w:tc>
          <w:tcPr>
            <w:tcW w:w="2586" w:type="dxa"/>
          </w:tcPr>
          <w:p>
            <w:pPr>
              <w:pStyle w:val="TableParagraph"/>
              <w:spacing w:line="256" w:lineRule="exact"/>
              <w:ind w:left="169"/>
              <w:rPr>
                <w:sz w:val="24"/>
              </w:rPr>
            </w:pPr>
            <w:r>
              <w:rPr>
                <w:sz w:val="24"/>
              </w:rPr>
              <w:t>81.8</w:t>
            </w:r>
          </w:p>
        </w:tc>
        <w:tc>
          <w:tcPr>
            <w:tcW w:w="1959" w:type="dxa"/>
          </w:tcPr>
          <w:p>
            <w:pPr>
              <w:pStyle w:val="TableParagraph"/>
              <w:spacing w:line="256" w:lineRule="exact"/>
              <w:ind w:left="233"/>
              <w:rPr>
                <w:sz w:val="24"/>
              </w:rPr>
            </w:pPr>
            <w:r>
              <w:rPr>
                <w:sz w:val="24"/>
              </w:rPr>
              <w:t>97.0</w:t>
            </w:r>
          </w:p>
        </w:tc>
      </w:tr>
      <w:tr>
        <w:trPr>
          <w:trHeight w:val="272" w:hRule="atLeast"/>
        </w:trPr>
        <w:tc>
          <w:tcPr>
            <w:tcW w:w="2439" w:type="dxa"/>
          </w:tcPr>
          <w:p>
            <w:pPr>
              <w:pStyle w:val="TableParagraph"/>
              <w:spacing w:line="252" w:lineRule="exact"/>
              <w:ind w:left="50"/>
              <w:rPr>
                <w:sz w:val="24"/>
              </w:rPr>
            </w:pPr>
            <w:r>
              <w:rPr>
                <w:sz w:val="24"/>
              </w:rPr>
              <w:t>October</w:t>
            </w:r>
          </w:p>
        </w:tc>
        <w:tc>
          <w:tcPr>
            <w:tcW w:w="2586" w:type="dxa"/>
          </w:tcPr>
          <w:p>
            <w:pPr>
              <w:pStyle w:val="TableParagraph"/>
              <w:spacing w:line="252" w:lineRule="exact"/>
              <w:ind w:left="169"/>
              <w:rPr>
                <w:sz w:val="24"/>
              </w:rPr>
            </w:pPr>
            <w:r>
              <w:rPr>
                <w:sz w:val="24"/>
              </w:rPr>
              <w:t>82.7</w:t>
            </w:r>
          </w:p>
        </w:tc>
        <w:tc>
          <w:tcPr>
            <w:tcW w:w="1959" w:type="dxa"/>
          </w:tcPr>
          <w:p>
            <w:pPr>
              <w:pStyle w:val="TableParagraph"/>
              <w:spacing w:line="252" w:lineRule="exact"/>
              <w:ind w:left="233"/>
              <w:rPr>
                <w:sz w:val="24"/>
              </w:rPr>
            </w:pPr>
            <w:r>
              <w:rPr>
                <w:sz w:val="24"/>
              </w:rPr>
              <w:t>85.5</w:t>
            </w:r>
          </w:p>
        </w:tc>
      </w:tr>
    </w:tbl>
    <w:p>
      <w:pPr>
        <w:pStyle w:val="BodyText"/>
        <w:rPr>
          <w:b/>
          <w:sz w:val="20"/>
        </w:rPr>
      </w:pPr>
    </w:p>
    <w:p>
      <w:pPr>
        <w:pStyle w:val="BodyText"/>
        <w:rPr>
          <w:b/>
          <w:sz w:val="20"/>
        </w:rPr>
      </w:pPr>
    </w:p>
    <w:p>
      <w:pPr>
        <w:pStyle w:val="BodyText"/>
        <w:spacing w:before="2"/>
        <w:rPr>
          <w:b/>
        </w:rPr>
      </w:pPr>
    </w:p>
    <w:p>
      <w:pPr>
        <w:spacing w:before="90"/>
        <w:ind w:left="160" w:right="0" w:firstLine="0"/>
        <w:jc w:val="left"/>
        <w:rPr>
          <w:b/>
          <w:sz w:val="24"/>
        </w:rPr>
      </w:pPr>
      <w:r>
        <w:rPr>
          <w:b/>
          <w:sz w:val="24"/>
        </w:rPr>
        <w:t>FIGURE 3</w:t>
      </w:r>
    </w:p>
    <w:p>
      <w:pPr>
        <w:pStyle w:val="BodyText"/>
        <w:spacing w:before="2"/>
        <w:rPr>
          <w:b/>
          <w:sz w:val="16"/>
        </w:rPr>
      </w:pPr>
    </w:p>
    <w:p>
      <w:pPr>
        <w:spacing w:after="0"/>
        <w:rPr>
          <w:sz w:val="16"/>
        </w:rPr>
        <w:sectPr>
          <w:pgSz w:w="11900" w:h="16840"/>
          <w:pgMar w:header="0" w:footer="782" w:top="1360" w:bottom="980" w:left="1640" w:right="1680"/>
        </w:sectPr>
      </w:pPr>
    </w:p>
    <w:p>
      <w:pPr>
        <w:pStyle w:val="BodyText"/>
        <w:rPr>
          <w:b/>
          <w:sz w:val="18"/>
        </w:rPr>
      </w:pPr>
    </w:p>
    <w:p>
      <w:pPr>
        <w:pStyle w:val="BodyText"/>
        <w:rPr>
          <w:b/>
          <w:sz w:val="18"/>
        </w:rPr>
      </w:pPr>
    </w:p>
    <w:p>
      <w:pPr>
        <w:pStyle w:val="BodyText"/>
        <w:spacing w:before="7"/>
        <w:rPr>
          <w:b/>
          <w:sz w:val="19"/>
        </w:rPr>
      </w:pPr>
    </w:p>
    <w:p>
      <w:pPr>
        <w:spacing w:before="1"/>
        <w:ind w:left="0" w:right="0" w:firstLine="0"/>
        <w:jc w:val="right"/>
        <w:rPr>
          <w:sz w:val="17"/>
        </w:rPr>
      </w:pPr>
      <w:r>
        <w:rPr>
          <w:sz w:val="17"/>
        </w:rPr>
        <w:t>150</w:t>
      </w:r>
    </w:p>
    <w:p>
      <w:pPr>
        <w:pStyle w:val="BodyText"/>
        <w:spacing w:before="9"/>
        <w:rPr>
          <w:sz w:val="16"/>
        </w:rPr>
      </w:pPr>
    </w:p>
    <w:p>
      <w:pPr>
        <w:spacing w:before="0"/>
        <w:ind w:left="0" w:right="0" w:firstLine="0"/>
        <w:jc w:val="right"/>
        <w:rPr>
          <w:sz w:val="17"/>
        </w:rPr>
      </w:pPr>
      <w:r>
        <w:rPr>
          <w:sz w:val="17"/>
        </w:rPr>
        <w:t>140</w:t>
      </w:r>
    </w:p>
    <w:p>
      <w:pPr>
        <w:pStyle w:val="BodyText"/>
        <w:spacing w:before="4"/>
        <w:rPr>
          <w:sz w:val="16"/>
        </w:rPr>
      </w:pPr>
    </w:p>
    <w:p>
      <w:pPr>
        <w:spacing w:before="0"/>
        <w:ind w:left="0" w:right="0" w:firstLine="0"/>
        <w:jc w:val="right"/>
        <w:rPr>
          <w:sz w:val="17"/>
        </w:rPr>
      </w:pPr>
      <w:r>
        <w:rPr>
          <w:sz w:val="17"/>
        </w:rPr>
        <w:t>130</w:t>
      </w:r>
    </w:p>
    <w:p>
      <w:pPr>
        <w:pStyle w:val="BodyText"/>
        <w:spacing w:before="10"/>
        <w:rPr>
          <w:sz w:val="16"/>
        </w:rPr>
      </w:pPr>
    </w:p>
    <w:p>
      <w:pPr>
        <w:spacing w:before="0"/>
        <w:ind w:left="0" w:right="0" w:firstLine="0"/>
        <w:jc w:val="right"/>
        <w:rPr>
          <w:sz w:val="17"/>
        </w:rPr>
      </w:pPr>
      <w:r>
        <w:rPr>
          <w:sz w:val="17"/>
        </w:rPr>
        <w:t>120</w:t>
      </w:r>
    </w:p>
    <w:p>
      <w:pPr>
        <w:pStyle w:val="BodyText"/>
        <w:spacing w:before="4"/>
        <w:rPr>
          <w:sz w:val="16"/>
        </w:rPr>
      </w:pPr>
    </w:p>
    <w:p>
      <w:pPr>
        <w:spacing w:before="0"/>
        <w:ind w:left="0" w:right="0" w:firstLine="0"/>
        <w:jc w:val="right"/>
        <w:rPr>
          <w:sz w:val="17"/>
        </w:rPr>
      </w:pPr>
      <w:r>
        <w:rPr>
          <w:sz w:val="17"/>
        </w:rPr>
        <w:t>110</w:t>
      </w:r>
    </w:p>
    <w:p>
      <w:pPr>
        <w:pStyle w:val="BodyText"/>
        <w:spacing w:before="9"/>
        <w:rPr>
          <w:sz w:val="16"/>
        </w:rPr>
      </w:pPr>
    </w:p>
    <w:p>
      <w:pPr>
        <w:spacing w:before="1"/>
        <w:ind w:left="0" w:right="0" w:firstLine="0"/>
        <w:jc w:val="right"/>
        <w:rPr>
          <w:sz w:val="17"/>
        </w:rPr>
      </w:pPr>
      <w:r>
        <w:rPr>
          <w:sz w:val="17"/>
        </w:rPr>
        <w:t>100</w:t>
      </w:r>
    </w:p>
    <w:p>
      <w:pPr>
        <w:pStyle w:val="BodyText"/>
        <w:spacing w:before="4"/>
        <w:rPr>
          <w:sz w:val="16"/>
        </w:rPr>
      </w:pPr>
    </w:p>
    <w:p>
      <w:pPr>
        <w:spacing w:before="0"/>
        <w:ind w:left="0" w:right="0" w:firstLine="0"/>
        <w:jc w:val="right"/>
        <w:rPr>
          <w:sz w:val="17"/>
        </w:rPr>
      </w:pPr>
      <w:r>
        <w:rPr>
          <w:sz w:val="17"/>
        </w:rPr>
        <w:t>90</w:t>
      </w:r>
    </w:p>
    <w:p>
      <w:pPr>
        <w:pStyle w:val="BodyText"/>
        <w:spacing w:before="9"/>
        <w:rPr>
          <w:sz w:val="16"/>
        </w:rPr>
      </w:pPr>
    </w:p>
    <w:p>
      <w:pPr>
        <w:spacing w:before="0"/>
        <w:ind w:left="0" w:right="0" w:firstLine="0"/>
        <w:jc w:val="right"/>
        <w:rPr>
          <w:sz w:val="17"/>
        </w:rPr>
      </w:pPr>
      <w:r>
        <w:rPr>
          <w:sz w:val="17"/>
        </w:rPr>
        <w:t>80</w:t>
      </w:r>
    </w:p>
    <w:p>
      <w:pPr>
        <w:pStyle w:val="Heading1"/>
        <w:spacing w:line="264" w:lineRule="auto" w:before="90"/>
        <w:ind w:left="276" w:right="10"/>
      </w:pPr>
      <w:r>
        <w:rPr>
          <w:b w:val="0"/>
        </w:rPr>
        <w:br w:type="column"/>
      </w:r>
      <w:r>
        <w:rPr/>
        <w:t>US and Euro Area Consumer Sentiment</w:t>
      </w:r>
    </w:p>
    <w:p>
      <w:pPr>
        <w:pStyle w:val="BodyText"/>
        <w:rPr>
          <w:b/>
          <w:sz w:val="18"/>
        </w:rPr>
      </w:pPr>
      <w:r>
        <w:rPr/>
        <w:br w:type="column"/>
      </w:r>
      <w:r>
        <w:rPr>
          <w:b/>
          <w:sz w:val="18"/>
        </w:rPr>
      </w:r>
    </w:p>
    <w:p>
      <w:pPr>
        <w:pStyle w:val="BodyText"/>
        <w:rPr>
          <w:b/>
          <w:sz w:val="18"/>
        </w:rPr>
      </w:pPr>
    </w:p>
    <w:p>
      <w:pPr>
        <w:pStyle w:val="BodyText"/>
        <w:spacing w:before="7"/>
        <w:rPr>
          <w:b/>
          <w:sz w:val="19"/>
        </w:rPr>
      </w:pPr>
    </w:p>
    <w:p>
      <w:pPr>
        <w:spacing w:before="1"/>
        <w:ind w:left="409" w:right="0" w:firstLine="0"/>
        <w:jc w:val="left"/>
        <w:rPr>
          <w:sz w:val="17"/>
        </w:rPr>
      </w:pPr>
      <w:r>
        <w:rPr/>
        <w:pict>
          <v:group style="position:absolute;margin-left:119.040001pt;margin-top:5.465559pt;width:187.1pt;height:135.4pt;mso-position-horizontal-relative:page;mso-position-vertical-relative:paragraph;z-index:251674624" coordorigin="2381,109" coordsize="3742,2708">
            <v:shape style="position:absolute;left:2433;top:111;width:3687;height:2703" coordorigin="2434,112" coordsize="3687,2703" path="m6067,112l6067,2814,6120,2814m6067,2478l6120,2478m6067,2137l6120,2137m6067,1801l6120,1801m6067,1465l6120,1465m6067,1125l6120,1125m6067,789l6120,789m6067,448l6120,448m6067,112l6120,112m2434,789l6067,789m2434,841l2434,789m3403,841l3403,789m4373,841l4373,789m5338,841l5338,789e" filled="false" stroked="true" strokeweight=".24pt" strokecolor="#000000">
              <v:path arrowok="t"/>
              <v:stroke dashstyle="solid"/>
            </v:shape>
            <v:shape style="position:absolute;left:2433;top:1743;width:442;height:413" coordorigin="2434,1744" coordsize="442,413" path="m2482,2085l2443,2085,2434,2109,2434,2157,2453,2157,2482,2085m2563,1917l2525,1917,2496,1989,2534,1989,2563,1917m2654,1782l2578,1782,2578,1821,2654,1821,2654,1782m2813,1782l2736,1782,2659,1782,2659,1821,2736,1821,2813,1821,2813,1782m2875,1744l2837,1744,2818,1816,2856,1821,2875,1744e" filled="true" fillcolor="#ff00ff" stroked="false">
              <v:path arrowok="t"/>
              <v:fill type="solid"/>
            </v:shape>
            <v:shape style="position:absolute;left:2870;top:1402;width:322;height:250" type="#_x0000_t75" stroked="false">
              <v:imagedata r:id="rId16" o:title=""/>
            </v:shape>
            <v:shape style="position:absolute;left:3177;top:898;width:1148;height:1090" coordorigin="3178,899" coordsize="1148,1090" path="m3226,1177l3187,1177,3178,1254,3216,1254,3226,1177m3288,1009l3259,937,3221,933,3227,948,3221,947,3211,1024,3250,1029,3253,1005,3288,1009m3370,1072l3331,1072,3302,1144,3341,1144,3370,1072m3461,937l3384,937,3384,976,3461,976,3461,937m3518,1009l3504,937,3466,933,3480,1009,3518,1009m3566,1240l3552,1163,3514,1158,3528,1235,3566,1240m3600,1350l3586,1273,3547,1273,3562,1345,3600,1350m3648,1576l3634,1499,3595,1499,3610,1576,3648,1576m3691,1686l3662,1614,3624,1609,3653,1681,3691,1686m3773,1854l3744,1782,3706,1777,3734,1849,3773,1854m3845,1917l3806,1912,3787,1989,3826,1989,3845,1917m3888,1686l3850,1686,3835,1763,3874,1763,3888,1686m3946,1614l3869,1614,3869,1653,3946,1653,3946,1614m4013,1581l3974,1576,3950,1648,3989,1653,4013,1581m4094,1413l4056,1408,4027,1480,4066,1485,4094,1413m4176,1240l4138,1240,4109,1312,4147,1312,4176,1240m4258,1072l4219,1072,4190,1144,4229,1144,4258,1072m4325,899l4286,899,4272,971,4310,976,4325,899e" filled="true" fillcolor="#ff00ff" stroked="false">
              <v:path arrowok="t"/>
              <v:fill type="solid"/>
            </v:shape>
            <v:shape style="position:absolute;left:4320;top:562;width:260;height:245" type="#_x0000_t75" stroked="false">
              <v:imagedata r:id="rId17" o:title=""/>
            </v:shape>
            <v:shape style="position:absolute;left:4593;top:428;width:620;height:716" coordorigin="4594,429" coordsize="620,716" path="m4670,429l4594,429,4594,467,4670,467,4670,429m4742,501l4714,429,4675,429,4704,501,4742,501m4824,563l4786,563,4757,635,4795,635,4824,563m4915,429l4838,429,4838,467,4915,467,4915,429m4963,505l4954,429,4915,429,4925,505,4963,505m4992,736l4982,659,4944,659,4954,736,4992,736m5016,966l5006,889,4968,885,4978,961,5016,966m5054,1072l5016,1067,5004,1116,4997,1115,4997,1144,5035,1144,5054,1072m5102,841l5064,841,5045,918,5083,918,5102,841m5155,769l5078,769,5078,808,5155,808,5155,769m5213,731l5174,731,5160,803,5198,808,5213,731e" filled="true" fillcolor="#ff00ff" stroked="false">
              <v:path arrowok="t"/>
              <v:fill type="solid"/>
            </v:shape>
            <v:shape style="position:absolute;left:5208;top:428;width:341;height:240" type="#_x0000_t75" stroked="false">
              <v:imagedata r:id="rId18" o:title=""/>
            </v:shape>
            <v:shape style="position:absolute;left:5563;top:764;width:471;height:1599" coordorigin="5563,765" coordsize="471,1599" path="m5616,841l5602,769,5563,765,5578,841,5616,841m5664,1072l5650,995,5611,990,5626,1067,5664,1072m5712,1177l5683,1105,5645,1105,5674,1177,5712,1177m5774,1350l5765,1273,5726,1273,5736,1350,5774,1350m5808,1581l5798,1504,5760,1499,5770,1576,5808,1581m5861,1854l5842,1782,5839,1782,5832,1729,5794,1729,5803,1806,5810,1806,5822,1854,5861,1854m5909,2085l5890,2008,5851,2003,5870,2080,5909,2085m5952,2190l5923,2118,5885,2118,5914,2190,5952,2190m6034,2363l6005,2291,5966,2286,5995,2358,6034,2363e" filled="true" fillcolor="#ff00ff" stroked="false">
              <v:path arrowok="t"/>
              <v:fill type="solid"/>
            </v:shape>
            <v:shape style="position:absolute;left:2380;top:111;width:106;height:2703" coordorigin="2381,112" coordsize="106,2703" path="m2434,112l2434,2814m2381,2814l2486,2814m2381,2430l2486,2430m2381,2041l2486,2041m2381,1657l2486,1657m2381,1269l2486,1269m2381,885l2486,885m2381,496l2486,496m2381,112l2486,112e" filled="false" stroked="true" strokeweight=".24pt" strokecolor="#000000">
              <v:path arrowok="t"/>
              <v:stroke dashstyle="solid"/>
            </v:shape>
            <v:line style="position:absolute" from="2434,947" to="2515,597" stroked="true" strokeweight="1.92pt" strokecolor="#000080">
              <v:stroke dashstyle="solid"/>
            </v:line>
            <v:line style="position:absolute" from="2515,597" to="2597,736" stroked="true" strokeweight="1.92pt" strokecolor="#000080">
              <v:stroke dashstyle="solid"/>
            </v:line>
            <v:line style="position:absolute" from="2597,736" to="2678,606" stroked="true" strokeweight="1.92pt" strokecolor="#000080">
              <v:stroke dashstyle="solid"/>
            </v:line>
            <v:line style="position:absolute" from="2678,606" to="2755,640" stroked="true" strokeweight="1.92pt" strokecolor="#000080">
              <v:stroke dashstyle="solid"/>
            </v:line>
            <v:line style="position:absolute" from="2755,640" to="2837,568" stroked="true" strokeweight="1.92pt" strokecolor="#000080">
              <v:stroke dashstyle="solid"/>
            </v:line>
            <v:shape style="position:absolute;left:2836;top:534;width:1052;height:764" coordorigin="2837,534" coordsize="1052,764" path="m2837,568l2918,606m2918,606l3000,765m3000,765l3082,1024m3082,1024l3163,1297m3163,1297l3240,1024m3240,1024l3322,1009m3322,1009l3403,928m3403,928l3485,765m3485,765l3566,731m3566,731l3643,669m3643,669l3725,587m3725,587l3806,534m3806,534l3888,645e" filled="false" stroked="true" strokeweight="1.92pt" strokecolor="#000080">
              <v:path arrowok="t"/>
              <v:stroke dashstyle="solid"/>
            </v:shape>
            <v:line style="position:absolute" from="3869,647" to="3989,647" stroked="true" strokeweight="2.16pt" strokecolor="#000080">
              <v:stroke dashstyle="solid"/>
            </v:line>
            <v:shape style="position:absolute;left:3969;top:610;width:240;height:255" coordorigin="3970,611" coordsize="240,255" path="m3970,649l4046,721m4046,721l4128,865m4128,865l4210,611e" filled="false" stroked="true" strokeweight="1.92pt" strokecolor="#000080">
              <v:path arrowok="t"/>
              <v:stroke dashstyle="solid"/>
            </v:shape>
            <v:line style="position:absolute" from="4210,611" to="4291,433" stroked="true" strokeweight="1.92pt" strokecolor="#000080">
              <v:stroke dashstyle="solid"/>
            </v:line>
            <v:line style="position:absolute" from="4291,433" to="4373,313" stroked="true" strokeweight="1.92pt" strokecolor="#000080">
              <v:stroke dashstyle="solid"/>
            </v:line>
            <v:line style="position:absolute" from="4373,313" to="4454,467" stroked="true" strokeweight="1.92pt" strokecolor="#000080">
              <v:stroke dashstyle="solid"/>
            </v:line>
            <v:line style="position:absolute" from="4454,467" to="4531,611" stroked="true" strokeweight="1.92pt" strokecolor="#000080">
              <v:stroke dashstyle="solid"/>
            </v:line>
            <v:line style="position:absolute" from="4531,611" to="4613,587" stroked="true" strokeweight="1.92pt" strokecolor="#000080">
              <v:stroke dashstyle="solid"/>
            </v:line>
            <v:line style="position:absolute" from="4613,587" to="4694,313" stroked="true" strokeweight="1.92pt" strokecolor="#000080">
              <v:stroke dashstyle="solid"/>
            </v:line>
            <v:line style="position:absolute" from="4694,313" to="4776,529" stroked="true" strokeweight="1.92pt" strokecolor="#000080">
              <v:stroke dashstyle="solid"/>
            </v:line>
            <v:line style="position:absolute" from="4776,529" to="4858,381" stroked="true" strokeweight="1.92pt" strokecolor="#000080">
              <v:stroke dashstyle="solid"/>
            </v:line>
            <v:line style="position:absolute" from="4858,381" to="4934,467" stroked="true" strokeweight="1.92pt" strokecolor="#000080">
              <v:stroke dashstyle="solid"/>
            </v:line>
            <v:line style="position:absolute" from="4934,467" to="5016,400" stroked="true" strokeweight="1.92pt" strokecolor="#000080">
              <v:stroke dashstyle="solid"/>
            </v:line>
            <v:line style="position:absolute" from="5016,400" to="5098,659" stroked="true" strokeweight="1.92pt" strokecolor="#000080">
              <v:stroke dashstyle="solid"/>
            </v:line>
            <v:shape style="position:absolute;left:5097;top:658;width:240;height:778" coordorigin="5098,659" coordsize="240,778" path="m5098,659l5179,784m5179,784l5261,937m5261,937l5338,1437e" filled="false" stroked="true" strokeweight="1.92pt" strokecolor="#000080">
              <v:path arrowok="t"/>
              <v:stroke dashstyle="solid"/>
            </v:shape>
            <v:shape style="position:absolute;left:5318;top:1292;width:605;height:413" type="#_x0000_t75" stroked="false">
              <v:imagedata r:id="rId19" o:title=""/>
            </v:shape>
            <v:line style="position:absolute" from="5904,1504" to="5986,2157" stroked="true" strokeweight="1.92pt" strokecolor="#000080">
              <v:stroke dashstyle="solid"/>
            </v:line>
            <v:line style="position:absolute" from="5986,2157" to="6067,2603" stroked="true" strokeweight="1.92pt" strokecolor="#000080">
              <v:stroke dashstyle="solid"/>
            </v:line>
            <w10:wrap type="none"/>
          </v:group>
        </w:pict>
      </w:r>
      <w:r>
        <w:rPr>
          <w:w w:val="100"/>
          <w:sz w:val="17"/>
        </w:rPr>
        <w:t>4</w:t>
      </w:r>
    </w:p>
    <w:p>
      <w:pPr>
        <w:spacing w:before="145"/>
        <w:ind w:left="409" w:right="0" w:firstLine="0"/>
        <w:jc w:val="left"/>
        <w:rPr>
          <w:sz w:val="17"/>
        </w:rPr>
      </w:pPr>
      <w:r>
        <w:rPr>
          <w:w w:val="100"/>
          <w:sz w:val="17"/>
        </w:rPr>
        <w:t>2</w:t>
      </w:r>
    </w:p>
    <w:p>
      <w:pPr>
        <w:spacing w:before="140"/>
        <w:ind w:left="409" w:right="0" w:firstLine="0"/>
        <w:jc w:val="left"/>
        <w:rPr>
          <w:sz w:val="17"/>
        </w:rPr>
      </w:pPr>
      <w:r>
        <w:rPr>
          <w:w w:val="100"/>
          <w:sz w:val="17"/>
        </w:rPr>
        <w:t>0</w:t>
      </w:r>
    </w:p>
    <w:p>
      <w:pPr>
        <w:spacing w:before="146"/>
        <w:ind w:left="409" w:right="0" w:firstLine="0"/>
        <w:jc w:val="left"/>
        <w:rPr>
          <w:sz w:val="17"/>
        </w:rPr>
      </w:pPr>
      <w:r>
        <w:rPr>
          <w:sz w:val="17"/>
        </w:rPr>
        <w:t>-2</w:t>
      </w:r>
    </w:p>
    <w:p>
      <w:pPr>
        <w:spacing w:before="140"/>
        <w:ind w:left="409" w:right="0" w:firstLine="0"/>
        <w:jc w:val="left"/>
        <w:rPr>
          <w:sz w:val="17"/>
        </w:rPr>
      </w:pPr>
      <w:r>
        <w:rPr>
          <w:sz w:val="17"/>
        </w:rPr>
        <w:t>-4</w:t>
      </w:r>
    </w:p>
    <w:p>
      <w:pPr>
        <w:spacing w:before="141"/>
        <w:ind w:left="409" w:right="0" w:firstLine="0"/>
        <w:jc w:val="left"/>
        <w:rPr>
          <w:sz w:val="17"/>
        </w:rPr>
      </w:pPr>
      <w:r>
        <w:rPr>
          <w:sz w:val="17"/>
        </w:rPr>
        <w:t>-6</w:t>
      </w:r>
    </w:p>
    <w:p>
      <w:pPr>
        <w:spacing w:before="145"/>
        <w:ind w:left="409" w:right="0" w:firstLine="0"/>
        <w:jc w:val="left"/>
        <w:rPr>
          <w:sz w:val="17"/>
        </w:rPr>
      </w:pPr>
      <w:r>
        <w:rPr>
          <w:sz w:val="17"/>
        </w:rPr>
        <w:t>-8</w:t>
      </w:r>
    </w:p>
    <w:p>
      <w:pPr>
        <w:spacing w:before="141"/>
        <w:ind w:left="409" w:right="0" w:firstLine="0"/>
        <w:jc w:val="left"/>
        <w:rPr>
          <w:sz w:val="17"/>
        </w:rPr>
      </w:pPr>
      <w:r>
        <w:rPr>
          <w:sz w:val="17"/>
        </w:rPr>
        <w:t>-10</w:t>
      </w:r>
    </w:p>
    <w:p>
      <w:pPr>
        <w:spacing w:before="145"/>
        <w:ind w:left="409" w:right="0" w:firstLine="0"/>
        <w:jc w:val="left"/>
        <w:rPr>
          <w:sz w:val="17"/>
        </w:rPr>
      </w:pPr>
      <w:r>
        <w:rPr>
          <w:sz w:val="17"/>
        </w:rPr>
        <w:t>-12</w:t>
      </w:r>
    </w:p>
    <w:p>
      <w:pPr>
        <w:spacing w:after="0"/>
        <w:jc w:val="left"/>
        <w:rPr>
          <w:sz w:val="17"/>
        </w:rPr>
        <w:sectPr>
          <w:type w:val="continuous"/>
          <w:pgSz w:w="11900" w:h="16840"/>
          <w:pgMar w:top="1180" w:bottom="280" w:left="1640" w:right="1680"/>
          <w:cols w:num="3" w:equalWidth="0">
            <w:col w:w="669" w:space="40"/>
            <w:col w:w="2473" w:space="960"/>
            <w:col w:w="4438"/>
          </w:cols>
        </w:sectPr>
      </w:pPr>
    </w:p>
    <w:p>
      <w:pPr>
        <w:tabs>
          <w:tab w:pos="1532" w:val="left" w:leader="none"/>
          <w:tab w:pos="2502" w:val="left" w:leader="none"/>
          <w:tab w:pos="3471" w:val="left" w:leader="none"/>
        </w:tabs>
        <w:spacing w:before="59"/>
        <w:ind w:left="568" w:right="0" w:firstLine="0"/>
        <w:jc w:val="left"/>
        <w:rPr>
          <w:sz w:val="17"/>
        </w:rPr>
      </w:pPr>
      <w:r>
        <w:rPr>
          <w:sz w:val="17"/>
        </w:rPr>
        <w:t>Jan-98</w:t>
        <w:tab/>
        <w:t>Jan-99</w:t>
        <w:tab/>
        <w:t>Jan-00</w:t>
        <w:tab/>
        <w:t>Jan-01</w:t>
      </w:r>
    </w:p>
    <w:p>
      <w:pPr>
        <w:pStyle w:val="BodyText"/>
        <w:spacing w:before="9"/>
        <w:rPr>
          <w:sz w:val="20"/>
        </w:rPr>
      </w:pPr>
    </w:p>
    <w:p>
      <w:pPr>
        <w:tabs>
          <w:tab w:pos="3121" w:val="left" w:leader="none"/>
        </w:tabs>
        <w:spacing w:before="93"/>
        <w:ind w:left="1158" w:right="0" w:firstLine="0"/>
        <w:jc w:val="left"/>
        <w:rPr>
          <w:sz w:val="17"/>
        </w:rPr>
      </w:pPr>
      <w:r>
        <w:rPr/>
        <w:pict>
          <v:rect style="position:absolute;margin-left:108.959999pt;margin-top:8.025548pt;width:3.84pt;height:1.92pt;mso-position-horizontal-relative:page;mso-position-vertical-relative:paragraph;z-index:251675648" filled="true" fillcolor="#ff00ff" stroked="false">
            <v:fill type="solid"/>
            <w10:wrap type="none"/>
          </v:rect>
        </w:pict>
      </w:r>
      <w:r>
        <w:rPr/>
        <w:pict>
          <v:rect style="position:absolute;margin-left:120.480003pt;margin-top:8.025548pt;width:3.84pt;height:1.92pt;mso-position-horizontal-relative:page;mso-position-vertical-relative:paragraph;z-index:251676672" filled="true" fillcolor="#ff00ff" stroked="false">
            <v:fill type="solid"/>
            <w10:wrap type="none"/>
          </v:rect>
        </w:pict>
      </w:r>
      <w:r>
        <w:rPr/>
        <w:pict>
          <v:rect style="position:absolute;margin-left:132pt;margin-top:8.025548pt;width:3.84pt;height:1.92pt;mso-position-horizontal-relative:page;mso-position-vertical-relative:paragraph;z-index:251677696" filled="true" fillcolor="#ff00ff" stroked="false">
            <v:fill type="solid"/>
            <w10:wrap type="none"/>
          </v:rect>
        </w:pict>
      </w:r>
      <w:r>
        <w:rPr/>
        <w:pict>
          <v:line style="position:absolute;mso-position-horizontal-relative:page;mso-position-vertical-relative:paragraph;z-index:-253066240" from="208.080002pt,8.985548pt" to="236.160002pt,8.985548pt" stroked="true" strokeweight="1.92pt" strokecolor="#000080">
            <v:stroke dashstyle="solid"/>
            <w10:wrap type="none"/>
          </v:line>
        </w:pict>
      </w:r>
      <w:r>
        <w:rPr>
          <w:sz w:val="17"/>
        </w:rPr>
        <w:t>Euro area (RHS)</w:t>
        <w:tab/>
        <w:t>Conference Board (LHS)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line="360" w:lineRule="auto" w:before="150"/>
        <w:ind w:left="160"/>
      </w:pPr>
      <w:r>
        <w:rPr/>
        <w:t>It is difficult precisely to disentangle the economic effects of the September terrorist attacks. The global economy had, of course, been weak for some time before the attacks. In the US, although the NAPM indicators had appeared to edge up before the attacks, consumer confidence was still weakening, as was employment. Business sentiment in Europe was still deteriorating ahead of the attacks. In the US, those who survey business opinion say that the 11 September attacks solidified earlier tentative decisions to reduce business commitments and employment.</w:t>
      </w:r>
    </w:p>
    <w:p>
      <w:pPr>
        <w:spacing w:after="0" w:line="360" w:lineRule="auto"/>
        <w:sectPr>
          <w:type w:val="continuous"/>
          <w:pgSz w:w="11900" w:h="16840"/>
          <w:pgMar w:top="1180" w:bottom="280" w:left="1640" w:right="1680"/>
        </w:sectPr>
      </w:pPr>
    </w:p>
    <w:p>
      <w:pPr>
        <w:pStyle w:val="BodyText"/>
        <w:spacing w:line="360" w:lineRule="auto" w:before="73"/>
        <w:ind w:left="160" w:right="161"/>
      </w:pPr>
      <w:r>
        <w:rPr/>
        <w:t>It is still </w:t>
      </w:r>
      <w:r>
        <w:rPr>
          <w:spacing w:val="4"/>
        </w:rPr>
        <w:t>too </w:t>
      </w:r>
      <w:r>
        <w:rPr/>
        <w:t>early </w:t>
      </w:r>
      <w:r>
        <w:rPr>
          <w:spacing w:val="3"/>
        </w:rPr>
        <w:t>to </w:t>
      </w:r>
      <w:r>
        <w:rPr/>
        <w:t>understand the full economic effects </w:t>
      </w:r>
      <w:r>
        <w:rPr>
          <w:spacing w:val="2"/>
        </w:rPr>
        <w:t>of </w:t>
      </w:r>
      <w:r>
        <w:rPr/>
        <w:t>the attacks. For the present, a survey carried </w:t>
      </w:r>
      <w:r>
        <w:rPr>
          <w:spacing w:val="3"/>
        </w:rPr>
        <w:t>out </w:t>
      </w:r>
      <w:r>
        <w:rPr/>
        <w:t>in the UK by the </w:t>
      </w:r>
      <w:r>
        <w:rPr>
          <w:spacing w:val="-5"/>
        </w:rPr>
        <w:t>Bank’s </w:t>
      </w:r>
      <w:r>
        <w:rPr/>
        <w:t>Agents for the November Monetary Policy Committee (MPC) Meeting suggested that while a number </w:t>
      </w:r>
      <w:r>
        <w:rPr>
          <w:spacing w:val="3"/>
        </w:rPr>
        <w:t>of </w:t>
      </w:r>
      <w:r>
        <w:rPr/>
        <w:t>firms have cut back </w:t>
      </w:r>
      <w:r>
        <w:rPr>
          <w:spacing w:val="2"/>
        </w:rPr>
        <w:t>on </w:t>
      </w:r>
      <w:r>
        <w:rPr/>
        <w:t>current discretionary expenditure (eg travel, entertainment etc) and have scaled back their plans for investment and hiring, a clear majority </w:t>
      </w:r>
      <w:r>
        <w:rPr>
          <w:spacing w:val="3"/>
        </w:rPr>
        <w:t>of </w:t>
      </w:r>
      <w:r>
        <w:rPr/>
        <w:t>firms have not, as yet, reacted.  A related survey carried </w:t>
      </w:r>
      <w:r>
        <w:rPr>
          <w:spacing w:val="2"/>
        </w:rPr>
        <w:t>out </w:t>
      </w:r>
      <w:r>
        <w:rPr/>
        <w:t>for the CBI</w:t>
      </w:r>
      <w:r>
        <w:rPr>
          <w:vertAlign w:val="superscript"/>
        </w:rPr>
        <w:t>2</w:t>
      </w:r>
      <w:r>
        <w:rPr>
          <w:vertAlign w:val="baseline"/>
        </w:rPr>
        <w:t> in the UK also contained broadly similar findings, with, for example, just </w:t>
      </w:r>
      <w:r>
        <w:rPr>
          <w:spacing w:val="4"/>
          <w:vertAlign w:val="baseline"/>
        </w:rPr>
        <w:t>over </w:t>
      </w:r>
      <w:r>
        <w:rPr>
          <w:vertAlign w:val="baseline"/>
        </w:rPr>
        <w:t>a quarter </w:t>
      </w:r>
      <w:r>
        <w:rPr>
          <w:spacing w:val="3"/>
          <w:vertAlign w:val="baseline"/>
        </w:rPr>
        <w:t>of </w:t>
      </w:r>
      <w:r>
        <w:rPr>
          <w:spacing w:val="2"/>
          <w:vertAlign w:val="baseline"/>
        </w:rPr>
        <w:t>the </w:t>
      </w:r>
      <w:r>
        <w:rPr>
          <w:vertAlign w:val="baseline"/>
        </w:rPr>
        <w:t>sample having cut back </w:t>
      </w:r>
      <w:r>
        <w:rPr>
          <w:spacing w:val="3"/>
          <w:vertAlign w:val="baseline"/>
        </w:rPr>
        <w:t>on </w:t>
      </w:r>
      <w:r>
        <w:rPr>
          <w:vertAlign w:val="baseline"/>
        </w:rPr>
        <w:t>investment plans. Somewhat more worryingly, the CBI survey</w:t>
      </w:r>
      <w:r>
        <w:rPr>
          <w:spacing w:val="-7"/>
          <w:vertAlign w:val="baseline"/>
        </w:rPr>
        <w:t> </w:t>
      </w:r>
      <w:r>
        <w:rPr>
          <w:vertAlign w:val="baseline"/>
        </w:rPr>
        <w:t>suggested</w:t>
      </w:r>
      <w:r>
        <w:rPr>
          <w:spacing w:val="-7"/>
          <w:vertAlign w:val="baseline"/>
        </w:rPr>
        <w:t> </w:t>
      </w:r>
      <w:r>
        <w:rPr>
          <w:vertAlign w:val="baseline"/>
        </w:rPr>
        <w:t>that</w:t>
      </w:r>
      <w:r>
        <w:rPr>
          <w:spacing w:val="-3"/>
          <w:vertAlign w:val="baseline"/>
        </w:rPr>
        <w:t> </w:t>
      </w:r>
      <w:r>
        <w:rPr>
          <w:vertAlign w:val="baseline"/>
        </w:rPr>
        <w:t>the</w:t>
      </w:r>
      <w:r>
        <w:rPr>
          <w:spacing w:val="-7"/>
          <w:vertAlign w:val="baseline"/>
        </w:rPr>
        <w:t> </w:t>
      </w:r>
      <w:r>
        <w:rPr>
          <w:vertAlign w:val="baseline"/>
        </w:rPr>
        <w:t>respondents</w:t>
      </w:r>
      <w:r>
        <w:rPr>
          <w:spacing w:val="-6"/>
          <w:vertAlign w:val="baseline"/>
        </w:rPr>
        <w:t> </w:t>
      </w:r>
      <w:r>
        <w:rPr>
          <w:vertAlign w:val="baseline"/>
        </w:rPr>
        <w:t>did</w:t>
      </w:r>
      <w:r>
        <w:rPr>
          <w:spacing w:val="-7"/>
          <w:vertAlign w:val="baseline"/>
        </w:rPr>
        <w:t> </w:t>
      </w:r>
      <w:r>
        <w:rPr>
          <w:vertAlign w:val="baseline"/>
        </w:rPr>
        <w:t>not</w:t>
      </w:r>
      <w:r>
        <w:rPr>
          <w:spacing w:val="-2"/>
          <w:vertAlign w:val="baseline"/>
        </w:rPr>
        <w:t> </w:t>
      </w:r>
      <w:r>
        <w:rPr>
          <w:vertAlign w:val="baseline"/>
        </w:rPr>
        <w:t>see</w:t>
      </w:r>
      <w:r>
        <w:rPr>
          <w:spacing w:val="-7"/>
          <w:vertAlign w:val="baseline"/>
        </w:rPr>
        <w:t> </w:t>
      </w:r>
      <w:r>
        <w:rPr>
          <w:vertAlign w:val="baseline"/>
        </w:rPr>
        <w:t>the</w:t>
      </w:r>
      <w:r>
        <w:rPr>
          <w:spacing w:val="-7"/>
          <w:vertAlign w:val="baseline"/>
        </w:rPr>
        <w:t> </w:t>
      </w:r>
      <w:r>
        <w:rPr>
          <w:vertAlign w:val="baseline"/>
        </w:rPr>
        <w:t>economic</w:t>
      </w:r>
      <w:r>
        <w:rPr>
          <w:spacing w:val="-7"/>
          <w:vertAlign w:val="baseline"/>
        </w:rPr>
        <w:t> </w:t>
      </w:r>
      <w:r>
        <w:rPr>
          <w:vertAlign w:val="baseline"/>
        </w:rPr>
        <w:t>effects</w:t>
      </w:r>
      <w:r>
        <w:rPr>
          <w:spacing w:val="-7"/>
          <w:vertAlign w:val="baseline"/>
        </w:rPr>
        <w:t> </w:t>
      </w:r>
      <w:r>
        <w:rPr>
          <w:vertAlign w:val="baseline"/>
        </w:rPr>
        <w:t>as</w:t>
      </w:r>
      <w:r>
        <w:rPr>
          <w:spacing w:val="-6"/>
          <w:vertAlign w:val="baseline"/>
        </w:rPr>
        <w:t> </w:t>
      </w:r>
      <w:r>
        <w:rPr>
          <w:vertAlign w:val="baseline"/>
        </w:rPr>
        <w:t>being</w:t>
      </w:r>
      <w:r>
        <w:rPr>
          <w:spacing w:val="-7"/>
          <w:vertAlign w:val="baseline"/>
        </w:rPr>
        <w:t> </w:t>
      </w:r>
      <w:r>
        <w:rPr>
          <w:vertAlign w:val="baseline"/>
        </w:rPr>
        <w:t>purely temporary. For example, the fraction </w:t>
      </w:r>
      <w:r>
        <w:rPr>
          <w:spacing w:val="2"/>
          <w:vertAlign w:val="baseline"/>
        </w:rPr>
        <w:t>of </w:t>
      </w:r>
      <w:r>
        <w:rPr>
          <w:vertAlign w:val="baseline"/>
        </w:rPr>
        <w:t>businesses expecting their </w:t>
      </w:r>
      <w:r>
        <w:rPr>
          <w:spacing w:val="4"/>
          <w:vertAlign w:val="baseline"/>
        </w:rPr>
        <w:t>orders </w:t>
      </w:r>
      <w:r>
        <w:rPr>
          <w:spacing w:val="3"/>
          <w:vertAlign w:val="baseline"/>
        </w:rPr>
        <w:t>to </w:t>
      </w:r>
      <w:r>
        <w:rPr>
          <w:vertAlign w:val="baseline"/>
        </w:rPr>
        <w:t>be negatively affected </w:t>
      </w:r>
      <w:r>
        <w:rPr>
          <w:spacing w:val="3"/>
          <w:vertAlign w:val="baseline"/>
        </w:rPr>
        <w:t>over </w:t>
      </w:r>
      <w:r>
        <w:rPr>
          <w:vertAlign w:val="baseline"/>
        </w:rPr>
        <w:t>the next 12 months (39%) was higher than the proportion who had already experienced the cancellation </w:t>
      </w:r>
      <w:r>
        <w:rPr>
          <w:spacing w:val="2"/>
          <w:vertAlign w:val="baseline"/>
        </w:rPr>
        <w:t>or </w:t>
      </w:r>
      <w:r>
        <w:rPr>
          <w:vertAlign w:val="baseline"/>
        </w:rPr>
        <w:t>postponement </w:t>
      </w:r>
      <w:r>
        <w:rPr>
          <w:spacing w:val="2"/>
          <w:vertAlign w:val="baseline"/>
        </w:rPr>
        <w:t>of </w:t>
      </w:r>
      <w:r>
        <w:rPr>
          <w:spacing w:val="4"/>
          <w:vertAlign w:val="baseline"/>
        </w:rPr>
        <w:t>orders </w:t>
      </w:r>
      <w:r>
        <w:rPr>
          <w:vertAlign w:val="baseline"/>
        </w:rPr>
        <w:t>(29%) as a result </w:t>
      </w:r>
      <w:r>
        <w:rPr>
          <w:spacing w:val="2"/>
          <w:vertAlign w:val="baseline"/>
        </w:rPr>
        <w:t>of </w:t>
      </w:r>
      <w:r>
        <w:rPr>
          <w:vertAlign w:val="baseline"/>
        </w:rPr>
        <w:t>the 11 September events.  Moreover, 31% of respondents expected the effects </w:t>
      </w:r>
      <w:r>
        <w:rPr>
          <w:spacing w:val="2"/>
          <w:vertAlign w:val="baseline"/>
        </w:rPr>
        <w:t>of </w:t>
      </w:r>
      <w:r>
        <w:rPr>
          <w:vertAlign w:val="baseline"/>
        </w:rPr>
        <w:t>these events </w:t>
      </w:r>
      <w:r>
        <w:rPr>
          <w:spacing w:val="2"/>
          <w:vertAlign w:val="baseline"/>
        </w:rPr>
        <w:t>to </w:t>
      </w:r>
      <w:r>
        <w:rPr>
          <w:vertAlign w:val="baseline"/>
        </w:rPr>
        <w:t>last at least 2 years (53% said that it would last at least a year). An upside risk </w:t>
      </w:r>
      <w:r>
        <w:rPr>
          <w:spacing w:val="2"/>
          <w:vertAlign w:val="baseline"/>
        </w:rPr>
        <w:t>to </w:t>
      </w:r>
      <w:r>
        <w:rPr>
          <w:vertAlign w:val="baseline"/>
        </w:rPr>
        <w:t>activity is that, contrary </w:t>
      </w:r>
      <w:r>
        <w:rPr>
          <w:spacing w:val="2"/>
          <w:vertAlign w:val="baseline"/>
        </w:rPr>
        <w:t>to </w:t>
      </w:r>
      <w:r>
        <w:rPr>
          <w:vertAlign w:val="baseline"/>
        </w:rPr>
        <w:t>these expectations, the shock to business confidence proves </w:t>
      </w:r>
      <w:r>
        <w:rPr>
          <w:spacing w:val="3"/>
          <w:vertAlign w:val="baseline"/>
        </w:rPr>
        <w:t>to </w:t>
      </w:r>
      <w:r>
        <w:rPr>
          <w:vertAlign w:val="baseline"/>
        </w:rPr>
        <w:t>be </w:t>
      </w:r>
      <w:r>
        <w:rPr>
          <w:spacing w:val="2"/>
          <w:vertAlign w:val="baseline"/>
        </w:rPr>
        <w:t>relatively </w:t>
      </w:r>
      <w:r>
        <w:rPr>
          <w:vertAlign w:val="baseline"/>
        </w:rPr>
        <w:t>transient after</w:t>
      </w:r>
      <w:r>
        <w:rPr>
          <w:spacing w:val="18"/>
          <w:vertAlign w:val="baseline"/>
        </w:rPr>
        <w:t> </w:t>
      </w:r>
      <w:r>
        <w:rPr>
          <w:vertAlign w:val="baseline"/>
        </w:rPr>
        <w:t>all.</w:t>
      </w:r>
    </w:p>
    <w:p>
      <w:pPr>
        <w:pStyle w:val="BodyText"/>
        <w:spacing w:before="11"/>
        <w:rPr>
          <w:sz w:val="35"/>
        </w:rPr>
      </w:pPr>
    </w:p>
    <w:p>
      <w:pPr>
        <w:pStyle w:val="BodyText"/>
        <w:spacing w:line="360" w:lineRule="auto"/>
        <w:ind w:left="160" w:right="108"/>
      </w:pPr>
      <w:r>
        <w:rPr/>
        <w:t>While the surveys have suggested a significant weakening in confidence in the future with the effects of the attacks expected to be relatively long-lived, global stock markets have behaved in a way that is more consistent with the dip in growth being relatively short-lived. Most major equity market indices are now at or above their levels of 10 September. The markets appear to be willing to ‘look through’ the valley in earnings associated with recent economic weakness to the sunlit uplands that are expected to result from the significant monetary and fiscal stimulus that has been injected. Traditionally, stock markets bottom before recessions end, so it is not that unusual to have weak business confidence and stock market rallies co-existing. A key question is whether the markets are right to expect an economic recovery in the US by the middle of 2002.</w:t>
      </w:r>
    </w:p>
    <w:p>
      <w:pPr>
        <w:pStyle w:val="BodyText"/>
        <w:rPr>
          <w:sz w:val="36"/>
        </w:rPr>
      </w:pPr>
    </w:p>
    <w:p>
      <w:pPr>
        <w:pStyle w:val="BodyText"/>
        <w:spacing w:line="360" w:lineRule="auto" w:before="1"/>
        <w:ind w:left="160" w:right="195"/>
      </w:pPr>
      <w:r>
        <w:rPr/>
        <w:t>All year, policy in the US has had a race against time in its effort </w:t>
      </w:r>
      <w:r>
        <w:rPr>
          <w:spacing w:val="3"/>
        </w:rPr>
        <w:t>to </w:t>
      </w:r>
      <w:r>
        <w:rPr/>
        <w:t>keep consumer spending resilient while the corporate sector dealt with its capital stock </w:t>
      </w:r>
      <w:r>
        <w:rPr>
          <w:spacing w:val="3"/>
        </w:rPr>
        <w:t>overhang. </w:t>
      </w:r>
      <w:r>
        <w:rPr/>
        <w:t>The danger has been that the layoffs resulting from the corporate </w:t>
      </w:r>
      <w:r>
        <w:rPr>
          <w:spacing w:val="-3"/>
        </w:rPr>
        <w:t>sector’s </w:t>
      </w:r>
      <w:r>
        <w:rPr/>
        <w:t>woes would</w:t>
      </w:r>
    </w:p>
    <w:p>
      <w:pPr>
        <w:pStyle w:val="BodyText"/>
        <w:spacing w:before="8"/>
        <w:rPr>
          <w:sz w:val="28"/>
        </w:rPr>
      </w:pPr>
      <w:r>
        <w:rPr/>
        <w:pict>
          <v:shape style="position:absolute;margin-left:90pt;margin-top:18.7012pt;width:144pt;height:.1pt;mso-position-horizontal-relative:page;mso-position-vertical-relative:paragraph;z-index:-251636736;mso-wrap-distance-left:0;mso-wrap-distance-right:0" coordorigin="1800,374" coordsize="2880,0" path="m1800,374l4680,374e" filled="false" stroked="true" strokeweight=".48pt" strokecolor="#000000">
            <v:path arrowok="t"/>
            <v:stroke dashstyle="solid"/>
            <w10:wrap type="topAndBottom"/>
          </v:shape>
        </w:pict>
      </w:r>
    </w:p>
    <w:p>
      <w:pPr>
        <w:spacing w:before="47"/>
        <w:ind w:left="160" w:right="0" w:firstLine="0"/>
        <w:jc w:val="left"/>
        <w:rPr>
          <w:sz w:val="20"/>
        </w:rPr>
      </w:pPr>
      <w:r>
        <w:rPr>
          <w:position w:val="9"/>
          <w:sz w:val="13"/>
        </w:rPr>
        <w:t>2 </w:t>
      </w:r>
      <w:r>
        <w:rPr>
          <w:sz w:val="20"/>
        </w:rPr>
        <w:t>Economic Outlook Survey – Post-11 September, October 2001.</w:t>
      </w:r>
    </w:p>
    <w:p>
      <w:pPr>
        <w:spacing w:after="0"/>
        <w:jc w:val="left"/>
        <w:rPr>
          <w:sz w:val="20"/>
        </w:rPr>
        <w:sectPr>
          <w:pgSz w:w="11900" w:h="16840"/>
          <w:pgMar w:header="0" w:footer="782" w:top="1360" w:bottom="980" w:left="1640" w:right="1680"/>
        </w:sectPr>
      </w:pPr>
    </w:p>
    <w:p>
      <w:pPr>
        <w:pStyle w:val="BodyText"/>
        <w:spacing w:line="360" w:lineRule="auto" w:before="73"/>
        <w:ind w:left="160"/>
      </w:pPr>
      <w:r>
        <w:rPr/>
        <w:t>undermine consumer spending before companies had completed the necessary adjustments. The 11 September events were an obvious setback to this endeavour. Layoffs have now accelerated, consumer confidence has dipped, and business perceptions of new orders have weakened markedly. That is why further policy steps have been necessary, and we shall now have to wait and see whether the economic recovery arrives on schedule.</w:t>
      </w:r>
    </w:p>
    <w:p>
      <w:pPr>
        <w:pStyle w:val="BodyText"/>
        <w:spacing w:before="1"/>
        <w:rPr>
          <w:sz w:val="36"/>
        </w:rPr>
      </w:pPr>
    </w:p>
    <w:p>
      <w:pPr>
        <w:pStyle w:val="BodyText"/>
        <w:spacing w:before="1"/>
        <w:ind w:left="160"/>
      </w:pPr>
      <w:r>
        <w:rPr/>
        <w:t>The equity markets appear to be relying on a significant recovery in profits next</w:t>
      </w:r>
    </w:p>
    <w:p>
      <w:pPr>
        <w:pStyle w:val="BodyText"/>
        <w:spacing w:line="360" w:lineRule="auto" w:before="137"/>
        <w:ind w:left="160" w:right="174"/>
      </w:pPr>
      <w:r>
        <w:rPr/>
        <w:t>year – for example, the IBES consensus is for a 14.4% increase in oper ating earnings in 2002. Not only is this forecast dependent on an economic recovery, but it also assumes that profits will rise significantly faster than GDP. Yet firms have little pricing power as capacity utilisation is at an 18 year low and nominal GDP growth has slowed to just under 2% per year. On the other hand, unemployment is still low by long-term historical standards, and workers appear to be able to secure real wage increases significantly in excess of productivity growth. The implied squeeze on profitability does not bode well, because firms are likely to respond by scaling back on their investment and employment plans, which could then feed back onto consumption.</w:t>
      </w:r>
    </w:p>
    <w:p>
      <w:pPr>
        <w:pStyle w:val="BodyText"/>
        <w:spacing w:before="1"/>
        <w:rPr>
          <w:sz w:val="36"/>
        </w:rPr>
      </w:pPr>
    </w:p>
    <w:p>
      <w:pPr>
        <w:pStyle w:val="BodyText"/>
        <w:spacing w:line="360" w:lineRule="auto"/>
        <w:ind w:left="160" w:right="188"/>
      </w:pPr>
      <w:r>
        <w:rPr/>
        <w:t>I shall discuss current equity market valuations later in this lecture, and will return to considering whether a postponement of economic recovery and/or earnings disappointments could prove problematic for the equity markets. Obviously, a further setback to share prices would generate additional headwinds for the hoped-for recovery.</w:t>
      </w:r>
    </w:p>
    <w:p>
      <w:pPr>
        <w:pStyle w:val="BodyText"/>
        <w:spacing w:before="9"/>
        <w:rPr>
          <w:sz w:val="35"/>
        </w:rPr>
      </w:pPr>
    </w:p>
    <w:p>
      <w:pPr>
        <w:pStyle w:val="BodyText"/>
        <w:ind w:left="160"/>
      </w:pPr>
      <w:r>
        <w:rPr/>
        <w:t>To return to the theme of the perceived lack of pricing power amongst firms,</w:t>
      </w:r>
    </w:p>
    <w:p>
      <w:pPr>
        <w:pStyle w:val="BodyText"/>
        <w:spacing w:line="360" w:lineRule="auto" w:before="142"/>
        <w:ind w:left="160" w:right="122"/>
      </w:pPr>
      <w:r>
        <w:rPr/>
        <w:t>Figures 4 and 5 display the responses to questions on pricing that are embedded in the PMI surveys discussed before. They point to inflation pressures being extremely benign (recall that 50 reflects the no change level), with both manufacturing and services now in deflation territory. Note also that the price of oil and industrial metals are down by around 20% this year. In addition, capacity utilisation in the US and Japan has not been lower since the early 1980s. For all these reasons, it is likely that global inflation will remain low over the next year or so. Indeed, this is one reason why I am especially optimistic that, assuming unchanged interest rates, UK inflation</w:t>
      </w:r>
    </w:p>
    <w:p>
      <w:pPr>
        <w:spacing w:after="0" w:line="360" w:lineRule="auto"/>
        <w:sectPr>
          <w:pgSz w:w="11900" w:h="16840"/>
          <w:pgMar w:header="0" w:footer="782" w:top="1360" w:bottom="980" w:left="1640" w:right="1680"/>
        </w:sectPr>
      </w:pPr>
    </w:p>
    <w:p>
      <w:pPr>
        <w:pStyle w:val="BodyText"/>
        <w:spacing w:line="360" w:lineRule="auto" w:before="113"/>
        <w:ind w:left="160"/>
      </w:pPr>
      <w:r>
        <w:rPr/>
        <w:t>will remain low (below target) over the next 2 years.</w:t>
      </w:r>
      <w:r>
        <w:rPr>
          <w:vertAlign w:val="superscript"/>
        </w:rPr>
        <w:t>3</w:t>
      </w:r>
      <w:r>
        <w:rPr>
          <w:vertAlign w:val="baseline"/>
        </w:rPr>
        <w:t> If one thinks that inflation is likely to remain subdued, it is easier to contemplate proactive monetary policy actions to counter the confidence-destroying effects of recent events.</w:t>
      </w:r>
    </w:p>
    <w:p>
      <w:pPr>
        <w:pStyle w:val="BodyText"/>
        <w:spacing w:before="5"/>
        <w:rPr>
          <w:sz w:val="36"/>
        </w:rPr>
      </w:pPr>
    </w:p>
    <w:p>
      <w:pPr>
        <w:pStyle w:val="Heading1"/>
      </w:pPr>
      <w:r>
        <w:rPr/>
        <w:t>FIGURE 4</w:t>
      </w:r>
    </w:p>
    <w:p>
      <w:pPr>
        <w:pStyle w:val="BodyText"/>
        <w:rPr>
          <w:b/>
          <w:sz w:val="17"/>
        </w:rPr>
      </w:pPr>
    </w:p>
    <w:p>
      <w:pPr>
        <w:spacing w:before="90"/>
        <w:ind w:left="385" w:right="0" w:firstLine="0"/>
        <w:jc w:val="left"/>
        <w:rPr>
          <w:b/>
          <w:sz w:val="24"/>
        </w:rPr>
      </w:pPr>
      <w:r>
        <w:rPr>
          <w:b/>
          <w:sz w:val="24"/>
        </w:rPr>
        <w:t>US and Euro Area Manufacturing</w:t>
      </w:r>
    </w:p>
    <w:p>
      <w:pPr>
        <w:tabs>
          <w:tab w:pos="4758" w:val="right" w:leader="none"/>
        </w:tabs>
        <w:spacing w:before="26"/>
        <w:ind w:left="385" w:right="0" w:firstLine="0"/>
        <w:jc w:val="left"/>
        <w:rPr>
          <w:sz w:val="16"/>
        </w:rPr>
      </w:pPr>
      <w:r>
        <w:rPr/>
        <w:pict>
          <v:group style="position:absolute;margin-left:115.440002pt;margin-top:6.668723pt;width:192.4pt;height:149.4pt;mso-position-horizontal-relative:page;mso-position-vertical-relative:paragraph;z-index:-253063168" coordorigin="2309,133" coordsize="3848,2988">
            <v:shape style="position:absolute;left:2323;top:135;width:3831;height:2986" coordorigin="2323,136" coordsize="3831,2986" path="m6106,136l6106,3073,6154,3073m6106,2579l6154,2579m6106,2099l6154,2099m6106,1605l6154,1605m6106,1110l6154,1110m6106,630l6154,630m6106,136l6154,136m2323,3073l6106,3073m2323,3121l2323,3073m3197,3121l3197,3073m4066,3121l4066,3073m4934,3121l4934,3073m5822,3121l5822,3073e" filled="false" stroked="true" strokeweight=".24pt" strokecolor="#000000">
              <v:path arrowok="t"/>
              <v:stroke dashstyle="solid"/>
            </v:shape>
            <v:shape style="position:absolute;left:2323;top:1618;width:634;height:269" coordorigin="2323,1619" coordsize="634,269" path="m2371,1801l2357,1768,2323,1778,2323,1812,2371,1801m2443,1739l2414,1725,2386,1787,2414,1801,2443,1739m2520,1681l2506,1648,2443,1667,2462,1696,2520,1681m2597,1667l2582,1633,2520,1648,2534,1681,2597,1667m2654,1696l2626,1633,2597,1619,2626,1681,2654,1696m2731,1801l2669,1787,2654,1816,2717,1830,2731,1801m2808,1830l2789,1801,2731,1816,2746,1845,2808,1830m2880,1830l2822,1801,2808,1830,2866,1859,2880,1830m2957,1888l2928,1830,2894,1816,2928,1873,2957,1888e" filled="true" fillcolor="#ff00ff" stroked="false">
              <v:path arrowok="t"/>
              <v:fill type="solid"/>
            </v:shape>
            <v:shape style="position:absolute;left:2971;top:1950;width:120;height:178" type="#_x0000_t75" stroked="false">
              <v:imagedata r:id="rId20" o:title=""/>
            </v:shape>
            <v:shape style="position:absolute;left:3091;top:2204;width:149;height:92" coordorigin="3091,2205" coordsize="149,92" path="m3168,2233l3106,2205,3091,2233,3106,2242,3106,2248,3116,2248,3149,2267,3168,2233m3240,2296l3211,2233,3182,2219,3211,2281,3240,2296e" filled="true" fillcolor="#ff00ff" stroked="false">
              <v:path arrowok="t"/>
              <v:fill type="solid"/>
            </v:shape>
            <v:shape style="position:absolute;left:3240;top:2310;width:149;height:120" type="#_x0000_t75" stroked="false">
              <v:imagedata r:id="rId21" o:title=""/>
            </v:shape>
            <v:shape style="position:absolute;left:3408;top:764;width:2444;height:2012" coordorigin="3408,765" coordsize="2444,2012" path="m3451,2550l3437,2488,3408,2473,3416,2507,3408,2507,3408,2521,3419,2521,3422,2536,3451,2550m3600,2713l3586,2685,3528,2699,3502,2699,3494,2670,3466,2656,3480,2713,3480,2728,3509,2728,3542,2728,3600,2713m3677,2713l3614,2685,3600,2713,3662,2747,3677,2713m3749,2747l3734,2713,3677,2747,3691,2776,3749,2747m3811,2656l3782,2641,3768,2699,3797,2713,3811,2656m3888,2473l3854,2459,3847,2492,3840,2488,3826,2521,3854,2536,3857,2530,3869,2536,3888,2473m3931,2296l3902,2281,3888,2339,3917,2353,3931,2296m3960,2233l3931,2219,3917,2281,3946,2296,3960,2233m4037,2099l4008,2085,3974,2147,4008,2161,4037,2099m4094,2008l4066,1993,4051,2056,4080,2070,4094,2008m4186,1830l4157,1816,4145,1839,4128,1830,4114,1873,4142,1888,4144,1882,4157,1888,4186,1830m4248,1681l4214,1667,4207,1696,4200,1696,4200,1710,4204,1710,4200,1725,4234,1739,4248,1681m4291,1499l4262,1485,4248,1547,4277,1561,4291,1499m4320,1393l4291,1379,4277,1441,4306,1456,4320,1393m4368,1216l4334,1201,4320,1259,4354,1273,4368,1216m4411,1230l4382,1168,4354,1153,4382,1216,4411,1230m4488,1302l4454,1288,4426,1350,4426,1365,4454,1365,4488,1302m4546,1245l4517,1230,4488,1288,4517,1302,4546,1245m4622,1125l4608,1096,4577,1110,4560,1110,4560,1118,4546,1125,4560,1153,4622,1125m4694,1062l4666,1048,4637,1110,4666,1125,4694,1062m4771,976l4742,961,4714,1019,4742,1033,4771,976m4848,899l4814,885,4786,942,4814,961,4848,899m4906,841l4891,779,4891,765,4862,765,4862,779,4866,779,4877,822,4906,841m4982,990l4943,981,4934,961,4906,942,4917,981,4906,1005,4968,1019,4982,990m5040,1048l5026,990,4997,976,5011,1033,5040,1048m5117,1182l5088,1168,5054,1153,5074,1216,5077,1217,5074,1230,5102,1245,5117,1182m5146,1005l5117,990,5102,1048,5131,1062,5146,1005m5194,885l5179,822,5146,808,5131,870,5160,885,5164,872,5194,885m5266,1081l5251,1019,5240,1013,5237,1005,5208,990,5222,1033,5231,1037,5237,1062,5266,1081m5342,1302l5328,1245,5324,1243,5314,1201,5280,1182,5299,1245,5303,1247,5314,1288,5342,1302m5419,1547l5400,1485,5384,1476,5371,1427,5342,1408,5357,1470,5373,1478,5386,1528,5419,1547m5491,1667l5462,1605,5434,1590,5462,1648,5491,1667m5568,1816l5539,1753,5506,1739,5531,1787,5506,1787,5506,1801,5539,1801,5568,1816m5611,1936l5582,1936,5582,1950,5611,1950,5611,1936m5640,1950l5611,1888,5582,1873,5611,1936,5640,1950m5717,2008l5659,2008,5659,2041,5717,2041,5717,2008m5794,2027l5731,2008,5717,2041,5779,2056,5794,2027m5851,2099l5837,2041,5808,2027,5822,2085,5851,2099e" filled="true" fillcolor="#ff00ff" stroked="false">
              <v:path arrowok="t"/>
              <v:fill type="solid"/>
            </v:shape>
            <v:shape style="position:absolute;left:5851;top:2204;width:212;height:226" type="#_x0000_t75" stroked="false">
              <v:imagedata r:id="rId22" o:title=""/>
            </v:shape>
            <v:shape style="position:absolute;left:6062;top:2535;width:44;height:72" coordorigin="6062,2536" coordsize="44,72" path="m6062,2536l6077,2593,6106,2608,6091,2550,6062,2536xe" filled="true" fillcolor="#ff00ff" stroked="false">
              <v:path arrowok="t"/>
              <v:fill type="solid"/>
            </v:shape>
            <v:line style="position:absolute" from="2323,2147" to="2400,1993" stroked="true" strokeweight="1.44pt" strokecolor="#000080">
              <v:stroke dashstyle="solid"/>
            </v:line>
            <v:line style="position:absolute" from="2400,1993" to="2477,1993" stroked="true" strokeweight="1.44pt" strokecolor="#000080">
              <v:stroke dashstyle="solid"/>
            </v:line>
            <v:line style="position:absolute" from="2477,1993" to="2549,1950" stroked="true" strokeweight="1.44pt" strokecolor="#000080">
              <v:stroke dashstyle="solid"/>
            </v:line>
            <v:line style="position:absolute" from="2549,1950" to="2611,1921" stroked="true" strokeweight="1.44pt" strokecolor="#000080">
              <v:stroke dashstyle="solid"/>
            </v:line>
            <v:line style="position:absolute" from="2611,1921" to="2683,1993" stroked="true" strokeweight="1.44pt" strokecolor="#000080">
              <v:stroke dashstyle="solid"/>
            </v:line>
            <v:shape style="position:absolute;left:2683;top:1978;width:663;height:735" coordorigin="2683,1979" coordsize="663,735" path="m2683,1993l2760,1979m2760,1979l2837,2219m2837,2219l2909,2248m2909,2248l2986,2387m2986,2387l3048,2550m3048,2550l3120,2536m3120,2536l3197,2627m3197,2627l3269,2685m3269,2685l3346,2713e" filled="false" stroked="true" strokeweight="1.44pt" strokecolor="#000080">
              <v:path arrowok="t"/>
              <v:stroke dashstyle="solid"/>
            </v:shape>
            <v:line style="position:absolute" from="3346,2713" to="3422,2910" stroked="true" strokeweight="1.44pt" strokecolor="#000080">
              <v:stroke dashstyle="solid"/>
            </v:line>
            <v:line style="position:absolute" from="3422,2910" to="3494,2867" stroked="true" strokeweight="1.44pt" strokecolor="#000080">
              <v:stroke dashstyle="solid"/>
            </v:line>
            <v:line style="position:absolute" from="3494,2867" to="3557,2848" stroked="true" strokeweight="1.44pt" strokecolor="#000080">
              <v:stroke dashstyle="solid"/>
            </v:line>
            <v:line style="position:absolute" from="3557,2848" to="3629,2953" stroked="true" strokeweight="1.44pt" strokecolor="#000080">
              <v:stroke dashstyle="solid"/>
            </v:line>
            <v:line style="position:absolute" from="3629,2953" to="3706,2881" stroked="true" strokeweight="1.44pt" strokecolor="#000080">
              <v:stroke dashstyle="solid"/>
            </v:line>
            <v:line style="position:absolute" from="3706,2881" to="3782,2747" stroked="true" strokeweight="1.44pt" strokecolor="#000080">
              <v:stroke dashstyle="solid"/>
            </v:line>
            <v:shape style="position:absolute;left:3782;top:702;width:1964;height:2045" coordorigin="3782,702" coordsize="1964,2045" path="m3782,2747l3854,2459m3854,2459l3931,2205m3931,2205l3994,2041m3994,2041l4066,1907m4066,1907l4142,1873m4142,1873l4214,1633m4214,1633l4291,1365m4291,1365l4368,1230m4368,1230l4440,1216m4440,1216l4502,1139m4502,1139l4574,942m4574,942l4651,885m4651,885l4728,702m4728,702l4800,1005m4800,1005l4877,1321m4877,1321l4934,1499m4934,1499l5011,1513m5011,1513l5088,1768m5088,1768l5160,1710m5160,1710l5237,1768m5237,1768l5314,1725m5314,1725l5386,1499m5386,1499l5448,1321m5448,1321l5520,1696m5520,1696l5597,2099m5597,2099l5674,2147m5674,2147l5746,2325e" filled="false" stroked="true" strokeweight="1.44pt" strokecolor="#000080">
              <v:path arrowok="t"/>
              <v:stroke dashstyle="solid"/>
            </v:shape>
            <v:line style="position:absolute" from="5746,2325" to="5822,2473" stroked="true" strokeweight="1.44pt" strokecolor="#000080">
              <v:stroke dashstyle="solid"/>
            </v:line>
            <v:line style="position:absolute" from="5822,2473" to="5880,2656" stroked="true" strokeweight="1.44pt" strokecolor="#000080">
              <v:stroke dashstyle="solid"/>
            </v:line>
            <v:line style="position:absolute" from="5880,2656" to="5957,2881" stroked="true" strokeweight="1.44pt" strokecolor="#000080">
              <v:stroke dashstyle="solid"/>
            </v:line>
            <v:line style="position:absolute" from="5957,2881" to="6034,2761" stroked="true" strokeweight="1.44pt" strokecolor="#000080">
              <v:stroke dashstyle="solid"/>
            </v:line>
            <v:line style="position:absolute" from="6034,2761" to="6106,2953" stroked="true" strokeweight="1.44pt" strokecolor="#000080">
              <v:stroke dashstyle="solid"/>
            </v:line>
            <w10:wrap type="none"/>
          </v:group>
        </w:pict>
      </w:r>
      <w:r>
        <w:rPr>
          <w:b/>
          <w:spacing w:val="-3"/>
          <w:sz w:val="24"/>
        </w:rPr>
        <w:t>Prices</w:t>
        <w:tab/>
      </w:r>
      <w:r>
        <w:rPr>
          <w:spacing w:val="3"/>
          <w:position w:val="9"/>
          <w:sz w:val="16"/>
        </w:rPr>
        <w:t>90</w:t>
      </w:r>
    </w:p>
    <w:p>
      <w:pPr>
        <w:spacing w:before="207"/>
        <w:ind w:left="4354" w:right="3591" w:firstLine="0"/>
        <w:jc w:val="center"/>
        <w:rPr>
          <w:sz w:val="16"/>
        </w:rPr>
      </w:pPr>
      <w:r>
        <w:rPr>
          <w:spacing w:val="3"/>
          <w:w w:val="105"/>
          <w:sz w:val="16"/>
        </w:rPr>
        <w:t>80</w:t>
      </w:r>
    </w:p>
    <w:p>
      <w:pPr>
        <w:spacing w:before="296"/>
        <w:ind w:left="4354" w:right="3591" w:firstLine="0"/>
        <w:jc w:val="center"/>
        <w:rPr>
          <w:sz w:val="16"/>
        </w:rPr>
      </w:pPr>
      <w:r>
        <w:rPr>
          <w:spacing w:val="3"/>
          <w:w w:val="105"/>
          <w:sz w:val="16"/>
        </w:rPr>
        <w:t>70</w:t>
      </w:r>
    </w:p>
    <w:p>
      <w:pPr>
        <w:spacing w:before="310"/>
        <w:ind w:left="4354" w:right="3591" w:firstLine="0"/>
        <w:jc w:val="center"/>
        <w:rPr>
          <w:sz w:val="16"/>
        </w:rPr>
      </w:pPr>
      <w:r>
        <w:rPr>
          <w:spacing w:val="3"/>
          <w:w w:val="105"/>
          <w:sz w:val="16"/>
        </w:rPr>
        <w:t>60</w:t>
      </w:r>
    </w:p>
    <w:p>
      <w:pPr>
        <w:spacing w:before="310"/>
        <w:ind w:left="4354" w:right="3591" w:firstLine="0"/>
        <w:jc w:val="center"/>
        <w:rPr>
          <w:sz w:val="16"/>
        </w:rPr>
      </w:pPr>
      <w:r>
        <w:rPr>
          <w:spacing w:val="3"/>
          <w:w w:val="105"/>
          <w:sz w:val="16"/>
        </w:rPr>
        <w:t>50</w:t>
      </w:r>
    </w:p>
    <w:p>
      <w:pPr>
        <w:spacing w:before="296"/>
        <w:ind w:left="4354" w:right="3591" w:firstLine="0"/>
        <w:jc w:val="center"/>
        <w:rPr>
          <w:sz w:val="16"/>
        </w:rPr>
      </w:pPr>
      <w:r>
        <w:rPr>
          <w:spacing w:val="3"/>
          <w:w w:val="105"/>
          <w:sz w:val="16"/>
        </w:rPr>
        <w:t>40</w:t>
      </w:r>
    </w:p>
    <w:p>
      <w:pPr>
        <w:spacing w:before="311"/>
        <w:ind w:left="4354" w:right="3591" w:firstLine="0"/>
        <w:jc w:val="center"/>
        <w:rPr>
          <w:sz w:val="16"/>
        </w:rPr>
      </w:pPr>
      <w:r>
        <w:rPr>
          <w:spacing w:val="3"/>
          <w:w w:val="105"/>
          <w:sz w:val="16"/>
        </w:rPr>
        <w:t>30</w:t>
      </w:r>
    </w:p>
    <w:p>
      <w:pPr>
        <w:tabs>
          <w:tab w:pos="868" w:val="left" w:leader="none"/>
          <w:tab w:pos="1737" w:val="left" w:leader="none"/>
          <w:tab w:pos="2611" w:val="left" w:leader="none"/>
          <w:tab w:pos="3494" w:val="left" w:leader="none"/>
        </w:tabs>
        <w:spacing w:before="56"/>
        <w:ind w:left="0" w:right="3703" w:firstLine="0"/>
        <w:jc w:val="center"/>
        <w:rPr>
          <w:sz w:val="16"/>
        </w:rPr>
      </w:pPr>
      <w:r>
        <w:rPr>
          <w:sz w:val="16"/>
        </w:rPr>
        <w:t>Jun-97</w:t>
        <w:tab/>
        <w:t>Jun-98</w:t>
        <w:tab/>
        <w:t>Jun-99</w:t>
        <w:tab/>
        <w:t>Jun-00</w:t>
        <w:tab/>
        <w:t>Jun-01</w:t>
      </w:r>
    </w:p>
    <w:p>
      <w:pPr>
        <w:tabs>
          <w:tab w:pos="3236" w:val="left" w:leader="none"/>
        </w:tabs>
        <w:spacing w:before="238"/>
        <w:ind w:left="1148" w:right="0" w:firstLine="0"/>
        <w:jc w:val="left"/>
        <w:rPr>
          <w:sz w:val="16"/>
        </w:rPr>
      </w:pPr>
      <w:r>
        <w:rPr/>
        <w:pict>
          <v:rect style="position:absolute;margin-left:108.720001pt;margin-top:16.488762pt;width:3.12pt;height:1.44pt;mso-position-horizontal-relative:page;mso-position-vertical-relative:paragraph;z-index:251682816" filled="true" fillcolor="#ff00ff" stroked="false">
            <v:fill type="solid"/>
            <w10:wrap type="none"/>
          </v:rect>
        </w:pict>
      </w:r>
      <w:r>
        <w:rPr/>
        <w:pict>
          <v:rect style="position:absolute;margin-left:117.839996pt;margin-top:16.488762pt;width:2.88pt;height:1.44pt;mso-position-horizontal-relative:page;mso-position-vertical-relative:paragraph;z-index:251683840" filled="true" fillcolor="#ff00ff" stroked="false">
            <v:fill type="solid"/>
            <w10:wrap type="none"/>
          </v:rect>
        </w:pict>
      </w:r>
      <w:r>
        <w:rPr/>
        <w:pict>
          <v:rect style="position:absolute;margin-left:126.720001pt;margin-top:16.488762pt;width:3.12pt;height:1.44pt;mso-position-horizontal-relative:page;mso-position-vertical-relative:paragraph;z-index:251684864" filled="true" fillcolor="#ff00ff" stroked="false">
            <v:fill type="solid"/>
            <w10:wrap type="none"/>
          </v:rect>
        </w:pict>
      </w:r>
      <w:r>
        <w:rPr/>
        <w:pict>
          <v:rect style="position:absolute;margin-left:135.839996pt;margin-top:16.488762pt;width:2.16pt;height:1.44pt;mso-position-horizontal-relative:page;mso-position-vertical-relative:paragraph;z-index:251685888" filled="true" fillcolor="#ff00ff" stroked="false">
            <v:fill type="solid"/>
            <w10:wrap type="none"/>
          </v:rect>
        </w:pict>
      </w:r>
      <w:r>
        <w:rPr/>
        <w:pict>
          <v:line style="position:absolute;mso-position-horizontal-relative:page;mso-position-vertical-relative:paragraph;z-index:-253058048" from="213.839996pt,17.208761pt" to="241.679996pt,17.208761pt" stroked="true" strokeweight="1.44pt" strokecolor="#000080">
            <v:stroke dashstyle="solid"/>
            <w10:wrap type="none"/>
          </v:line>
        </w:pict>
      </w:r>
      <w:r>
        <w:rPr>
          <w:spacing w:val="3"/>
          <w:sz w:val="16"/>
        </w:rPr>
        <w:t>Euro</w:t>
      </w:r>
      <w:r>
        <w:rPr>
          <w:spacing w:val="19"/>
          <w:sz w:val="16"/>
        </w:rPr>
        <w:t> </w:t>
      </w:r>
      <w:r>
        <w:rPr>
          <w:sz w:val="16"/>
        </w:rPr>
        <w:t>Area</w:t>
      </w:r>
      <w:r>
        <w:rPr>
          <w:spacing w:val="17"/>
          <w:sz w:val="16"/>
        </w:rPr>
        <w:t> </w:t>
      </w:r>
      <w:r>
        <w:rPr>
          <w:spacing w:val="2"/>
          <w:sz w:val="16"/>
        </w:rPr>
        <w:t>Prices</w:t>
        <w:tab/>
      </w:r>
      <w:r>
        <w:rPr>
          <w:sz w:val="16"/>
        </w:rPr>
        <w:t>US  NAPM</w:t>
      </w:r>
      <w:r>
        <w:rPr>
          <w:spacing w:val="2"/>
          <w:sz w:val="16"/>
        </w:rPr>
        <w:t> </w:t>
      </w:r>
      <w:r>
        <w:rPr>
          <w:spacing w:val="3"/>
          <w:sz w:val="16"/>
        </w:rPr>
        <w:t>Prices</w:t>
      </w:r>
    </w:p>
    <w:p>
      <w:pPr>
        <w:pStyle w:val="Heading1"/>
        <w:spacing w:before="553"/>
      </w:pPr>
      <w:r>
        <w:rPr/>
        <w:t>FIGURE 5</w:t>
      </w:r>
    </w:p>
    <w:p>
      <w:pPr>
        <w:pStyle w:val="BodyText"/>
        <w:rPr>
          <w:b/>
          <w:sz w:val="18"/>
        </w:rPr>
      </w:pPr>
    </w:p>
    <w:p>
      <w:pPr>
        <w:pStyle w:val="BodyText"/>
        <w:rPr>
          <w:b/>
          <w:sz w:val="18"/>
        </w:rPr>
      </w:pPr>
    </w:p>
    <w:p>
      <w:pPr>
        <w:pStyle w:val="BodyText"/>
        <w:spacing w:before="4"/>
        <w:rPr>
          <w:b/>
          <w:sz w:val="20"/>
        </w:rPr>
      </w:pPr>
    </w:p>
    <w:p>
      <w:pPr>
        <w:spacing w:before="0"/>
        <w:ind w:left="4354" w:right="3542" w:firstLine="0"/>
        <w:jc w:val="center"/>
        <w:rPr>
          <w:sz w:val="17"/>
        </w:rPr>
      </w:pPr>
      <w:r>
        <w:rPr/>
        <w:pict>
          <v:group style="position:absolute;margin-left:114.959999pt;margin-top:-18.117821pt;width:194.05pt;height:170.3pt;mso-position-horizontal-relative:page;mso-position-vertical-relative:paragraph;z-index:251689984" coordorigin="2299,-362" coordsize="3881,3406">
            <v:shape style="position:absolute;left:2318;top:105;width:3860;height:2938" coordorigin="2318,106" coordsize="3860,2938" path="m6125,106l6125,2991,6178,2991m6125,2669l6178,2669m6125,2352l6178,2352m6125,2031l6178,2031m6125,1709l6178,1709m6125,1388l6178,1388m6125,1071l6178,1071m6125,749l6178,749m6125,428l6178,428m6125,106l6178,106m2318,2991l6125,2991m2318,3044l2318,2991m3211,3044l3211,2991m4109,3044l4109,2991m5006,3044l5006,2991m5899,3044l5899,2991e" filled="false" stroked="true" strokeweight=".24pt" strokecolor="#000000">
              <v:path arrowok="t"/>
              <v:stroke dashstyle="solid"/>
            </v:shape>
            <v:shape style="position:absolute;left:3192;top:1670;width:970;height:384" coordorigin="3192,1671" coordsize="970,384" path="m3264,1887l3259,1844,3192,1882,3192,1920,3264,1887m3418,1877l3341,1853,3341,1844,3269,1824,3264,1863,3341,1882,3341,1892,3413,1916,3418,1877m3485,1930l3418,1892,3413,1935,3480,1973,3485,1930m3562,1992l3494,1959,3490,1997,3562,2036,3562,1992m3638,2021l3634,1983,3566,2016,3566,2055,3638,2021m3941,1940l3868,1949,3869,1944,3792,1930,3789,1954,3787,1940,3715,1959,3715,1964,3638,1968,3643,2007,3720,2002,3719,1996,3792,1978,3791,1969,3864,1983,3864,1988,3941,1978,3941,1973,3941,1940m4013,1906l3974,1901,3941,1973,3979,1973,4013,1906m4085,1791l4046,1786,4013,1858,4051,1858,4085,1791m4162,1671l4123,1671,4090,1738,4128,1743,4162,1671e" filled="true" fillcolor="#ff00ff" stroked="false">
              <v:path arrowok="t"/>
              <v:fill type="solid"/>
            </v:shape>
            <v:shape style="position:absolute;left:4161;top:1531;width:375;height:101" type="#_x0000_t75" stroked="false">
              <v:imagedata r:id="rId23" o:title=""/>
            </v:shape>
            <v:shape style="position:absolute;left:4536;top:1233;width:1560;height:576" coordorigin="4536,1234" coordsize="1560,576" path="m4613,1469l4608,1431,4536,1445,4536,1484,4613,1469m4834,1402l4829,1364,4757,1392,4758,1403,4685,1416,4608,1421,4613,1460,4690,1455,4689,1454,4762,1440,4762,1431,4834,1402m4901,1311l4834,1349,4834,1388,4901,1354,4901,1311m4978,1325l4910,1287,4906,1330,4973,1364,4978,1325m5064,1354l4987,1349,4982,1388,5059,1392,5064,1354m5131,1325l5093,1325,5059,1392,5098,1397,5131,1325m5218,1306l5174,1239,5136,1234,5174,1301,5218,1306m5285,1340l5208,1320,5208,1359,5280,1378,5285,1340m5362,1412l5323,1344,5285,1340,5323,1407,5362,1412m5587,1532l5549,1460,5510,1460,5434,1455,5434,1450,5357,1436,5357,1474,5429,1488,5429,1493,5506,1498,5510,1466,5544,1527,5587,1532m5664,1623l5621,1556,5582,1551,5621,1618,5664,1623m5731,1604l5693,1599,5654,1671,5698,1671,5731,1604m5947,1618l5918,1546,5884,1546,5885,1541,5808,1536,5808,1532,5731,1522,5731,1560,5804,1569,5803,1575,5880,1580,5883,1554,5909,1618,5947,1618m6029,1733l5957,1714,5952,1752,6029,1772,6029,1738,6029,1733m6096,1810l6067,1738,6029,1738,6058,1810,6096,1810e" filled="true" fillcolor="#ff00ff" stroked="false">
              <v:path arrowok="t"/>
              <v:fill type="solid"/>
            </v:shape>
            <v:line style="position:absolute" from="2318,1647" to="2390,1388" stroked="true" strokeweight="1.92pt" strokecolor="#000080">
              <v:stroke dashstyle="solid"/>
            </v:line>
            <v:line style="position:absolute" from="2390,1388" to="2467,1647" stroked="true" strokeweight="1.92pt" strokecolor="#000080">
              <v:stroke dashstyle="solid"/>
            </v:line>
            <v:line style="position:absolute" from="2467,1647" to="2539,1580" stroked="true" strokeweight="1.92pt" strokecolor="#000080">
              <v:stroke dashstyle="solid"/>
            </v:line>
            <v:line style="position:absolute" from="2539,1580" to="2616,1580" stroked="true" strokeweight="1.92pt" strokecolor="#000080">
              <v:stroke dashstyle="solid"/>
            </v:line>
            <v:line style="position:absolute" from="2616,1580" to="2688,1580" stroked="true" strokeweight="1.92pt" strokecolor="#000080">
              <v:stroke dashstyle="solid"/>
            </v:line>
            <v:shape style="position:absolute;left:2688;top:523;width:1944;height:1541" coordorigin="2688,524" coordsize="1944,1541" path="m2688,1580l2765,1551m2765,1551l2842,1551m2842,1551l2914,1772m2914,1772l2990,1709m2990,1709l3062,1839m3062,1839l3139,1968m3139,1968l3211,1901m3211,1901l3288,1772m3288,1772l3360,2064m3360,2064l3437,1839m3437,1839l3514,2031m3514,2031l3586,1997m3586,1997l3662,1901m3662,1901l3734,1935m3734,1935l3811,1676m3811,1676l3883,1359m3883,1359l3960,1455m3960,1455l4032,1455m4032,1455l4109,1229m4109,1229l4181,1100m4181,1100l4258,941m4258,941l4334,1263m4334,1263l4406,1229m4406,1229l4483,1325m4483,1325l4555,975m4555,975l4632,524e" filled="false" stroked="true" strokeweight="1.92pt" strokecolor="#000080">
              <v:path arrowok="t"/>
              <v:stroke dashstyle="solid"/>
            </v:shape>
            <v:line style="position:absolute" from="4632,524" to="4704,298" stroked="true" strokeweight="1.92pt" strokecolor="#000080">
              <v:stroke dashstyle="solid"/>
            </v:line>
            <v:line style="position:absolute" from="4704,298" to="4781,365" stroked="true" strokeweight="1.92pt" strokecolor="#000080">
              <v:stroke dashstyle="solid"/>
            </v:line>
            <v:line style="position:absolute" from="4781,365" to="4853,716" stroked="true" strokeweight="1.92pt" strokecolor="#000080">
              <v:stroke dashstyle="solid"/>
            </v:line>
            <v:shape style="position:absolute;left:4852;top:681;width:749;height:581" coordorigin="4853,682" coordsize="749,581" path="m4853,716l4930,682m4930,682l5006,975m5006,975l5078,1133m5078,1133l5155,1037m5155,1037l5227,1004m5227,1004l5304,1263m5304,1263l5376,1196m5376,1196l5453,941m5453,941l5525,1037m5525,1037l5602,1100e" filled="false" stroked="true" strokeweight="1.92pt" strokecolor="#000080">
              <v:path arrowok="t"/>
              <v:stroke dashstyle="solid"/>
            </v:shape>
            <v:line style="position:absolute" from="5750,1100" to="5827,1359" stroked="true" strokeweight="1.92pt" strokecolor="#000080">
              <v:stroke dashstyle="solid"/>
            </v:line>
            <v:line style="position:absolute" from="5827,1359" to="5899,1772" stroked="true" strokeweight="1.92pt" strokecolor="#000080">
              <v:stroke dashstyle="solid"/>
            </v:line>
            <v:line style="position:absolute" from="5899,1772" to="5976,1839" stroked="true" strokeweight="1.92pt" strokecolor="#000080">
              <v:stroke dashstyle="solid"/>
            </v:line>
            <v:line style="position:absolute" from="5976,1839" to="6048,1772" stroked="true" strokeweight="1.92pt" strokecolor="#000080">
              <v:stroke dashstyle="solid"/>
            </v:line>
            <v:line style="position:absolute" from="6048,1772" to="6125,2256" stroked="true" strokeweight="1.92pt" strokecolor="#000080">
              <v:stroke dashstyle="solid"/>
            </v:line>
            <v:shape style="position:absolute;left:2328;top:-363;width:2758;height:569" type="#_x0000_t202" filled="false" stroked="false">
              <v:textbox inset="0,0,0,0">
                <w:txbxContent>
                  <w:p>
                    <w:pPr>
                      <w:spacing w:line="266" w:lineRule="exact" w:before="0"/>
                      <w:ind w:left="0" w:right="0" w:firstLine="0"/>
                      <w:jc w:val="left"/>
                      <w:rPr>
                        <w:b/>
                        <w:sz w:val="24"/>
                      </w:rPr>
                    </w:pPr>
                    <w:r>
                      <w:rPr>
                        <w:b/>
                        <w:sz w:val="24"/>
                      </w:rPr>
                      <w:t>US and Euro Area</w:t>
                    </w:r>
                  </w:p>
                  <w:p>
                    <w:pPr>
                      <w:spacing w:before="26"/>
                      <w:ind w:left="0" w:right="0" w:firstLine="0"/>
                      <w:jc w:val="left"/>
                      <w:rPr>
                        <w:b/>
                        <w:sz w:val="24"/>
                      </w:rPr>
                    </w:pPr>
                    <w:r>
                      <w:rPr>
                        <w:b/>
                        <w:sz w:val="24"/>
                      </w:rPr>
                      <w:t>Non-Manufacturing Prices</w:t>
                    </w:r>
                  </w:p>
                </w:txbxContent>
              </v:textbox>
              <w10:wrap type="none"/>
            </v:shape>
            <v:shape style="position:absolute;left:5601;top:966;width:207;height:189" type="#_x0000_t202" filled="false" stroked="false">
              <v:textbox inset="0,0,0,0">
                <w:txbxContent>
                  <w:p>
                    <w:pPr>
                      <w:spacing w:line="189" w:lineRule="exact" w:before="0"/>
                      <w:ind w:left="0" w:right="0" w:firstLine="0"/>
                      <w:jc w:val="left"/>
                      <w:rPr>
                        <w:sz w:val="17"/>
                      </w:rPr>
                    </w:pPr>
                    <w:r>
                      <w:rPr>
                        <w:w w:val="100"/>
                        <w:sz w:val="17"/>
                        <w:u w:val="thick" w:color="000080"/>
                      </w:rPr>
                      <w:t> </w:t>
                    </w:r>
                    <w:r>
                      <w:rPr>
                        <w:spacing w:val="16"/>
                        <w:sz w:val="17"/>
                        <w:u w:val="thick" w:color="000080"/>
                      </w:rPr>
                      <w:t> </w:t>
                    </w:r>
                  </w:p>
                </w:txbxContent>
              </v:textbox>
              <w10:wrap type="none"/>
            </v:shape>
            <w10:wrap type="none"/>
          </v:group>
        </w:pict>
      </w:r>
      <w:r>
        <w:rPr>
          <w:sz w:val="17"/>
        </w:rPr>
        <w:t>75</w:t>
      </w:r>
    </w:p>
    <w:p>
      <w:pPr>
        <w:spacing w:before="127"/>
        <w:ind w:left="4354" w:right="3542" w:firstLine="0"/>
        <w:jc w:val="center"/>
        <w:rPr>
          <w:sz w:val="17"/>
        </w:rPr>
      </w:pPr>
      <w:r>
        <w:rPr>
          <w:sz w:val="17"/>
        </w:rPr>
        <w:t>70</w:t>
      </w:r>
    </w:p>
    <w:p>
      <w:pPr>
        <w:spacing w:before="121"/>
        <w:ind w:left="4354" w:right="3542" w:firstLine="0"/>
        <w:jc w:val="center"/>
        <w:rPr>
          <w:sz w:val="17"/>
        </w:rPr>
      </w:pPr>
      <w:r>
        <w:rPr>
          <w:sz w:val="17"/>
        </w:rPr>
        <w:t>65</w:t>
      </w:r>
    </w:p>
    <w:p>
      <w:pPr>
        <w:spacing w:before="126"/>
        <w:ind w:left="4354" w:right="3542" w:firstLine="0"/>
        <w:jc w:val="center"/>
        <w:rPr>
          <w:sz w:val="17"/>
        </w:rPr>
      </w:pPr>
      <w:r>
        <w:rPr>
          <w:sz w:val="17"/>
        </w:rPr>
        <w:t>60</w:t>
      </w:r>
    </w:p>
    <w:p>
      <w:pPr>
        <w:spacing w:before="126"/>
        <w:ind w:left="4354" w:right="3542" w:firstLine="0"/>
        <w:jc w:val="center"/>
        <w:rPr>
          <w:sz w:val="17"/>
        </w:rPr>
      </w:pPr>
      <w:r>
        <w:rPr>
          <w:sz w:val="17"/>
        </w:rPr>
        <w:t>55</w:t>
      </w:r>
    </w:p>
    <w:p>
      <w:pPr>
        <w:spacing w:before="126"/>
        <w:ind w:left="4354" w:right="3542" w:firstLine="0"/>
        <w:jc w:val="center"/>
        <w:rPr>
          <w:sz w:val="17"/>
        </w:rPr>
      </w:pPr>
      <w:r>
        <w:rPr>
          <w:sz w:val="17"/>
        </w:rPr>
        <w:t>50</w:t>
      </w:r>
    </w:p>
    <w:p>
      <w:pPr>
        <w:spacing w:before="122"/>
        <w:ind w:left="4354" w:right="3542" w:firstLine="0"/>
        <w:jc w:val="center"/>
        <w:rPr>
          <w:sz w:val="17"/>
        </w:rPr>
      </w:pPr>
      <w:r>
        <w:rPr>
          <w:sz w:val="17"/>
        </w:rPr>
        <w:t>45</w:t>
      </w:r>
    </w:p>
    <w:p>
      <w:pPr>
        <w:spacing w:before="126"/>
        <w:ind w:left="4354" w:right="3542" w:firstLine="0"/>
        <w:jc w:val="center"/>
        <w:rPr>
          <w:sz w:val="17"/>
        </w:rPr>
      </w:pPr>
      <w:r>
        <w:rPr>
          <w:sz w:val="17"/>
        </w:rPr>
        <w:t>40</w:t>
      </w:r>
    </w:p>
    <w:p>
      <w:pPr>
        <w:spacing w:before="126"/>
        <w:ind w:left="4354" w:right="3542" w:firstLine="0"/>
        <w:jc w:val="center"/>
        <w:rPr>
          <w:sz w:val="17"/>
        </w:rPr>
      </w:pPr>
      <w:r>
        <w:rPr>
          <w:sz w:val="17"/>
        </w:rPr>
        <w:t>35</w:t>
      </w:r>
    </w:p>
    <w:p>
      <w:pPr>
        <w:spacing w:before="126"/>
        <w:ind w:left="4354" w:right="3542" w:firstLine="0"/>
        <w:jc w:val="center"/>
        <w:rPr>
          <w:sz w:val="17"/>
        </w:rPr>
      </w:pPr>
      <w:r>
        <w:rPr>
          <w:sz w:val="17"/>
        </w:rPr>
        <w:t>30</w:t>
      </w:r>
    </w:p>
    <w:p>
      <w:pPr>
        <w:tabs>
          <w:tab w:pos="897" w:val="left" w:leader="none"/>
          <w:tab w:pos="1790" w:val="left" w:leader="none"/>
          <w:tab w:pos="2687" w:val="left" w:leader="none"/>
          <w:tab w:pos="3585" w:val="left" w:leader="none"/>
        </w:tabs>
        <w:spacing w:before="59"/>
        <w:ind w:left="0" w:right="3641" w:firstLine="0"/>
        <w:jc w:val="center"/>
        <w:rPr>
          <w:sz w:val="17"/>
        </w:rPr>
      </w:pPr>
      <w:r>
        <w:rPr>
          <w:sz w:val="17"/>
        </w:rPr>
        <w:t>Jul-97</w:t>
        <w:tab/>
        <w:t>Jul-98</w:t>
        <w:tab/>
        <w:t>Jul-99</w:t>
        <w:tab/>
        <w:t>Jul-00</w:t>
        <w:tab/>
        <w:t>Jul-01</w:t>
      </w:r>
    </w:p>
    <w:p>
      <w:pPr>
        <w:pStyle w:val="BodyText"/>
        <w:spacing w:before="9"/>
        <w:rPr>
          <w:sz w:val="10"/>
        </w:rPr>
      </w:pPr>
    </w:p>
    <w:p>
      <w:pPr>
        <w:tabs>
          <w:tab w:pos="3188" w:val="left" w:leader="none"/>
        </w:tabs>
        <w:spacing w:before="93"/>
        <w:ind w:left="1143" w:right="0" w:firstLine="0"/>
        <w:jc w:val="left"/>
        <w:rPr>
          <w:sz w:val="17"/>
        </w:rPr>
      </w:pPr>
      <w:r>
        <w:rPr/>
        <w:pict>
          <v:rect style="position:absolute;margin-left:108.239998pt;margin-top:8.025547pt;width:3.84pt;height:1.92pt;mso-position-horizontal-relative:page;mso-position-vertical-relative:paragraph;z-index:251691008" filled="true" fillcolor="#ff00ff" stroked="false">
            <v:fill type="solid"/>
            <w10:wrap type="none"/>
          </v:rect>
        </w:pict>
      </w:r>
      <w:r>
        <w:rPr/>
        <w:pict>
          <v:rect style="position:absolute;margin-left:119.760002pt;margin-top:8.025547pt;width:3.84pt;height:1.92pt;mso-position-horizontal-relative:page;mso-position-vertical-relative:paragraph;z-index:251692032" filled="true" fillcolor="#ff00ff" stroked="false">
            <v:fill type="solid"/>
            <w10:wrap type="none"/>
          </v:rect>
        </w:pict>
      </w:r>
      <w:r>
        <w:rPr/>
        <w:pict>
          <v:rect style="position:absolute;margin-left:131.279999pt;margin-top:8.025547pt;width:3.84pt;height:1.92pt;mso-position-horizontal-relative:page;mso-position-vertical-relative:paragraph;z-index:251693056" filled="true" fillcolor="#ff00ff" stroked="false">
            <v:fill type="solid"/>
            <w10:wrap type="none"/>
          </v:rect>
        </w:pict>
      </w:r>
      <w:r>
        <w:rPr/>
        <w:pict>
          <v:line style="position:absolute;mso-position-horizontal-relative:page;mso-position-vertical-relative:paragraph;z-index:-253050880" from="211.440002pt,8.985547pt" to="239.520002pt,8.985547pt" stroked="true" strokeweight="1.92pt" strokecolor="#000080">
            <v:stroke dashstyle="solid"/>
            <w10:wrap type="none"/>
          </v:line>
        </w:pict>
      </w:r>
      <w:r>
        <w:rPr>
          <w:sz w:val="17"/>
        </w:rPr>
        <w:t>Euro Area Prices</w:t>
        <w:tab/>
        <w:t>US NAPM</w:t>
      </w:r>
      <w:r>
        <w:rPr>
          <w:spacing w:val="2"/>
          <w:sz w:val="17"/>
        </w:rPr>
        <w:t> </w:t>
      </w:r>
      <w:r>
        <w:rPr>
          <w:sz w:val="17"/>
        </w:rPr>
        <w:t>Prices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shape style="position:absolute;margin-left:90pt;margin-top:11.705264pt;width:144pt;height:.1pt;mso-position-horizontal-relative:page;mso-position-vertical-relative:paragraph;z-index:-251635712;mso-wrap-distance-left:0;mso-wrap-distance-right:0" coordorigin="1800,234" coordsize="2880,0" path="m1800,234l4680,234e" filled="false" stroked="true" strokeweight=".48pt" strokecolor="#000000">
            <v:path arrowok="t"/>
            <v:stroke dashstyle="solid"/>
            <w10:wrap type="topAndBottom"/>
          </v:shape>
        </w:pict>
      </w:r>
    </w:p>
    <w:p>
      <w:pPr>
        <w:pStyle w:val="BodyText"/>
        <w:spacing w:before="8"/>
        <w:rPr>
          <w:sz w:val="16"/>
        </w:rPr>
      </w:pPr>
    </w:p>
    <w:p>
      <w:pPr>
        <w:spacing w:before="95"/>
        <w:ind w:left="160" w:right="0" w:firstLine="0"/>
        <w:jc w:val="left"/>
        <w:rPr>
          <w:sz w:val="20"/>
        </w:rPr>
      </w:pPr>
      <w:r>
        <w:rPr>
          <w:position w:val="9"/>
          <w:sz w:val="13"/>
        </w:rPr>
        <w:t>3 </w:t>
      </w:r>
      <w:r>
        <w:rPr>
          <w:sz w:val="20"/>
        </w:rPr>
        <w:t>I am one of those members who believes that the global inflation rate in finished goods prices has a direct effect on UK domestic prices – an effect that is not currently built into the Bank’s Medium-Term Macroeconometric Model (MTMM). This is one reason why my personal inflation projection is lower than the best collective projection published in the November Inflation Report.</w:t>
      </w:r>
    </w:p>
    <w:p>
      <w:pPr>
        <w:spacing w:after="0"/>
        <w:jc w:val="left"/>
        <w:rPr>
          <w:sz w:val="20"/>
        </w:rPr>
        <w:sectPr>
          <w:pgSz w:w="11900" w:h="16840"/>
          <w:pgMar w:header="0" w:footer="782" w:top="1320" w:bottom="980" w:left="1640" w:right="1680"/>
        </w:sectPr>
      </w:pPr>
    </w:p>
    <w:p>
      <w:pPr>
        <w:pStyle w:val="BodyText"/>
        <w:spacing w:line="360" w:lineRule="auto" w:before="73"/>
        <w:ind w:left="160"/>
      </w:pPr>
      <w:r>
        <w:rPr/>
        <w:t>In terms of the UK, for much of 2001, we have eased policy to offset global economic weakness notwithstanding the relatively robust growth of domestic demand.</w:t>
      </w:r>
    </w:p>
    <w:p>
      <w:pPr>
        <w:pStyle w:val="BodyText"/>
        <w:spacing w:line="360" w:lineRule="auto" w:before="3"/>
        <w:ind w:left="160"/>
      </w:pPr>
      <w:r>
        <w:rPr/>
        <w:t>However, the labour market now appears to have turned, and there are some signs of a deceleration in house price inflation. The prospects for consumption are uncertain, though, until recently, growth has been strong.</w:t>
      </w:r>
    </w:p>
    <w:p>
      <w:pPr>
        <w:pStyle w:val="BodyText"/>
        <w:rPr>
          <w:sz w:val="36"/>
        </w:rPr>
      </w:pPr>
    </w:p>
    <w:p>
      <w:pPr>
        <w:pStyle w:val="BodyText"/>
        <w:spacing w:line="360" w:lineRule="auto"/>
        <w:ind w:left="160"/>
      </w:pPr>
      <w:r>
        <w:rPr/>
        <w:t>As discussed above, a key issue is whether the global equity markets are likely to remain resilient. For that reason, I turn to a detailed consideration of current equity market valuations in the US.</w:t>
      </w:r>
    </w:p>
    <w:p>
      <w:pPr>
        <w:pStyle w:val="BodyText"/>
        <w:spacing w:before="3"/>
      </w:pPr>
    </w:p>
    <w:p>
      <w:pPr>
        <w:pStyle w:val="Heading1"/>
        <w:spacing w:before="1"/>
      </w:pPr>
      <w:r>
        <w:rPr/>
        <w:t>SECTION B</w:t>
      </w:r>
    </w:p>
    <w:p>
      <w:pPr>
        <w:pStyle w:val="BodyText"/>
        <w:spacing w:before="11"/>
        <w:rPr>
          <w:b/>
          <w:sz w:val="23"/>
        </w:rPr>
      </w:pPr>
    </w:p>
    <w:p>
      <w:pPr>
        <w:spacing w:line="242" w:lineRule="auto" w:before="0"/>
        <w:ind w:left="160" w:right="552" w:firstLine="0"/>
        <w:jc w:val="left"/>
        <w:rPr>
          <w:b/>
          <w:sz w:val="24"/>
        </w:rPr>
      </w:pPr>
      <w:r>
        <w:rPr>
          <w:b/>
          <w:sz w:val="24"/>
        </w:rPr>
        <w:t>DO CURRENT STOCK MARKET VALUATIONS POSE A RISK TO THE GLOBAL ECONOMY?</w:t>
      </w:r>
    </w:p>
    <w:p>
      <w:pPr>
        <w:pStyle w:val="BodyText"/>
        <w:rPr>
          <w:b/>
          <w:sz w:val="35"/>
        </w:rPr>
      </w:pPr>
    </w:p>
    <w:p>
      <w:pPr>
        <w:pStyle w:val="BodyText"/>
        <w:spacing w:line="360" w:lineRule="auto"/>
        <w:ind w:left="160" w:right="153"/>
      </w:pPr>
      <w:r>
        <w:rPr/>
        <w:t>Global </w:t>
      </w:r>
      <w:r>
        <w:rPr>
          <w:spacing w:val="2"/>
        </w:rPr>
        <w:t>stock </w:t>
      </w:r>
      <w:r>
        <w:rPr/>
        <w:t>markets have fallen significantly since their peaks in 2000. </w:t>
      </w:r>
      <w:r>
        <w:rPr>
          <w:spacing w:val="3"/>
        </w:rPr>
        <w:t>Table </w:t>
      </w:r>
      <w:r>
        <w:rPr/>
        <w:t>2 shows</w:t>
      </w:r>
      <w:r>
        <w:rPr>
          <w:spacing w:val="-6"/>
        </w:rPr>
        <w:t> </w:t>
      </w:r>
      <w:r>
        <w:rPr/>
        <w:t>that the</w:t>
      </w:r>
      <w:r>
        <w:rPr>
          <w:spacing w:val="-5"/>
        </w:rPr>
        <w:t> </w:t>
      </w:r>
      <w:r>
        <w:rPr/>
        <w:t>declines</w:t>
      </w:r>
      <w:r>
        <w:rPr>
          <w:spacing w:val="-6"/>
        </w:rPr>
        <w:t> </w:t>
      </w:r>
      <w:r>
        <w:rPr/>
        <w:t>in</w:t>
      </w:r>
      <w:r>
        <w:rPr>
          <w:spacing w:val="-5"/>
        </w:rPr>
        <w:t> </w:t>
      </w:r>
      <w:r>
        <w:rPr/>
        <w:t>the</w:t>
      </w:r>
      <w:r>
        <w:rPr>
          <w:spacing w:val="-5"/>
        </w:rPr>
        <w:t> </w:t>
      </w:r>
      <w:r>
        <w:rPr/>
        <w:t>major</w:t>
      </w:r>
      <w:r>
        <w:rPr>
          <w:spacing w:val="-5"/>
        </w:rPr>
        <w:t> </w:t>
      </w:r>
      <w:r>
        <w:rPr/>
        <w:t>equity</w:t>
      </w:r>
      <w:r>
        <w:rPr>
          <w:spacing w:val="-6"/>
        </w:rPr>
        <w:t> </w:t>
      </w:r>
      <w:r>
        <w:rPr/>
        <w:t>indices</w:t>
      </w:r>
      <w:r>
        <w:rPr>
          <w:spacing w:val="-5"/>
        </w:rPr>
        <w:t> </w:t>
      </w:r>
      <w:r>
        <w:rPr/>
        <w:t>from</w:t>
      </w:r>
      <w:r>
        <w:rPr>
          <w:spacing w:val="-5"/>
        </w:rPr>
        <w:t> </w:t>
      </w:r>
      <w:r>
        <w:rPr/>
        <w:t>their</w:t>
      </w:r>
      <w:r>
        <w:rPr>
          <w:spacing w:val="-6"/>
        </w:rPr>
        <w:t> </w:t>
      </w:r>
      <w:r>
        <w:rPr/>
        <w:t>peak</w:t>
      </w:r>
      <w:r>
        <w:rPr>
          <w:spacing w:val="-5"/>
        </w:rPr>
        <w:t> </w:t>
      </w:r>
      <w:r>
        <w:rPr/>
        <w:t>values</w:t>
      </w:r>
      <w:r>
        <w:rPr>
          <w:spacing w:val="-5"/>
        </w:rPr>
        <w:t> </w:t>
      </w:r>
      <w:r>
        <w:rPr/>
        <w:t>have</w:t>
      </w:r>
      <w:r>
        <w:rPr>
          <w:spacing w:val="-5"/>
        </w:rPr>
        <w:t> </w:t>
      </w:r>
      <w:r>
        <w:rPr>
          <w:spacing w:val="2"/>
        </w:rPr>
        <w:t>ranged </w:t>
      </w:r>
      <w:r>
        <w:rPr/>
        <w:t>from </w:t>
      </w:r>
      <w:r>
        <w:rPr>
          <w:spacing w:val="3"/>
        </w:rPr>
        <w:t>over </w:t>
      </w:r>
      <w:r>
        <w:rPr/>
        <w:t>20% for the FTSE100 </w:t>
      </w:r>
      <w:r>
        <w:rPr>
          <w:spacing w:val="2"/>
        </w:rPr>
        <w:t>to </w:t>
      </w:r>
      <w:r>
        <w:rPr/>
        <w:t>around 60% for the NASDAQ. It is, therefore, tempting</w:t>
      </w:r>
      <w:r>
        <w:rPr>
          <w:spacing w:val="-8"/>
        </w:rPr>
        <w:t> </w:t>
      </w:r>
      <w:r>
        <w:rPr>
          <w:spacing w:val="2"/>
        </w:rPr>
        <w:t>to</w:t>
      </w:r>
      <w:r>
        <w:rPr>
          <w:spacing w:val="-3"/>
        </w:rPr>
        <w:t> </w:t>
      </w:r>
      <w:r>
        <w:rPr/>
        <w:t>believe</w:t>
      </w:r>
      <w:r>
        <w:rPr>
          <w:spacing w:val="-7"/>
        </w:rPr>
        <w:t> </w:t>
      </w:r>
      <w:r>
        <w:rPr/>
        <w:t>that,</w:t>
      </w:r>
      <w:r>
        <w:rPr>
          <w:spacing w:val="-3"/>
        </w:rPr>
        <w:t> </w:t>
      </w:r>
      <w:r>
        <w:rPr/>
        <w:t>perhaps,</w:t>
      </w:r>
      <w:r>
        <w:rPr>
          <w:spacing w:val="-7"/>
        </w:rPr>
        <w:t> </w:t>
      </w:r>
      <w:r>
        <w:rPr/>
        <w:t>stock</w:t>
      </w:r>
      <w:r>
        <w:rPr>
          <w:spacing w:val="-7"/>
        </w:rPr>
        <w:t> </w:t>
      </w:r>
      <w:r>
        <w:rPr/>
        <w:t>markets</w:t>
      </w:r>
      <w:r>
        <w:rPr>
          <w:spacing w:val="-8"/>
        </w:rPr>
        <w:t> </w:t>
      </w:r>
      <w:r>
        <w:rPr/>
        <w:t>are</w:t>
      </w:r>
      <w:r>
        <w:rPr>
          <w:spacing w:val="-7"/>
        </w:rPr>
        <w:t> </w:t>
      </w:r>
      <w:r>
        <w:rPr/>
        <w:t>unlikely</w:t>
      </w:r>
      <w:r>
        <w:rPr>
          <w:spacing w:val="-7"/>
        </w:rPr>
        <w:t> </w:t>
      </w:r>
      <w:r>
        <w:rPr>
          <w:spacing w:val="2"/>
        </w:rPr>
        <w:t>to</w:t>
      </w:r>
      <w:r>
        <w:rPr>
          <w:spacing w:val="-3"/>
        </w:rPr>
        <w:t> </w:t>
      </w:r>
      <w:r>
        <w:rPr/>
        <w:t>go</w:t>
      </w:r>
      <w:r>
        <w:rPr>
          <w:spacing w:val="-7"/>
        </w:rPr>
        <w:t> </w:t>
      </w:r>
      <w:r>
        <w:rPr/>
        <w:t>down</w:t>
      </w:r>
      <w:r>
        <w:rPr>
          <w:spacing w:val="-8"/>
        </w:rPr>
        <w:t> </w:t>
      </w:r>
      <w:r>
        <w:rPr/>
        <w:t>much</w:t>
      </w:r>
      <w:r>
        <w:rPr>
          <w:spacing w:val="-7"/>
        </w:rPr>
        <w:t> </w:t>
      </w:r>
      <w:r>
        <w:rPr/>
        <w:t>further.</w:t>
      </w:r>
    </w:p>
    <w:p>
      <w:pPr>
        <w:pStyle w:val="BodyText"/>
        <w:spacing w:before="10"/>
        <w:rPr>
          <w:sz w:val="35"/>
        </w:rPr>
      </w:pPr>
    </w:p>
    <w:p>
      <w:pPr>
        <w:pStyle w:val="BodyText"/>
        <w:spacing w:line="360" w:lineRule="auto" w:before="1"/>
        <w:ind w:left="160" w:right="108"/>
      </w:pPr>
      <w:r>
        <w:rPr/>
        <w:t>Normally, bear market bottoms are associated with clear signs </w:t>
      </w:r>
      <w:r>
        <w:rPr>
          <w:spacing w:val="2"/>
        </w:rPr>
        <w:t>of </w:t>
      </w:r>
      <w:r>
        <w:rPr/>
        <w:t>the purging </w:t>
      </w:r>
      <w:r>
        <w:rPr>
          <w:spacing w:val="2"/>
        </w:rPr>
        <w:t>of </w:t>
      </w:r>
      <w:r>
        <w:rPr/>
        <w:t>the excesses that built up during the euphoria associated with the preceding bull market. However, Figure 6A shows that the current price-earnings ratio for the S&amp;P500 index in the US </w:t>
      </w:r>
      <w:r>
        <w:rPr>
          <w:spacing w:val="2"/>
        </w:rPr>
        <w:t>remains </w:t>
      </w:r>
      <w:r>
        <w:rPr/>
        <w:t>high by long-term historical </w:t>
      </w:r>
      <w:r>
        <w:rPr>
          <w:spacing w:val="2"/>
        </w:rPr>
        <w:t>standards.</w:t>
      </w:r>
      <w:r>
        <w:rPr>
          <w:spacing w:val="2"/>
          <w:vertAlign w:val="superscript"/>
        </w:rPr>
        <w:t>4</w:t>
      </w:r>
      <w:r>
        <w:rPr>
          <w:spacing w:val="2"/>
          <w:vertAlign w:val="baseline"/>
        </w:rPr>
        <w:t> </w:t>
      </w:r>
      <w:r>
        <w:rPr>
          <w:vertAlign w:val="baseline"/>
        </w:rPr>
        <w:t>While it is true that</w:t>
      </w:r>
      <w:r>
        <w:rPr>
          <w:spacing w:val="-19"/>
          <w:vertAlign w:val="baseline"/>
        </w:rPr>
        <w:t> </w:t>
      </w:r>
      <w:r>
        <w:rPr>
          <w:vertAlign w:val="baseline"/>
        </w:rPr>
        <w:t>current</w:t>
      </w:r>
    </w:p>
    <w:p>
      <w:pPr>
        <w:pStyle w:val="BodyText"/>
        <w:spacing w:before="8"/>
        <w:rPr>
          <w:sz w:val="36"/>
        </w:rPr>
      </w:pPr>
    </w:p>
    <w:p>
      <w:pPr>
        <w:pStyle w:val="Heading1"/>
      </w:pPr>
      <w:r>
        <w:rPr/>
        <w:t>TABLE 2</w:t>
      </w:r>
    </w:p>
    <w:p>
      <w:pPr>
        <w:spacing w:before="137"/>
        <w:ind w:left="160" w:right="0" w:firstLine="0"/>
        <w:jc w:val="left"/>
        <w:rPr>
          <w:b/>
          <w:sz w:val="24"/>
        </w:rPr>
      </w:pPr>
      <w:r>
        <w:rPr>
          <w:b/>
          <w:sz w:val="24"/>
        </w:rPr>
        <w:t>STOCK MARKET PERFORMANCE SINCE THE PEAK</w:t>
      </w:r>
    </w:p>
    <w:p>
      <w:pPr>
        <w:pStyle w:val="BodyText"/>
        <w:rPr>
          <w:b/>
          <w:sz w:val="20"/>
        </w:rPr>
      </w:pPr>
    </w:p>
    <w:p>
      <w:pPr>
        <w:pStyle w:val="BodyText"/>
        <w:spacing w:before="4"/>
        <w:rPr>
          <w:b/>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0"/>
        <w:gridCol w:w="999"/>
        <w:gridCol w:w="947"/>
        <w:gridCol w:w="840"/>
        <w:gridCol w:w="856"/>
        <w:gridCol w:w="1011"/>
        <w:gridCol w:w="1108"/>
        <w:gridCol w:w="1391"/>
      </w:tblGrid>
      <w:tr>
        <w:trPr>
          <w:trHeight w:val="457" w:hRule="atLeast"/>
        </w:trPr>
        <w:tc>
          <w:tcPr>
            <w:tcW w:w="1210" w:type="dxa"/>
          </w:tcPr>
          <w:p>
            <w:pPr>
              <w:pStyle w:val="TableParagraph"/>
              <w:rPr>
                <w:sz w:val="22"/>
              </w:rPr>
            </w:pPr>
          </w:p>
        </w:tc>
        <w:tc>
          <w:tcPr>
            <w:tcW w:w="999" w:type="dxa"/>
          </w:tcPr>
          <w:p>
            <w:pPr>
              <w:pStyle w:val="TableParagraph"/>
              <w:spacing w:line="223" w:lineRule="exact"/>
              <w:ind w:left="116"/>
              <w:rPr>
                <w:sz w:val="20"/>
              </w:rPr>
            </w:pPr>
            <w:r>
              <w:rPr>
                <w:sz w:val="20"/>
              </w:rPr>
              <w:t>FTSE100</w:t>
            </w:r>
          </w:p>
        </w:tc>
        <w:tc>
          <w:tcPr>
            <w:tcW w:w="947" w:type="dxa"/>
          </w:tcPr>
          <w:p>
            <w:pPr>
              <w:pStyle w:val="TableParagraph"/>
              <w:spacing w:line="223" w:lineRule="exact"/>
              <w:ind w:left="111"/>
              <w:rPr>
                <w:sz w:val="20"/>
              </w:rPr>
            </w:pPr>
            <w:r>
              <w:rPr>
                <w:sz w:val="20"/>
              </w:rPr>
              <w:t>S&amp;P500</w:t>
            </w:r>
          </w:p>
        </w:tc>
        <w:tc>
          <w:tcPr>
            <w:tcW w:w="840" w:type="dxa"/>
          </w:tcPr>
          <w:p>
            <w:pPr>
              <w:pStyle w:val="TableParagraph"/>
              <w:spacing w:line="223" w:lineRule="exact"/>
              <w:ind w:left="153"/>
              <w:rPr>
                <w:sz w:val="20"/>
              </w:rPr>
            </w:pPr>
            <w:r>
              <w:rPr>
                <w:sz w:val="20"/>
              </w:rPr>
              <w:t>DAX</w:t>
            </w:r>
          </w:p>
        </w:tc>
        <w:tc>
          <w:tcPr>
            <w:tcW w:w="856" w:type="dxa"/>
          </w:tcPr>
          <w:p>
            <w:pPr>
              <w:pStyle w:val="TableParagraph"/>
              <w:spacing w:line="223" w:lineRule="exact"/>
              <w:ind w:left="124"/>
              <w:rPr>
                <w:sz w:val="20"/>
              </w:rPr>
            </w:pPr>
            <w:r>
              <w:rPr>
                <w:sz w:val="20"/>
              </w:rPr>
              <w:t>CAC</w:t>
            </w:r>
          </w:p>
        </w:tc>
        <w:tc>
          <w:tcPr>
            <w:tcW w:w="1011" w:type="dxa"/>
          </w:tcPr>
          <w:p>
            <w:pPr>
              <w:pStyle w:val="TableParagraph"/>
              <w:spacing w:line="223" w:lineRule="exact"/>
              <w:ind w:left="166"/>
              <w:rPr>
                <w:sz w:val="20"/>
              </w:rPr>
            </w:pPr>
            <w:r>
              <w:rPr>
                <w:sz w:val="20"/>
              </w:rPr>
              <w:t>NIKKEI</w:t>
            </w:r>
          </w:p>
        </w:tc>
        <w:tc>
          <w:tcPr>
            <w:tcW w:w="1108" w:type="dxa"/>
          </w:tcPr>
          <w:p>
            <w:pPr>
              <w:pStyle w:val="TableParagraph"/>
              <w:spacing w:line="223" w:lineRule="exact"/>
              <w:ind w:left="143"/>
              <w:rPr>
                <w:sz w:val="20"/>
              </w:rPr>
            </w:pPr>
            <w:r>
              <w:rPr>
                <w:sz w:val="20"/>
              </w:rPr>
              <w:t>NASDAQ</w:t>
            </w:r>
          </w:p>
        </w:tc>
        <w:tc>
          <w:tcPr>
            <w:tcW w:w="1391" w:type="dxa"/>
          </w:tcPr>
          <w:p>
            <w:pPr>
              <w:pStyle w:val="TableParagraph"/>
              <w:spacing w:line="223" w:lineRule="exact"/>
              <w:ind w:left="115"/>
              <w:rPr>
                <w:sz w:val="20"/>
              </w:rPr>
            </w:pPr>
            <w:r>
              <w:rPr>
                <w:sz w:val="20"/>
              </w:rPr>
              <w:t>EUROSTOXX</w:t>
            </w:r>
          </w:p>
        </w:tc>
      </w:tr>
      <w:tr>
        <w:trPr>
          <w:trHeight w:val="688" w:hRule="atLeast"/>
        </w:trPr>
        <w:tc>
          <w:tcPr>
            <w:tcW w:w="1210" w:type="dxa"/>
          </w:tcPr>
          <w:p>
            <w:pPr>
              <w:pStyle w:val="TableParagraph"/>
              <w:spacing w:before="8"/>
              <w:rPr>
                <w:b/>
                <w:sz w:val="19"/>
              </w:rPr>
            </w:pPr>
          </w:p>
          <w:p>
            <w:pPr>
              <w:pStyle w:val="TableParagraph"/>
              <w:ind w:left="50"/>
              <w:rPr>
                <w:sz w:val="20"/>
              </w:rPr>
            </w:pPr>
            <w:r>
              <w:rPr>
                <w:sz w:val="20"/>
              </w:rPr>
              <w:t>Peak</w:t>
            </w:r>
          </w:p>
        </w:tc>
        <w:tc>
          <w:tcPr>
            <w:tcW w:w="999" w:type="dxa"/>
          </w:tcPr>
          <w:p>
            <w:pPr>
              <w:pStyle w:val="TableParagraph"/>
              <w:spacing w:before="8"/>
              <w:rPr>
                <w:b/>
                <w:sz w:val="19"/>
              </w:rPr>
            </w:pPr>
          </w:p>
          <w:p>
            <w:pPr>
              <w:pStyle w:val="TableParagraph"/>
              <w:ind w:left="116"/>
              <w:rPr>
                <w:sz w:val="20"/>
              </w:rPr>
            </w:pPr>
            <w:r>
              <w:rPr>
                <w:sz w:val="20"/>
              </w:rPr>
              <w:t>6930.2</w:t>
            </w:r>
          </w:p>
        </w:tc>
        <w:tc>
          <w:tcPr>
            <w:tcW w:w="947" w:type="dxa"/>
          </w:tcPr>
          <w:p>
            <w:pPr>
              <w:pStyle w:val="TableParagraph"/>
              <w:spacing w:before="8"/>
              <w:rPr>
                <w:b/>
                <w:sz w:val="19"/>
              </w:rPr>
            </w:pPr>
          </w:p>
          <w:p>
            <w:pPr>
              <w:pStyle w:val="TableParagraph"/>
              <w:ind w:left="111"/>
              <w:rPr>
                <w:sz w:val="20"/>
              </w:rPr>
            </w:pPr>
            <w:r>
              <w:rPr>
                <w:sz w:val="20"/>
              </w:rPr>
              <w:t>1527.5</w:t>
            </w:r>
          </w:p>
        </w:tc>
        <w:tc>
          <w:tcPr>
            <w:tcW w:w="840" w:type="dxa"/>
          </w:tcPr>
          <w:p>
            <w:pPr>
              <w:pStyle w:val="TableParagraph"/>
              <w:spacing w:before="8"/>
              <w:rPr>
                <w:b/>
                <w:sz w:val="19"/>
              </w:rPr>
            </w:pPr>
          </w:p>
          <w:p>
            <w:pPr>
              <w:pStyle w:val="TableParagraph"/>
              <w:ind w:left="153"/>
              <w:rPr>
                <w:sz w:val="20"/>
              </w:rPr>
            </w:pPr>
            <w:r>
              <w:rPr>
                <w:sz w:val="20"/>
              </w:rPr>
              <w:t>8046.0</w:t>
            </w:r>
          </w:p>
        </w:tc>
        <w:tc>
          <w:tcPr>
            <w:tcW w:w="856" w:type="dxa"/>
          </w:tcPr>
          <w:p>
            <w:pPr>
              <w:pStyle w:val="TableParagraph"/>
              <w:spacing w:before="8"/>
              <w:rPr>
                <w:b/>
                <w:sz w:val="19"/>
              </w:rPr>
            </w:pPr>
          </w:p>
          <w:p>
            <w:pPr>
              <w:pStyle w:val="TableParagraph"/>
              <w:ind w:left="124"/>
              <w:rPr>
                <w:sz w:val="20"/>
              </w:rPr>
            </w:pPr>
            <w:r>
              <w:rPr>
                <w:sz w:val="20"/>
              </w:rPr>
              <w:t>6922.3</w:t>
            </w:r>
          </w:p>
        </w:tc>
        <w:tc>
          <w:tcPr>
            <w:tcW w:w="1011" w:type="dxa"/>
          </w:tcPr>
          <w:p>
            <w:pPr>
              <w:pStyle w:val="TableParagraph"/>
              <w:spacing w:before="8"/>
              <w:rPr>
                <w:b/>
                <w:sz w:val="19"/>
              </w:rPr>
            </w:pPr>
          </w:p>
          <w:p>
            <w:pPr>
              <w:pStyle w:val="TableParagraph"/>
              <w:ind w:left="166"/>
              <w:rPr>
                <w:sz w:val="20"/>
              </w:rPr>
            </w:pPr>
            <w:r>
              <w:rPr>
                <w:sz w:val="20"/>
              </w:rPr>
              <w:t>20833.2</w:t>
            </w:r>
          </w:p>
        </w:tc>
        <w:tc>
          <w:tcPr>
            <w:tcW w:w="1108" w:type="dxa"/>
          </w:tcPr>
          <w:p>
            <w:pPr>
              <w:pStyle w:val="TableParagraph"/>
              <w:spacing w:before="8"/>
              <w:rPr>
                <w:b/>
                <w:sz w:val="19"/>
              </w:rPr>
            </w:pPr>
          </w:p>
          <w:p>
            <w:pPr>
              <w:pStyle w:val="TableParagraph"/>
              <w:ind w:left="143"/>
              <w:rPr>
                <w:sz w:val="20"/>
              </w:rPr>
            </w:pPr>
            <w:r>
              <w:rPr>
                <w:sz w:val="20"/>
              </w:rPr>
              <w:t>5048.6</w:t>
            </w:r>
          </w:p>
        </w:tc>
        <w:tc>
          <w:tcPr>
            <w:tcW w:w="1391" w:type="dxa"/>
          </w:tcPr>
          <w:p>
            <w:pPr>
              <w:pStyle w:val="TableParagraph"/>
              <w:spacing w:before="8"/>
              <w:rPr>
                <w:b/>
                <w:sz w:val="19"/>
              </w:rPr>
            </w:pPr>
          </w:p>
          <w:p>
            <w:pPr>
              <w:pStyle w:val="TableParagraph"/>
              <w:ind w:left="115"/>
              <w:rPr>
                <w:sz w:val="20"/>
              </w:rPr>
            </w:pPr>
            <w:r>
              <w:rPr>
                <w:sz w:val="20"/>
              </w:rPr>
              <w:t>466.2</w:t>
            </w:r>
          </w:p>
        </w:tc>
      </w:tr>
      <w:tr>
        <w:trPr>
          <w:trHeight w:val="688" w:hRule="atLeast"/>
        </w:trPr>
        <w:tc>
          <w:tcPr>
            <w:tcW w:w="1210" w:type="dxa"/>
          </w:tcPr>
          <w:p>
            <w:pPr>
              <w:pStyle w:val="TableParagraph"/>
              <w:spacing w:before="6"/>
              <w:rPr>
                <w:b/>
                <w:sz w:val="19"/>
              </w:rPr>
            </w:pPr>
          </w:p>
          <w:p>
            <w:pPr>
              <w:pStyle w:val="TableParagraph"/>
              <w:ind w:left="50"/>
              <w:rPr>
                <w:sz w:val="20"/>
              </w:rPr>
            </w:pPr>
            <w:r>
              <w:rPr>
                <w:sz w:val="20"/>
              </w:rPr>
              <w:t>15 Nov 2001</w:t>
            </w:r>
          </w:p>
        </w:tc>
        <w:tc>
          <w:tcPr>
            <w:tcW w:w="999" w:type="dxa"/>
          </w:tcPr>
          <w:p>
            <w:pPr>
              <w:pStyle w:val="TableParagraph"/>
              <w:spacing w:before="6"/>
              <w:rPr>
                <w:b/>
                <w:sz w:val="19"/>
              </w:rPr>
            </w:pPr>
          </w:p>
          <w:p>
            <w:pPr>
              <w:pStyle w:val="TableParagraph"/>
              <w:ind w:left="116"/>
              <w:rPr>
                <w:sz w:val="20"/>
              </w:rPr>
            </w:pPr>
            <w:r>
              <w:rPr>
                <w:sz w:val="20"/>
              </w:rPr>
              <w:t>5238.2</w:t>
            </w:r>
          </w:p>
        </w:tc>
        <w:tc>
          <w:tcPr>
            <w:tcW w:w="947" w:type="dxa"/>
          </w:tcPr>
          <w:p>
            <w:pPr>
              <w:pStyle w:val="TableParagraph"/>
              <w:spacing w:before="6"/>
              <w:rPr>
                <w:b/>
                <w:sz w:val="19"/>
              </w:rPr>
            </w:pPr>
          </w:p>
          <w:p>
            <w:pPr>
              <w:pStyle w:val="TableParagraph"/>
              <w:ind w:left="111"/>
              <w:rPr>
                <w:sz w:val="20"/>
              </w:rPr>
            </w:pPr>
            <w:r>
              <w:rPr>
                <w:sz w:val="20"/>
              </w:rPr>
              <w:t>1142.2</w:t>
            </w:r>
          </w:p>
        </w:tc>
        <w:tc>
          <w:tcPr>
            <w:tcW w:w="840" w:type="dxa"/>
          </w:tcPr>
          <w:p>
            <w:pPr>
              <w:pStyle w:val="TableParagraph"/>
              <w:spacing w:before="6"/>
              <w:rPr>
                <w:b/>
                <w:sz w:val="19"/>
              </w:rPr>
            </w:pPr>
          </w:p>
          <w:p>
            <w:pPr>
              <w:pStyle w:val="TableParagraph"/>
              <w:ind w:left="153"/>
              <w:rPr>
                <w:sz w:val="20"/>
              </w:rPr>
            </w:pPr>
            <w:r>
              <w:rPr>
                <w:sz w:val="20"/>
              </w:rPr>
              <w:t>5006.3</w:t>
            </w:r>
          </w:p>
        </w:tc>
        <w:tc>
          <w:tcPr>
            <w:tcW w:w="856" w:type="dxa"/>
          </w:tcPr>
          <w:p>
            <w:pPr>
              <w:pStyle w:val="TableParagraph"/>
              <w:spacing w:before="6"/>
              <w:rPr>
                <w:b/>
                <w:sz w:val="19"/>
              </w:rPr>
            </w:pPr>
          </w:p>
          <w:p>
            <w:pPr>
              <w:pStyle w:val="TableParagraph"/>
              <w:ind w:left="124"/>
              <w:rPr>
                <w:sz w:val="20"/>
              </w:rPr>
            </w:pPr>
            <w:r>
              <w:rPr>
                <w:sz w:val="20"/>
              </w:rPr>
              <w:t>4577.3</w:t>
            </w:r>
          </w:p>
        </w:tc>
        <w:tc>
          <w:tcPr>
            <w:tcW w:w="1011" w:type="dxa"/>
          </w:tcPr>
          <w:p>
            <w:pPr>
              <w:pStyle w:val="TableParagraph"/>
              <w:spacing w:before="6"/>
              <w:rPr>
                <w:b/>
                <w:sz w:val="19"/>
              </w:rPr>
            </w:pPr>
          </w:p>
          <w:p>
            <w:pPr>
              <w:pStyle w:val="TableParagraph"/>
              <w:ind w:left="166"/>
              <w:rPr>
                <w:sz w:val="20"/>
              </w:rPr>
            </w:pPr>
            <w:r>
              <w:rPr>
                <w:sz w:val="20"/>
              </w:rPr>
              <w:t>10489.9</w:t>
            </w:r>
          </w:p>
        </w:tc>
        <w:tc>
          <w:tcPr>
            <w:tcW w:w="1108" w:type="dxa"/>
          </w:tcPr>
          <w:p>
            <w:pPr>
              <w:pStyle w:val="TableParagraph"/>
              <w:spacing w:before="6"/>
              <w:rPr>
                <w:b/>
                <w:sz w:val="19"/>
              </w:rPr>
            </w:pPr>
          </w:p>
          <w:p>
            <w:pPr>
              <w:pStyle w:val="TableParagraph"/>
              <w:ind w:left="143"/>
              <w:rPr>
                <w:sz w:val="20"/>
              </w:rPr>
            </w:pPr>
            <w:r>
              <w:rPr>
                <w:sz w:val="20"/>
              </w:rPr>
              <w:t>1900.6</w:t>
            </w:r>
          </w:p>
        </w:tc>
        <w:tc>
          <w:tcPr>
            <w:tcW w:w="1391" w:type="dxa"/>
          </w:tcPr>
          <w:p>
            <w:pPr>
              <w:pStyle w:val="TableParagraph"/>
              <w:spacing w:before="6"/>
              <w:rPr>
                <w:b/>
                <w:sz w:val="19"/>
              </w:rPr>
            </w:pPr>
          </w:p>
          <w:p>
            <w:pPr>
              <w:pStyle w:val="TableParagraph"/>
              <w:ind w:left="115"/>
              <w:rPr>
                <w:sz w:val="20"/>
              </w:rPr>
            </w:pPr>
            <w:r>
              <w:rPr>
                <w:sz w:val="20"/>
              </w:rPr>
              <w:t>307.5</w:t>
            </w:r>
          </w:p>
        </w:tc>
      </w:tr>
      <w:tr>
        <w:trPr>
          <w:trHeight w:val="457" w:hRule="atLeast"/>
        </w:trPr>
        <w:tc>
          <w:tcPr>
            <w:tcW w:w="1210" w:type="dxa"/>
          </w:tcPr>
          <w:p>
            <w:pPr>
              <w:pStyle w:val="TableParagraph"/>
              <w:spacing w:before="8"/>
              <w:rPr>
                <w:b/>
                <w:sz w:val="19"/>
              </w:rPr>
            </w:pPr>
          </w:p>
          <w:p>
            <w:pPr>
              <w:pStyle w:val="TableParagraph"/>
              <w:spacing w:line="210" w:lineRule="exact"/>
              <w:ind w:left="50"/>
              <w:rPr>
                <w:sz w:val="20"/>
              </w:rPr>
            </w:pPr>
            <w:r>
              <w:rPr>
                <w:sz w:val="20"/>
              </w:rPr>
              <w:t>% Change</w:t>
            </w:r>
          </w:p>
        </w:tc>
        <w:tc>
          <w:tcPr>
            <w:tcW w:w="999" w:type="dxa"/>
          </w:tcPr>
          <w:p>
            <w:pPr>
              <w:pStyle w:val="TableParagraph"/>
              <w:spacing w:before="8"/>
              <w:rPr>
                <w:b/>
                <w:sz w:val="19"/>
              </w:rPr>
            </w:pPr>
          </w:p>
          <w:p>
            <w:pPr>
              <w:pStyle w:val="TableParagraph"/>
              <w:spacing w:line="210" w:lineRule="exact"/>
              <w:ind w:left="116"/>
              <w:rPr>
                <w:sz w:val="20"/>
              </w:rPr>
            </w:pPr>
            <w:r>
              <w:rPr>
                <w:sz w:val="20"/>
              </w:rPr>
              <w:t>-24.4</w:t>
            </w:r>
          </w:p>
        </w:tc>
        <w:tc>
          <w:tcPr>
            <w:tcW w:w="947" w:type="dxa"/>
          </w:tcPr>
          <w:p>
            <w:pPr>
              <w:pStyle w:val="TableParagraph"/>
              <w:spacing w:before="8"/>
              <w:rPr>
                <w:b/>
                <w:sz w:val="19"/>
              </w:rPr>
            </w:pPr>
          </w:p>
          <w:p>
            <w:pPr>
              <w:pStyle w:val="TableParagraph"/>
              <w:spacing w:line="210" w:lineRule="exact"/>
              <w:ind w:left="111"/>
              <w:rPr>
                <w:sz w:val="20"/>
              </w:rPr>
            </w:pPr>
            <w:r>
              <w:rPr>
                <w:sz w:val="20"/>
              </w:rPr>
              <w:t>-25.2</w:t>
            </w:r>
          </w:p>
        </w:tc>
        <w:tc>
          <w:tcPr>
            <w:tcW w:w="840" w:type="dxa"/>
          </w:tcPr>
          <w:p>
            <w:pPr>
              <w:pStyle w:val="TableParagraph"/>
              <w:spacing w:before="8"/>
              <w:rPr>
                <w:b/>
                <w:sz w:val="19"/>
              </w:rPr>
            </w:pPr>
          </w:p>
          <w:p>
            <w:pPr>
              <w:pStyle w:val="TableParagraph"/>
              <w:spacing w:line="210" w:lineRule="exact"/>
              <w:ind w:left="153"/>
              <w:rPr>
                <w:sz w:val="20"/>
              </w:rPr>
            </w:pPr>
            <w:r>
              <w:rPr>
                <w:sz w:val="20"/>
              </w:rPr>
              <w:t>-37.8</w:t>
            </w:r>
          </w:p>
        </w:tc>
        <w:tc>
          <w:tcPr>
            <w:tcW w:w="856" w:type="dxa"/>
          </w:tcPr>
          <w:p>
            <w:pPr>
              <w:pStyle w:val="TableParagraph"/>
              <w:spacing w:before="8"/>
              <w:rPr>
                <w:b/>
                <w:sz w:val="19"/>
              </w:rPr>
            </w:pPr>
          </w:p>
          <w:p>
            <w:pPr>
              <w:pStyle w:val="TableParagraph"/>
              <w:spacing w:line="210" w:lineRule="exact"/>
              <w:ind w:left="124"/>
              <w:rPr>
                <w:sz w:val="20"/>
              </w:rPr>
            </w:pPr>
            <w:r>
              <w:rPr>
                <w:sz w:val="20"/>
              </w:rPr>
              <w:t>-33.9</w:t>
            </w:r>
          </w:p>
        </w:tc>
        <w:tc>
          <w:tcPr>
            <w:tcW w:w="1011" w:type="dxa"/>
          </w:tcPr>
          <w:p>
            <w:pPr>
              <w:pStyle w:val="TableParagraph"/>
              <w:spacing w:before="8"/>
              <w:rPr>
                <w:b/>
                <w:sz w:val="19"/>
              </w:rPr>
            </w:pPr>
          </w:p>
          <w:p>
            <w:pPr>
              <w:pStyle w:val="TableParagraph"/>
              <w:spacing w:line="210" w:lineRule="exact"/>
              <w:ind w:left="166"/>
              <w:rPr>
                <w:sz w:val="20"/>
              </w:rPr>
            </w:pPr>
            <w:r>
              <w:rPr>
                <w:sz w:val="20"/>
              </w:rPr>
              <w:t>-49.6</w:t>
            </w:r>
          </w:p>
        </w:tc>
        <w:tc>
          <w:tcPr>
            <w:tcW w:w="1108" w:type="dxa"/>
          </w:tcPr>
          <w:p>
            <w:pPr>
              <w:pStyle w:val="TableParagraph"/>
              <w:spacing w:before="8"/>
              <w:rPr>
                <w:b/>
                <w:sz w:val="19"/>
              </w:rPr>
            </w:pPr>
          </w:p>
          <w:p>
            <w:pPr>
              <w:pStyle w:val="TableParagraph"/>
              <w:spacing w:line="210" w:lineRule="exact"/>
              <w:ind w:left="143"/>
              <w:rPr>
                <w:sz w:val="20"/>
              </w:rPr>
            </w:pPr>
            <w:r>
              <w:rPr>
                <w:sz w:val="20"/>
              </w:rPr>
              <w:t>-62.4</w:t>
            </w:r>
          </w:p>
        </w:tc>
        <w:tc>
          <w:tcPr>
            <w:tcW w:w="1391" w:type="dxa"/>
          </w:tcPr>
          <w:p>
            <w:pPr>
              <w:pStyle w:val="TableParagraph"/>
              <w:spacing w:before="8"/>
              <w:rPr>
                <w:b/>
                <w:sz w:val="19"/>
              </w:rPr>
            </w:pPr>
          </w:p>
          <w:p>
            <w:pPr>
              <w:pStyle w:val="TableParagraph"/>
              <w:spacing w:line="210" w:lineRule="exact"/>
              <w:ind w:left="115"/>
              <w:rPr>
                <w:sz w:val="20"/>
              </w:rPr>
            </w:pPr>
            <w:r>
              <w:rPr>
                <w:sz w:val="20"/>
              </w:rPr>
              <w:t>-34.0</w:t>
            </w:r>
          </w:p>
        </w:tc>
      </w:tr>
    </w:tbl>
    <w:p>
      <w:pPr>
        <w:pStyle w:val="BodyText"/>
        <w:rPr>
          <w:b/>
          <w:sz w:val="20"/>
        </w:rPr>
      </w:pPr>
    </w:p>
    <w:p>
      <w:pPr>
        <w:pStyle w:val="BodyText"/>
        <w:spacing w:before="4"/>
        <w:rPr>
          <w:b/>
          <w:sz w:val="10"/>
        </w:rPr>
      </w:pPr>
      <w:r>
        <w:rPr/>
        <w:pict>
          <v:shape style="position:absolute;margin-left:90pt;margin-top:8.160586pt;width:144pt;height:.1pt;mso-position-horizontal-relative:page;mso-position-vertical-relative:paragraph;z-index:-251621376;mso-wrap-distance-left:0;mso-wrap-distance-right:0" coordorigin="1800,163" coordsize="2880,0" path="m1800,163l4680,163e" filled="false" stroked="true" strokeweight=".48pt" strokecolor="#000000">
            <v:path arrowok="t"/>
            <v:stroke dashstyle="solid"/>
            <w10:wrap type="topAndBottom"/>
          </v:shape>
        </w:pict>
      </w:r>
    </w:p>
    <w:p>
      <w:pPr>
        <w:spacing w:before="47"/>
        <w:ind w:left="160" w:right="0" w:firstLine="0"/>
        <w:jc w:val="left"/>
        <w:rPr>
          <w:sz w:val="20"/>
        </w:rPr>
      </w:pPr>
      <w:r>
        <w:rPr>
          <w:position w:val="9"/>
          <w:sz w:val="13"/>
        </w:rPr>
        <w:t>4 </w:t>
      </w:r>
      <w:r>
        <w:rPr>
          <w:sz w:val="20"/>
        </w:rPr>
        <w:t>Computed at an index value of S&amp;P500 = 1084. Note that, using operating earnings, the current P/E ratio would be lower (22.4), but this level remains comfortably above its long-term historical average.</w:t>
      </w:r>
    </w:p>
    <w:p>
      <w:pPr>
        <w:spacing w:after="0"/>
        <w:jc w:val="left"/>
        <w:rPr>
          <w:sz w:val="20"/>
        </w:rPr>
        <w:sectPr>
          <w:pgSz w:w="11900" w:h="16840"/>
          <w:pgMar w:header="0" w:footer="782" w:top="1360" w:bottom="980" w:left="1640" w:right="1680"/>
        </w:sectPr>
      </w:pPr>
    </w:p>
    <w:p>
      <w:pPr>
        <w:pStyle w:val="BodyText"/>
        <w:spacing w:before="73"/>
        <w:ind w:left="160"/>
      </w:pPr>
      <w:r>
        <w:rPr/>
        <w:t>earnings are at cyclically depressed levels, Figure 6B, which is computed using a</w:t>
      </w:r>
    </w:p>
    <w:p>
      <w:pPr>
        <w:pStyle w:val="BodyText"/>
        <w:spacing w:line="360" w:lineRule="auto" w:before="137"/>
        <w:ind w:left="160" w:right="153"/>
      </w:pPr>
      <w:r>
        <w:rPr/>
        <w:t>10 year moving average of past earnings, suggests that the market is still trading at a relatively high multiple. These high absolute valuations have led some commentators to argue that the US stock market is still vulnerable to a further, significant decline.</w:t>
      </w:r>
    </w:p>
    <w:p>
      <w:pPr>
        <w:pStyle w:val="BodyText"/>
        <w:spacing w:line="360" w:lineRule="auto" w:before="1"/>
        <w:ind w:left="160" w:right="195"/>
      </w:pPr>
      <w:r>
        <w:rPr/>
        <w:t>Of course, were they to be correct, this would be likely to have an important impact on global growth.</w:t>
      </w:r>
    </w:p>
    <w:p>
      <w:pPr>
        <w:pStyle w:val="BodyText"/>
        <w:spacing w:before="6"/>
        <w:rPr>
          <w:sz w:val="36"/>
        </w:rPr>
      </w:pPr>
    </w:p>
    <w:p>
      <w:pPr>
        <w:pStyle w:val="Heading1"/>
      </w:pPr>
      <w:r>
        <w:rPr/>
        <w:t>FIGURES 6A AND 6B</w:t>
      </w:r>
    </w:p>
    <w:p>
      <w:pPr>
        <w:pStyle w:val="BodyText"/>
        <w:rPr>
          <w:b/>
          <w:sz w:val="20"/>
        </w:rPr>
      </w:pPr>
    </w:p>
    <w:p>
      <w:pPr>
        <w:spacing w:after="0"/>
        <w:rPr>
          <w:sz w:val="20"/>
        </w:rPr>
        <w:sectPr>
          <w:pgSz w:w="11900" w:h="16840"/>
          <w:pgMar w:header="0" w:footer="782" w:top="1360" w:bottom="980" w:left="1640" w:right="1680"/>
        </w:sectPr>
      </w:pPr>
    </w:p>
    <w:p>
      <w:pPr>
        <w:pStyle w:val="BodyText"/>
        <w:rPr>
          <w:b/>
          <w:sz w:val="14"/>
        </w:rPr>
      </w:pPr>
    </w:p>
    <w:p>
      <w:pPr>
        <w:spacing w:before="113"/>
        <w:ind w:left="361" w:right="0" w:firstLine="0"/>
        <w:jc w:val="left"/>
        <w:rPr>
          <w:sz w:val="13"/>
        </w:rPr>
      </w:pPr>
      <w:r>
        <w:rPr/>
        <w:pict>
          <v:group style="position:absolute;margin-left:109.919998pt;margin-top:-5.752781pt;width:152.4pt;height:131.75pt;mso-position-horizontal-relative:page;mso-position-vertical-relative:paragraph;z-index:251698176" coordorigin="2198,-115" coordsize="3048,2635">
            <v:shape style="position:absolute;left:2198;top:198;width:3048;height:2321" type="#_x0000_t75" stroked="false">
              <v:imagedata r:id="rId24" o:title=""/>
            </v:shape>
            <v:shape style="position:absolute;left:2198;top:-116;width:3048;height:2635" type="#_x0000_t202" filled="false" stroked="false">
              <v:textbox inset="0,0,0,0">
                <w:txbxContent>
                  <w:p>
                    <w:pPr>
                      <w:spacing w:line="290" w:lineRule="auto" w:before="0"/>
                      <w:ind w:left="187" w:right="0" w:firstLine="0"/>
                      <w:jc w:val="left"/>
                      <w:rPr>
                        <w:b/>
                        <w:sz w:val="18"/>
                      </w:rPr>
                    </w:pPr>
                    <w:r>
                      <w:rPr>
                        <w:b/>
                        <w:spacing w:val="-3"/>
                        <w:w w:val="105"/>
                        <w:sz w:val="18"/>
                      </w:rPr>
                      <w:t>S&amp;P500 Price-Earnings </w:t>
                    </w:r>
                    <w:r>
                      <w:rPr>
                        <w:b/>
                        <w:spacing w:val="-6"/>
                        <w:w w:val="105"/>
                        <w:sz w:val="18"/>
                      </w:rPr>
                      <w:t>Ratio </w:t>
                    </w:r>
                    <w:r>
                      <w:rPr>
                        <w:b/>
                        <w:spacing w:val="-4"/>
                        <w:w w:val="105"/>
                        <w:sz w:val="18"/>
                      </w:rPr>
                      <w:t>(Trailing</w:t>
                    </w:r>
                    <w:r>
                      <w:rPr>
                        <w:b/>
                        <w:spacing w:val="-5"/>
                        <w:w w:val="105"/>
                        <w:sz w:val="18"/>
                      </w:rPr>
                      <w:t> Earnings)</w:t>
                    </w:r>
                  </w:p>
                </w:txbxContent>
              </v:textbox>
              <w10:wrap type="none"/>
            </v:shape>
            <w10:wrap type="none"/>
          </v:group>
        </w:pict>
      </w:r>
      <w:r>
        <w:rPr>
          <w:sz w:val="13"/>
        </w:rPr>
        <w:t>40</w:t>
      </w:r>
    </w:p>
    <w:p>
      <w:pPr>
        <w:pStyle w:val="BodyText"/>
        <w:spacing w:before="7"/>
        <w:rPr>
          <w:sz w:val="11"/>
        </w:rPr>
      </w:pPr>
    </w:p>
    <w:p>
      <w:pPr>
        <w:spacing w:before="0"/>
        <w:ind w:left="361" w:right="0" w:firstLine="0"/>
        <w:jc w:val="left"/>
        <w:rPr>
          <w:sz w:val="13"/>
        </w:rPr>
      </w:pPr>
      <w:r>
        <w:rPr>
          <w:sz w:val="13"/>
        </w:rPr>
        <w:t>35</w:t>
      </w:r>
    </w:p>
    <w:p>
      <w:pPr>
        <w:pStyle w:val="BodyText"/>
        <w:spacing w:before="5"/>
        <w:rPr>
          <w:sz w:val="12"/>
        </w:rPr>
      </w:pPr>
    </w:p>
    <w:p>
      <w:pPr>
        <w:spacing w:before="1"/>
        <w:ind w:left="361" w:right="0" w:firstLine="0"/>
        <w:jc w:val="left"/>
        <w:rPr>
          <w:sz w:val="13"/>
        </w:rPr>
      </w:pPr>
      <w:r>
        <w:rPr>
          <w:sz w:val="13"/>
        </w:rPr>
        <w:t>30</w:t>
      </w:r>
    </w:p>
    <w:p>
      <w:pPr>
        <w:pStyle w:val="BodyText"/>
        <w:spacing w:before="2"/>
        <w:rPr>
          <w:sz w:val="11"/>
        </w:rPr>
      </w:pPr>
    </w:p>
    <w:p>
      <w:pPr>
        <w:spacing w:before="0"/>
        <w:ind w:left="361" w:right="0" w:firstLine="0"/>
        <w:jc w:val="left"/>
        <w:rPr>
          <w:sz w:val="13"/>
        </w:rPr>
      </w:pPr>
      <w:r>
        <w:rPr>
          <w:sz w:val="13"/>
        </w:rPr>
        <w:t>25</w:t>
      </w:r>
    </w:p>
    <w:p>
      <w:pPr>
        <w:pStyle w:val="BodyText"/>
        <w:spacing w:before="5"/>
        <w:rPr>
          <w:sz w:val="12"/>
        </w:rPr>
      </w:pPr>
    </w:p>
    <w:p>
      <w:pPr>
        <w:spacing w:before="0"/>
        <w:ind w:left="361" w:right="0" w:firstLine="0"/>
        <w:jc w:val="left"/>
        <w:rPr>
          <w:sz w:val="13"/>
        </w:rPr>
      </w:pPr>
      <w:r>
        <w:rPr>
          <w:sz w:val="13"/>
        </w:rPr>
        <w:t>20</w:t>
      </w:r>
    </w:p>
    <w:p>
      <w:pPr>
        <w:pStyle w:val="BodyText"/>
        <w:spacing w:before="7"/>
        <w:rPr>
          <w:sz w:val="11"/>
        </w:rPr>
      </w:pPr>
    </w:p>
    <w:p>
      <w:pPr>
        <w:spacing w:before="1"/>
        <w:ind w:left="361" w:right="0" w:firstLine="0"/>
        <w:jc w:val="left"/>
        <w:rPr>
          <w:sz w:val="13"/>
        </w:rPr>
      </w:pPr>
      <w:r>
        <w:rPr>
          <w:sz w:val="13"/>
        </w:rPr>
        <w:t>15</w:t>
      </w:r>
    </w:p>
    <w:p>
      <w:pPr>
        <w:pStyle w:val="BodyText"/>
        <w:spacing w:before="2"/>
        <w:rPr>
          <w:sz w:val="11"/>
        </w:rPr>
      </w:pPr>
    </w:p>
    <w:p>
      <w:pPr>
        <w:spacing w:before="0"/>
        <w:ind w:left="361" w:right="0" w:firstLine="0"/>
        <w:jc w:val="left"/>
        <w:rPr>
          <w:sz w:val="13"/>
        </w:rPr>
      </w:pPr>
      <w:r>
        <w:rPr>
          <w:sz w:val="13"/>
        </w:rPr>
        <w:t>10</w:t>
      </w:r>
    </w:p>
    <w:p>
      <w:pPr>
        <w:pStyle w:val="BodyText"/>
        <w:spacing w:before="5"/>
        <w:rPr>
          <w:sz w:val="12"/>
        </w:rPr>
      </w:pPr>
    </w:p>
    <w:p>
      <w:pPr>
        <w:spacing w:before="0"/>
        <w:ind w:left="428" w:right="0" w:firstLine="0"/>
        <w:jc w:val="left"/>
        <w:rPr>
          <w:sz w:val="13"/>
        </w:rPr>
      </w:pPr>
      <w:r>
        <w:rPr>
          <w:w w:val="99"/>
          <w:sz w:val="13"/>
        </w:rPr>
        <w:t>5</w:t>
      </w:r>
    </w:p>
    <w:p>
      <w:pPr>
        <w:pStyle w:val="BodyText"/>
        <w:spacing w:before="7"/>
        <w:rPr>
          <w:sz w:val="11"/>
        </w:rPr>
      </w:pPr>
    </w:p>
    <w:p>
      <w:pPr>
        <w:spacing w:before="1"/>
        <w:ind w:left="428" w:right="0" w:firstLine="0"/>
        <w:jc w:val="left"/>
        <w:rPr>
          <w:sz w:val="13"/>
        </w:rPr>
      </w:pPr>
      <w:r>
        <w:rPr>
          <w:w w:val="99"/>
          <w:sz w:val="13"/>
        </w:rPr>
        <w:t>0</w:t>
      </w:r>
    </w:p>
    <w:p>
      <w:pPr>
        <w:spacing w:before="37"/>
        <w:ind w:left="452" w:right="0" w:firstLine="0"/>
        <w:jc w:val="left"/>
        <w:rPr>
          <w:sz w:val="13"/>
        </w:rPr>
      </w:pPr>
      <w:r>
        <w:rPr>
          <w:sz w:val="13"/>
        </w:rPr>
        <w:t>1871 1891 1911 1931 1951 1971 1991</w:t>
      </w:r>
    </w:p>
    <w:p>
      <w:pPr>
        <w:pStyle w:val="BodyText"/>
        <w:spacing w:before="5"/>
        <w:rPr>
          <w:sz w:val="17"/>
        </w:rPr>
      </w:pPr>
    </w:p>
    <w:p>
      <w:pPr>
        <w:spacing w:line="285" w:lineRule="auto" w:before="1"/>
        <w:ind w:left="289" w:right="0" w:firstLine="0"/>
        <w:jc w:val="left"/>
        <w:rPr>
          <w:sz w:val="13"/>
        </w:rPr>
      </w:pPr>
      <w:r>
        <w:rPr>
          <w:sz w:val="13"/>
        </w:rPr>
        <w:t>Source: Shiller dataset for 1871-1968, thereafter S&amp;P Composite P/E ratio</w:t>
      </w:r>
    </w:p>
    <w:p>
      <w:pPr>
        <w:pStyle w:val="BodyText"/>
        <w:rPr>
          <w:sz w:val="14"/>
        </w:rPr>
      </w:pPr>
      <w:r>
        <w:rPr/>
        <w:br w:type="column"/>
      </w:r>
      <w:r>
        <w:rPr>
          <w:sz w:val="14"/>
        </w:rPr>
      </w:r>
    </w:p>
    <w:p>
      <w:pPr>
        <w:spacing w:before="89"/>
        <w:ind w:left="289" w:right="0" w:firstLine="0"/>
        <w:jc w:val="left"/>
        <w:rPr>
          <w:sz w:val="13"/>
        </w:rPr>
      </w:pPr>
      <w:r>
        <w:rPr>
          <w:spacing w:val="5"/>
          <w:sz w:val="13"/>
        </w:rPr>
        <w:t>50</w:t>
      </w:r>
    </w:p>
    <w:p>
      <w:pPr>
        <w:spacing w:before="86"/>
        <w:ind w:left="289" w:right="0" w:firstLine="0"/>
        <w:jc w:val="left"/>
        <w:rPr>
          <w:sz w:val="13"/>
        </w:rPr>
      </w:pPr>
      <w:r>
        <w:rPr/>
        <w:pict>
          <v:group style="position:absolute;margin-left:335.279999pt;margin-top:-17.662779pt;width:153.15pt;height:131.25pt;mso-position-horizontal-relative:page;mso-position-vertical-relative:paragraph;z-index:251700224" coordorigin="6706,-353" coordsize="3063,2625">
            <v:shape style="position:absolute;left:6705;top:-64;width:3063;height:2336" type="#_x0000_t75" stroked="false">
              <v:imagedata r:id="rId25" o:title=""/>
            </v:shape>
            <v:shape style="position:absolute;left:6705;top:-354;width:3063;height:2625" type="#_x0000_t202" filled="false" stroked="false">
              <v:textbox inset="0,0,0,0">
                <w:txbxContent>
                  <w:p>
                    <w:pPr>
                      <w:spacing w:line="290" w:lineRule="auto" w:before="0"/>
                      <w:ind w:left="249" w:right="230" w:firstLine="0"/>
                      <w:jc w:val="left"/>
                      <w:rPr>
                        <w:b/>
                        <w:sz w:val="18"/>
                      </w:rPr>
                    </w:pPr>
                    <w:r>
                      <w:rPr>
                        <w:b/>
                        <w:spacing w:val="-3"/>
                        <w:w w:val="105"/>
                        <w:sz w:val="18"/>
                      </w:rPr>
                      <w:t>S&amp;P500 </w:t>
                    </w:r>
                    <w:r>
                      <w:rPr>
                        <w:b/>
                        <w:spacing w:val="-4"/>
                        <w:w w:val="105"/>
                        <w:sz w:val="18"/>
                      </w:rPr>
                      <w:t>Price-Earnings Ratio </w:t>
                    </w:r>
                    <w:r>
                      <w:rPr>
                        <w:b/>
                        <w:w w:val="105"/>
                        <w:sz w:val="18"/>
                      </w:rPr>
                      <w:t>(Ten </w:t>
                    </w:r>
                    <w:r>
                      <w:rPr>
                        <w:b/>
                        <w:spacing w:val="-6"/>
                        <w:w w:val="105"/>
                        <w:sz w:val="18"/>
                      </w:rPr>
                      <w:t>Year </w:t>
                    </w:r>
                    <w:r>
                      <w:rPr>
                        <w:b/>
                        <w:w w:val="105"/>
                        <w:sz w:val="18"/>
                      </w:rPr>
                      <w:t>Average of Earnings)</w:t>
                    </w:r>
                  </w:p>
                </w:txbxContent>
              </v:textbox>
              <w10:wrap type="none"/>
            </v:shape>
            <w10:wrap type="none"/>
          </v:group>
        </w:pict>
      </w:r>
      <w:r>
        <w:rPr>
          <w:spacing w:val="5"/>
          <w:sz w:val="13"/>
        </w:rPr>
        <w:t>45</w:t>
      </w:r>
    </w:p>
    <w:p>
      <w:pPr>
        <w:spacing w:before="71"/>
        <w:ind w:left="289" w:right="0" w:firstLine="0"/>
        <w:jc w:val="left"/>
        <w:rPr>
          <w:sz w:val="13"/>
        </w:rPr>
      </w:pPr>
      <w:r>
        <w:rPr>
          <w:spacing w:val="5"/>
          <w:sz w:val="13"/>
        </w:rPr>
        <w:t>40</w:t>
      </w:r>
    </w:p>
    <w:p>
      <w:pPr>
        <w:spacing w:before="86"/>
        <w:ind w:left="289" w:right="0" w:firstLine="0"/>
        <w:jc w:val="left"/>
        <w:rPr>
          <w:sz w:val="13"/>
        </w:rPr>
      </w:pPr>
      <w:r>
        <w:rPr>
          <w:spacing w:val="5"/>
          <w:sz w:val="13"/>
        </w:rPr>
        <w:t>35</w:t>
      </w:r>
    </w:p>
    <w:p>
      <w:pPr>
        <w:spacing w:before="76"/>
        <w:ind w:left="289" w:right="0" w:firstLine="0"/>
        <w:jc w:val="left"/>
        <w:rPr>
          <w:sz w:val="13"/>
        </w:rPr>
      </w:pPr>
      <w:r>
        <w:rPr>
          <w:spacing w:val="5"/>
          <w:sz w:val="13"/>
        </w:rPr>
        <w:t>30</w:t>
      </w:r>
    </w:p>
    <w:p>
      <w:pPr>
        <w:spacing w:before="81"/>
        <w:ind w:left="289" w:right="0" w:firstLine="0"/>
        <w:jc w:val="left"/>
        <w:rPr>
          <w:sz w:val="13"/>
        </w:rPr>
      </w:pPr>
      <w:r>
        <w:rPr>
          <w:spacing w:val="5"/>
          <w:sz w:val="13"/>
        </w:rPr>
        <w:t>25</w:t>
      </w:r>
    </w:p>
    <w:p>
      <w:pPr>
        <w:spacing w:before="86"/>
        <w:ind w:left="289" w:right="0" w:firstLine="0"/>
        <w:jc w:val="left"/>
        <w:rPr>
          <w:sz w:val="13"/>
        </w:rPr>
      </w:pPr>
      <w:r>
        <w:rPr>
          <w:spacing w:val="5"/>
          <w:sz w:val="13"/>
        </w:rPr>
        <w:t>20</w:t>
      </w:r>
    </w:p>
    <w:p>
      <w:pPr>
        <w:spacing w:before="76"/>
        <w:ind w:left="289" w:right="0" w:firstLine="0"/>
        <w:jc w:val="left"/>
        <w:rPr>
          <w:sz w:val="13"/>
        </w:rPr>
      </w:pPr>
      <w:r>
        <w:rPr>
          <w:spacing w:val="5"/>
          <w:sz w:val="13"/>
        </w:rPr>
        <w:t>15</w:t>
      </w:r>
    </w:p>
    <w:p>
      <w:pPr>
        <w:spacing w:before="81"/>
        <w:ind w:left="289" w:right="0" w:firstLine="0"/>
        <w:jc w:val="left"/>
        <w:rPr>
          <w:sz w:val="13"/>
        </w:rPr>
      </w:pPr>
      <w:r>
        <w:rPr>
          <w:spacing w:val="5"/>
          <w:sz w:val="13"/>
        </w:rPr>
        <w:t>10</w:t>
      </w:r>
    </w:p>
    <w:p>
      <w:pPr>
        <w:spacing w:before="76"/>
        <w:ind w:left="361" w:right="0" w:firstLine="0"/>
        <w:jc w:val="left"/>
        <w:rPr>
          <w:sz w:val="13"/>
        </w:rPr>
      </w:pPr>
      <w:r>
        <w:rPr>
          <w:w w:val="99"/>
          <w:sz w:val="13"/>
        </w:rPr>
        <w:t>5</w:t>
      </w:r>
    </w:p>
    <w:p>
      <w:pPr>
        <w:spacing w:before="85"/>
        <w:ind w:left="361" w:right="0" w:firstLine="0"/>
        <w:jc w:val="left"/>
        <w:rPr>
          <w:sz w:val="13"/>
        </w:rPr>
      </w:pPr>
      <w:r>
        <w:rPr>
          <w:w w:val="99"/>
          <w:sz w:val="13"/>
        </w:rPr>
        <w:t>0</w:t>
      </w:r>
    </w:p>
    <w:p>
      <w:pPr>
        <w:tabs>
          <w:tab w:pos="884" w:val="left" w:leader="none"/>
          <w:tab w:pos="1388" w:val="left" w:leader="none"/>
          <w:tab w:pos="1883" w:val="left" w:leader="none"/>
          <w:tab w:pos="2387" w:val="left" w:leader="none"/>
          <w:tab w:pos="2891" w:val="left" w:leader="none"/>
          <w:tab w:pos="3395" w:val="left" w:leader="none"/>
        </w:tabs>
        <w:spacing w:before="38"/>
        <w:ind w:left="380" w:right="0" w:firstLine="0"/>
        <w:jc w:val="left"/>
        <w:rPr>
          <w:sz w:val="13"/>
        </w:rPr>
      </w:pPr>
      <w:r>
        <w:rPr>
          <w:spacing w:val="3"/>
          <w:sz w:val="13"/>
        </w:rPr>
        <w:t>1881</w:t>
        <w:tab/>
        <w:t>1901</w:t>
        <w:tab/>
        <w:t>1921</w:t>
        <w:tab/>
        <w:t>1941</w:t>
        <w:tab/>
        <w:t>1961</w:t>
        <w:tab/>
        <w:t>1981</w:t>
        <w:tab/>
      </w:r>
      <w:r>
        <w:rPr>
          <w:spacing w:val="5"/>
          <w:sz w:val="13"/>
        </w:rPr>
        <w:t>2001</w:t>
      </w:r>
    </w:p>
    <w:p>
      <w:pPr>
        <w:pStyle w:val="BodyText"/>
        <w:spacing w:before="3"/>
        <w:rPr>
          <w:sz w:val="18"/>
        </w:rPr>
      </w:pPr>
    </w:p>
    <w:p>
      <w:pPr>
        <w:spacing w:before="1"/>
        <w:ind w:left="299" w:right="0" w:firstLine="0"/>
        <w:jc w:val="left"/>
        <w:rPr>
          <w:sz w:val="13"/>
        </w:rPr>
      </w:pPr>
      <w:r>
        <w:rPr>
          <w:sz w:val="13"/>
        </w:rPr>
        <w:t>Source: Shiller dataset for 1871- early 2001</w:t>
      </w:r>
    </w:p>
    <w:p>
      <w:pPr>
        <w:spacing w:after="0"/>
        <w:jc w:val="left"/>
        <w:rPr>
          <w:sz w:val="13"/>
        </w:rPr>
        <w:sectPr>
          <w:type w:val="continuous"/>
          <w:pgSz w:w="11900" w:h="16840"/>
          <w:pgMar w:top="1180" w:bottom="280" w:left="1640" w:right="1680"/>
          <w:cols w:num="2" w:equalWidth="0">
            <w:col w:w="3537" w:space="1043"/>
            <w:col w:w="4000"/>
          </w:cols>
        </w:sectPr>
      </w:pPr>
    </w:p>
    <w:p>
      <w:pPr>
        <w:pStyle w:val="BodyText"/>
        <w:rPr>
          <w:sz w:val="20"/>
        </w:rPr>
      </w:pPr>
    </w:p>
    <w:p>
      <w:pPr>
        <w:pStyle w:val="BodyText"/>
        <w:spacing w:before="3"/>
        <w:rPr>
          <w:sz w:val="28"/>
        </w:rPr>
      </w:pPr>
    </w:p>
    <w:p>
      <w:pPr>
        <w:pStyle w:val="BodyText"/>
        <w:spacing w:line="360" w:lineRule="auto" w:before="90"/>
        <w:ind w:left="159" w:right="162"/>
      </w:pPr>
      <w:r>
        <w:rPr/>
        <w:t>It must be noted that P/E ratios have been high by historical standards for some years, and several Wall Street strategists have argued that this has been appropriate because interest rates and inflation have been low and that holding equities has become less risky. Indeed, at present, a survey of Wall Street strategists’ recommendations suggests that they believe that this is one of the best times to buy equities in the last 16 years.</w:t>
      </w:r>
      <w:r>
        <w:rPr>
          <w:vertAlign w:val="superscript"/>
        </w:rPr>
        <w:t>5</w:t>
      </w:r>
    </w:p>
    <w:p>
      <w:pPr>
        <w:pStyle w:val="BodyText"/>
        <w:spacing w:before="1"/>
        <w:rPr>
          <w:sz w:val="36"/>
        </w:rPr>
      </w:pPr>
    </w:p>
    <w:p>
      <w:pPr>
        <w:pStyle w:val="BodyText"/>
        <w:spacing w:line="360" w:lineRule="auto" w:before="1"/>
        <w:ind w:left="159" w:right="309"/>
      </w:pPr>
      <w:r>
        <w:rPr/>
        <w:t>In attempting to form a view about the likely evolution of the global economy, it is important to form a judgment about the equity valuation debate, and it is why I shall consider it in some detail today.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r>
        <w:rPr/>
        <w:pict>
          <v:shape style="position:absolute;margin-left:90pt;margin-top:18.071011pt;width:144pt;height:.1pt;mso-position-horizontal-relative:page;mso-position-vertical-relative:paragraph;z-index:-251620352;mso-wrap-distance-left:0;mso-wrap-distance-right:0" coordorigin="1800,361" coordsize="2880,0" path="m1800,361l4680,361e" filled="false" stroked="true" strokeweight=".48pt" strokecolor="#000000">
            <v:path arrowok="t"/>
            <v:stroke dashstyle="solid"/>
            <w10:wrap type="topAndBottom"/>
          </v:shape>
        </w:pict>
      </w:r>
    </w:p>
    <w:p>
      <w:pPr>
        <w:spacing w:before="47"/>
        <w:ind w:left="160" w:right="153" w:firstLine="0"/>
        <w:jc w:val="left"/>
        <w:rPr>
          <w:sz w:val="20"/>
        </w:rPr>
      </w:pPr>
      <w:r>
        <w:rPr>
          <w:position w:val="9"/>
          <w:sz w:val="13"/>
        </w:rPr>
        <w:t>5 </w:t>
      </w:r>
      <w:r>
        <w:rPr>
          <w:sz w:val="20"/>
        </w:rPr>
        <w:t>This is based on a survey of sell-side recommended asset allocations (“Sell Side Consensus Indicator”), compiled by Merrill Lynch Quantitative Strategy since 1985. The recommended equity allocation (71.2%) in October 2001 is the second highest since 1985 (the highest was at the end of September 2001). The average equity allocation since 1985 is about 55%.</w:t>
      </w:r>
    </w:p>
    <w:p>
      <w:pPr>
        <w:spacing w:after="0"/>
        <w:jc w:val="left"/>
        <w:rPr>
          <w:sz w:val="20"/>
        </w:rPr>
        <w:sectPr>
          <w:type w:val="continuous"/>
          <w:pgSz w:w="11900" w:h="16840"/>
          <w:pgMar w:top="1180" w:bottom="280" w:left="1640" w:right="1680"/>
        </w:sectPr>
      </w:pPr>
    </w:p>
    <w:p>
      <w:pPr>
        <w:pStyle w:val="Heading1"/>
        <w:spacing w:before="78"/>
      </w:pPr>
      <w:r>
        <w:rPr/>
        <w:t>SECTION B1</w:t>
      </w:r>
    </w:p>
    <w:p>
      <w:pPr>
        <w:spacing w:before="137"/>
        <w:ind w:left="160" w:right="0" w:firstLine="0"/>
        <w:jc w:val="left"/>
        <w:rPr>
          <w:b/>
          <w:sz w:val="24"/>
        </w:rPr>
      </w:pPr>
      <w:r>
        <w:rPr>
          <w:b/>
          <w:sz w:val="24"/>
        </w:rPr>
        <w:t>A SIMPLE VALUATION MODEL</w:t>
      </w:r>
    </w:p>
    <w:p>
      <w:pPr>
        <w:pStyle w:val="BodyText"/>
        <w:rPr>
          <w:b/>
          <w:sz w:val="26"/>
        </w:rPr>
      </w:pPr>
    </w:p>
    <w:p>
      <w:pPr>
        <w:pStyle w:val="BodyText"/>
        <w:spacing w:before="9"/>
        <w:rPr>
          <w:b/>
          <w:sz w:val="21"/>
        </w:rPr>
      </w:pPr>
    </w:p>
    <w:p>
      <w:pPr>
        <w:pStyle w:val="BodyText"/>
        <w:ind w:left="160"/>
      </w:pPr>
      <w:r>
        <w:rPr/>
        <w:t>For simplicity, consider the following valuation model for stock prices: </w:t>
      </w:r>
      <w:r>
        <w:rPr>
          <w:vertAlign w:val="superscript"/>
        </w:rPr>
        <w:t>6</w:t>
      </w:r>
    </w:p>
    <w:p>
      <w:pPr>
        <w:pStyle w:val="BodyText"/>
        <w:rPr>
          <w:sz w:val="30"/>
        </w:rPr>
      </w:pPr>
    </w:p>
    <w:p>
      <w:pPr>
        <w:pStyle w:val="BodyText"/>
        <w:spacing w:line="362" w:lineRule="auto" w:before="205"/>
        <w:ind w:left="159" w:right="5432"/>
      </w:pPr>
      <w:r>
        <w:rPr/>
        <w:t>DY + g = r + rp </w:t>
      </w:r>
      <w:r>
        <w:rPr>
          <w:w w:val="95"/>
        </w:rPr>
        <w:t>… … </w:t>
      </w:r>
      <w:r>
        <w:rPr/>
        <w:t>(1) where</w:t>
      </w:r>
    </w:p>
    <w:p>
      <w:pPr>
        <w:pStyle w:val="BodyText"/>
        <w:spacing w:before="7"/>
        <w:rPr>
          <w:sz w:val="35"/>
        </w:rPr>
      </w:pPr>
    </w:p>
    <w:p>
      <w:pPr>
        <w:pStyle w:val="BodyText"/>
        <w:ind w:left="159"/>
      </w:pPr>
      <w:r>
        <w:rPr/>
        <w:t>DY = Dividend yield</w:t>
      </w:r>
    </w:p>
    <w:p>
      <w:pPr>
        <w:pStyle w:val="BodyText"/>
        <w:tabs>
          <w:tab w:pos="550" w:val="left" w:leader="none"/>
          <w:tab w:pos="586" w:val="left" w:leader="none"/>
        </w:tabs>
        <w:spacing w:line="362" w:lineRule="auto" w:before="137"/>
        <w:ind w:left="159" w:right="3020"/>
      </w:pPr>
      <w:r>
        <w:rPr/>
        <w:t>g</w:t>
        <w:tab/>
        <w:tab/>
        <w:t>= Expected long-term, real growth rate </w:t>
      </w:r>
      <w:r>
        <w:rPr>
          <w:spacing w:val="2"/>
        </w:rPr>
        <w:t>of</w:t>
      </w:r>
      <w:r>
        <w:rPr>
          <w:spacing w:val="-36"/>
        </w:rPr>
        <w:t> </w:t>
      </w:r>
      <w:r>
        <w:rPr/>
        <w:t>dividends r</w:t>
        <w:tab/>
        <w:t>= Real interest</w:t>
      </w:r>
      <w:r>
        <w:rPr>
          <w:spacing w:val="7"/>
        </w:rPr>
        <w:t> </w:t>
      </w:r>
      <w:r>
        <w:rPr/>
        <w:t>rate</w:t>
      </w:r>
    </w:p>
    <w:p>
      <w:pPr>
        <w:pStyle w:val="BodyText"/>
        <w:spacing w:line="273" w:lineRule="exact"/>
        <w:ind w:left="159"/>
      </w:pPr>
      <w:r>
        <w:rPr/>
        <w:t>rp = Equity Risk Premium</w:t>
      </w:r>
    </w:p>
    <w:p>
      <w:pPr>
        <w:pStyle w:val="BodyText"/>
        <w:rPr>
          <w:sz w:val="26"/>
        </w:rPr>
      </w:pPr>
    </w:p>
    <w:p>
      <w:pPr>
        <w:pStyle w:val="BodyText"/>
        <w:spacing w:before="9"/>
        <w:rPr>
          <w:sz w:val="21"/>
        </w:rPr>
      </w:pPr>
    </w:p>
    <w:p>
      <w:pPr>
        <w:pStyle w:val="BodyText"/>
        <w:spacing w:line="360" w:lineRule="auto"/>
        <w:ind w:left="159" w:right="395"/>
      </w:pPr>
      <w:r>
        <w:rPr/>
        <w:t>Currently, in the US (computed at S&amp;P500 = 1142, on 15 November), DY = 1.4%, r = 3.3% (ie, the yield </w:t>
      </w:r>
      <w:r>
        <w:rPr>
          <w:spacing w:val="2"/>
        </w:rPr>
        <w:t>on </w:t>
      </w:r>
      <w:r>
        <w:rPr/>
        <w:t>US Treasury Inflation–Protected Securities), and we may initially</w:t>
      </w:r>
      <w:r>
        <w:rPr>
          <w:spacing w:val="-7"/>
        </w:rPr>
        <w:t> </w:t>
      </w:r>
      <w:r>
        <w:rPr/>
        <w:t>assume</w:t>
      </w:r>
      <w:r>
        <w:rPr>
          <w:spacing w:val="-6"/>
        </w:rPr>
        <w:t> </w:t>
      </w:r>
      <w:r>
        <w:rPr/>
        <w:t>that</w:t>
      </w:r>
      <w:r>
        <w:rPr>
          <w:spacing w:val="-2"/>
        </w:rPr>
        <w:t> </w:t>
      </w:r>
      <w:r>
        <w:rPr/>
        <w:t>g</w:t>
      </w:r>
      <w:r>
        <w:rPr>
          <w:spacing w:val="-7"/>
        </w:rPr>
        <w:t> </w:t>
      </w:r>
      <w:r>
        <w:rPr/>
        <w:t>=</w:t>
      </w:r>
      <w:r>
        <w:rPr>
          <w:spacing w:val="-7"/>
        </w:rPr>
        <w:t> </w:t>
      </w:r>
      <w:r>
        <w:rPr/>
        <w:t>2%,</w:t>
      </w:r>
      <w:r>
        <w:rPr>
          <w:spacing w:val="-7"/>
        </w:rPr>
        <w:t> </w:t>
      </w:r>
      <w:r>
        <w:rPr/>
        <w:t>which</w:t>
      </w:r>
      <w:r>
        <w:rPr>
          <w:spacing w:val="-6"/>
        </w:rPr>
        <w:t> </w:t>
      </w:r>
      <w:r>
        <w:rPr/>
        <w:t>is</w:t>
      </w:r>
      <w:r>
        <w:rPr>
          <w:spacing w:val="-7"/>
        </w:rPr>
        <w:t> </w:t>
      </w:r>
      <w:r>
        <w:rPr/>
        <w:t>approximately</w:t>
      </w:r>
      <w:r>
        <w:rPr>
          <w:spacing w:val="-7"/>
        </w:rPr>
        <w:t> </w:t>
      </w:r>
      <w:r>
        <w:rPr/>
        <w:t>equal</w:t>
      </w:r>
      <w:r>
        <w:rPr>
          <w:spacing w:val="-6"/>
        </w:rPr>
        <w:t> </w:t>
      </w:r>
      <w:r>
        <w:rPr>
          <w:spacing w:val="3"/>
        </w:rPr>
        <w:t>to</w:t>
      </w:r>
      <w:r>
        <w:rPr>
          <w:spacing w:val="-2"/>
        </w:rPr>
        <w:t> </w:t>
      </w:r>
      <w:r>
        <w:rPr/>
        <w:t>the</w:t>
      </w:r>
      <w:r>
        <w:rPr>
          <w:spacing w:val="-7"/>
        </w:rPr>
        <w:t> </w:t>
      </w:r>
      <w:r>
        <w:rPr/>
        <w:t>long-term</w:t>
      </w:r>
      <w:r>
        <w:rPr>
          <w:spacing w:val="-7"/>
        </w:rPr>
        <w:t> </w:t>
      </w:r>
      <w:r>
        <w:rPr/>
        <w:t>average growth rate </w:t>
      </w:r>
      <w:r>
        <w:rPr>
          <w:spacing w:val="2"/>
        </w:rPr>
        <w:t>of </w:t>
      </w:r>
      <w:r>
        <w:rPr/>
        <w:t>real dividends.</w:t>
      </w:r>
      <w:r>
        <w:rPr>
          <w:vertAlign w:val="superscript"/>
        </w:rPr>
        <w:t>7</w:t>
      </w:r>
      <w:r>
        <w:rPr>
          <w:vertAlign w:val="baseline"/>
        </w:rPr>
        <w:t> </w:t>
      </w:r>
      <w:r>
        <w:rPr>
          <w:spacing w:val="3"/>
          <w:vertAlign w:val="baseline"/>
        </w:rPr>
        <w:t>This </w:t>
      </w:r>
      <w:r>
        <w:rPr>
          <w:vertAlign w:val="baseline"/>
        </w:rPr>
        <w:t>yields an estimate </w:t>
      </w:r>
      <w:r>
        <w:rPr>
          <w:spacing w:val="3"/>
          <w:vertAlign w:val="baseline"/>
        </w:rPr>
        <w:t>of </w:t>
      </w:r>
      <w:r>
        <w:rPr>
          <w:vertAlign w:val="baseline"/>
        </w:rPr>
        <w:t>the equity </w:t>
      </w:r>
      <w:r>
        <w:rPr>
          <w:spacing w:val="2"/>
          <w:vertAlign w:val="baseline"/>
        </w:rPr>
        <w:t>risk </w:t>
      </w:r>
      <w:r>
        <w:rPr>
          <w:vertAlign w:val="baseline"/>
        </w:rPr>
        <w:t>premium (ERP) </w:t>
      </w:r>
      <w:r>
        <w:rPr>
          <w:spacing w:val="2"/>
          <w:vertAlign w:val="baseline"/>
        </w:rPr>
        <w:t>of </w:t>
      </w:r>
      <w:r>
        <w:rPr>
          <w:vertAlign w:val="baseline"/>
        </w:rPr>
        <w:t>0.1%, which is </w:t>
      </w:r>
      <w:r>
        <w:rPr>
          <w:u w:val="single"/>
          <w:vertAlign w:val="baseline"/>
        </w:rPr>
        <w:t>extraordinarily low</w:t>
      </w:r>
      <w:r>
        <w:rPr>
          <w:vertAlign w:val="baseline"/>
        </w:rPr>
        <w:t> in relation </w:t>
      </w:r>
      <w:r>
        <w:rPr>
          <w:spacing w:val="3"/>
          <w:vertAlign w:val="baseline"/>
        </w:rPr>
        <w:t>to </w:t>
      </w:r>
      <w:r>
        <w:rPr>
          <w:vertAlign w:val="baseline"/>
        </w:rPr>
        <w:t>long-term historical standards, eg the actual, </w:t>
      </w:r>
      <w:r>
        <w:rPr>
          <w:u w:val="single"/>
          <w:vertAlign w:val="baseline"/>
        </w:rPr>
        <w:t>ex post</w:t>
      </w:r>
      <w:r>
        <w:rPr>
          <w:vertAlign w:val="baseline"/>
        </w:rPr>
        <w:t> ERP has been about 7 per cent </w:t>
      </w:r>
      <w:r>
        <w:rPr>
          <w:spacing w:val="3"/>
          <w:vertAlign w:val="baseline"/>
        </w:rPr>
        <w:t>over </w:t>
      </w:r>
      <w:r>
        <w:rPr>
          <w:vertAlign w:val="baseline"/>
        </w:rPr>
        <w:t>the</w:t>
      </w:r>
      <w:r>
        <w:rPr>
          <w:spacing w:val="-21"/>
          <w:vertAlign w:val="baseline"/>
        </w:rPr>
        <w:t> </w:t>
      </w:r>
      <w:r>
        <w:rPr>
          <w:vertAlign w:val="baseline"/>
        </w:rPr>
        <w:t>1926-2000</w:t>
      </w:r>
    </w:p>
    <w:p>
      <w:pPr>
        <w:pStyle w:val="BodyText"/>
        <w:spacing w:line="360" w:lineRule="auto" w:before="3"/>
        <w:ind w:left="159"/>
      </w:pPr>
      <w:r>
        <w:rPr/>
        <w:t>period, while some estimates</w:t>
      </w:r>
      <w:r>
        <w:rPr>
          <w:vertAlign w:val="superscript"/>
        </w:rPr>
        <w:t>8</w:t>
      </w:r>
      <w:r>
        <w:rPr>
          <w:vertAlign w:val="baseline"/>
        </w:rPr>
        <w:t> of the ex ante ERP suggest a value of around 4 per cent over the same period. Some believe that the appropriate level of the ERP has fallen in the post-World War II period, and, indeed, estimates of the ex ante risk premium suggest that it has averaged around 2.4% since 1965. If one assumed that the ERP needed to rise to 2.4 per cent, then, that would imply a very significant decline in the S&amp;P500, ie from its current value of 1142, to around 430!</w:t>
      </w:r>
      <w:r>
        <w:rPr>
          <w:vertAlign w:val="superscript"/>
        </w:rPr>
        <w:t>9</w:t>
      </w:r>
      <w:r>
        <w:rPr>
          <w:vertAlign w:val="baseline"/>
        </w:rPr>
        <w:t> Fortunately, the above analysis needs to be modified.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r>
        <w:rPr/>
        <w:pict>
          <v:shape style="position:absolute;margin-left:90pt;margin-top:16.194853pt;width:144pt;height:.1pt;mso-position-horizontal-relative:page;mso-position-vertical-relative:paragraph;z-index:-251615232;mso-wrap-distance-left:0;mso-wrap-distance-right:0" coordorigin="1800,324" coordsize="2880,0" path="m1800,324l4680,324e" filled="false" stroked="true" strokeweight=".48pt" strokecolor="#000000">
            <v:path arrowok="t"/>
            <v:stroke dashstyle="solid"/>
            <w10:wrap type="topAndBottom"/>
          </v:shape>
        </w:pict>
      </w:r>
    </w:p>
    <w:p>
      <w:pPr>
        <w:spacing w:before="47"/>
        <w:ind w:left="160" w:right="177" w:hanging="1"/>
        <w:jc w:val="left"/>
        <w:rPr>
          <w:sz w:val="20"/>
        </w:rPr>
      </w:pPr>
      <w:r>
        <w:rPr>
          <w:position w:val="9"/>
          <w:sz w:val="13"/>
        </w:rPr>
        <w:t>6 </w:t>
      </w:r>
      <w:r>
        <w:rPr>
          <w:sz w:val="20"/>
        </w:rPr>
        <w:t>This is known in the literature as Gordon’s (1962 ) growth model, and is just a steady-state version of the dividend discount model.</w:t>
      </w:r>
    </w:p>
    <w:p>
      <w:pPr>
        <w:spacing w:line="219" w:lineRule="exact" w:before="0"/>
        <w:ind w:left="159" w:right="0" w:firstLine="0"/>
        <w:jc w:val="left"/>
        <w:rPr>
          <w:sz w:val="20"/>
        </w:rPr>
      </w:pPr>
      <w:r>
        <w:rPr>
          <w:position w:val="9"/>
          <w:sz w:val="13"/>
        </w:rPr>
        <w:t>7 </w:t>
      </w:r>
      <w:r>
        <w:rPr>
          <w:sz w:val="20"/>
        </w:rPr>
        <w:t>ie, over the 1926-2000 period.</w:t>
      </w:r>
    </w:p>
    <w:p>
      <w:pPr>
        <w:spacing w:line="230" w:lineRule="exact" w:before="0"/>
        <w:ind w:left="159" w:right="0" w:firstLine="0"/>
        <w:jc w:val="left"/>
        <w:rPr>
          <w:sz w:val="20"/>
        </w:rPr>
      </w:pPr>
      <w:r>
        <w:rPr>
          <w:position w:val="9"/>
          <w:sz w:val="13"/>
        </w:rPr>
        <w:t>8 </w:t>
      </w:r>
      <w:r>
        <w:rPr>
          <w:sz w:val="20"/>
        </w:rPr>
        <w:t>See, eg Blanchard (1993) or Wadhwani (1999).</w:t>
      </w:r>
    </w:p>
    <w:p>
      <w:pPr>
        <w:spacing w:line="230" w:lineRule="exact" w:before="15"/>
        <w:ind w:left="159" w:right="438" w:firstLine="0"/>
        <w:jc w:val="left"/>
        <w:rPr>
          <w:sz w:val="20"/>
        </w:rPr>
      </w:pPr>
      <w:r>
        <w:rPr>
          <w:position w:val="9"/>
          <w:sz w:val="13"/>
        </w:rPr>
        <w:t>9 </w:t>
      </w:r>
      <w:r>
        <w:rPr>
          <w:sz w:val="20"/>
        </w:rPr>
        <w:t>This is because, holding interest rates and the expected growth of dividends constant, the dividend yield would have to rise from its current value of 1.4% to 3.7%.</w:t>
      </w:r>
    </w:p>
    <w:p>
      <w:pPr>
        <w:spacing w:after="0" w:line="230" w:lineRule="exact"/>
        <w:jc w:val="left"/>
        <w:rPr>
          <w:sz w:val="20"/>
        </w:rPr>
        <w:sectPr>
          <w:pgSz w:w="11900" w:h="16840"/>
          <w:pgMar w:header="0" w:footer="782" w:top="1360" w:bottom="980" w:left="1640" w:right="1680"/>
        </w:sectPr>
      </w:pPr>
    </w:p>
    <w:p>
      <w:pPr>
        <w:pStyle w:val="Heading1"/>
        <w:spacing w:before="78"/>
      </w:pPr>
      <w:r>
        <w:rPr/>
        <w:t>SECTION B2</w:t>
      </w:r>
    </w:p>
    <w:p>
      <w:pPr>
        <w:spacing w:before="137"/>
        <w:ind w:left="160" w:right="0" w:firstLine="0"/>
        <w:jc w:val="left"/>
        <w:rPr>
          <w:b/>
          <w:sz w:val="24"/>
        </w:rPr>
      </w:pPr>
      <w:r>
        <w:rPr>
          <w:b/>
          <w:sz w:val="24"/>
        </w:rPr>
        <w:t>ALLOWING FOR HIGHER DIVIDEND GROWTH</w:t>
      </w:r>
    </w:p>
    <w:p>
      <w:pPr>
        <w:pStyle w:val="BodyText"/>
        <w:rPr>
          <w:b/>
          <w:sz w:val="26"/>
        </w:rPr>
      </w:pPr>
    </w:p>
    <w:p>
      <w:pPr>
        <w:pStyle w:val="BodyText"/>
        <w:spacing w:before="9"/>
        <w:rPr>
          <w:b/>
          <w:sz w:val="21"/>
        </w:rPr>
      </w:pPr>
    </w:p>
    <w:p>
      <w:pPr>
        <w:pStyle w:val="BodyText"/>
        <w:spacing w:line="360" w:lineRule="auto"/>
        <w:ind w:left="160" w:right="166"/>
      </w:pPr>
      <w:r>
        <w:rPr>
          <w:spacing w:val="2"/>
        </w:rPr>
        <w:t>There </w:t>
      </w:r>
      <w:r>
        <w:rPr/>
        <w:t>is significant variation in the rate </w:t>
      </w:r>
      <w:r>
        <w:rPr>
          <w:spacing w:val="3"/>
        </w:rPr>
        <w:t>of </w:t>
      </w:r>
      <w:r>
        <w:rPr/>
        <w:t>productivity growth </w:t>
      </w:r>
      <w:r>
        <w:rPr>
          <w:spacing w:val="4"/>
        </w:rPr>
        <w:t>over </w:t>
      </w:r>
      <w:r>
        <w:rPr/>
        <w:t>time, ie although the long-term growth rate of labour productivity in the US is about 2% pa, there are long periods </w:t>
      </w:r>
      <w:r>
        <w:rPr>
          <w:spacing w:val="2"/>
        </w:rPr>
        <w:t>of </w:t>
      </w:r>
      <w:r>
        <w:rPr/>
        <w:t>time where actual productivity growth has been maintained at a rather higher</w:t>
      </w:r>
      <w:r>
        <w:rPr>
          <w:spacing w:val="-5"/>
        </w:rPr>
        <w:t> </w:t>
      </w:r>
      <w:r>
        <w:rPr/>
        <w:t>level,</w:t>
      </w:r>
      <w:r>
        <w:rPr>
          <w:spacing w:val="-5"/>
        </w:rPr>
        <w:t> </w:t>
      </w:r>
      <w:r>
        <w:rPr/>
        <w:t>eg</w:t>
      </w:r>
      <w:r>
        <w:rPr>
          <w:spacing w:val="-4"/>
        </w:rPr>
        <w:t> </w:t>
      </w:r>
      <w:r>
        <w:rPr/>
        <w:t>it averaged</w:t>
      </w:r>
      <w:r>
        <w:rPr>
          <w:spacing w:val="-5"/>
        </w:rPr>
        <w:t> </w:t>
      </w:r>
      <w:r>
        <w:rPr/>
        <w:t>nearly</w:t>
      </w:r>
      <w:r>
        <w:rPr>
          <w:spacing w:val="-5"/>
        </w:rPr>
        <w:t> </w:t>
      </w:r>
      <w:r>
        <w:rPr/>
        <w:t>3%</w:t>
      </w:r>
      <w:r>
        <w:rPr>
          <w:spacing w:val="-4"/>
        </w:rPr>
        <w:t> </w:t>
      </w:r>
      <w:r>
        <w:rPr/>
        <w:t>pa</w:t>
      </w:r>
      <w:r>
        <w:rPr>
          <w:spacing w:val="-5"/>
        </w:rPr>
        <w:t> </w:t>
      </w:r>
      <w:r>
        <w:rPr>
          <w:spacing w:val="3"/>
        </w:rPr>
        <w:t>over</w:t>
      </w:r>
      <w:r>
        <w:rPr/>
        <w:t> the</w:t>
      </w:r>
      <w:r>
        <w:rPr>
          <w:spacing w:val="-5"/>
        </w:rPr>
        <w:t> </w:t>
      </w:r>
      <w:r>
        <w:rPr/>
        <w:t>1948-1973</w:t>
      </w:r>
      <w:r>
        <w:rPr>
          <w:spacing w:val="-4"/>
        </w:rPr>
        <w:t> </w:t>
      </w:r>
      <w:r>
        <w:rPr/>
        <w:t>period,</w:t>
      </w:r>
      <w:r>
        <w:rPr>
          <w:spacing w:val="-5"/>
        </w:rPr>
        <w:t> </w:t>
      </w:r>
      <w:r>
        <w:rPr>
          <w:spacing w:val="2"/>
        </w:rPr>
        <w:t>or</w:t>
      </w:r>
      <w:r>
        <w:rPr>
          <w:spacing w:val="-1"/>
        </w:rPr>
        <w:t> </w:t>
      </w:r>
      <w:r>
        <w:rPr/>
        <w:t>just under</w:t>
      </w:r>
      <w:r>
        <w:rPr>
          <w:spacing w:val="-5"/>
        </w:rPr>
        <w:t> </w:t>
      </w:r>
      <w:r>
        <w:rPr/>
        <w:t>4% during the 1917-1927 period. When valuing stocks, given that US productivity growth appears </w:t>
      </w:r>
      <w:r>
        <w:rPr>
          <w:spacing w:val="2"/>
        </w:rPr>
        <w:t>to </w:t>
      </w:r>
      <w:r>
        <w:rPr/>
        <w:t>have accelerated in the mid-1990s, it is reasonable </w:t>
      </w:r>
      <w:r>
        <w:rPr>
          <w:spacing w:val="2"/>
        </w:rPr>
        <w:t>to </w:t>
      </w:r>
      <w:r>
        <w:rPr/>
        <w:t>allow for a period</w:t>
      </w:r>
      <w:r>
        <w:rPr>
          <w:spacing w:val="-9"/>
        </w:rPr>
        <w:t> </w:t>
      </w:r>
      <w:r>
        <w:rPr>
          <w:spacing w:val="2"/>
        </w:rPr>
        <w:t>of</w:t>
      </w:r>
      <w:r>
        <w:rPr>
          <w:spacing w:val="-5"/>
        </w:rPr>
        <w:t> </w:t>
      </w:r>
      <w:r>
        <w:rPr/>
        <w:t>above-average</w:t>
      </w:r>
      <w:r>
        <w:rPr>
          <w:spacing w:val="-9"/>
        </w:rPr>
        <w:t> </w:t>
      </w:r>
      <w:r>
        <w:rPr/>
        <w:t>dividend</w:t>
      </w:r>
      <w:r>
        <w:rPr>
          <w:spacing w:val="-8"/>
        </w:rPr>
        <w:t> </w:t>
      </w:r>
      <w:r>
        <w:rPr/>
        <w:t>growth,</w:t>
      </w:r>
      <w:r>
        <w:rPr>
          <w:spacing w:val="-9"/>
        </w:rPr>
        <w:t> </w:t>
      </w:r>
      <w:r>
        <w:rPr/>
        <w:t>before</w:t>
      </w:r>
      <w:r>
        <w:rPr>
          <w:spacing w:val="-9"/>
        </w:rPr>
        <w:t> </w:t>
      </w:r>
      <w:r>
        <w:rPr/>
        <w:t>allowing</w:t>
      </w:r>
      <w:r>
        <w:rPr>
          <w:spacing w:val="-8"/>
        </w:rPr>
        <w:t> </w:t>
      </w:r>
      <w:r>
        <w:rPr/>
        <w:t>the</w:t>
      </w:r>
      <w:r>
        <w:rPr>
          <w:spacing w:val="-9"/>
        </w:rPr>
        <w:t> </w:t>
      </w:r>
      <w:r>
        <w:rPr/>
        <w:t>growth</w:t>
      </w:r>
      <w:r>
        <w:rPr>
          <w:spacing w:val="-8"/>
        </w:rPr>
        <w:t> </w:t>
      </w:r>
      <w:r>
        <w:rPr/>
        <w:t>rate</w:t>
      </w:r>
      <w:r>
        <w:rPr>
          <w:spacing w:val="-7"/>
        </w:rPr>
        <w:t> </w:t>
      </w:r>
      <w:r>
        <w:rPr>
          <w:spacing w:val="3"/>
        </w:rPr>
        <w:t>to</w:t>
      </w:r>
      <w:r>
        <w:rPr>
          <w:spacing w:val="-4"/>
        </w:rPr>
        <w:t> </w:t>
      </w:r>
      <w:r>
        <w:rPr/>
        <w:t>fall</w:t>
      </w:r>
      <w:r>
        <w:rPr>
          <w:spacing w:val="-9"/>
        </w:rPr>
        <w:t> </w:t>
      </w:r>
      <w:r>
        <w:rPr/>
        <w:t>back </w:t>
      </w:r>
      <w:r>
        <w:rPr>
          <w:spacing w:val="2"/>
        </w:rPr>
        <w:t>to </w:t>
      </w:r>
      <w:r>
        <w:rPr/>
        <w:t>its long-term average. In this regard, it is notable that analysts had become significantly more </w:t>
      </w:r>
      <w:r>
        <w:rPr>
          <w:spacing w:val="5"/>
        </w:rPr>
        <w:t>optimistic </w:t>
      </w:r>
      <w:r>
        <w:rPr/>
        <w:t>about medium-term earnings growth prospects during the last two decades – Figure 7 displays the consensus 3-5 year ahead consensus real earnings growth forecast – it had risen from around 8 per cent pa in the mid-eighties </w:t>
      </w:r>
      <w:r>
        <w:rPr>
          <w:spacing w:val="2"/>
        </w:rPr>
        <w:t>to </w:t>
      </w:r>
      <w:r>
        <w:rPr/>
        <w:t>a peak </w:t>
      </w:r>
      <w:r>
        <w:rPr>
          <w:spacing w:val="2"/>
        </w:rPr>
        <w:t>of </w:t>
      </w:r>
      <w:r>
        <w:rPr/>
        <w:t>almost 16 per cent pa in 2000, though it has fallen back </w:t>
      </w:r>
      <w:r>
        <w:rPr>
          <w:spacing w:val="2"/>
        </w:rPr>
        <w:t>to</w:t>
      </w:r>
      <w:r>
        <w:rPr>
          <w:spacing w:val="-5"/>
        </w:rPr>
        <w:t> </w:t>
      </w:r>
      <w:r>
        <w:rPr/>
        <w:t>around</w:t>
      </w:r>
    </w:p>
    <w:p>
      <w:pPr>
        <w:pStyle w:val="BodyText"/>
        <w:ind w:left="160"/>
      </w:pPr>
      <w:r>
        <w:rPr/>
        <w:t>12 per cent pa now.</w:t>
      </w:r>
      <w:r>
        <w:rPr>
          <w:vertAlign w:val="superscript"/>
        </w:rPr>
        <w:t>10</w:t>
      </w:r>
    </w:p>
    <w:p>
      <w:pPr>
        <w:pStyle w:val="BodyText"/>
        <w:rPr>
          <w:sz w:val="30"/>
        </w:rPr>
      </w:pPr>
    </w:p>
    <w:p>
      <w:pPr>
        <w:pStyle w:val="BodyText"/>
        <w:spacing w:line="360" w:lineRule="auto" w:before="205"/>
        <w:ind w:left="160" w:right="395"/>
      </w:pPr>
      <w:r>
        <w:rPr/>
        <w:t>If one assumes that the longer-term earnings growth forecasts are likely to be an accurate guide over the next 4 years, and additionally assumes that the growth rate will gradually diminish towards its long-term average of 2 per cent pa over, say an 8 -year period,</w:t>
      </w:r>
      <w:r>
        <w:rPr>
          <w:vertAlign w:val="superscript"/>
        </w:rPr>
        <w:t>11</w:t>
      </w:r>
      <w:r>
        <w:rPr>
          <w:vertAlign w:val="baseline"/>
        </w:rPr>
        <w:t> then, the implied ERP today is around 2.7% (see Figure 8).</w:t>
      </w:r>
      <w:r>
        <w:rPr>
          <w:vertAlign w:val="superscript"/>
        </w:rPr>
        <w:t>12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spacing w:before="96"/>
        <w:ind w:left="160" w:right="424" w:firstLine="0"/>
        <w:jc w:val="both"/>
        <w:rPr>
          <w:sz w:val="20"/>
        </w:rPr>
      </w:pPr>
      <w:r>
        <w:rPr>
          <w:i/>
          <w:position w:val="9"/>
          <w:sz w:val="13"/>
        </w:rPr>
        <w:t>10</w:t>
      </w:r>
      <w:r>
        <w:rPr>
          <w:i/>
          <w:spacing w:val="16"/>
          <w:position w:val="9"/>
          <w:sz w:val="13"/>
        </w:rPr>
        <w:t> </w:t>
      </w:r>
      <w:r>
        <w:rPr>
          <w:sz w:val="20"/>
        </w:rPr>
        <w:t>Incidentally,</w:t>
      </w:r>
      <w:r>
        <w:rPr>
          <w:spacing w:val="-5"/>
          <w:sz w:val="20"/>
        </w:rPr>
        <w:t> </w:t>
      </w:r>
      <w:r>
        <w:rPr>
          <w:sz w:val="20"/>
        </w:rPr>
        <w:t>for</w:t>
      </w:r>
      <w:r>
        <w:rPr>
          <w:spacing w:val="-5"/>
          <w:sz w:val="20"/>
        </w:rPr>
        <w:t> </w:t>
      </w:r>
      <w:r>
        <w:rPr>
          <w:sz w:val="20"/>
        </w:rPr>
        <w:t>the</w:t>
      </w:r>
      <w:r>
        <w:rPr>
          <w:spacing w:val="-5"/>
          <w:sz w:val="20"/>
        </w:rPr>
        <w:t> </w:t>
      </w:r>
      <w:r>
        <w:rPr>
          <w:sz w:val="20"/>
        </w:rPr>
        <w:t>period</w:t>
      </w:r>
      <w:r>
        <w:rPr>
          <w:spacing w:val="-5"/>
          <w:sz w:val="20"/>
        </w:rPr>
        <w:t> </w:t>
      </w:r>
      <w:r>
        <w:rPr>
          <w:sz w:val="20"/>
        </w:rPr>
        <w:t>that</w:t>
      </w:r>
      <w:r>
        <w:rPr>
          <w:spacing w:val="-2"/>
          <w:sz w:val="20"/>
        </w:rPr>
        <w:t> </w:t>
      </w:r>
      <w:r>
        <w:rPr>
          <w:sz w:val="20"/>
        </w:rPr>
        <w:t>such</w:t>
      </w:r>
      <w:r>
        <w:rPr>
          <w:spacing w:val="-6"/>
          <w:sz w:val="20"/>
        </w:rPr>
        <w:t> </w:t>
      </w:r>
      <w:r>
        <w:rPr>
          <w:sz w:val="20"/>
        </w:rPr>
        <w:t>data</w:t>
      </w:r>
      <w:r>
        <w:rPr>
          <w:spacing w:val="-6"/>
          <w:sz w:val="20"/>
        </w:rPr>
        <w:t> </w:t>
      </w:r>
      <w:r>
        <w:rPr>
          <w:sz w:val="20"/>
        </w:rPr>
        <w:t>on</w:t>
      </w:r>
      <w:r>
        <w:rPr>
          <w:spacing w:val="-2"/>
          <w:sz w:val="20"/>
        </w:rPr>
        <w:t> </w:t>
      </w:r>
      <w:r>
        <w:rPr>
          <w:sz w:val="20"/>
        </w:rPr>
        <w:t>long-term</w:t>
      </w:r>
      <w:r>
        <w:rPr>
          <w:spacing w:val="-6"/>
          <w:sz w:val="20"/>
        </w:rPr>
        <w:t> </w:t>
      </w:r>
      <w:r>
        <w:rPr>
          <w:sz w:val="20"/>
        </w:rPr>
        <w:t>earnings</w:t>
      </w:r>
      <w:r>
        <w:rPr>
          <w:spacing w:val="-6"/>
          <w:sz w:val="20"/>
        </w:rPr>
        <w:t> </w:t>
      </w:r>
      <w:r>
        <w:rPr>
          <w:sz w:val="20"/>
        </w:rPr>
        <w:t>expectations</w:t>
      </w:r>
      <w:r>
        <w:rPr>
          <w:spacing w:val="-5"/>
          <w:sz w:val="20"/>
        </w:rPr>
        <w:t> </w:t>
      </w:r>
      <w:r>
        <w:rPr>
          <w:sz w:val="20"/>
        </w:rPr>
        <w:t>have</w:t>
      </w:r>
      <w:r>
        <w:rPr>
          <w:spacing w:val="-6"/>
          <w:sz w:val="20"/>
        </w:rPr>
        <w:t> </w:t>
      </w:r>
      <w:r>
        <w:rPr>
          <w:sz w:val="20"/>
        </w:rPr>
        <w:t>been</w:t>
      </w:r>
      <w:r>
        <w:rPr>
          <w:spacing w:val="-6"/>
          <w:sz w:val="20"/>
        </w:rPr>
        <w:t> </w:t>
      </w:r>
      <w:r>
        <w:rPr>
          <w:sz w:val="20"/>
        </w:rPr>
        <w:t>available, there is a no evidence of these expectations being biased. This is in contrast to the data on one-year ahead earnings expectations, where analysts appear to have been</w:t>
      </w:r>
      <w:r>
        <w:rPr>
          <w:spacing w:val="11"/>
          <w:sz w:val="20"/>
        </w:rPr>
        <w:t> </w:t>
      </w:r>
      <w:r>
        <w:rPr>
          <w:sz w:val="20"/>
        </w:rPr>
        <w:t>over-optimistic.</w:t>
      </w:r>
    </w:p>
    <w:p>
      <w:pPr>
        <w:spacing w:line="230" w:lineRule="exact" w:before="4"/>
        <w:ind w:left="160" w:right="330" w:firstLine="0"/>
        <w:jc w:val="both"/>
        <w:rPr>
          <w:sz w:val="20"/>
        </w:rPr>
      </w:pPr>
      <w:r>
        <w:rPr>
          <w:position w:val="9"/>
          <w:sz w:val="13"/>
        </w:rPr>
        <w:t>11 </w:t>
      </w:r>
      <w:r>
        <w:rPr>
          <w:sz w:val="20"/>
        </w:rPr>
        <w:t>Hence, real dividend growth is assumed to rise at a faster than average rate </w:t>
      </w:r>
      <w:r>
        <w:rPr>
          <w:spacing w:val="2"/>
          <w:sz w:val="20"/>
        </w:rPr>
        <w:t>over </w:t>
      </w:r>
      <w:r>
        <w:rPr>
          <w:sz w:val="20"/>
        </w:rPr>
        <w:t>the next 12 years. </w:t>
      </w:r>
      <w:r>
        <w:rPr>
          <w:position w:val="9"/>
          <w:sz w:val="13"/>
        </w:rPr>
        <w:t>12</w:t>
      </w:r>
      <w:r>
        <w:rPr>
          <w:spacing w:val="14"/>
          <w:position w:val="9"/>
          <w:sz w:val="13"/>
        </w:rPr>
        <w:t> </w:t>
      </w:r>
      <w:r>
        <w:rPr>
          <w:sz w:val="20"/>
        </w:rPr>
        <w:t>I</w:t>
      </w:r>
      <w:r>
        <w:rPr>
          <w:spacing w:val="-4"/>
          <w:sz w:val="20"/>
        </w:rPr>
        <w:t> </w:t>
      </w:r>
      <w:r>
        <w:rPr>
          <w:sz w:val="20"/>
        </w:rPr>
        <w:t>have</w:t>
      </w:r>
      <w:r>
        <w:rPr>
          <w:spacing w:val="-5"/>
          <w:sz w:val="20"/>
        </w:rPr>
        <w:t> </w:t>
      </w:r>
      <w:r>
        <w:rPr>
          <w:sz w:val="20"/>
        </w:rPr>
        <w:t>used</w:t>
      </w:r>
      <w:r>
        <w:rPr>
          <w:spacing w:val="-6"/>
          <w:sz w:val="20"/>
        </w:rPr>
        <w:t> </w:t>
      </w:r>
      <w:r>
        <w:rPr>
          <w:sz w:val="20"/>
        </w:rPr>
        <w:t>a</w:t>
      </w:r>
      <w:r>
        <w:rPr>
          <w:spacing w:val="-5"/>
          <w:sz w:val="20"/>
        </w:rPr>
        <w:t> </w:t>
      </w:r>
      <w:r>
        <w:rPr>
          <w:sz w:val="20"/>
        </w:rPr>
        <w:t>3-stage</w:t>
      </w:r>
      <w:r>
        <w:rPr>
          <w:spacing w:val="-6"/>
          <w:sz w:val="20"/>
        </w:rPr>
        <w:t> </w:t>
      </w:r>
      <w:r>
        <w:rPr>
          <w:sz w:val="20"/>
        </w:rPr>
        <w:t>DDM</w:t>
      </w:r>
      <w:r>
        <w:rPr>
          <w:spacing w:val="-5"/>
          <w:sz w:val="20"/>
        </w:rPr>
        <w:t> </w:t>
      </w:r>
      <w:r>
        <w:rPr>
          <w:sz w:val="20"/>
        </w:rPr>
        <w:t>here,</w:t>
      </w:r>
      <w:r>
        <w:rPr>
          <w:spacing w:val="-6"/>
          <w:sz w:val="20"/>
        </w:rPr>
        <w:t> </w:t>
      </w:r>
      <w:r>
        <w:rPr>
          <w:sz w:val="20"/>
        </w:rPr>
        <w:t>and</w:t>
      </w:r>
      <w:r>
        <w:rPr>
          <w:spacing w:val="-5"/>
          <w:sz w:val="20"/>
        </w:rPr>
        <w:t> </w:t>
      </w:r>
      <w:r>
        <w:rPr>
          <w:sz w:val="20"/>
        </w:rPr>
        <w:t>am</w:t>
      </w:r>
      <w:r>
        <w:rPr>
          <w:spacing w:val="-6"/>
          <w:sz w:val="20"/>
        </w:rPr>
        <w:t> </w:t>
      </w:r>
      <w:r>
        <w:rPr>
          <w:sz w:val="20"/>
        </w:rPr>
        <w:t>grateful</w:t>
      </w:r>
      <w:r>
        <w:rPr>
          <w:spacing w:val="-5"/>
          <w:sz w:val="20"/>
        </w:rPr>
        <w:t> </w:t>
      </w:r>
      <w:r>
        <w:rPr>
          <w:sz w:val="20"/>
        </w:rPr>
        <w:t>to</w:t>
      </w:r>
      <w:r>
        <w:rPr>
          <w:spacing w:val="-1"/>
          <w:sz w:val="20"/>
        </w:rPr>
        <w:t> </w:t>
      </w:r>
      <w:r>
        <w:rPr>
          <w:sz w:val="20"/>
        </w:rPr>
        <w:t>Nikolaos</w:t>
      </w:r>
      <w:r>
        <w:rPr>
          <w:spacing w:val="-5"/>
          <w:sz w:val="20"/>
        </w:rPr>
        <w:t> </w:t>
      </w:r>
      <w:r>
        <w:rPr>
          <w:sz w:val="20"/>
        </w:rPr>
        <w:t>Panigirtzoglou</w:t>
      </w:r>
      <w:r>
        <w:rPr>
          <w:spacing w:val="-5"/>
          <w:sz w:val="20"/>
        </w:rPr>
        <w:t> </w:t>
      </w:r>
      <w:r>
        <w:rPr>
          <w:sz w:val="20"/>
        </w:rPr>
        <w:t>and</w:t>
      </w:r>
      <w:r>
        <w:rPr>
          <w:spacing w:val="-5"/>
          <w:sz w:val="20"/>
        </w:rPr>
        <w:t> </w:t>
      </w:r>
      <w:r>
        <w:rPr>
          <w:sz w:val="20"/>
        </w:rPr>
        <w:t>Robert</w:t>
      </w:r>
      <w:r>
        <w:rPr>
          <w:spacing w:val="-2"/>
          <w:sz w:val="20"/>
        </w:rPr>
        <w:t> </w:t>
      </w:r>
      <w:r>
        <w:rPr>
          <w:sz w:val="20"/>
        </w:rPr>
        <w:t>Scammell of the Bank of England’s MA Division for their help with these</w:t>
      </w:r>
      <w:r>
        <w:rPr>
          <w:spacing w:val="15"/>
          <w:sz w:val="20"/>
        </w:rPr>
        <w:t> </w:t>
      </w:r>
      <w:r>
        <w:rPr>
          <w:sz w:val="20"/>
        </w:rPr>
        <w:t>calibrations.</w:t>
      </w:r>
    </w:p>
    <w:p>
      <w:pPr>
        <w:spacing w:after="0" w:line="230" w:lineRule="exact"/>
        <w:jc w:val="both"/>
        <w:rPr>
          <w:sz w:val="20"/>
        </w:rPr>
        <w:sectPr>
          <w:footerReference w:type="default" r:id="rId26"/>
          <w:pgSz w:w="11900" w:h="16840"/>
          <w:pgMar w:footer="1169" w:header="0" w:top="1360" w:bottom="1360" w:left="1640" w:right="1680"/>
        </w:sectPr>
      </w:pPr>
    </w:p>
    <w:p>
      <w:pPr>
        <w:pStyle w:val="BodyText"/>
        <w:rPr>
          <w:sz w:val="14"/>
        </w:rPr>
      </w:pPr>
    </w:p>
    <w:p>
      <w:pPr>
        <w:pStyle w:val="Heading1"/>
        <w:spacing w:before="90"/>
      </w:pPr>
      <w:r>
        <w:rPr/>
        <w:t>FIGURE 7</w:t>
      </w:r>
    </w:p>
    <w:p>
      <w:pPr>
        <w:pStyle w:val="BodyText"/>
        <w:spacing w:before="7"/>
        <w:rPr>
          <w:b/>
          <w:sz w:val="16"/>
        </w:rPr>
      </w:pPr>
    </w:p>
    <w:p>
      <w:pPr>
        <w:spacing w:before="90"/>
        <w:ind w:left="294" w:right="0" w:firstLine="0"/>
        <w:jc w:val="left"/>
        <w:rPr>
          <w:b/>
          <w:sz w:val="24"/>
        </w:rPr>
      </w:pPr>
      <w:r>
        <w:rPr>
          <w:b/>
          <w:sz w:val="24"/>
        </w:rPr>
        <w:t>Consensus expectations of S&amp;P500</w:t>
      </w:r>
    </w:p>
    <w:p>
      <w:pPr>
        <w:tabs>
          <w:tab w:pos="4623" w:val="right" w:leader="none"/>
        </w:tabs>
        <w:spacing w:line="267" w:lineRule="exact" w:before="41"/>
        <w:ind w:left="294" w:right="0" w:firstLine="0"/>
        <w:jc w:val="left"/>
        <w:rPr>
          <w:sz w:val="24"/>
        </w:rPr>
      </w:pPr>
      <w:r>
        <w:rPr/>
        <w:pict>
          <v:group style="position:absolute;margin-left:108pt;margin-top:4.973123pt;width:192.85pt;height:139.8pt;mso-position-horizontal-relative:page;mso-position-vertical-relative:paragraph;z-index:-253042688" coordorigin="2160,99" coordsize="3857,2796">
            <v:shape style="position:absolute;left:2174;top:101;width:3840;height:2794" coordorigin="2174,102" coordsize="3840,2794" path="m5971,102l5971,2847,6014,2847m5971,2550l6014,2550m5971,2233l6014,2233m5971,1935l6014,1935m5971,1633l6014,1633m5971,1321l6014,1321m5971,1019l6014,1019m5971,721l6014,721m5971,404l6014,404m5971,102l6014,102m2174,2847l5971,2847m2174,2895l2174,2847m2866,2895l2866,2847m3557,2895l3557,2847m4248,2895l4248,2847m4934,2895l4934,2847m5626,2895l5626,2847e" filled="false" stroked="true" strokeweight=".24pt" strokecolor="#000000">
              <v:path arrowok="t"/>
              <v:stroke dashstyle="solid"/>
            </v:shape>
            <v:line style="position:absolute" from="2174,1604" to="2189,1590" stroked="true" strokeweight="1.44pt" strokecolor="#000080">
              <v:stroke dashstyle="solid"/>
            </v:line>
            <v:line style="position:absolute" from="2189,1590" to="2222,1619" stroked="true" strokeweight="1.44pt" strokecolor="#000080">
              <v:stroke dashstyle="solid"/>
            </v:line>
            <v:line style="position:absolute" from="2222,1619" to="2237,1724" stroked="true" strokeweight="1.44pt" strokecolor="#000080">
              <v:stroke dashstyle="solid"/>
            </v:line>
            <v:line style="position:absolute" from="2237,1724" to="2251,1647" stroked="true" strokeweight="1.44pt" strokecolor="#000080">
              <v:stroke dashstyle="solid"/>
            </v:line>
            <v:line style="position:absolute" from="2251,1647" to="2266,1633" stroked="true" strokeweight="1.44pt" strokecolor="#000080">
              <v:stroke dashstyle="solid"/>
            </v:line>
            <v:line style="position:absolute" from="2266,1633" to="2294,1647" stroked="true" strokeweight="1.44pt" strokecolor="#000080">
              <v:stroke dashstyle="solid"/>
            </v:line>
            <v:line style="position:absolute" from="2294,1647" to="2309,1695" stroked="true" strokeweight="1.44pt" strokecolor="#000080">
              <v:stroke dashstyle="solid"/>
            </v:line>
            <v:line style="position:absolute" from="2309,1695" to="2323,1662" stroked="true" strokeweight="1.44pt" strokecolor="#000080">
              <v:stroke dashstyle="solid"/>
            </v:line>
            <v:line style="position:absolute" from="2323,1662" to="2357,1633" stroked="true" strokeweight="1.44pt" strokecolor="#000080">
              <v:stroke dashstyle="solid"/>
            </v:line>
            <v:line style="position:absolute" from="2357,1633" to="2371,1619" stroked="true" strokeweight="1.44pt" strokecolor="#000080">
              <v:stroke dashstyle="solid"/>
            </v:line>
            <v:line style="position:absolute" from="2371,1619" to="2386,1647" stroked="true" strokeweight="1.44pt" strokecolor="#000080">
              <v:stroke dashstyle="solid"/>
            </v:line>
            <v:line style="position:absolute" from="2386,1647" to="2400,1619" stroked="true" strokeweight="1.44pt" strokecolor="#000080">
              <v:stroke dashstyle="solid"/>
            </v:line>
            <v:line style="position:absolute" from="2400,1619" to="2429,1695" stroked="true" strokeweight="1.44pt" strokecolor="#000080">
              <v:stroke dashstyle="solid"/>
            </v:line>
            <v:line style="position:absolute" from="2429,1695" to="2443,1633" stroked="true" strokeweight="1.44pt" strokecolor="#000080">
              <v:stroke dashstyle="solid"/>
            </v:line>
            <v:line style="position:absolute" from="2443,1633" to="2462,1647" stroked="true" strokeweight="1.44pt" strokecolor="#000080">
              <v:stroke dashstyle="solid"/>
            </v:line>
            <v:line style="position:absolute" from="2462,1647" to="2477,1681" stroked="true" strokeweight="1.44pt" strokecolor="#000080">
              <v:stroke dashstyle="solid"/>
            </v:line>
            <v:shape style="position:absolute;left:2476;top:1604;width:312;height:120" coordorigin="2477,1604" coordsize="312,120" path="m2477,1681l2506,1647m2506,1647l2520,1662m2520,1662l2534,1695m2534,1695l2563,1662m2563,1662l2582,1724m2582,1724l2597,1662m2597,1662l2611,1681m2611,1681l2640,1662m2640,1662l2654,1647m2654,1647l2669,1633m2669,1633l2702,1633m2702,1633l2717,1647m2717,1647l2731,1681m2731,1681l2746,1633m2746,1633l2774,1604m2774,1604l2789,1619e" filled="false" stroked="true" strokeweight="1.44pt" strokecolor="#000080">
              <v:path arrowok="t"/>
              <v:stroke dashstyle="solid"/>
            </v:shape>
            <v:line style="position:absolute" from="2796,1604" to="2796,1633" stroked="true" strokeweight=".72pt" strokecolor="#000080">
              <v:stroke dashstyle="solid"/>
            </v:line>
            <v:shape style="position:absolute;left:2803;top:1618;width:48;height:29" coordorigin="2803,1619" coordsize="48,29" path="m2803,1619l2822,1619m2822,1619l2851,1647e" filled="false" stroked="true" strokeweight="1.44pt" strokecolor="#000080">
              <v:path arrowok="t"/>
              <v:stroke dashstyle="solid"/>
            </v:shape>
            <v:shape style="position:absolute;left:2858;top:1633;width:15;height:29" coordorigin="2858,1633" coordsize="15,29" path="m2858,1633l2858,1662m2873,1633l2873,1662e" filled="false" stroked="true" strokeweight=".72pt" strokecolor="#000080">
              <v:path arrowok="t"/>
              <v:stroke dashstyle="solid"/>
            </v:shape>
            <v:shape style="position:absolute;left:2880;top:1633;width:120;height:63" coordorigin="2880,1633" coordsize="120,63" path="m2880,1647l2909,1647m2909,1647l2923,1695m2923,1695l2942,1662m2942,1662l2957,1633m2957,1633l2986,1662m2986,1662l3000,1633e" filled="false" stroked="true" strokeweight="1.44pt" strokecolor="#000080">
              <v:path arrowok="t"/>
              <v:stroke dashstyle="solid"/>
            </v:shape>
            <v:line style="position:absolute" from="3007,1619" to="3007,1647" stroked="true" strokeweight=".72pt" strokecolor="#000080">
              <v:stroke dashstyle="solid"/>
            </v:line>
            <v:shape style="position:absolute;left:3014;top:1561;width:240;height:87" coordorigin="3014,1561" coordsize="240,87" path="m3014,1633l3048,1647m3048,1647l3062,1633m3062,1633l3077,1619m3077,1619l3091,1633m3091,1633l3120,1619m3120,1619l3134,1647m3134,1647l3149,1619m3149,1619l3168,1604m3168,1604l3197,1575m3197,1575l3211,1590m3211,1590l3226,1604m3226,1604l3254,1561e" filled="false" stroked="true" strokeweight="1.44pt" strokecolor="#000080">
              <v:path arrowok="t"/>
              <v:stroke dashstyle="solid"/>
            </v:shape>
            <v:line style="position:absolute" from="3262,1547" to="3262,1575" stroked="true" strokeweight=".72pt" strokecolor="#000080">
              <v:stroke dashstyle="solid"/>
            </v:line>
            <v:shape style="position:absolute;left:3268;top:1561;width:63;height:15" coordorigin="3269,1561" coordsize="63,15" path="m3269,1561l3288,1575m3288,1575l3302,1561m3302,1561l3331,1561e" filled="false" stroked="true" strokeweight="1.44pt" strokecolor="#000080">
              <v:path arrowok="t"/>
              <v:stroke dashstyle="solid"/>
            </v:shape>
            <v:line style="position:absolute" from="3338,1547" to="3338,1575" stroked="true" strokeweight=".72pt" strokecolor="#000080">
              <v:stroke dashstyle="solid"/>
            </v:line>
            <v:shape style="position:absolute;left:3345;top:1441;width:135;height:120" coordorigin="3346,1441" coordsize="135,120" path="m3346,1561l3360,1513m3360,1513l3389,1499m3389,1499l3408,1470m3408,1470l3422,1441m3422,1441l3437,1470m3437,1470l3466,1499m3466,1499l3480,1470e" filled="false" stroked="true" strokeweight="1.44pt" strokecolor="#000080">
              <v:path arrowok="t"/>
              <v:stroke dashstyle="solid"/>
            </v:shape>
            <v:line style="position:absolute" from="3487,1455" to="3487,1484" stroked="true" strokeweight=".72pt" strokecolor="#000080">
              <v:stroke dashstyle="solid"/>
            </v:line>
            <v:shape style="position:absolute;left:3494;top:1455;width:240;height:44" coordorigin="3494,1455" coordsize="240,44" path="m3494,1470l3509,1499m3509,1499l3542,1484m3542,1484l3557,1470m3557,1470l3571,1484m3571,1484l3600,1499m3600,1499l3614,1470m3614,1470l3629,1455m3629,1455l3648,1470m3648,1470l3677,1470m3677,1470l3691,1455m3691,1455l3706,1484m3706,1484l3734,1455e" filled="false" stroked="true" strokeweight="1.44pt" strokecolor="#000080">
              <v:path arrowok="t"/>
              <v:stroke dashstyle="solid"/>
            </v:shape>
            <v:line style="position:absolute" from="3742,1441" to="3742,1470" stroked="true" strokeweight=".72pt" strokecolor="#000080">
              <v:stroke dashstyle="solid"/>
            </v:line>
            <v:shape style="position:absolute;left:3748;top:1421;width:140;height:77" coordorigin="3749,1422" coordsize="140,77" path="m3749,1455l3768,1422m3768,1422l3782,1455m3782,1455l3811,1455m3811,1455l3826,1470m3826,1470l3840,1455m3840,1455l3854,1499m3854,1499l3888,1455e" filled="false" stroked="true" strokeweight="1.44pt" strokecolor="#000080">
              <v:path arrowok="t"/>
              <v:stroke dashstyle="solid"/>
            </v:shape>
            <v:line style="position:absolute" from="3895,1441" to="3895,1470" stroked="true" strokeweight=".72pt" strokecolor="#000080">
              <v:stroke dashstyle="solid"/>
            </v:line>
            <v:shape style="position:absolute;left:3902;top:1441;width:72;height:44" coordorigin="3902,1441" coordsize="72,44" path="m3902,1455l3917,1441m3917,1441l3946,1441m3946,1441l3960,1455m3960,1455l3974,1484e" filled="false" stroked="true" strokeweight="1.44pt" strokecolor="#000080">
              <v:path arrowok="t"/>
              <v:stroke dashstyle="solid"/>
            </v:shape>
            <v:line style="position:absolute" from="3982,1470" to="3982,1499" stroked="true" strokeweight=".72pt" strokecolor="#000080">
              <v:stroke dashstyle="solid"/>
            </v:line>
            <v:shape style="position:absolute;left:3988;top:1484;width:303;height:226" coordorigin="3989,1484" coordsize="303,226" path="m3989,1484l4022,1499m4022,1499l4037,1513m4037,1513l4051,1542m4051,1542l4080,1542m4080,1542l4094,1561m4094,1561l4109,1604m4109,1604l4128,1662m4128,1662l4157,1710m4157,1710l4171,1681m4171,1681l4186,1710m4186,1710l4200,1619m4200,1619l4229,1604m4229,1604l4248,1662m4248,1662l4262,1604m4262,1604l4291,1647e" filled="false" stroked="true" strokeweight="1.44pt" strokecolor="#000080">
              <v:path arrowok="t"/>
              <v:stroke dashstyle="solid"/>
            </v:shape>
            <v:line style="position:absolute" from="4298,1633" to="4298,1662" stroked="true" strokeweight=".72pt" strokecolor="#000080">
              <v:stroke dashstyle="solid"/>
            </v:line>
            <v:shape style="position:absolute;left:4305;top:1575;width:63;height:72" coordorigin="4306,1575" coordsize="63,72" path="m4306,1647l4320,1575m4320,1575l4334,1647m4334,1647l4368,1575e" filled="false" stroked="true" strokeweight="1.44pt" strokecolor="#000080">
              <v:path arrowok="t"/>
              <v:stroke dashstyle="solid"/>
            </v:shape>
            <v:line style="position:absolute" from="4375,1561" to="4375,1590" stroked="true" strokeweight=".72pt" strokecolor="#000080">
              <v:stroke dashstyle="solid"/>
            </v:line>
            <v:shape style="position:absolute;left:4382;top:1541;width:58;height:48" coordorigin="4382,1542" coordsize="58,48" path="m4382,1575l4397,1590m4397,1590l4426,1542m4426,1542l4440,1561e" filled="false" stroked="true" strokeweight="1.44pt" strokecolor="#000080">
              <v:path arrowok="t"/>
              <v:stroke dashstyle="solid"/>
            </v:shape>
            <v:line style="position:absolute" from="4447,1547" to="4447,1575" stroked="true" strokeweight=".72pt" strokecolor="#000080">
              <v:stroke dashstyle="solid"/>
            </v:line>
            <v:shape style="position:absolute;left:4454;top:1541;width:77;height:120" coordorigin="4454,1542" coordsize="77,120" path="m4454,1561l4469,1590m4469,1590l4502,1662m4502,1662l4517,1575m4517,1575l4531,1542e" filled="false" stroked="true" strokeweight="1.44pt" strokecolor="#000080">
              <v:path arrowok="t"/>
              <v:stroke dashstyle="solid"/>
            </v:shape>
            <v:line style="position:absolute" from="4538,1527" to="4538,1556" stroked="true" strokeweight=".72pt" strokecolor="#000080">
              <v:stroke dashstyle="solid"/>
            </v:line>
            <v:shape style="position:absolute;left:4545;top:1469;width:183;height:72" coordorigin="4546,1470" coordsize="183,72" path="m4546,1542l4574,1513m4574,1513l4589,1499m4589,1499l4608,1499m4608,1499l4637,1513m4637,1513l4651,1484m4651,1484l4666,1470m4666,1470l4680,1513m4680,1513l4714,1513m4714,1513l4728,1484e" filled="false" stroked="true" strokeweight="1.44pt" strokecolor="#000080">
              <v:path arrowok="t"/>
              <v:stroke dashstyle="solid"/>
            </v:shape>
            <v:line style="position:absolute" from="4735,1470" to="4735,1499" stroked="true" strokeweight=".72pt" strokecolor="#000080">
              <v:stroke dashstyle="solid"/>
            </v:line>
            <v:shape style="position:absolute;left:4742;top:1349;width:135;height:135" coordorigin="4742,1350" coordsize="135,135" path="m4742,1484l4771,1441m4771,1441l4786,1422m4786,1422l4800,1441m4800,1441l4814,1422m4814,1422l4848,1379m4848,1379l4862,1364m4862,1364l4877,1350e" filled="false" stroked="true" strokeweight="1.44pt" strokecolor="#000080">
              <v:path arrowok="t"/>
              <v:stroke dashstyle="solid"/>
            </v:shape>
            <v:line style="position:absolute" from="4884,1335" to="4884,1364" stroked="true" strokeweight=".72pt" strokecolor="#000080">
              <v:stroke dashstyle="solid"/>
            </v:line>
            <v:shape style="position:absolute;left:4891;top:1153;width:303;height:197" coordorigin="4891,1153" coordsize="303,197" path="m4891,1350l4920,1350m4920,1350l4934,1321m4934,1321l4954,1302m4954,1302l4982,1287m4982,1287l4997,1302m4997,1302l5011,1244m5011,1244l5026,1230m5026,1230l5054,1230m5054,1230l5074,1201m5074,1201l5088,1230m5088,1230l5117,1244m5117,1244l5131,1230m5131,1230l5146,1215m5146,1215l5160,1167m5160,1167l5194,1153e" filled="false" stroked="true" strokeweight="1.44pt" strokecolor="#000080">
              <v:path arrowok="t"/>
              <v:stroke dashstyle="solid"/>
            </v:shape>
            <v:line style="position:absolute" from="5201,1139" to="5201,1167" stroked="true" strokeweight=".72pt" strokecolor="#000080">
              <v:stroke dashstyle="solid"/>
            </v:line>
            <v:shape style="position:absolute;left:5208;top:855;width:284;height:298" coordorigin="5208,855" coordsize="284,298" path="m5208,1153l5222,1153m5222,1153l5237,1110m5237,1110l5266,1062m5266,1062l5280,1081m5280,1081l5294,1081m5294,1081l5328,1095m5328,1095l5342,1047m5342,1047l5357,1033m5357,1033l5371,927m5371,927l5400,870m5400,870l5414,855m5414,855l5434,899m5434,899l5462,855m5462,855l5477,899m5477,899l5491,855e" filled="false" stroked="true" strokeweight="1.44pt" strokecolor="#000080">
              <v:path arrowok="t"/>
              <v:stroke dashstyle="solid"/>
            </v:shape>
            <v:line style="position:absolute" from="5498,841" to="5498,870" stroked="true" strokeweight=".72pt" strokecolor="#000080">
              <v:stroke dashstyle="solid"/>
            </v:line>
            <v:shape style="position:absolute;left:5505;top:524;width:168;height:332" coordorigin="5506,524" coordsize="168,332" path="m5506,855l5534,807m5534,807l5554,793m5554,793l5568,735m5568,735l5582,644m5582,644l5611,615m5611,615l5626,630m5626,630l5640,524m5640,524l5674,567e" filled="false" stroked="true" strokeweight="1.44pt" strokecolor="#000080">
              <v:path arrowok="t"/>
              <v:stroke dashstyle="solid"/>
            </v:shape>
            <v:line style="position:absolute" from="5674,567" to="5688,539" stroked="true" strokeweight="1.44pt" strokecolor="#000080">
              <v:stroke dashstyle="solid"/>
            </v:line>
            <v:line style="position:absolute" from="5688,539" to="5702,539" stroked="true" strokeweight="1.44pt" strokecolor="#000080">
              <v:stroke dashstyle="solid"/>
            </v:line>
            <v:line style="position:absolute" from="5702,539" to="5717,462" stroked="true" strokeweight="1.44pt" strokecolor="#000080">
              <v:stroke dashstyle="solid"/>
            </v:line>
            <v:line style="position:absolute" from="5717,462" to="5746,447" stroked="true" strokeweight="1.44pt" strokecolor="#000080">
              <v:stroke dashstyle="solid"/>
            </v:line>
            <v:line style="position:absolute" from="5746,447" to="5760,481" stroked="true" strokeweight="1.44pt" strokecolor="#000080">
              <v:stroke dashstyle="solid"/>
            </v:line>
            <v:line style="position:absolute" from="5760,481" to="5774,510" stroked="true" strokeweight="1.44pt" strokecolor="#000080">
              <v:stroke dashstyle="solid"/>
            </v:line>
            <v:line style="position:absolute" from="5774,510" to="5808,582" stroked="true" strokeweight="1.44pt" strokecolor="#000080">
              <v:stroke dashstyle="solid"/>
            </v:line>
            <v:line style="position:absolute" from="5808,582" to="5822,615" stroked="true" strokeweight="1.44pt" strokecolor="#000080">
              <v:stroke dashstyle="solid"/>
            </v:line>
            <v:line style="position:absolute" from="5830,601" to="5830,630" stroked="true" strokeweight=".72pt" strokecolor="#000080">
              <v:stroke dashstyle="solid"/>
            </v:line>
            <v:line style="position:absolute" from="5844,601" to="5844,750" stroked="true" strokeweight="2.16pt" strokecolor="#000080">
              <v:stroke dashstyle="solid"/>
            </v:line>
            <v:line style="position:absolute" from="5851,735" to="5880,899" stroked="true" strokeweight="1.44pt" strokecolor="#000080">
              <v:stroke dashstyle="solid"/>
            </v:line>
            <v:line style="position:absolute" from="5880,899" to="5894,870" stroked="true" strokeweight="1.44pt" strokecolor="#000080">
              <v:stroke dashstyle="solid"/>
            </v:line>
            <v:line style="position:absolute" from="5894,870" to="5914,899" stroked="true" strokeweight="1.44pt" strokecolor="#000080">
              <v:stroke dashstyle="solid"/>
            </v:line>
            <v:line style="position:absolute" from="5921,884" to="5921,913" stroked="true" strokeweight=".72pt" strokecolor="#000080">
              <v:stroke dashstyle="solid"/>
            </v:line>
            <v:line style="position:absolute" from="5928,899" to="5957,975" stroked="true" strokeweight="1.44pt" strokecolor="#000080">
              <v:stroke dashstyle="solid"/>
            </v:line>
            <v:line style="position:absolute" from="5957,975" to="5971,975" stroked="true" strokeweight="1.44pt" strokecolor="#000080">
              <v:stroke dashstyle="solid"/>
            </v:line>
            <w10:wrap type="none"/>
          </v:group>
        </w:pict>
      </w:r>
      <w:r>
        <w:rPr>
          <w:b/>
          <w:spacing w:val="-3"/>
          <w:sz w:val="24"/>
        </w:rPr>
        <w:t>Real</w:t>
      </w:r>
      <w:r>
        <w:rPr>
          <w:b/>
          <w:spacing w:val="-2"/>
          <w:sz w:val="24"/>
        </w:rPr>
        <w:t> </w:t>
      </w:r>
      <w:r>
        <w:rPr>
          <w:b/>
          <w:spacing w:val="-3"/>
          <w:sz w:val="24"/>
        </w:rPr>
        <w:t>Earnings</w:t>
      </w:r>
      <w:r>
        <w:rPr>
          <w:b/>
          <w:spacing w:val="-1"/>
          <w:sz w:val="24"/>
        </w:rPr>
        <w:t> </w:t>
      </w:r>
      <w:r>
        <w:rPr>
          <w:b/>
          <w:spacing w:val="-9"/>
          <w:sz w:val="24"/>
        </w:rPr>
        <w:t>Growth</w:t>
        <w:tab/>
      </w:r>
      <w:r>
        <w:rPr>
          <w:spacing w:val="3"/>
          <w:sz w:val="24"/>
          <w:vertAlign w:val="superscript"/>
        </w:rPr>
        <w:t>18</w:t>
      </w:r>
    </w:p>
    <w:p>
      <w:pPr>
        <w:spacing w:line="175" w:lineRule="exact" w:before="0"/>
        <w:ind w:left="4218" w:right="3723" w:firstLine="0"/>
        <w:jc w:val="center"/>
        <w:rPr>
          <w:sz w:val="16"/>
        </w:rPr>
      </w:pPr>
      <w:r>
        <w:rPr>
          <w:spacing w:val="3"/>
          <w:w w:val="105"/>
          <w:sz w:val="16"/>
        </w:rPr>
        <w:t>16</w:t>
      </w:r>
    </w:p>
    <w:p>
      <w:pPr>
        <w:spacing w:before="132"/>
        <w:ind w:left="4218" w:right="3723" w:firstLine="0"/>
        <w:jc w:val="center"/>
        <w:rPr>
          <w:sz w:val="16"/>
        </w:rPr>
      </w:pPr>
      <w:r>
        <w:rPr>
          <w:spacing w:val="3"/>
          <w:w w:val="105"/>
          <w:sz w:val="16"/>
        </w:rPr>
        <w:t>14</w:t>
      </w:r>
    </w:p>
    <w:p>
      <w:pPr>
        <w:spacing w:before="114"/>
        <w:ind w:left="4218" w:right="3723" w:firstLine="0"/>
        <w:jc w:val="center"/>
        <w:rPr>
          <w:sz w:val="16"/>
        </w:rPr>
      </w:pPr>
      <w:r>
        <w:rPr>
          <w:spacing w:val="3"/>
          <w:w w:val="105"/>
          <w:sz w:val="16"/>
        </w:rPr>
        <w:t>12</w:t>
      </w:r>
    </w:p>
    <w:p>
      <w:pPr>
        <w:spacing w:before="118"/>
        <w:ind w:left="4218" w:right="3723" w:firstLine="0"/>
        <w:jc w:val="center"/>
        <w:rPr>
          <w:sz w:val="16"/>
        </w:rPr>
      </w:pPr>
      <w:r>
        <w:rPr>
          <w:spacing w:val="3"/>
          <w:w w:val="105"/>
          <w:sz w:val="16"/>
        </w:rPr>
        <w:t>10</w:t>
      </w:r>
    </w:p>
    <w:p>
      <w:pPr>
        <w:spacing w:before="128"/>
        <w:ind w:left="404" w:right="0" w:firstLine="0"/>
        <w:jc w:val="center"/>
        <w:rPr>
          <w:sz w:val="16"/>
        </w:rPr>
      </w:pPr>
      <w:r>
        <w:rPr>
          <w:w w:val="103"/>
          <w:sz w:val="16"/>
        </w:rPr>
        <w:t>8</w:t>
      </w:r>
    </w:p>
    <w:p>
      <w:pPr>
        <w:spacing w:before="119"/>
        <w:ind w:left="404" w:right="0" w:firstLine="0"/>
        <w:jc w:val="center"/>
        <w:rPr>
          <w:sz w:val="16"/>
        </w:rPr>
      </w:pPr>
      <w:r>
        <w:rPr>
          <w:w w:val="103"/>
          <w:sz w:val="16"/>
        </w:rPr>
        <w:t>6</w:t>
      </w:r>
    </w:p>
    <w:p>
      <w:pPr>
        <w:spacing w:before="113"/>
        <w:ind w:left="404" w:right="0" w:firstLine="0"/>
        <w:jc w:val="center"/>
        <w:rPr>
          <w:sz w:val="16"/>
        </w:rPr>
      </w:pPr>
      <w:r>
        <w:rPr>
          <w:w w:val="103"/>
          <w:sz w:val="16"/>
        </w:rPr>
        <w:t>4</w:t>
      </w:r>
    </w:p>
    <w:p>
      <w:pPr>
        <w:spacing w:before="133"/>
        <w:ind w:left="404" w:right="0" w:firstLine="0"/>
        <w:jc w:val="center"/>
        <w:rPr>
          <w:sz w:val="16"/>
        </w:rPr>
      </w:pPr>
      <w:r>
        <w:rPr>
          <w:w w:val="103"/>
          <w:sz w:val="16"/>
        </w:rPr>
        <w:t>2</w:t>
      </w:r>
    </w:p>
    <w:p>
      <w:pPr>
        <w:spacing w:before="114"/>
        <w:ind w:left="404" w:right="0" w:firstLine="0"/>
        <w:jc w:val="center"/>
        <w:rPr>
          <w:sz w:val="16"/>
        </w:rPr>
      </w:pPr>
      <w:r>
        <w:rPr>
          <w:w w:val="103"/>
          <w:sz w:val="16"/>
        </w:rPr>
        <w:t>0</w:t>
      </w:r>
    </w:p>
    <w:p>
      <w:pPr>
        <w:spacing w:before="56"/>
        <w:ind w:left="280" w:right="0" w:firstLine="0"/>
        <w:jc w:val="left"/>
        <w:rPr>
          <w:sz w:val="16"/>
        </w:rPr>
      </w:pPr>
      <w:r>
        <w:rPr>
          <w:w w:val="105"/>
          <w:sz w:val="16"/>
        </w:rPr>
        <w:t>Mar-85 Mar-88 Mar-91 Mar-94 Mar-97 Mar-00</w:t>
      </w:r>
    </w:p>
    <w:p>
      <w:pPr>
        <w:pStyle w:val="BodyText"/>
        <w:spacing w:before="8"/>
        <w:rPr>
          <w:sz w:val="15"/>
        </w:rPr>
      </w:pPr>
    </w:p>
    <w:p>
      <w:pPr>
        <w:spacing w:line="290" w:lineRule="auto" w:before="0"/>
        <w:ind w:left="385" w:right="4361" w:firstLine="0"/>
        <w:jc w:val="left"/>
        <w:rPr>
          <w:sz w:val="16"/>
        </w:rPr>
      </w:pPr>
      <w:r>
        <w:rPr>
          <w:spacing w:val="2"/>
          <w:sz w:val="16"/>
        </w:rPr>
        <w:t>Note: </w:t>
      </w:r>
      <w:r>
        <w:rPr>
          <w:spacing w:val="3"/>
          <w:sz w:val="16"/>
        </w:rPr>
        <w:t>I/B/E/S </w:t>
      </w:r>
      <w:r>
        <w:rPr>
          <w:spacing w:val="2"/>
          <w:sz w:val="16"/>
        </w:rPr>
        <w:t>nominal earnings </w:t>
      </w:r>
      <w:r>
        <w:rPr>
          <w:spacing w:val="3"/>
          <w:sz w:val="16"/>
        </w:rPr>
        <w:t>expectations </w:t>
      </w:r>
      <w:r>
        <w:rPr>
          <w:spacing w:val="2"/>
          <w:sz w:val="16"/>
        </w:rPr>
        <w:t>deflated </w:t>
      </w:r>
      <w:r>
        <w:rPr>
          <w:spacing w:val="3"/>
          <w:sz w:val="16"/>
        </w:rPr>
        <w:t>by University of Michigan survey based  5-10  </w:t>
      </w:r>
      <w:r>
        <w:rPr>
          <w:spacing w:val="4"/>
          <w:sz w:val="16"/>
        </w:rPr>
        <w:t>year </w:t>
      </w:r>
      <w:r>
        <w:rPr>
          <w:spacing w:val="5"/>
          <w:sz w:val="16"/>
        </w:rPr>
        <w:t>inflation</w:t>
      </w:r>
      <w:r>
        <w:rPr>
          <w:spacing w:val="9"/>
          <w:sz w:val="16"/>
        </w:rPr>
        <w:t> </w:t>
      </w:r>
      <w:r>
        <w:rPr>
          <w:spacing w:val="6"/>
          <w:sz w:val="16"/>
        </w:rPr>
        <w:t>expectations.</w:t>
      </w:r>
    </w:p>
    <w:p>
      <w:pPr>
        <w:pStyle w:val="BodyText"/>
      </w:pPr>
    </w:p>
    <w:p>
      <w:pPr>
        <w:pStyle w:val="BodyText"/>
        <w:spacing w:line="360" w:lineRule="auto" w:before="90"/>
        <w:ind w:left="160" w:right="108"/>
      </w:pPr>
      <w:r>
        <w:rPr/>
        <w:t>Obviously, this makes the US stock market actually look </w:t>
      </w:r>
      <w:r>
        <w:rPr>
          <w:u w:val="single"/>
        </w:rPr>
        <w:t>undervalued</w:t>
      </w:r>
      <w:r>
        <w:rPr/>
        <w:t> – requiring an ex ante risk premium of 2.4% would imply a rise in the S&amp;P500 index from 1142 to around 1285. Indeed, the post-1985 average of the implied ERP is even lower (2.1%), so one could derive an even higher implied value for the S&amp;P500.</w:t>
      </w:r>
    </w:p>
    <w:p>
      <w:pPr>
        <w:pStyle w:val="BodyText"/>
        <w:rPr>
          <w:sz w:val="29"/>
        </w:rPr>
      </w:pPr>
    </w:p>
    <w:p>
      <w:pPr>
        <w:pStyle w:val="Heading1"/>
        <w:spacing w:before="90"/>
      </w:pPr>
      <w:r>
        <w:rPr/>
        <w:t>FIGURE 8</w:t>
      </w:r>
    </w:p>
    <w:p>
      <w:pPr>
        <w:pStyle w:val="BodyText"/>
        <w:spacing w:before="6"/>
        <w:rPr>
          <w:b/>
          <w:sz w:val="25"/>
        </w:rPr>
      </w:pPr>
    </w:p>
    <w:p>
      <w:pPr>
        <w:spacing w:before="0"/>
        <w:ind w:left="476" w:right="0" w:firstLine="0"/>
        <w:jc w:val="left"/>
        <w:rPr>
          <w:b/>
          <w:sz w:val="21"/>
        </w:rPr>
      </w:pPr>
      <w:r>
        <w:rPr>
          <w:b/>
          <w:sz w:val="21"/>
        </w:rPr>
        <w:t>Implied ERP</w:t>
      </w:r>
      <w:r>
        <w:rPr>
          <w:b/>
          <w:sz w:val="21"/>
          <w:vertAlign w:val="superscript"/>
        </w:rPr>
        <w:t>1</w:t>
      </w:r>
    </w:p>
    <w:p>
      <w:pPr>
        <w:spacing w:before="103"/>
        <w:ind w:left="251" w:right="0" w:firstLine="0"/>
        <w:jc w:val="center"/>
        <w:rPr>
          <w:sz w:val="16"/>
        </w:rPr>
      </w:pPr>
      <w:r>
        <w:rPr/>
        <w:pict>
          <v:group style="position:absolute;margin-left:103.440002pt;margin-top:10.338742pt;width:193.6pt;height:142.1pt;mso-position-horizontal-relative:page;mso-position-vertical-relative:paragraph;z-index:251704320" coordorigin="2069,207" coordsize="3872,2842">
            <v:shape style="position:absolute;left:2083;top:209;width:3855;height:2837" coordorigin="2083,209" coordsize="3855,2837" path="m5894,209l5894,3046,5938,3046m5894,2580l5938,2580m5894,2100l5938,2100m5894,1635l5938,1635m5894,1155l5938,1155m5894,689l5938,689m5894,209l5938,209m2083,2580l5894,2580m2309,2580l2309,2552m2774,2580l2774,2552m3226,2580l3226,2552m3691,2580l3691,2552m4138,2580l4138,2552m4603,2580l4603,2552m5054,2580l5054,2552m5520,2580l5520,2552m2083,2624l2083,2580m2534,2624l2534,2580m3000,2624l3000,2580m3451,2624l3451,2580m3912,2624l3912,2580m4363,2624l4363,2580m4829,2624l4829,2580m5280,2624l5280,2580m5746,2624l5746,2580e" filled="false" stroked="true" strokeweight=".24pt" strokecolor="#000000">
              <v:path arrowok="t"/>
              <v:stroke dashstyle="solid"/>
            </v:shape>
            <v:line style="position:absolute" from="2083,2052" to="2102,2072" stroked="true" strokeweight="1.44pt" strokecolor="#000080">
              <v:stroke dashstyle="solid"/>
            </v:line>
            <v:line style="position:absolute" from="2117,1726" to="2117,2086" stroked="true" strokeweight="2.88pt" strokecolor="#000080">
              <v:stroke dashstyle="solid"/>
            </v:line>
            <v:line style="position:absolute" from="2131,1740" to="2146,1755" stroked="true" strokeweight="1.44pt" strokecolor="#000080">
              <v:stroke dashstyle="solid"/>
            </v:line>
            <v:line style="position:absolute" from="2146,1755" to="2160,1812" stroked="true" strokeweight="1.44pt" strokecolor="#000080">
              <v:stroke dashstyle="solid"/>
            </v:line>
            <v:line style="position:absolute" from="2160,1812" to="2174,1812" stroked="true" strokeweight="1.44pt" strokecolor="#000080">
              <v:stroke dashstyle="solid"/>
            </v:line>
            <v:line style="position:absolute" from="2174,1812" to="2203,1798" stroked="true" strokeweight="1.44pt" strokecolor="#000080">
              <v:stroke dashstyle="solid"/>
            </v:line>
            <v:line style="position:absolute" from="2210,1592" to="2210,1812" stroked="true" strokeweight="2.16pt" strokecolor="#000080">
              <v:stroke dashstyle="solid"/>
            </v:line>
            <v:line style="position:absolute" from="2218,1606" to="2237,1572" stroked="true" strokeweight="1.44pt" strokecolor="#000080">
              <v:stroke dashstyle="solid"/>
            </v:line>
            <v:line style="position:absolute" from="2244,1558" to="2244,1707" stroked="true" strokeweight="2.16pt" strokecolor="#000080">
              <v:stroke dashstyle="solid"/>
            </v:line>
            <v:line style="position:absolute" from="2251,1692" to="2280,1544" stroked="true" strokeweight="1.44pt" strokecolor="#000080">
              <v:stroke dashstyle="solid"/>
            </v:line>
            <v:line style="position:absolute" from="2287,1184" to="2287,1558" stroked="true" strokeweight="2.16pt" strokecolor="#000080">
              <v:stroke dashstyle="solid"/>
            </v:line>
            <v:line style="position:absolute" from="2302,977" to="2302,1212" stroked="true" strokeweight="2.16pt" strokecolor="#000080">
              <v:stroke dashstyle="solid"/>
            </v:line>
            <v:line style="position:absolute" from="2309,992" to="2338,1198" stroked="true" strokeweight="1.44pt" strokecolor="#000080">
              <v:stroke dashstyle="solid"/>
            </v:line>
            <v:line style="position:absolute" from="2347,1184" to="2347,1409" stroked="true" strokeweight="2.4pt" strokecolor="#000080">
              <v:stroke dashstyle="solid"/>
            </v:line>
            <v:line style="position:absolute" from="2357,1395" to="2371,992" stroked="true" strokeweight="1.44pt" strokecolor="#000080">
              <v:stroke dashstyle="solid"/>
            </v:line>
            <v:line style="position:absolute" from="2378,977" to="2378,1006" stroked="true" strokeweight=".72pt" strokecolor="#000080">
              <v:stroke dashstyle="solid"/>
            </v:line>
            <v:shape style="position:absolute;left:2385;top:991;width:44;height:192" coordorigin="2386,992" coordsize="44,192" path="m2386,992l2414,1169m2414,1169l2429,1184e" filled="false" stroked="true" strokeweight="1.44pt" strokecolor="#000080">
              <v:path arrowok="t"/>
              <v:stroke dashstyle="solid"/>
            </v:shape>
            <v:shape style="position:absolute;left:2436;top:977;width:15;height:221" coordorigin="2436,977" coordsize="15,221" path="m2436,977l2436,1198m2450,977l2450,1126e" filled="false" stroked="true" strokeweight="2.16pt" strokecolor="#000080">
              <v:path arrowok="t"/>
              <v:stroke dashstyle="solid"/>
            </v:shape>
            <v:line style="position:absolute" from="2458,1112" to="2491,1112" stroked="true" strokeweight="1.44pt" strokecolor="#000080">
              <v:stroke dashstyle="solid"/>
            </v:line>
            <v:line style="position:absolute" from="2498,1097" to="2498,1452" stroked="true" strokeweight="2.16pt" strokecolor="#000080">
              <v:stroke dashstyle="solid"/>
            </v:line>
            <v:line style="position:absolute" from="2506,1438" to="2520,1515" stroked="true" strokeweight="1.44pt" strokecolor="#000080">
              <v:stroke dashstyle="solid"/>
            </v:line>
            <v:line style="position:absolute" from="2527,1500" to="2527,1812" stroked="true" strokeweight="2.16pt" strokecolor="#000080">
              <v:stroke dashstyle="solid"/>
            </v:line>
            <v:line style="position:absolute" from="2549,1784" to="2549,2115" stroked="true" strokeweight="2.88pt" strokecolor="#000080">
              <v:stroke dashstyle="solid"/>
            </v:line>
            <v:shape style="position:absolute;left:2563;top:1994;width:63;height:332" coordorigin="2563,1995" coordsize="63,332" path="m2563,2100l2578,1995m2578,1995l2597,2100m2597,2100l2626,2326e" filled="false" stroked="true" strokeweight="1.44pt" strokecolor="#000080">
              <v:path arrowok="t"/>
              <v:stroke dashstyle="solid"/>
            </v:shape>
            <v:line style="position:absolute" from="2633,2312" to="2633,2532" stroked="true" strokeweight="2.16pt" strokecolor="#000080">
              <v:stroke dashstyle="solid"/>
            </v:line>
            <v:line style="position:absolute" from="2647,2504" to="2647,2892" stroked="true" strokeweight="2.16pt" strokecolor="#000080">
              <v:stroke dashstyle="solid"/>
            </v:line>
            <v:line style="position:absolute" from="2654,2878" to="2669,1740" stroked="true" strokeweight="1.44pt" strokecolor="#000080">
              <v:stroke dashstyle="solid"/>
            </v:line>
            <v:line style="position:absolute" from="2669,1740" to="2698,1798" stroked="true" strokeweight="1.44pt" strokecolor="#000080">
              <v:stroke dashstyle="solid"/>
            </v:line>
            <v:line style="position:absolute" from="2707,1500" to="2707,1812" stroked="true" strokeweight="2.4pt" strokecolor="#000080">
              <v:stroke dashstyle="solid"/>
            </v:line>
            <v:shape style="position:absolute;left:2716;top:1514;width:149;height:360" coordorigin="2717,1515" coordsize="149,360" path="m2717,1515l2731,1544m2731,1544l2746,1620m2746,1620l2774,1712m2774,1712l2789,1784m2789,1784l2803,1846m2803,1846l2837,1860m2837,1860l2851,1875m2851,1875l2866,1832e" filled="false" stroked="true" strokeweight="1.44pt" strokecolor="#000080">
              <v:path arrowok="t"/>
              <v:stroke dashstyle="solid"/>
            </v:shape>
            <v:line style="position:absolute" from="2873,1697" to="2873,1846" stroked="true" strokeweight="2.16pt" strokecolor="#000080">
              <v:stroke dashstyle="solid"/>
            </v:line>
            <v:line style="position:absolute" from="2880,1712" to="2909,1832" stroked="true" strokeweight="1.44pt" strokecolor="#000080">
              <v:stroke dashstyle="solid"/>
            </v:line>
            <v:line style="position:absolute" from="2916,1697" to="2916,1846" stroked="true" strokeweight="2.16pt" strokecolor="#000080">
              <v:stroke dashstyle="solid"/>
            </v:line>
            <v:shape style="position:absolute;left:2923;top:1711;width:120;height:327" coordorigin="2923,1712" coordsize="120,327" path="m2923,1712l2938,1798m2938,1798l2957,1832m2957,1832l2986,2009m2986,2009l3000,2024m3000,2024l3014,2038m3014,2038l3043,1812e" filled="false" stroked="true" strokeweight="1.44pt" strokecolor="#000080">
              <v:path arrowok="t"/>
              <v:stroke dashstyle="solid"/>
            </v:shape>
            <v:line style="position:absolute" from="3050,1635" to="3050,1827" stroked="true" strokeweight="2.16pt" strokecolor="#000080">
              <v:stroke dashstyle="solid"/>
            </v:line>
            <v:line style="position:absolute" from="3058,1649" to="3077,1620" stroked="true" strokeweight="1.44pt" strokecolor="#000080">
              <v:stroke dashstyle="solid"/>
            </v:line>
            <v:line style="position:absolute" from="3084,1606" to="3084,1769" stroked="true" strokeweight="2.16pt" strokecolor="#000080">
              <v:stroke dashstyle="solid"/>
            </v:line>
            <v:line style="position:absolute" from="3091,1755" to="3120,1678" stroked="true" strokeweight="1.44pt" strokecolor="#000080">
              <v:stroke dashstyle="solid"/>
            </v:line>
            <v:line style="position:absolute" from="3127,1486" to="3127,1692" stroked="true" strokeweight="2.16pt" strokecolor="#000080">
              <v:stroke dashstyle="solid"/>
            </v:line>
            <v:shape style="position:absolute;left:3134;top:1485;width:135;height:375" coordorigin="3134,1486" coordsize="135,375" path="m3134,1500l3149,1486m3149,1486l3163,1500m3163,1500l3197,1606m3197,1606l3211,1635m3211,1635l3226,1712m3226,1712l3240,1798m3240,1798l3269,1860e" filled="false" stroked="true" strokeweight="1.44pt" strokecolor="#000080">
              <v:path arrowok="t"/>
              <v:stroke dashstyle="solid"/>
            </v:shape>
            <v:line style="position:absolute" from="3276,1726" to="3276,1875" stroked="true" strokeweight="2.16pt" strokecolor="#000080">
              <v:stroke dashstyle="solid"/>
            </v:line>
            <v:shape style="position:absolute;left:3283;top:1740;width:48;height:58" coordorigin="3283,1740" coordsize="48,58" path="m3283,1740l3298,1798m3298,1798l3331,1798e" filled="false" stroked="true" strokeweight="1.44pt" strokecolor="#000080">
              <v:path arrowok="t"/>
              <v:stroke dashstyle="solid"/>
            </v:shape>
            <v:shape style="position:absolute;left:3338;top:1317;width:15;height:495" coordorigin="3338,1318" coordsize="15,495" path="m3338,1649l3338,1812m3353,1318l3353,1678e" filled="false" stroked="true" strokeweight="2.16pt" strokecolor="#000080">
              <v:path arrowok="t"/>
              <v:stroke dashstyle="solid"/>
            </v:shape>
            <v:shape style="position:absolute;left:3360;top:1332;width:44;height:106" coordorigin="3360,1332" coordsize="44,106" path="m3360,1332l3374,1438m3374,1438l3403,1352e" filled="false" stroked="true" strokeweight="1.44pt" strokecolor="#000080">
              <v:path arrowok="t"/>
              <v:stroke dashstyle="solid"/>
            </v:shape>
            <v:line style="position:absolute" from="3410,1140" to="3410,1366" stroked="true" strokeweight="2.16pt" strokecolor="#000080">
              <v:stroke dashstyle="solid"/>
            </v:line>
            <v:line style="position:absolute" from="3427,1140" to="3427,1529" stroked="true" strokeweight="2.4pt" strokecolor="#000080">
              <v:stroke dashstyle="solid"/>
            </v:line>
            <v:line style="position:absolute" from="3444,1500" to="3444,1678" stroked="true" strokeweight="2.16pt" strokecolor="#000080">
              <v:stroke dashstyle="solid"/>
            </v:line>
            <v:line style="position:absolute" from="3451,1664" to="3480,1726" stroked="true" strokeweight="1.44pt" strokecolor="#000080">
              <v:stroke dashstyle="solid"/>
            </v:line>
            <v:shape style="position:absolute;left:3487;top:1591;width:15;height:207" coordorigin="3487,1592" coordsize="15,207" path="m3487,1592l3487,1740m3502,1592l3502,1798e" filled="false" stroked="true" strokeweight="2.16pt" strokecolor="#000080">
              <v:path arrowok="t"/>
              <v:stroke dashstyle="solid"/>
            </v:shape>
            <v:line style="position:absolute" from="3509,1784" to="3538,1875" stroked="true" strokeweight="1.44pt" strokecolor="#000080">
              <v:stroke dashstyle="solid"/>
            </v:line>
            <v:line style="position:absolute" from="3547,1664" to="3547,1889" stroked="true" strokeweight="2.4pt" strokecolor="#000080">
              <v:stroke dashstyle="solid"/>
            </v:line>
            <v:line style="position:absolute" from="3564,1486" to="3564,1692" stroked="true" strokeweight="2.16pt" strokecolor="#000080">
              <v:stroke dashstyle="solid"/>
            </v:line>
            <v:shape style="position:absolute;left:3571;top:1471;width:44;height:58" coordorigin="3571,1472" coordsize="44,58" path="m3571,1500l3586,1529m3586,1529l3614,1472e" filled="false" stroked="true" strokeweight="1.44pt" strokecolor="#000080">
              <v:path arrowok="t"/>
              <v:stroke dashstyle="solid"/>
            </v:shape>
            <v:shape style="position:absolute;left:3621;top:1245;width:15;height:240" coordorigin="3622,1246" coordsize="15,240" path="m3622,1246l3622,1486m3636,1246l3636,1467e" filled="false" stroked="true" strokeweight="2.16pt" strokecolor="#000080">
              <v:path arrowok="t"/>
              <v:stroke dashstyle="solid"/>
            </v:shape>
            <v:shape style="position:absolute;left:3643;top:1452;width:77;height:120" coordorigin="3643,1452" coordsize="77,120" path="m3643,1452l3658,1544m3658,1544l3691,1572m3691,1572l3706,1544m3706,1544l3720,1472e" filled="false" stroked="true" strokeweight="1.44pt" strokecolor="#000080">
              <v:path arrowok="t"/>
              <v:stroke dashstyle="solid"/>
            </v:shape>
            <v:line style="position:absolute" from="3727,1318" to="3727,1486" stroked="true" strokeweight="2.16pt" strokecolor="#000080">
              <v:stroke dashstyle="solid"/>
            </v:line>
            <v:shape style="position:absolute;left:3734;top:1034;width:92;height:298" coordorigin="3734,1035" coordsize="92,298" path="m3734,1332l3763,1184m3763,1184l3778,1140m3778,1140l3792,1035m3792,1035l3826,1049e" filled="false" stroked="true" strokeweight="1.44pt" strokecolor="#000080">
              <v:path arrowok="t"/>
              <v:stroke dashstyle="solid"/>
            </v:shape>
            <v:line style="position:absolute" from="3833,1035" to="3833,1275" stroked="true" strokeweight="2.16pt" strokecolor="#000080">
              <v:stroke dashstyle="solid"/>
            </v:line>
            <v:shape style="position:absolute;left:3840;top:617;width:192;height:658" coordorigin="3840,617" coordsize="192,658" path="m3840,1260l3854,1275m3854,1275l3869,1184m3869,1184l3898,1049m3898,1049l3912,1006m3912,1006l3931,958m3931,958l3946,1064m3946,1064l3974,958m3974,958l3989,886m3989,886l4003,838m4003,838l4032,617e" filled="false" stroked="true" strokeweight="1.44pt" strokecolor="#000080">
              <v:path arrowok="t"/>
              <v:stroke dashstyle="solid"/>
            </v:shape>
            <v:line style="position:absolute" from="4042,435" to="4042,632" stroked="true" strokeweight="2.4pt" strokecolor="#000080">
              <v:stroke dashstyle="solid"/>
            </v:line>
            <v:line style="position:absolute" from="4058,435" to="4058,732" stroked="true" strokeweight="2.16pt" strokecolor="#000080">
              <v:stroke dashstyle="solid"/>
            </v:line>
            <v:shape style="position:absolute;left:4065;top:689;width:44;height:197" coordorigin="4066,689" coordsize="44,197" path="m4066,718l4080,689m4080,689l4109,886e" filled="false" stroked="true" strokeweight="1.44pt" strokecolor="#000080">
              <v:path arrowok="t"/>
              <v:stroke dashstyle="solid"/>
            </v:shape>
            <v:line style="position:absolute" from="4116,872" to="4116,1049" stroked="true" strokeweight="2.16pt" strokecolor="#000080">
              <v:stroke dashstyle="solid"/>
            </v:line>
            <v:line style="position:absolute" from="4123,1035" to="4138,1020" stroked="true" strokeweight="1.44pt" strokecolor="#000080">
              <v:stroke dashstyle="solid"/>
            </v:line>
            <v:line style="position:absolute" from="4145,1006" to="4145,1347" stroked="true" strokeweight="2.16pt" strokecolor="#000080">
              <v:stroke dashstyle="solid"/>
            </v:line>
            <v:shape style="position:absolute;left:4152;top:1231;width:48;height:101" coordorigin="4152,1232" coordsize="48,101" path="m4152,1332l4186,1232m4186,1232l4200,1275e" filled="false" stroked="true" strokeweight="1.44pt" strokecolor="#000080">
              <v:path arrowok="t"/>
              <v:stroke dashstyle="solid"/>
            </v:shape>
            <v:line style="position:absolute" from="4207,1260" to="4207,1467" stroked="true" strokeweight="2.16pt" strokecolor="#000080">
              <v:stroke dashstyle="solid"/>
            </v:line>
            <v:line style="position:absolute" from="4214,1452" to="4243,1366" stroked="true" strokeweight="1.44pt" strokecolor="#000080">
              <v:stroke dashstyle="solid"/>
            </v:line>
            <v:shape style="position:absolute;left:4250;top:1351;width:15;height:461" coordorigin="4250,1352" coordsize="15,461" path="m4250,1352l4250,1587m4265,1558l4265,1812e" filled="false" stroked="true" strokeweight="2.16pt" strokecolor="#000080">
              <v:path arrowok="t"/>
              <v:stroke dashstyle="solid"/>
            </v:shape>
            <v:shape style="position:absolute;left:4272;top:1725;width:63;height:135" coordorigin="4272,1726" coordsize="63,135" path="m4272,1798l4291,1860m4291,1860l4320,1726m4320,1726l4334,1755e" filled="false" stroked="true" strokeweight="1.44pt" strokecolor="#000080">
              <v:path arrowok="t"/>
              <v:stroke dashstyle="solid"/>
            </v:shape>
            <v:shape style="position:absolute;left:4341;top:1437;width:15;height:332" coordorigin="4342,1438" coordsize="15,332" path="m4342,1620l4342,1769m4356,1438l4356,1649e" filled="false" stroked="true" strokeweight="2.16pt" strokecolor="#000080">
              <v:path arrowok="t"/>
              <v:stroke dashstyle="solid"/>
            </v:shape>
            <v:shape style="position:absolute;left:4363;top:1303;width:48;height:149" coordorigin="4363,1304" coordsize="48,149" path="m4363,1452l4392,1304m4392,1304l4411,1366e" filled="false" stroked="true" strokeweight="1.44pt" strokecolor="#000080">
              <v:path arrowok="t"/>
              <v:stroke dashstyle="solid"/>
            </v:shape>
            <v:shape style="position:absolute;left:4418;top:1197;width:15;height:183" coordorigin="4418,1198" coordsize="15,183" path="m4418,1198l4418,1380m4433,1198l4433,1347e" filled="false" stroked="true" strokeweight="2.16pt" strokecolor="#000080">
              <v:path arrowok="t"/>
              <v:stroke dashstyle="solid"/>
            </v:shape>
            <v:line style="position:absolute" from="4440,1332" to="4469,1438" stroked="true" strokeweight="1.44pt" strokecolor="#000080">
              <v:stroke dashstyle="solid"/>
            </v:line>
            <v:line style="position:absolute" from="4476,1232" to="4476,1452" stroked="true" strokeweight="2.16pt" strokecolor="#000080">
              <v:stroke dashstyle="solid"/>
            </v:line>
            <v:shape style="position:absolute;left:4483;top:1169;width:63;height:77" coordorigin="4483,1169" coordsize="63,77" path="m4483,1246l4498,1212m4498,1212l4531,1198m4531,1198l4546,1169e" filled="false" stroked="true" strokeweight="1.44pt" strokecolor="#000080">
              <v:path arrowok="t"/>
              <v:stroke dashstyle="solid"/>
            </v:shape>
            <v:shape style="position:absolute;left:4531;top:1020;width:58;height:178" coordorigin="4531,1020" coordsize="58,178" path="m4589,1020l4574,1020,4546,1020,4531,1020,4531,1184,4546,1184,4546,1198,4589,1198,4589,1020e" filled="true" fillcolor="#000080" stroked="false">
              <v:path arrowok="t"/>
              <v:fill type="solid"/>
            </v:shape>
            <v:line style="position:absolute" from="4589,1169" to="4589,1467" stroked="true" strokeweight="2.88pt" strokecolor="#000080">
              <v:stroke dashstyle="solid"/>
            </v:line>
            <v:line style="position:absolute" from="4610,1438" to="4610,1635" stroked="true" strokeweight="2.16pt" strokecolor="#000080">
              <v:stroke dashstyle="solid"/>
            </v:line>
            <v:line style="position:absolute" from="4625,1606" to="4625,1635" stroked="true" strokeweight=".72pt" strokecolor="#000080">
              <v:stroke dashstyle="solid"/>
            </v:line>
            <v:shape style="position:absolute;left:4632;top:1543;width:63;height:226" coordorigin="4632,1544" coordsize="63,226" path="m4632,1620l4651,1769m4651,1769l4680,1572m4680,1572l4694,1544e" filled="false" stroked="true" strokeweight="1.44pt" strokecolor="#000080">
              <v:path arrowok="t"/>
              <v:stroke dashstyle="solid"/>
            </v:shape>
            <v:line style="position:absolute" from="4702,1529" to="4702,1707" stroked="true" strokeweight="2.16pt" strokecolor="#000080">
              <v:stroke dashstyle="solid"/>
            </v:line>
            <v:line style="position:absolute" from="4709,1692" to="4738,1664" stroked="true" strokeweight="1.44pt" strokecolor="#000080">
              <v:stroke dashstyle="solid"/>
            </v:line>
            <v:line style="position:absolute" from="4745,1529" to="4745,1678" stroked="true" strokeweight="2.16pt" strokecolor="#000080">
              <v:stroke dashstyle="solid"/>
            </v:line>
            <v:line style="position:absolute" from="4752,1544" to="4771,1620" stroked="true" strokeweight="1.44pt" strokecolor="#000080">
              <v:stroke dashstyle="solid"/>
            </v:line>
            <v:line style="position:absolute" from="4778,1606" to="4778,1769" stroked="true" strokeweight="2.16pt" strokecolor="#000080">
              <v:stroke dashstyle="solid"/>
            </v:line>
            <v:line style="position:absolute" from="4786,1755" to="4814,1726" stroked="true" strokeweight="1.44pt" strokecolor="#000080">
              <v:stroke dashstyle="solid"/>
            </v:line>
            <v:line style="position:absolute" from="4822,1712" to="4822,1889" stroked="true" strokeweight="2.16pt" strokecolor="#000080">
              <v:stroke dashstyle="solid"/>
            </v:line>
            <v:shape style="position:absolute;left:4828;top:1725;width:135;height:178" coordorigin="4829,1726" coordsize="135,178" path="m4829,1875l4843,1904m4843,1904l4858,1889m4858,1889l4891,1798m4891,1798l4906,1846m4906,1846l4920,1832m4920,1832l4949,1726m4949,1726l4963,1784e" filled="false" stroked="true" strokeweight="1.44pt" strokecolor="#000080">
              <v:path arrowok="t"/>
              <v:stroke dashstyle="solid"/>
            </v:shape>
            <v:line style="position:absolute" from="4970,1592" to="4970,1798" stroked="true" strokeweight="2.16pt" strokecolor="#000080">
              <v:stroke dashstyle="solid"/>
            </v:line>
            <v:shape style="position:absolute;left:4977;top:1514;width:63;height:106" coordorigin="4978,1515" coordsize="63,106" path="m4978,1606l4992,1592m4992,1592l5026,1515m5026,1515l5040,1620e" filled="false" stroked="true" strokeweight="1.44pt" strokecolor="#000080">
              <v:path arrowok="t"/>
              <v:stroke dashstyle="solid"/>
            </v:shape>
            <v:line style="position:absolute" from="5047,1606" to="5047,1755" stroked="true" strokeweight="2.16pt" strokecolor="#000080">
              <v:stroke dashstyle="solid"/>
            </v:line>
            <v:shape style="position:absolute;left:5054;top:1740;width:44;height:72" coordorigin="5054,1740" coordsize="44,72" path="m5054,1740l5069,1812m5069,1812l5098,1812e" filled="false" stroked="true" strokeweight="1.44pt" strokecolor="#000080">
              <v:path arrowok="t"/>
              <v:stroke dashstyle="solid"/>
            </v:shape>
            <v:line style="position:absolute" from="5105,1635" to="5105,1827" stroked="true" strokeweight="2.16pt" strokecolor="#000080">
              <v:stroke dashstyle="solid"/>
            </v:line>
            <v:line style="position:absolute" from="5112,1649" to="5131,1784" stroked="true" strokeweight="1.44pt" strokecolor="#000080">
              <v:stroke dashstyle="solid"/>
            </v:line>
            <v:line style="position:absolute" from="5138,1620" to="5138,1798" stroked="true" strokeweight="2.16pt" strokecolor="#000080">
              <v:stroke dashstyle="solid"/>
            </v:line>
            <v:line style="position:absolute" from="5160,1184" to="5160,1649" stroked="true" strokeweight="2.88pt" strokecolor="#000080">
              <v:stroke dashstyle="solid"/>
            </v:line>
            <v:line style="position:absolute" from="5182,1064" to="5182,1212" stroked="true" strokeweight="2.16pt" strokecolor="#000080">
              <v:stroke dashstyle="solid"/>
            </v:line>
            <v:line style="position:absolute" from="5196,1064" to="5196,1395" stroked="true" strokeweight="2.16pt" strokecolor="#000080">
              <v:stroke dashstyle="solid"/>
            </v:line>
            <v:shape style="position:absolute;left:5203;top:1197;width:44;height:183" coordorigin="5203,1198" coordsize="44,183" path="m5203,1380l5232,1198m5232,1198l5246,1246e" filled="false" stroked="true" strokeweight="1.44pt" strokecolor="#000080">
              <v:path arrowok="t"/>
              <v:stroke dashstyle="solid"/>
            </v:shape>
            <v:line style="position:absolute" from="5256,1232" to="5256,1486" stroked="true" strokeweight="2.4pt" strokecolor="#000080">
              <v:stroke dashstyle="solid"/>
            </v:line>
            <v:line style="position:absolute" from="5273,1457" to="5273,1620" stroked="true" strokeweight="2.16pt" strokecolor="#000080">
              <v:stroke dashstyle="solid"/>
            </v:line>
            <v:line style="position:absolute" from="5280,1606" to="5309,1635" stroked="true" strokeweight="1.44pt" strokecolor="#000080">
              <v:stroke dashstyle="solid"/>
            </v:line>
            <v:line style="position:absolute" from="5316,1620" to="5316,1827" stroked="true" strokeweight="2.16pt" strokecolor="#000080">
              <v:stroke dashstyle="solid"/>
            </v:line>
            <v:shape style="position:absolute;left:5323;top:1812;width:77;height:140" coordorigin="5323,1812" coordsize="77,140" path="m5323,1812l5338,1918m5338,1918l5352,1889m5352,1889l5386,1952m5386,1952l5400,1889e" filled="false" stroked="true" strokeweight="1.44pt" strokecolor="#000080">
              <v:path arrowok="t"/>
              <v:stroke dashstyle="solid"/>
            </v:shape>
            <v:line style="position:absolute" from="5407,1875" to="5407,2038" stroked="true" strokeweight="2.16pt" strokecolor="#000080">
              <v:stroke dashstyle="solid"/>
            </v:line>
            <v:shape style="position:absolute;left:5414;top:2009;width:44;height:92" coordorigin="5414,2009" coordsize="44,92" path="m5414,2024l5443,2009m5443,2009l5458,2100e" filled="false" stroked="true" strokeweight="1.44pt" strokecolor="#000080">
              <v:path arrowok="t"/>
              <v:stroke dashstyle="solid"/>
            </v:shape>
            <v:line style="position:absolute" from="5465,2086" to="5465,2326" stroked="true" strokeweight="2.16pt" strokecolor="#000080">
              <v:stroke dashstyle="solid"/>
            </v:line>
            <v:line style="position:absolute" from="5472,2312" to="5486,2249" stroked="true" strokeweight="1.44pt" strokecolor="#000080">
              <v:stroke dashstyle="solid"/>
            </v:line>
            <v:line style="position:absolute" from="5503,1918" to="5503,2264" stroked="true" strokeweight="3.12pt" strokecolor="#000080">
              <v:stroke dashstyle="solid"/>
            </v:line>
            <v:line style="position:absolute" from="5520,1932" to="5534,1995" stroked="true" strokeweight="1.44pt" strokecolor="#000080">
              <v:stroke dashstyle="solid"/>
            </v:line>
            <v:line style="position:absolute" from="5542,1980" to="5542,2264" stroked="true" strokeweight="2.16pt" strokecolor="#000080">
              <v:stroke dashstyle="solid"/>
            </v:line>
            <v:line style="position:absolute" from="5556,2057" to="5556,2264" stroked="true" strokeweight="2.16pt" strokecolor="#000080">
              <v:stroke dashstyle="solid"/>
            </v:line>
            <v:line style="position:absolute" from="5563,2072" to="5592,2038" stroked="true" strokeweight="1.44pt" strokecolor="#000080">
              <v:stroke dashstyle="solid"/>
            </v:line>
            <v:line style="position:absolute" from="5599,1889" to="5599,2052" stroked="true" strokeweight="2.16pt" strokecolor="#000080">
              <v:stroke dashstyle="solid"/>
            </v:line>
            <v:line style="position:absolute" from="5606,1904" to="5626,1860" stroked="true" strokeweight="1.44pt" strokecolor="#000080">
              <v:stroke dashstyle="solid"/>
            </v:line>
            <v:line style="position:absolute" from="5633,1712" to="5633,1875" stroked="true" strokeweight="2.16pt" strokecolor="#000080">
              <v:stroke dashstyle="solid"/>
            </v:line>
            <v:line style="position:absolute" from="5640,1726" to="5669,1812" stroked="true" strokeweight="1.44pt" strokecolor="#000080">
              <v:stroke dashstyle="solid"/>
            </v:line>
            <v:line style="position:absolute" from="5676,1544" to="5676,1827" stroked="true" strokeweight="2.16pt" strokecolor="#000080">
              <v:stroke dashstyle="solid"/>
            </v:line>
            <v:line style="position:absolute" from="5683,1558" to="5698,1544" stroked="true" strokeweight="1.44pt" strokecolor="#000080">
              <v:stroke dashstyle="solid"/>
            </v:line>
            <v:line style="position:absolute" from="5698,1544" to="5726,1558" stroked="true" strokeweight="1.44pt" strokecolor="#000080">
              <v:stroke dashstyle="solid"/>
            </v:line>
            <v:line style="position:absolute" from="5736,1275" to="5736,1572" stroked="true" strokeweight="2.4pt" strokecolor="#000080">
              <v:stroke dashstyle="solid"/>
            </v:line>
            <v:line style="position:absolute" from="5753,1275" to="5753,1544" stroked="true" strokeweight="2.16pt" strokecolor="#000080">
              <v:stroke dashstyle="solid"/>
            </v:line>
            <v:line style="position:absolute" from="5767,1515" to="5767,1707" stroked="true" strokeweight="2.16pt" strokecolor="#000080">
              <v:stroke dashstyle="solid"/>
            </v:line>
            <v:line style="position:absolute" from="5774,1692" to="5803,1544" stroked="true" strokeweight="1.44pt" strokecolor="#000080">
              <v:stroke dashstyle="solid"/>
            </v:line>
            <v:line style="position:absolute" from="5803,1544" to="5818,1529" stroked="true" strokeweight="1.44pt" strokecolor="#000080">
              <v:stroke dashstyle="solid"/>
            </v:line>
            <v:line style="position:absolute" from="5825,1366" to="5825,1544" stroked="true" strokeweight="2.16pt" strokecolor="#000080">
              <v:stroke dashstyle="solid"/>
            </v:line>
            <v:line style="position:absolute" from="5839,1169" to="5839,1395" stroked="true" strokeweight="2.16pt" strokecolor="#000080">
              <v:stroke dashstyle="solid"/>
            </v:line>
            <v:line style="position:absolute" from="5846,1184" to="5880,1260" stroked="true" strokeweight="1.44pt" strokecolor="#000080">
              <v:stroke dashstyle="solid"/>
            </v:line>
            <v:line style="position:absolute" from="5880,1260" to="5894,1304" stroked="true" strokeweight="1.44pt" strokecolor="#000080">
              <v:stroke dashstyle="solid"/>
            </v:line>
            <v:line style="position:absolute" from="2083,1558" to="2102,1558" stroked="true" strokeweight=".72pt" strokecolor="#000080">
              <v:stroke dashstyle="solid"/>
            </v:line>
            <v:line style="position:absolute" from="2102,1558" to="2131,1558" stroked="true" strokeweight=".72pt" strokecolor="#000080">
              <v:stroke dashstyle="solid"/>
            </v:line>
            <v:line style="position:absolute" from="2131,1558" to="2146,1558" stroked="true" strokeweight=".72pt" strokecolor="#000080">
              <v:stroke dashstyle="solid"/>
            </v:line>
            <v:line style="position:absolute" from="2146,1558" to="2160,1558" stroked="true" strokeweight=".72pt" strokecolor="#000080">
              <v:stroke dashstyle="solid"/>
            </v:line>
            <v:line style="position:absolute" from="2160,1558" to="2174,1558" stroked="true" strokeweight=".72pt" strokecolor="#000080">
              <v:stroke dashstyle="solid"/>
            </v:line>
            <v:line style="position:absolute" from="2174,1558" to="2203,1558" stroked="true" strokeweight=".72pt" strokecolor="#000080">
              <v:stroke dashstyle="solid"/>
            </v:line>
            <v:line style="position:absolute" from="2203,1558" to="2218,1558" stroked="true" strokeweight=".72pt" strokecolor="#000080">
              <v:stroke dashstyle="solid"/>
            </v:line>
            <v:line style="position:absolute" from="2218,1558" to="2237,1558" stroked="true" strokeweight=".72pt" strokecolor="#000080">
              <v:stroke dashstyle="solid"/>
            </v:line>
            <v:line style="position:absolute" from="2237,1558" to="2251,1558" stroked="true" strokeweight=".72pt" strokecolor="#000080">
              <v:stroke dashstyle="solid"/>
            </v:line>
            <v:line style="position:absolute" from="2251,1558" to="2280,1558" stroked="true" strokeweight=".72pt" strokecolor="#000080">
              <v:stroke dashstyle="solid"/>
            </v:line>
            <v:shape style="position:absolute;left:2280;top:1557;width:3418;height:2" coordorigin="2280,1558" coordsize="3418,0" path="m2280,1558l2294,1558m2294,1558l2309,1558m2309,1558l2338,1558m2338,1558l2357,1558m2357,1558l2371,1558m2371,1558l2386,1558m2386,1558l2414,1558m2414,1558l2429,1558m2429,1558l2443,1558m2443,1558l2458,1558m2458,1558l2491,1558m2491,1558l2506,1558m2506,1558l2520,1558m2520,1558l2534,1558m2534,1558l2563,1558m2563,1558l2578,1558m2578,1558l2597,1558m2597,1558l2626,1558m2626,1558l2640,1558m2640,1558l2654,1558m2654,1558l2669,1558m2669,1558l2698,1558m2698,1558l2717,1558m2717,1558l2731,1558m2731,1558l2746,1558m2746,1558l2774,1558m2774,1558l2789,1558m2789,1558l2803,1558m2803,1558l2837,1558m2837,1558l2851,1558m2851,1558l2866,1558m2866,1558l2880,1558m2880,1558l2909,1558m2909,1558l2923,1558m2923,1558l2938,1558m2938,1558l2957,1558m2957,1558l2986,1558m2986,1558l3000,1558m3000,1558l3014,1558m3014,1558l3043,1558m3043,1558l3058,1558m3058,1558l3077,1558m3077,1558l3091,1558m3091,1558l3120,1558m3120,1558l3134,1558m3134,1558l3149,1558m3149,1558l3163,1558m3163,1558l3197,1558m3197,1558l3211,1558m3211,1558l3226,1558m3226,1558l3240,1558m3240,1558l3269,1558m3269,1558l3283,1558m3283,1558l3298,1558m3298,1558l3331,1558m3331,1558l3346,1558m3346,1558l3360,1558m3360,1558l3374,1558m3374,1558l3403,1558m3403,1558l3418,1558m3418,1558l3437,1558m3437,1558l3451,1558m3451,1558l3480,1558m3480,1558l3494,1558m3494,1558l3509,1558m3509,1558l3538,1558m3538,1558l3557,1558m3557,1558l3571,1558m3571,1558l3586,1558m3586,1558l3614,1558m3614,1558l3629,1558m3629,1558l3643,1558m3643,1558l3658,1558m3658,1558l3691,1558m3691,1558l3706,1558m3706,1558l3720,1558m3720,1558l3734,1558m3734,1558l3763,1558m3763,1558l3778,1558m3778,1558l3792,1558m3792,1558l3826,1558m3826,1558l3840,1558m3840,1558l3854,1558m3854,1558l3869,1558m3869,1558l3898,1558m3898,1558l3912,1558m3912,1558l3931,1558m3931,1558l3946,1558m3946,1558l3974,1558m3974,1558l3989,1558m3989,1558l4003,1558m4003,1558l4032,1558m4032,1558l4051,1558m4051,1558l4066,1558m4066,1558l4080,1558m4080,1558l4109,1558m4109,1558l4123,1558m4123,1558l4138,1558m4138,1558l4152,1558m4152,1558l4186,1558m4186,1558l4200,1558m4200,1558l4214,1558m4214,1558l4243,1558m4243,1558l4258,1558m4258,1558l4272,1558m4272,1558l4291,1558m4291,1558l4320,1558m4320,1558l4334,1558m4334,1558l4349,1558m4349,1558l4363,1558m4363,1558l4392,1558m4392,1558l4411,1558m4411,1558l4426,1558m4426,1558l4440,1558m4440,1558l4469,1558m4469,1558l4483,1558m4483,1558l4498,1558m4498,1558l4531,1558m4531,1558l4546,1558m4546,1558l4560,1558m4560,1558l4574,1558m4574,1558l4603,1558m4603,1558l4618,1558m4618,1558l4632,1558m4632,1558l4651,1558m4651,1558l4680,1558m4680,1558l4694,1558m4694,1558l4709,1558m4709,1558l4738,1558m4738,1558l4752,1558m4752,1558l4771,1558m4771,1558l4786,1558m4786,1558l4814,1558m4814,1558l4829,1558m4829,1558l4843,1558m4843,1558l4858,1558m4858,1558l4891,1558m4891,1558l4906,1558m4906,1558l4920,1558m4920,1558l4949,1558m4949,1558l4963,1558m4963,1558l4978,1558m4978,1558l4992,1558m4992,1558l5026,1558m5026,1558l5040,1558m5040,1558l5054,1558m5054,1558l5069,1558m5069,1558l5098,1558m5098,1558l5112,1558m5112,1558l5131,1558m5131,1558l5146,1558m5146,1558l5174,1558m5174,1558l5189,1558m5189,1558l5203,1558m5203,1558l5232,1558m5232,1558l5246,1558m5246,1558l5266,1558m5266,1558l5280,1558m5280,1558l5309,1558m5309,1558l5323,1558m5323,1558l5338,1558m5338,1558l5352,1558m5352,1558l5386,1558m5386,1558l5400,1558m5400,1558l5414,1558m5414,1558l5443,1558m5443,1558l5458,1558m5458,1558l5472,1558m5472,1558l5486,1558m5486,1558l5520,1558m5520,1558l5534,1558m5534,1558l5549,1558m5549,1558l5563,1558m5563,1558l5592,1558m5592,1558l5606,1558m5606,1558l5626,1558m5626,1558l5640,1558m5640,1558l5669,1558m5669,1558l5683,1558m5683,1558l5698,1558e" filled="false" stroked="true" strokeweight=".72pt" strokecolor="#000080">
              <v:path arrowok="t"/>
              <v:stroke dashstyle="solid"/>
            </v:shape>
            <v:line style="position:absolute" from="5698,1558" to="5726,1558" stroked="true" strokeweight=".72pt" strokecolor="#000080">
              <v:stroke dashstyle="solid"/>
            </v:line>
            <v:line style="position:absolute" from="5726,1558" to="5746,1558" stroked="true" strokeweight=".72pt" strokecolor="#000080">
              <v:stroke dashstyle="solid"/>
            </v:line>
            <v:line style="position:absolute" from="5746,1558" to="5760,1558" stroked="true" strokeweight=".72pt" strokecolor="#000080">
              <v:stroke dashstyle="solid"/>
            </v:line>
            <v:line style="position:absolute" from="5760,1558" to="5774,1558" stroked="true" strokeweight=".72pt" strokecolor="#000080">
              <v:stroke dashstyle="solid"/>
            </v:line>
            <v:line style="position:absolute" from="5774,1558" to="5803,1558" stroked="true" strokeweight=".72pt" strokecolor="#000080">
              <v:stroke dashstyle="solid"/>
            </v:line>
            <v:line style="position:absolute" from="5803,1558" to="5818,1558" stroked="true" strokeweight=".72pt" strokecolor="#000080">
              <v:stroke dashstyle="solid"/>
            </v:line>
            <v:line style="position:absolute" from="5818,1558" to="5832,1558" stroked="true" strokeweight=".72pt" strokecolor="#000080">
              <v:stroke dashstyle="solid"/>
            </v:line>
            <v:line style="position:absolute" from="5832,1558" to="5846,1558" stroked="true" strokeweight=".72pt" strokecolor="#000080">
              <v:stroke dashstyle="solid"/>
            </v:line>
            <v:line style="position:absolute" from="5846,1558" to="5880,1558" stroked="true" strokeweight=".72pt" strokecolor="#000080">
              <v:stroke dashstyle="solid"/>
            </v:line>
            <v:line style="position:absolute" from="5880,1558" to="5894,1558" stroked="true" strokeweight=".72pt" strokecolor="#000080">
              <v:stroke dashstyle="solid"/>
            </v:line>
            <v:line style="position:absolute" from="3888,1923" to="3888,1779" stroked="true" strokeweight=".72pt" strokecolor="#000000">
              <v:stroke dashstyle="solid"/>
            </v:line>
            <v:shape style="position:absolute;left:3811;top:1634;width:159;height:154" coordorigin="3811,1635" coordsize="159,154" path="m3888,1635l3811,1788,3970,1788,3888,1635xe" filled="true" fillcolor="#000000" stroked="false">
              <v:path arrowok="t"/>
              <v:fill type="solid"/>
            </v:shape>
            <v:shape style="position:absolute;left:3240;top:2039;width:1373;height:183" type="#_x0000_t202" filled="false" stroked="false">
              <v:textbox inset="0,0,0,0">
                <w:txbxContent>
                  <w:p>
                    <w:pPr>
                      <w:spacing w:line="182" w:lineRule="exact" w:before="0"/>
                      <w:ind w:left="0" w:right="0" w:firstLine="0"/>
                      <w:jc w:val="left"/>
                      <w:rPr>
                        <w:sz w:val="16"/>
                      </w:rPr>
                    </w:pPr>
                    <w:r>
                      <w:rPr>
                        <w:sz w:val="16"/>
                      </w:rPr>
                      <w:t>Average since 1985</w:t>
                    </w:r>
                  </w:p>
                </w:txbxContent>
              </v:textbox>
              <w10:wrap type="none"/>
            </v:shape>
            <w10:wrap type="none"/>
          </v:group>
        </w:pict>
      </w:r>
      <w:r>
        <w:rPr>
          <w:w w:val="103"/>
          <w:sz w:val="16"/>
        </w:rPr>
        <w:t>5</w:t>
      </w:r>
    </w:p>
    <w:p>
      <w:pPr>
        <w:pStyle w:val="BodyText"/>
        <w:spacing w:before="3"/>
        <w:rPr>
          <w:sz w:val="17"/>
        </w:rPr>
      </w:pPr>
    </w:p>
    <w:p>
      <w:pPr>
        <w:spacing w:before="98"/>
        <w:ind w:left="251" w:right="0" w:firstLine="0"/>
        <w:jc w:val="center"/>
        <w:rPr>
          <w:sz w:val="16"/>
        </w:rPr>
      </w:pPr>
      <w:r>
        <w:rPr>
          <w:w w:val="103"/>
          <w:sz w:val="16"/>
        </w:rPr>
        <w:t>4</w:t>
      </w:r>
    </w:p>
    <w:p>
      <w:pPr>
        <w:pStyle w:val="BodyText"/>
        <w:rPr>
          <w:sz w:val="16"/>
        </w:rPr>
      </w:pPr>
    </w:p>
    <w:p>
      <w:pPr>
        <w:spacing w:before="97"/>
        <w:ind w:left="251" w:right="0" w:firstLine="0"/>
        <w:jc w:val="center"/>
        <w:rPr>
          <w:sz w:val="16"/>
        </w:rPr>
      </w:pPr>
      <w:r>
        <w:rPr>
          <w:w w:val="103"/>
          <w:sz w:val="16"/>
        </w:rPr>
        <w:t>3</w:t>
      </w:r>
    </w:p>
    <w:p>
      <w:pPr>
        <w:pStyle w:val="BodyText"/>
        <w:spacing w:before="3"/>
        <w:rPr>
          <w:sz w:val="17"/>
        </w:rPr>
      </w:pPr>
    </w:p>
    <w:p>
      <w:pPr>
        <w:spacing w:before="98"/>
        <w:ind w:left="251" w:right="0" w:firstLine="0"/>
        <w:jc w:val="center"/>
        <w:rPr>
          <w:sz w:val="16"/>
        </w:rPr>
      </w:pPr>
      <w:r>
        <w:rPr>
          <w:w w:val="103"/>
          <w:sz w:val="16"/>
        </w:rPr>
        <w:t>2</w:t>
      </w:r>
    </w:p>
    <w:p>
      <w:pPr>
        <w:pStyle w:val="BodyText"/>
        <w:rPr>
          <w:sz w:val="16"/>
        </w:rPr>
      </w:pPr>
    </w:p>
    <w:p>
      <w:pPr>
        <w:spacing w:before="98"/>
        <w:ind w:left="251" w:right="0" w:firstLine="0"/>
        <w:jc w:val="center"/>
        <w:rPr>
          <w:sz w:val="16"/>
        </w:rPr>
      </w:pPr>
      <w:r>
        <w:rPr>
          <w:w w:val="103"/>
          <w:sz w:val="16"/>
        </w:rPr>
        <w:t>1</w:t>
      </w:r>
    </w:p>
    <w:p>
      <w:pPr>
        <w:pStyle w:val="BodyText"/>
        <w:spacing w:before="2"/>
        <w:rPr>
          <w:sz w:val="17"/>
        </w:rPr>
      </w:pPr>
    </w:p>
    <w:p>
      <w:pPr>
        <w:spacing w:before="98"/>
        <w:ind w:left="251" w:right="0" w:firstLine="0"/>
        <w:jc w:val="center"/>
        <w:rPr>
          <w:sz w:val="16"/>
        </w:rPr>
      </w:pPr>
      <w:r>
        <w:rPr>
          <w:w w:val="103"/>
          <w:sz w:val="16"/>
        </w:rPr>
        <w:t>0</w:t>
      </w:r>
    </w:p>
    <w:p>
      <w:pPr>
        <w:pStyle w:val="BodyText"/>
        <w:rPr>
          <w:sz w:val="16"/>
        </w:rPr>
      </w:pPr>
    </w:p>
    <w:p>
      <w:pPr>
        <w:spacing w:before="98"/>
        <w:ind w:left="4031" w:right="3723" w:firstLine="0"/>
        <w:jc w:val="center"/>
        <w:rPr>
          <w:sz w:val="16"/>
        </w:rPr>
      </w:pPr>
      <w:r>
        <w:rPr>
          <w:w w:val="105"/>
          <w:sz w:val="16"/>
        </w:rPr>
        <w:t>-1</w:t>
      </w:r>
    </w:p>
    <w:p>
      <w:pPr>
        <w:spacing w:before="56"/>
        <w:ind w:left="0" w:right="4038" w:firstLine="0"/>
        <w:jc w:val="center"/>
        <w:rPr>
          <w:sz w:val="16"/>
        </w:rPr>
      </w:pPr>
      <w:r>
        <w:rPr>
          <w:w w:val="105"/>
          <w:sz w:val="16"/>
        </w:rPr>
        <w:t>1985 1987 1989 1991 1993 1995 1997 1999 2001</w:t>
      </w:r>
    </w:p>
    <w:p>
      <w:pPr>
        <w:pStyle w:val="BodyText"/>
        <w:spacing w:before="7"/>
        <w:rPr>
          <w:sz w:val="12"/>
        </w:rPr>
      </w:pPr>
    </w:p>
    <w:p>
      <w:pPr>
        <w:spacing w:line="292" w:lineRule="auto" w:before="94"/>
        <w:ind w:left="265" w:right="4361" w:hanging="1"/>
        <w:jc w:val="left"/>
        <w:rPr>
          <w:sz w:val="13"/>
        </w:rPr>
      </w:pPr>
      <w:r>
        <w:rPr>
          <w:position w:val="5"/>
          <w:sz w:val="9"/>
        </w:rPr>
        <w:t>1 </w:t>
      </w:r>
      <w:r>
        <w:rPr>
          <w:sz w:val="13"/>
        </w:rPr>
        <w:t>Computed using 3 stage Dividend Discount Model based on long- term earnings expectations</w:t>
      </w:r>
    </w:p>
    <w:p>
      <w:pPr>
        <w:spacing w:after="0" w:line="292" w:lineRule="auto"/>
        <w:jc w:val="left"/>
        <w:rPr>
          <w:sz w:val="13"/>
        </w:rPr>
        <w:sectPr>
          <w:footerReference w:type="default" r:id="rId27"/>
          <w:pgSz w:w="11900" w:h="16840"/>
          <w:pgMar w:footer="782" w:header="0" w:top="1600" w:bottom="980" w:left="1640" w:right="1680"/>
          <w:pgNumType w:start="13"/>
        </w:sectPr>
      </w:pPr>
    </w:p>
    <w:p>
      <w:pPr>
        <w:pStyle w:val="Heading1"/>
        <w:spacing w:before="78"/>
      </w:pPr>
      <w:r>
        <w:rPr/>
        <w:t>SECTION B3</w:t>
      </w:r>
    </w:p>
    <w:p>
      <w:pPr>
        <w:spacing w:before="137"/>
        <w:ind w:left="160" w:right="0" w:firstLine="0"/>
        <w:jc w:val="left"/>
        <w:rPr>
          <w:b/>
          <w:sz w:val="24"/>
        </w:rPr>
      </w:pPr>
      <w:r>
        <w:rPr>
          <w:b/>
          <w:sz w:val="24"/>
        </w:rPr>
        <w:t>BUT, A LOW ERP MUST ACCOMPANY LOWER EXPECTED RETURNS</w:t>
      </w:r>
    </w:p>
    <w:p>
      <w:pPr>
        <w:pStyle w:val="BodyText"/>
        <w:rPr>
          <w:b/>
          <w:sz w:val="26"/>
        </w:rPr>
      </w:pPr>
    </w:p>
    <w:p>
      <w:pPr>
        <w:pStyle w:val="BodyText"/>
        <w:spacing w:before="9"/>
        <w:rPr>
          <w:b/>
          <w:sz w:val="21"/>
        </w:rPr>
      </w:pPr>
    </w:p>
    <w:p>
      <w:pPr>
        <w:pStyle w:val="BodyText"/>
        <w:spacing w:line="360" w:lineRule="auto"/>
        <w:ind w:left="160" w:right="169"/>
      </w:pPr>
      <w:r>
        <w:rPr/>
        <w:t>At</w:t>
      </w:r>
      <w:r>
        <w:rPr>
          <w:spacing w:val="-2"/>
        </w:rPr>
        <w:t> </w:t>
      </w:r>
      <w:r>
        <w:rPr/>
        <w:t>first</w:t>
      </w:r>
      <w:r>
        <w:rPr>
          <w:spacing w:val="-2"/>
        </w:rPr>
        <w:t> </w:t>
      </w:r>
      <w:r>
        <w:rPr/>
        <w:t>sight,</w:t>
      </w:r>
      <w:r>
        <w:rPr>
          <w:spacing w:val="-2"/>
        </w:rPr>
        <w:t> </w:t>
      </w:r>
      <w:r>
        <w:rPr>
          <w:spacing w:val="3"/>
        </w:rPr>
        <w:t>one</w:t>
      </w:r>
      <w:r>
        <w:rPr>
          <w:spacing w:val="-3"/>
        </w:rPr>
        <w:t> </w:t>
      </w:r>
      <w:r>
        <w:rPr/>
        <w:t>might</w:t>
      </w:r>
      <w:r>
        <w:rPr>
          <w:spacing w:val="-1"/>
        </w:rPr>
        <w:t> </w:t>
      </w:r>
      <w:r>
        <w:rPr/>
        <w:t>take</w:t>
      </w:r>
      <w:r>
        <w:rPr>
          <w:spacing w:val="-7"/>
        </w:rPr>
        <w:t> </w:t>
      </w:r>
      <w:r>
        <w:rPr/>
        <w:t>some</w:t>
      </w:r>
      <w:r>
        <w:rPr>
          <w:spacing w:val="-7"/>
        </w:rPr>
        <w:t> </w:t>
      </w:r>
      <w:r>
        <w:rPr/>
        <w:t>comfort</w:t>
      </w:r>
      <w:r>
        <w:rPr>
          <w:spacing w:val="-2"/>
        </w:rPr>
        <w:t> </w:t>
      </w:r>
      <w:r>
        <w:rPr/>
        <w:t>from</w:t>
      </w:r>
      <w:r>
        <w:rPr>
          <w:spacing w:val="-6"/>
        </w:rPr>
        <w:t> </w:t>
      </w:r>
      <w:r>
        <w:rPr/>
        <w:t>the</w:t>
      </w:r>
      <w:r>
        <w:rPr>
          <w:spacing w:val="-7"/>
        </w:rPr>
        <w:t> </w:t>
      </w:r>
      <w:r>
        <w:rPr/>
        <w:t>fact</w:t>
      </w:r>
      <w:r>
        <w:rPr>
          <w:spacing w:val="-2"/>
        </w:rPr>
        <w:t> </w:t>
      </w:r>
      <w:r>
        <w:rPr/>
        <w:t>that</w:t>
      </w:r>
      <w:r>
        <w:rPr>
          <w:spacing w:val="-2"/>
        </w:rPr>
        <w:t> </w:t>
      </w:r>
      <w:r>
        <w:rPr/>
        <w:t>the</w:t>
      </w:r>
      <w:r>
        <w:rPr>
          <w:spacing w:val="-7"/>
        </w:rPr>
        <w:t> </w:t>
      </w:r>
      <w:r>
        <w:rPr/>
        <w:t>ERP</w:t>
      </w:r>
      <w:r>
        <w:rPr>
          <w:spacing w:val="-4"/>
        </w:rPr>
        <w:t> </w:t>
      </w:r>
      <w:r>
        <w:rPr/>
        <w:t>appears</w:t>
      </w:r>
      <w:r>
        <w:rPr>
          <w:spacing w:val="-7"/>
        </w:rPr>
        <w:t> </w:t>
      </w:r>
      <w:r>
        <w:rPr>
          <w:spacing w:val="2"/>
        </w:rPr>
        <w:t>to</w:t>
      </w:r>
      <w:r>
        <w:rPr>
          <w:spacing w:val="-1"/>
        </w:rPr>
        <w:t> </w:t>
      </w:r>
      <w:r>
        <w:rPr/>
        <w:t>have risen from around ½% at the peak of the market of 2000, (see Figure 8), </w:t>
      </w:r>
      <w:r>
        <w:rPr>
          <w:spacing w:val="2"/>
        </w:rPr>
        <w:t>to </w:t>
      </w:r>
      <w:r>
        <w:rPr/>
        <w:t>a value above its post-1985 historical average. However, in the long bull market that we have had, investors have increased their expectations </w:t>
      </w:r>
      <w:r>
        <w:rPr>
          <w:spacing w:val="2"/>
        </w:rPr>
        <w:t>of </w:t>
      </w:r>
      <w:r>
        <w:rPr/>
        <w:t>equity returns. It is important that investor expectations for returns on the stock market are consistent with the ERP. Specifically, with long-term bond yields </w:t>
      </w:r>
      <w:r>
        <w:rPr>
          <w:spacing w:val="3"/>
        </w:rPr>
        <w:t>of </w:t>
      </w:r>
      <w:r>
        <w:rPr/>
        <w:t>around 4 3/4%, an ERP </w:t>
      </w:r>
      <w:r>
        <w:rPr>
          <w:spacing w:val="3"/>
        </w:rPr>
        <w:t>of </w:t>
      </w:r>
      <w:r>
        <w:rPr/>
        <w:t>2½% implies a long-term return </w:t>
      </w:r>
      <w:r>
        <w:rPr>
          <w:spacing w:val="2"/>
        </w:rPr>
        <w:t>on </w:t>
      </w:r>
      <w:r>
        <w:rPr/>
        <w:t>equities </w:t>
      </w:r>
      <w:r>
        <w:rPr>
          <w:spacing w:val="2"/>
        </w:rPr>
        <w:t>of </w:t>
      </w:r>
      <w:r>
        <w:rPr/>
        <w:t>7 1/4% pa. </w:t>
      </w:r>
      <w:r>
        <w:rPr>
          <w:spacing w:val="2"/>
        </w:rPr>
        <w:t>This </w:t>
      </w:r>
      <w:r>
        <w:rPr/>
        <w:t>implied level </w:t>
      </w:r>
      <w:r>
        <w:rPr>
          <w:spacing w:val="2"/>
        </w:rPr>
        <w:t>of </w:t>
      </w:r>
      <w:r>
        <w:rPr/>
        <w:t>equity returns is, though, considerably lower than what investors </w:t>
      </w:r>
      <w:r>
        <w:rPr>
          <w:u w:val="single"/>
        </w:rPr>
        <w:t>say</w:t>
      </w:r>
      <w:r>
        <w:rPr/>
        <w:t> that they expect </w:t>
      </w:r>
      <w:r>
        <w:rPr>
          <w:spacing w:val="2"/>
        </w:rPr>
        <w:t>to </w:t>
      </w:r>
      <w:r>
        <w:rPr/>
        <w:t>earn </w:t>
      </w:r>
      <w:r>
        <w:rPr>
          <w:spacing w:val="2"/>
        </w:rPr>
        <w:t>on </w:t>
      </w:r>
      <w:r>
        <w:rPr/>
        <w:t>their stocks. Specifically, the UBS Paine Webber/Gallup poll </w:t>
      </w:r>
      <w:r>
        <w:rPr>
          <w:spacing w:val="3"/>
        </w:rPr>
        <w:t>of </w:t>
      </w:r>
      <w:r>
        <w:rPr>
          <w:spacing w:val="2"/>
        </w:rPr>
        <w:t>investor </w:t>
      </w:r>
      <w:r>
        <w:rPr/>
        <w:t>attitudes asks individual investors </w:t>
      </w:r>
      <w:r>
        <w:rPr>
          <w:spacing w:val="3"/>
        </w:rPr>
        <w:t>to </w:t>
      </w:r>
      <w:r>
        <w:rPr/>
        <w:t>estimate the annual rate </w:t>
      </w:r>
      <w:r>
        <w:rPr>
          <w:spacing w:val="2"/>
        </w:rPr>
        <w:t>of </w:t>
      </w:r>
      <w:r>
        <w:rPr/>
        <w:t>return </w:t>
      </w:r>
      <w:r>
        <w:rPr>
          <w:spacing w:val="2"/>
        </w:rPr>
        <w:t>on </w:t>
      </w:r>
      <w:r>
        <w:rPr/>
        <w:t>the stock market </w:t>
      </w:r>
      <w:r>
        <w:rPr>
          <w:spacing w:val="3"/>
        </w:rPr>
        <w:t>over </w:t>
      </w:r>
      <w:r>
        <w:rPr/>
        <w:t>the next 10 years. The October 2001 survey suggested an expected return of around 15% pa! Figure 9 shows that the expected return has fallen a little (it was as high as 19% pa in December 1999), but it </w:t>
      </w:r>
      <w:r>
        <w:rPr>
          <w:spacing w:val="2"/>
        </w:rPr>
        <w:t>remains </w:t>
      </w:r>
      <w:r>
        <w:rPr/>
        <w:t>more than twice as high as implied by </w:t>
      </w:r>
      <w:r>
        <w:rPr>
          <w:spacing w:val="2"/>
        </w:rPr>
        <w:t>the </w:t>
      </w:r>
      <w:r>
        <w:rPr/>
        <w:t>current constellation </w:t>
      </w:r>
      <w:r>
        <w:rPr>
          <w:spacing w:val="2"/>
        </w:rPr>
        <w:t>of </w:t>
      </w:r>
      <w:r>
        <w:rPr/>
        <w:t>interest rates, ERP and earnings growth expectations. The mismatch between what the stock market is likely </w:t>
      </w:r>
      <w:r>
        <w:rPr>
          <w:spacing w:val="3"/>
        </w:rPr>
        <w:t>to </w:t>
      </w:r>
      <w:r>
        <w:rPr/>
        <w:t>deliver versus what individual US investors expect it </w:t>
      </w:r>
      <w:r>
        <w:rPr>
          <w:spacing w:val="2"/>
        </w:rPr>
        <w:t>to </w:t>
      </w:r>
      <w:r>
        <w:rPr/>
        <w:t>deliver is a potential source </w:t>
      </w:r>
      <w:r>
        <w:rPr>
          <w:spacing w:val="2"/>
        </w:rPr>
        <w:t>of </w:t>
      </w:r>
      <w:r>
        <w:rPr/>
        <w:t>concern about the medium- </w:t>
      </w:r>
      <w:r>
        <w:rPr>
          <w:spacing w:val="2"/>
        </w:rPr>
        <w:t>term viability </w:t>
      </w:r>
      <w:r>
        <w:rPr>
          <w:spacing w:val="4"/>
        </w:rPr>
        <w:t>of </w:t>
      </w:r>
      <w:r>
        <w:rPr/>
        <w:t>existing stock market</w:t>
      </w:r>
      <w:r>
        <w:rPr>
          <w:spacing w:val="17"/>
        </w:rPr>
        <w:t> </w:t>
      </w:r>
      <w:r>
        <w:rPr/>
        <w:t>valuations.</w:t>
      </w:r>
    </w:p>
    <w:p>
      <w:pPr>
        <w:pStyle w:val="BodyText"/>
        <w:spacing w:before="10"/>
        <w:rPr>
          <w:sz w:val="35"/>
        </w:rPr>
      </w:pPr>
    </w:p>
    <w:p>
      <w:pPr>
        <w:pStyle w:val="BodyText"/>
        <w:spacing w:line="360" w:lineRule="auto"/>
        <w:ind w:left="160" w:right="154"/>
      </w:pPr>
      <w:r>
        <w:rPr/>
        <w:t>Of course, the recent bear market has had some impact on expected returns – indeed, 1 year-ahead expected returns have fallen significantly over the last 2 years (see Figure 9), but as already noted, 10 year-ahead expected returns have moved relatively little. Individual investors appear to believe that the current bear market is only going to have a relatively temporary effect on the path of equity returns – their longer-term expectations for returns are still what some may consider to be extraordinarily high. </w:t>
      </w:r>
      <w:r>
        <w:rPr>
          <w:vertAlign w:val="superscript"/>
        </w:rPr>
        <w:t>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r>
        <w:rPr/>
        <w:pict>
          <v:shape style="position:absolute;margin-left:90pt;margin-top:18.683613pt;width:144pt;height:.1pt;mso-position-horizontal-relative:page;mso-position-vertical-relative:paragraph;z-index:-251611136;mso-wrap-distance-left:0;mso-wrap-distance-right:0" coordorigin="1800,374" coordsize="2880,0" path="m1800,374l4680,374e" filled="false" stroked="true" strokeweight=".48pt" strokecolor="#000000">
            <v:path arrowok="t"/>
            <v:stroke dashstyle="solid"/>
            <w10:wrap type="topAndBottom"/>
          </v:shape>
        </w:pict>
      </w:r>
    </w:p>
    <w:p>
      <w:pPr>
        <w:spacing w:before="47"/>
        <w:ind w:left="160" w:right="153" w:firstLine="0"/>
        <w:jc w:val="left"/>
        <w:rPr>
          <w:sz w:val="20"/>
        </w:rPr>
      </w:pPr>
      <w:r>
        <w:rPr>
          <w:position w:val="9"/>
          <w:sz w:val="13"/>
        </w:rPr>
        <w:t>13 </w:t>
      </w:r>
      <w:r>
        <w:rPr>
          <w:sz w:val="20"/>
        </w:rPr>
        <w:t>In theory, if the ERP were to fall further for some years to come, then it is possible that the expectations of individual investors might be validated by subsequent stock market performance. However, I regard it as an unlikely possibility since the ERP is already quite low.</w:t>
      </w:r>
    </w:p>
    <w:p>
      <w:pPr>
        <w:spacing w:after="0"/>
        <w:jc w:val="left"/>
        <w:rPr>
          <w:sz w:val="20"/>
        </w:rPr>
        <w:sectPr>
          <w:pgSz w:w="11900" w:h="16840"/>
          <w:pgMar w:header="0" w:footer="782" w:top="1360" w:bottom="980" w:left="1640" w:right="1680"/>
        </w:sectPr>
      </w:pPr>
    </w:p>
    <w:p>
      <w:pPr>
        <w:pStyle w:val="Heading1"/>
        <w:spacing w:before="78"/>
      </w:pPr>
      <w:r>
        <w:rPr/>
        <w:t>FIGURE 9</w:t>
      </w:r>
    </w:p>
    <w:p>
      <w:pPr>
        <w:pStyle w:val="BodyText"/>
        <w:rPr>
          <w:b/>
          <w:sz w:val="17"/>
        </w:rPr>
      </w:pPr>
    </w:p>
    <w:p>
      <w:pPr>
        <w:spacing w:after="0"/>
        <w:rPr>
          <w:sz w:val="17"/>
        </w:rPr>
        <w:sectPr>
          <w:pgSz w:w="11900" w:h="16840"/>
          <w:pgMar w:header="0" w:footer="782" w:top="1360" w:bottom="980" w:left="1640" w:right="1680"/>
        </w:sectPr>
      </w:pPr>
    </w:p>
    <w:p>
      <w:pPr>
        <w:spacing w:line="276" w:lineRule="auto" w:before="90"/>
        <w:ind w:left="534" w:right="-18" w:firstLine="0"/>
        <w:jc w:val="left"/>
        <w:rPr>
          <w:b/>
          <w:sz w:val="24"/>
        </w:rPr>
      </w:pPr>
      <w:r>
        <w:rPr>
          <w:b/>
          <w:spacing w:val="-4"/>
          <w:sz w:val="24"/>
        </w:rPr>
        <w:t>UBS </w:t>
      </w:r>
      <w:r>
        <w:rPr>
          <w:b/>
          <w:spacing w:val="-5"/>
          <w:sz w:val="24"/>
        </w:rPr>
        <w:t>Paine </w:t>
      </w:r>
      <w:r>
        <w:rPr>
          <w:b/>
          <w:spacing w:val="-4"/>
          <w:sz w:val="24"/>
        </w:rPr>
        <w:t>Webber/Gallup </w:t>
      </w:r>
      <w:r>
        <w:rPr>
          <w:b/>
          <w:spacing w:val="-3"/>
          <w:sz w:val="24"/>
        </w:rPr>
        <w:t>Survey </w:t>
      </w:r>
      <w:r>
        <w:rPr>
          <w:b/>
          <w:spacing w:val="-4"/>
          <w:sz w:val="24"/>
        </w:rPr>
        <w:t>of </w:t>
      </w:r>
      <w:r>
        <w:rPr>
          <w:b/>
          <w:sz w:val="24"/>
        </w:rPr>
        <w:t>Expected </w:t>
      </w:r>
      <w:r>
        <w:rPr>
          <w:b/>
          <w:spacing w:val="-5"/>
          <w:sz w:val="24"/>
        </w:rPr>
        <w:t>Returns</w:t>
      </w:r>
    </w:p>
    <w:p>
      <w:pPr>
        <w:pStyle w:val="BodyText"/>
        <w:rPr>
          <w:b/>
          <w:sz w:val="18"/>
        </w:rPr>
      </w:pPr>
      <w:r>
        <w:rPr/>
        <w:br w:type="column"/>
      </w:r>
      <w:r>
        <w:rPr>
          <w:b/>
          <w:sz w:val="18"/>
        </w:rPr>
      </w:r>
    </w:p>
    <w:p>
      <w:pPr>
        <w:pStyle w:val="BodyText"/>
        <w:rPr>
          <w:b/>
          <w:sz w:val="18"/>
        </w:rPr>
      </w:pPr>
    </w:p>
    <w:p>
      <w:pPr>
        <w:spacing w:before="159"/>
        <w:ind w:left="0" w:right="3610" w:firstLine="0"/>
        <w:jc w:val="right"/>
        <w:rPr>
          <w:sz w:val="16"/>
        </w:rPr>
      </w:pPr>
      <w:r>
        <w:rPr>
          <w:spacing w:val="2"/>
          <w:sz w:val="16"/>
        </w:rPr>
        <w:t>Per</w:t>
      </w:r>
      <w:r>
        <w:rPr>
          <w:spacing w:val="23"/>
          <w:sz w:val="16"/>
        </w:rPr>
        <w:t> </w:t>
      </w:r>
      <w:r>
        <w:rPr>
          <w:spacing w:val="3"/>
          <w:sz w:val="16"/>
        </w:rPr>
        <w:t>cent</w:t>
      </w:r>
    </w:p>
    <w:p>
      <w:pPr>
        <w:spacing w:before="42"/>
        <w:ind w:left="0" w:right="3613" w:firstLine="0"/>
        <w:jc w:val="right"/>
        <w:rPr>
          <w:sz w:val="16"/>
        </w:rPr>
      </w:pPr>
      <w:r>
        <w:rPr/>
        <w:pict>
          <v:group style="position:absolute;margin-left:108.720001pt;margin-top:7.288745pt;width:209.4pt;height:122.65pt;mso-position-horizontal-relative:page;mso-position-vertical-relative:paragraph;z-index:251706368" coordorigin="2174,146" coordsize="4188,2453">
            <v:shape style="position:absolute;left:2188;top:148;width:4172;height:2448" coordorigin="2189,148" coordsize="4172,2448" path="m6317,148l6317,2596,6360,2596m6317,2097l6360,2097m6317,1617l6360,1617m6317,1123l6360,1123m6317,643l6360,643m6317,148l6360,148m2189,2596l6317,2596m2189,2596l2189,2563m2971,2596l2971,2563m3734,2596l3734,2563m4517,2596l4517,2563m5280,2596l5280,2563m6058,2596l6058,2563e" filled="false" stroked="true" strokeweight=".24pt" strokecolor="#000000">
              <v:path arrowok="t"/>
              <v:stroke dashstyle="solid"/>
            </v:shape>
            <v:line style="position:absolute" from="2189,883" to="2323,748" stroked="true" strokeweight="1.44pt" strokecolor="#000080">
              <v:stroke dashstyle="solid"/>
            </v:line>
            <v:line style="position:absolute" from="2323,748" to="2443,705" stroked="true" strokeweight="1.44pt" strokecolor="#000080">
              <v:stroke dashstyle="solid"/>
            </v:line>
            <v:line style="position:absolute" from="2443,705" to="2582,734" stroked="true" strokeweight="1.44pt" strokecolor="#000080">
              <v:stroke dashstyle="solid"/>
            </v:line>
            <v:shape style="position:absolute;left:2582;top:613;width:764;height:240" coordorigin="2582,614" coordsize="764,240" path="m2582,734l2702,691m2702,691l2837,614m2837,614l2971,719m2971,719l3091,854m3091,854l3226,643m3226,643l3346,614e" filled="false" stroked="true" strokeweight="1.44pt" strokecolor="#000080">
              <v:path arrowok="t"/>
              <v:stroke dashstyle="solid"/>
            </v:shape>
            <v:line style="position:absolute" from="3346,614" to="3480,268" stroked="true" strokeweight="1.44pt" strokecolor="#000080">
              <v:stroke dashstyle="solid"/>
            </v:line>
            <v:line style="position:absolute" from="3480,268" to="3614,374" stroked="true" strokeweight="1.44pt" strokecolor="#000080">
              <v:stroke dashstyle="solid"/>
            </v:line>
            <v:line style="position:absolute" from="3614,374" to="3734,643" stroked="true" strokeweight="1.44pt" strokecolor="#000080">
              <v:stroke dashstyle="solid"/>
            </v:line>
            <v:shape style="position:absolute;left:3734;top:536;width:2189;height:360" coordorigin="3734,537" coordsize="2189,360" path="m3734,643l3869,614m3869,614l3989,571m3989,571l4123,763m4123,763l4258,719m4258,719l4378,537m4378,537l4517,868m4517,868l4637,839m4637,839l4771,643m4771,643l4891,897m4891,897l5026,777m5026,777l5160,839m5160,839l5280,777m5280,777l5414,854m5414,854l5534,777m5534,777l5669,643m5669,643l5803,854m5803,854l5923,811e" filled="false" stroked="true" strokeweight="1.44pt" strokecolor="#000080">
              <v:path arrowok="t"/>
              <v:stroke dashstyle="solid"/>
            </v:shape>
            <v:line style="position:absolute" from="5923,811" to="6058,854" stroked="true" strokeweight="1.44pt" strokecolor="#000080">
              <v:stroke dashstyle="solid"/>
            </v:line>
            <v:line style="position:absolute" from="6058,854" to="6178,1003" stroked="true" strokeweight="1.44pt" strokecolor="#000080">
              <v:stroke dashstyle="solid"/>
            </v:line>
            <v:line style="position:absolute" from="6178,1003" to="6317,777" stroked="true" strokeweight="1.44pt" strokecolor="#000080">
              <v:stroke dashstyle="solid"/>
            </v:line>
            <v:shape style="position:absolute;left:2188;top:296;width:4037;height:1354" coordorigin="2189,297" coordsize="4037,1354" path="m2237,763l2222,734,2189,749,2189,785,2237,763m2371,691l2357,657,2294,691,2309,719,2371,691m2491,657l2429,628,2414,657,2477,691,2491,657m2626,734l2563,719,2549,748,2611,763,2626,734m2746,748l2717,734,2683,791,2717,811,2746,748m2822,585l2789,571,2760,628,2789,643,2822,585m2880,571l2851,508,2822,494,2851,551,2880,571m3014,705l2979,684,2971,671,2923,657,2948,692,2942,705,3000,734,3014,705m3120,777l3106,734,3058,763,3077,811,3120,777m3269,671l3226,657,3223,660,3211,657,3197,691,3254,705,3269,671m3374,657l3346,643,3331,705,3360,719,3374,657m3437,494l3403,479,3389,523,3418,537,3437,494m3523,374l3494,311,3466,297,3475,318,3466,311,3451,359,3480,374,3489,347,3494,359,3523,374m3600,537l3571,479,3538,465,3571,523,3600,537m3658,585l3643,551,3586,571,3600,599,3658,585m3778,585l3749,523,3720,508,3749,571,3778,585m3883,734l3854,691,3811,671,3840,719,3883,734m3917,748l3883,691,3854,671,3883,734,3917,748m4037,883l4018,854,3983,871,3974,854,3946,839,3966,880,3960,883,3974,911,3989,904,4003,911,3998,901,4037,883m4171,811l4109,811,4109,839,4171,839,4171,811m4306,791l4243,791,4243,825,4306,825,4306,791m4426,811l4363,791,4349,825,4411,839,4426,811m4560,854l4498,825,4483,854,4546,883,4560,854m4680,897l4618,897,4618,931,4680,931,4680,897m4829,931l4800,883,4757,868,4786,911,4829,931m4920,1065l4903,1053,4891,1036,4843,1017,4869,1054,4858,1079,4906,1108,4916,1078,4920,1079,4917,1075,4920,1065m5069,1156l5054,1137,5045,1134,5040,1123,5011,1108,5019,1125,5011,1123,5024,1135,5040,1171,5069,1185,5052,1149,5069,1156m5203,1319l5189,1291,5152,1300,5146,1291,5098,1276,5131,1319,5140,1322,5146,1334,5162,1330,5174,1334,5170,1328,5203,1319m5323,1276l5266,1257,5251,1291,5309,1305,5323,1276m5458,1348l5429,1291,5400,1276,5429,1334,5458,1348m5563,1483l5534,1468,5527,1500,5506,1454,5477,1439,5506,1497,5525,1510,5520,1531,5549,1545,5563,1483m5626,1319l5597,1305,5578,1348,5611,1363,5626,1319m5698,1185l5678,1172,5683,1156,5654,1137,5640,1185,5644,1187,5640,1199,5683,1228,5698,1185m5851,1291l5837,1276,5789,1257,5803,1276,5851,1291m5851,1291l5789,1276,5774,1305,5837,1319,5851,1291m5971,1334l5909,1305,5894,1334,5957,1363,5971,1334m6106,1439l6077,1377,6043,1363,6077,1425,6106,1439m6163,1603l6149,1545,6120,1531,6134,1588,6163,1603m6226,1617l6211,1588,6149,1617,6163,1651,6226,1617e" filled="true" fillcolor="#ff00ff" stroked="false">
              <v:path arrowok="t"/>
              <v:fill type="solid"/>
            </v:shape>
            <w10:wrap type="none"/>
          </v:group>
        </w:pict>
      </w:r>
      <w:r>
        <w:rPr>
          <w:sz w:val="16"/>
        </w:rPr>
        <w:t>20</w:t>
      </w:r>
    </w:p>
    <w:p>
      <w:pPr>
        <w:spacing w:after="0"/>
        <w:jc w:val="right"/>
        <w:rPr>
          <w:sz w:val="16"/>
        </w:rPr>
        <w:sectPr>
          <w:type w:val="continuous"/>
          <w:pgSz w:w="11900" w:h="16840"/>
          <w:pgMar w:top="1180" w:bottom="280" w:left="1640" w:right="1680"/>
          <w:cols w:num="2" w:equalWidth="0">
            <w:col w:w="4206" w:space="40"/>
            <w:col w:w="4334"/>
          </w:cols>
        </w:sectPr>
      </w:pPr>
    </w:p>
    <w:p>
      <w:pPr>
        <w:pStyle w:val="BodyText"/>
        <w:spacing w:before="5"/>
        <w:rPr>
          <w:sz w:val="18"/>
        </w:rPr>
      </w:pPr>
    </w:p>
    <w:p>
      <w:pPr>
        <w:spacing w:before="98"/>
        <w:ind w:left="4354" w:right="3173" w:firstLine="0"/>
        <w:jc w:val="center"/>
        <w:rPr>
          <w:sz w:val="16"/>
        </w:rPr>
      </w:pPr>
      <w:r>
        <w:rPr>
          <w:w w:val="105"/>
          <w:sz w:val="16"/>
        </w:rPr>
        <w:t>16</w:t>
      </w:r>
    </w:p>
    <w:p>
      <w:pPr>
        <w:pStyle w:val="BodyText"/>
        <w:spacing w:before="3"/>
        <w:rPr>
          <w:sz w:val="17"/>
        </w:rPr>
      </w:pPr>
    </w:p>
    <w:p>
      <w:pPr>
        <w:spacing w:before="97"/>
        <w:ind w:left="4354" w:right="3173" w:firstLine="0"/>
        <w:jc w:val="center"/>
        <w:rPr>
          <w:sz w:val="16"/>
        </w:rPr>
      </w:pPr>
      <w:r>
        <w:rPr>
          <w:w w:val="105"/>
          <w:sz w:val="16"/>
        </w:rPr>
        <w:t>12</w:t>
      </w:r>
    </w:p>
    <w:p>
      <w:pPr>
        <w:pStyle w:val="BodyText"/>
        <w:spacing w:before="11"/>
        <w:rPr>
          <w:sz w:val="18"/>
        </w:rPr>
      </w:pPr>
    </w:p>
    <w:p>
      <w:pPr>
        <w:spacing w:before="98"/>
        <w:ind w:left="1096" w:right="0" w:firstLine="0"/>
        <w:jc w:val="center"/>
        <w:rPr>
          <w:sz w:val="16"/>
        </w:rPr>
      </w:pPr>
      <w:r>
        <w:rPr>
          <w:w w:val="103"/>
          <w:sz w:val="16"/>
        </w:rPr>
        <w:t>8</w:t>
      </w:r>
    </w:p>
    <w:p>
      <w:pPr>
        <w:pStyle w:val="BodyText"/>
        <w:spacing w:before="2"/>
        <w:rPr>
          <w:sz w:val="17"/>
        </w:rPr>
      </w:pPr>
    </w:p>
    <w:p>
      <w:pPr>
        <w:spacing w:before="98"/>
        <w:ind w:left="1096" w:right="0" w:firstLine="0"/>
        <w:jc w:val="center"/>
        <w:rPr>
          <w:sz w:val="16"/>
        </w:rPr>
      </w:pPr>
      <w:r>
        <w:rPr>
          <w:w w:val="103"/>
          <w:sz w:val="16"/>
        </w:rPr>
        <w:t>4</w:t>
      </w:r>
    </w:p>
    <w:p>
      <w:pPr>
        <w:pStyle w:val="BodyText"/>
        <w:spacing w:before="6"/>
        <w:rPr>
          <w:sz w:val="18"/>
        </w:rPr>
      </w:pPr>
    </w:p>
    <w:p>
      <w:pPr>
        <w:spacing w:before="98"/>
        <w:ind w:left="1096" w:right="0" w:firstLine="0"/>
        <w:jc w:val="center"/>
        <w:rPr>
          <w:sz w:val="16"/>
        </w:rPr>
      </w:pPr>
      <w:r>
        <w:rPr>
          <w:w w:val="103"/>
          <w:sz w:val="16"/>
        </w:rPr>
        <w:t>0</w:t>
      </w:r>
    </w:p>
    <w:p>
      <w:pPr>
        <w:tabs>
          <w:tab w:pos="767" w:val="left" w:leader="none"/>
          <w:tab w:pos="1545" w:val="left" w:leader="none"/>
          <w:tab w:pos="2308" w:val="left" w:leader="none"/>
          <w:tab w:pos="3091" w:val="left" w:leader="none"/>
          <w:tab w:pos="3854" w:val="left" w:leader="none"/>
        </w:tabs>
        <w:spacing w:before="56"/>
        <w:ind w:left="0" w:right="3603" w:firstLine="0"/>
        <w:jc w:val="center"/>
        <w:rPr>
          <w:sz w:val="16"/>
        </w:rPr>
      </w:pPr>
      <w:r>
        <w:rPr>
          <w:sz w:val="16"/>
        </w:rPr>
        <w:t>Feb-99</w:t>
        <w:tab/>
        <w:t>Aug-99</w:t>
        <w:tab/>
        <w:t>Feb-00</w:t>
        <w:tab/>
        <w:t>Aug-00</w:t>
        <w:tab/>
        <w:t>Feb-01</w:t>
        <w:tab/>
        <w:t>Aug-01</w:t>
      </w:r>
    </w:p>
    <w:p>
      <w:pPr>
        <w:pStyle w:val="BodyText"/>
        <w:spacing w:before="4"/>
        <w:rPr>
          <w:sz w:val="26"/>
        </w:rPr>
      </w:pPr>
    </w:p>
    <w:p>
      <w:pPr>
        <w:tabs>
          <w:tab w:pos="3337" w:val="left" w:leader="none"/>
        </w:tabs>
        <w:spacing w:before="98"/>
        <w:ind w:left="1331" w:right="0" w:firstLine="0"/>
        <w:jc w:val="left"/>
        <w:rPr>
          <w:sz w:val="16"/>
        </w:rPr>
      </w:pPr>
      <w:r>
        <w:rPr/>
        <w:pict>
          <v:line style="position:absolute;mso-position-horizontal-relative:page;mso-position-vertical-relative:paragraph;z-index:251707392" from="118.559998pt,10.208753pt" to="146.159998pt,10.208753pt" stroked="true" strokeweight="1.44pt" strokecolor="#000080">
            <v:stroke dashstyle="solid"/>
            <w10:wrap type="none"/>
          </v:line>
        </w:pict>
      </w:r>
      <w:r>
        <w:rPr/>
        <w:pict>
          <v:rect style="position:absolute;margin-left:218.160004pt;margin-top:9.248753pt;width:3.12pt;height:1.68pt;mso-position-horizontal-relative:page;mso-position-vertical-relative:paragraph;z-index:-253036544" filled="true" fillcolor="#ff00ff" stroked="false">
            <v:fill type="solid"/>
            <w10:wrap type="none"/>
          </v:rect>
        </w:pict>
      </w:r>
      <w:r>
        <w:rPr/>
        <w:pict>
          <v:rect style="position:absolute;margin-left:227.279999pt;margin-top:9.248753pt;width:2.88pt;height:1.68pt;mso-position-horizontal-relative:page;mso-position-vertical-relative:paragraph;z-index:-253035520" filled="true" fillcolor="#ff00ff" stroked="false">
            <v:fill type="solid"/>
            <w10:wrap type="none"/>
          </v:rect>
        </w:pict>
      </w:r>
      <w:r>
        <w:rPr/>
        <w:pict>
          <v:rect style="position:absolute;margin-left:236.160004pt;margin-top:9.248753pt;width:3.12pt;height:1.68pt;mso-position-horizontal-relative:page;mso-position-vertical-relative:paragraph;z-index:-253034496" filled="true" fillcolor="#ff00ff" stroked="false">
            <v:fill type="solid"/>
            <w10:wrap type="none"/>
          </v:rect>
        </w:pict>
      </w:r>
      <w:r>
        <w:rPr/>
        <w:pict>
          <v:rect style="position:absolute;margin-left:245.279999pt;margin-top:9.248753pt;width:2.16pt;height:1.68pt;mso-position-horizontal-relative:page;mso-position-vertical-relative:paragraph;z-index:-253033472" filled="true" fillcolor="#ff00ff" stroked="false">
            <v:fill type="solid"/>
            <w10:wrap type="none"/>
          </v:rect>
        </w:pict>
      </w:r>
      <w:r>
        <w:rPr>
          <w:spacing w:val="3"/>
          <w:sz w:val="16"/>
        </w:rPr>
        <w:t>Next</w:t>
      </w:r>
      <w:r>
        <w:rPr>
          <w:spacing w:val="19"/>
          <w:sz w:val="16"/>
        </w:rPr>
        <w:t> </w:t>
      </w:r>
      <w:r>
        <w:rPr>
          <w:spacing w:val="4"/>
          <w:sz w:val="16"/>
        </w:rPr>
        <w:t>Ten</w:t>
      </w:r>
      <w:r>
        <w:rPr>
          <w:spacing w:val="18"/>
          <w:sz w:val="16"/>
        </w:rPr>
        <w:t> </w:t>
      </w:r>
      <w:r>
        <w:rPr>
          <w:spacing w:val="4"/>
          <w:sz w:val="16"/>
        </w:rPr>
        <w:t>Years</w:t>
        <w:tab/>
        <w:t>Next </w:t>
      </w:r>
      <w:r>
        <w:rPr>
          <w:spacing w:val="3"/>
          <w:sz w:val="16"/>
        </w:rPr>
        <w:t>12</w:t>
      </w:r>
      <w:r>
        <w:rPr>
          <w:spacing w:val="-16"/>
          <w:sz w:val="16"/>
        </w:rPr>
        <w:t> </w:t>
      </w:r>
      <w:r>
        <w:rPr>
          <w:spacing w:val="6"/>
          <w:sz w:val="16"/>
        </w:rPr>
        <w:t>Months</w:t>
      </w:r>
    </w:p>
    <w:p>
      <w:pPr>
        <w:pStyle w:val="BodyText"/>
        <w:rPr>
          <w:sz w:val="18"/>
        </w:rPr>
      </w:pPr>
    </w:p>
    <w:p>
      <w:pPr>
        <w:pStyle w:val="BodyText"/>
        <w:rPr>
          <w:sz w:val="18"/>
        </w:rPr>
      </w:pPr>
    </w:p>
    <w:p>
      <w:pPr>
        <w:pStyle w:val="BodyText"/>
        <w:rPr>
          <w:sz w:val="18"/>
        </w:rPr>
      </w:pPr>
    </w:p>
    <w:p>
      <w:pPr>
        <w:pStyle w:val="BodyText"/>
        <w:spacing w:before="3"/>
        <w:rPr>
          <w:sz w:val="23"/>
        </w:rPr>
      </w:pPr>
    </w:p>
    <w:p>
      <w:pPr>
        <w:pStyle w:val="Heading1"/>
      </w:pPr>
      <w:r>
        <w:rPr/>
        <w:t>SECTION B4</w:t>
      </w:r>
    </w:p>
    <w:p>
      <w:pPr>
        <w:spacing w:before="137"/>
        <w:ind w:left="160" w:right="0" w:firstLine="0"/>
        <w:jc w:val="left"/>
        <w:rPr>
          <w:b/>
          <w:sz w:val="24"/>
        </w:rPr>
      </w:pPr>
      <w:r>
        <w:rPr>
          <w:b/>
          <w:sz w:val="24"/>
        </w:rPr>
        <w:t>ARE EARNINGS GROWTH EXPECTATIONS TOO HIGH?</w:t>
      </w:r>
    </w:p>
    <w:p>
      <w:pPr>
        <w:pStyle w:val="BodyText"/>
        <w:rPr>
          <w:b/>
          <w:sz w:val="26"/>
        </w:rPr>
      </w:pPr>
    </w:p>
    <w:p>
      <w:pPr>
        <w:pStyle w:val="BodyText"/>
        <w:spacing w:before="9"/>
        <w:rPr>
          <w:b/>
          <w:sz w:val="21"/>
        </w:rPr>
      </w:pPr>
    </w:p>
    <w:p>
      <w:pPr>
        <w:pStyle w:val="BodyText"/>
        <w:spacing w:line="360" w:lineRule="auto"/>
        <w:ind w:left="160" w:right="170"/>
      </w:pPr>
      <w:r>
        <w:rPr/>
        <w:t>A related concern about possibly </w:t>
      </w:r>
      <w:r>
        <w:rPr>
          <w:spacing w:val="4"/>
        </w:rPr>
        <w:t>over-exuberant </w:t>
      </w:r>
      <w:r>
        <w:rPr/>
        <w:t>expectations is associated with the fact that analysts still expect earnings growth </w:t>
      </w:r>
      <w:r>
        <w:rPr>
          <w:spacing w:val="3"/>
        </w:rPr>
        <w:t>over </w:t>
      </w:r>
      <w:r>
        <w:rPr/>
        <w:t>the next 4 years </w:t>
      </w:r>
      <w:r>
        <w:rPr>
          <w:spacing w:val="3"/>
        </w:rPr>
        <w:t>to </w:t>
      </w:r>
      <w:r>
        <w:rPr/>
        <w:t>average almost 15% pa in nominal terms, </w:t>
      </w:r>
      <w:r>
        <w:rPr>
          <w:spacing w:val="2"/>
        </w:rPr>
        <w:t>or </w:t>
      </w:r>
      <w:r>
        <w:rPr/>
        <w:t>around 12% in real, inflation-adjusted terms. Of course, in the long-term, earnings growth must match GDP growth, and not even the most ardent advocate </w:t>
      </w:r>
      <w:r>
        <w:rPr>
          <w:spacing w:val="2"/>
        </w:rPr>
        <w:t>of </w:t>
      </w:r>
      <w:r>
        <w:rPr/>
        <w:t>the New </w:t>
      </w:r>
      <w:r>
        <w:rPr>
          <w:spacing w:val="2"/>
        </w:rPr>
        <w:t>Economy </w:t>
      </w:r>
      <w:r>
        <w:rPr/>
        <w:t>in the US believes that the economy is likely </w:t>
      </w:r>
      <w:r>
        <w:rPr>
          <w:spacing w:val="3"/>
        </w:rPr>
        <w:t>to </w:t>
      </w:r>
      <w:r>
        <w:rPr/>
        <w:t>grow faster than 4% </w:t>
      </w:r>
      <w:r>
        <w:rPr>
          <w:spacing w:val="4"/>
        </w:rPr>
        <w:t>pa. </w:t>
      </w:r>
      <w:r>
        <w:rPr/>
        <w:t>Historically, since 1875, this </w:t>
      </w:r>
      <w:r>
        <w:rPr>
          <w:spacing w:val="2"/>
        </w:rPr>
        <w:t>rate </w:t>
      </w:r>
      <w:r>
        <w:rPr>
          <w:spacing w:val="3"/>
        </w:rPr>
        <w:t>of </w:t>
      </w:r>
      <w:r>
        <w:rPr>
          <w:spacing w:val="2"/>
        </w:rPr>
        <w:t>real </w:t>
      </w:r>
      <w:r>
        <w:rPr/>
        <w:t>earnings growth </w:t>
      </w:r>
      <w:r>
        <w:rPr>
          <w:spacing w:val="3"/>
        </w:rPr>
        <w:t>of </w:t>
      </w:r>
      <w:r>
        <w:rPr/>
        <w:t>12% pa </w:t>
      </w:r>
      <w:r>
        <w:rPr>
          <w:spacing w:val="3"/>
        </w:rPr>
        <w:t>over </w:t>
      </w:r>
      <w:r>
        <w:rPr/>
        <w:t>a 4-year period has been exceeded </w:t>
      </w:r>
      <w:r>
        <w:rPr>
          <w:spacing w:val="3"/>
        </w:rPr>
        <w:t>only </w:t>
      </w:r>
      <w:r>
        <w:rPr/>
        <w:t>about 10% </w:t>
      </w:r>
      <w:r>
        <w:rPr>
          <w:spacing w:val="2"/>
        </w:rPr>
        <w:t>of </w:t>
      </w:r>
      <w:r>
        <w:rPr/>
        <w:t>the time. Hence, the next 4 years would have </w:t>
      </w:r>
      <w:r>
        <w:rPr>
          <w:spacing w:val="2"/>
        </w:rPr>
        <w:t>to </w:t>
      </w:r>
      <w:r>
        <w:rPr/>
        <w:t>be unusually good in terms </w:t>
      </w:r>
      <w:r>
        <w:rPr>
          <w:spacing w:val="2"/>
        </w:rPr>
        <w:t>of </w:t>
      </w:r>
      <w:r>
        <w:rPr/>
        <w:t>corporate earnings growth in </w:t>
      </w:r>
      <w:r>
        <w:rPr>
          <w:spacing w:val="4"/>
        </w:rPr>
        <w:t>order </w:t>
      </w:r>
      <w:r>
        <w:rPr>
          <w:spacing w:val="3"/>
        </w:rPr>
        <w:t>to </w:t>
      </w:r>
      <w:r>
        <w:rPr/>
        <w:t>match the expectations </w:t>
      </w:r>
      <w:r>
        <w:rPr>
          <w:spacing w:val="2"/>
        </w:rPr>
        <w:t>of </w:t>
      </w:r>
      <w:r>
        <w:rPr/>
        <w:t>analysts. While this is possible, it is not particularly</w:t>
      </w:r>
      <w:r>
        <w:rPr>
          <w:spacing w:val="-6"/>
        </w:rPr>
        <w:t> </w:t>
      </w:r>
      <w:r>
        <w:rPr/>
        <w:t>reassuring</w:t>
      </w:r>
      <w:r>
        <w:rPr>
          <w:spacing w:val="-5"/>
        </w:rPr>
        <w:t> </w:t>
      </w:r>
      <w:r>
        <w:rPr/>
        <w:t>that the</w:t>
      </w:r>
      <w:r>
        <w:rPr>
          <w:spacing w:val="-6"/>
        </w:rPr>
        <w:t> </w:t>
      </w:r>
      <w:r>
        <w:rPr/>
        <w:t>current</w:t>
      </w:r>
      <w:r>
        <w:rPr>
          <w:spacing w:val="-2"/>
        </w:rPr>
        <w:t> </w:t>
      </w:r>
      <w:r>
        <w:rPr>
          <w:spacing w:val="4"/>
        </w:rPr>
        <w:t>optimism</w:t>
      </w:r>
      <w:r>
        <w:rPr>
          <w:spacing w:val="-1"/>
        </w:rPr>
        <w:t> </w:t>
      </w:r>
      <w:r>
        <w:rPr>
          <w:spacing w:val="2"/>
        </w:rPr>
        <w:t>of</w:t>
      </w:r>
      <w:r>
        <w:rPr>
          <w:spacing w:val="-2"/>
        </w:rPr>
        <w:t> </w:t>
      </w:r>
      <w:r>
        <w:rPr/>
        <w:t>stock</w:t>
      </w:r>
      <w:r>
        <w:rPr>
          <w:spacing w:val="-6"/>
        </w:rPr>
        <w:t> </w:t>
      </w:r>
      <w:r>
        <w:rPr/>
        <w:t>market</w:t>
      </w:r>
      <w:r>
        <w:rPr>
          <w:spacing w:val="-2"/>
        </w:rPr>
        <w:t> </w:t>
      </w:r>
      <w:r>
        <w:rPr/>
        <w:t>pundits</w:t>
      </w:r>
      <w:r>
        <w:rPr>
          <w:spacing w:val="-5"/>
        </w:rPr>
        <w:t> </w:t>
      </w:r>
      <w:r>
        <w:rPr/>
        <w:t>is</w:t>
      </w:r>
      <w:r>
        <w:rPr>
          <w:spacing w:val="-6"/>
        </w:rPr>
        <w:t> </w:t>
      </w:r>
      <w:r>
        <w:rPr/>
        <w:t>predicated </w:t>
      </w:r>
      <w:r>
        <w:rPr>
          <w:spacing w:val="2"/>
        </w:rPr>
        <w:t>on </w:t>
      </w:r>
      <w:r>
        <w:rPr/>
        <w:t>a high decile </w:t>
      </w:r>
      <w:r>
        <w:rPr>
          <w:spacing w:val="4"/>
        </w:rPr>
        <w:t>outcome. </w:t>
      </w:r>
      <w:r>
        <w:rPr/>
        <w:t>Actually, the estimate </w:t>
      </w:r>
      <w:r>
        <w:rPr>
          <w:spacing w:val="2"/>
        </w:rPr>
        <w:t>of </w:t>
      </w:r>
      <w:r>
        <w:rPr/>
        <w:t>the current ERP </w:t>
      </w:r>
      <w:r>
        <w:rPr>
          <w:spacing w:val="2"/>
        </w:rPr>
        <w:t>of </w:t>
      </w:r>
      <w:r>
        <w:rPr/>
        <w:t>2.7% derived in</w:t>
      </w:r>
      <w:r>
        <w:rPr>
          <w:spacing w:val="-4"/>
        </w:rPr>
        <w:t> </w:t>
      </w:r>
      <w:r>
        <w:rPr/>
        <w:t>Section</w:t>
      </w:r>
      <w:r>
        <w:rPr>
          <w:spacing w:val="-2"/>
        </w:rPr>
        <w:t> </w:t>
      </w:r>
      <w:r>
        <w:rPr/>
        <w:t>B2</w:t>
      </w:r>
      <w:r>
        <w:rPr>
          <w:spacing w:val="-4"/>
        </w:rPr>
        <w:t> </w:t>
      </w:r>
      <w:r>
        <w:rPr/>
        <w:t>above</w:t>
      </w:r>
      <w:r>
        <w:rPr>
          <w:spacing w:val="-3"/>
        </w:rPr>
        <w:t> </w:t>
      </w:r>
      <w:r>
        <w:rPr/>
        <w:t>is</w:t>
      </w:r>
      <w:r>
        <w:rPr>
          <w:spacing w:val="-3"/>
        </w:rPr>
        <w:t> </w:t>
      </w:r>
      <w:r>
        <w:rPr/>
        <w:t>based</w:t>
      </w:r>
      <w:r>
        <w:rPr>
          <w:spacing w:val="-3"/>
        </w:rPr>
        <w:t> </w:t>
      </w:r>
      <w:r>
        <w:rPr>
          <w:spacing w:val="2"/>
        </w:rPr>
        <w:t>on</w:t>
      </w:r>
      <w:r>
        <w:rPr/>
        <w:t> a</w:t>
      </w:r>
      <w:r>
        <w:rPr>
          <w:spacing w:val="-4"/>
        </w:rPr>
        <w:t> </w:t>
      </w:r>
      <w:r>
        <w:rPr/>
        <w:t>3-stage</w:t>
      </w:r>
      <w:r>
        <w:rPr>
          <w:spacing w:val="-3"/>
        </w:rPr>
        <w:t> </w:t>
      </w:r>
      <w:r>
        <w:rPr/>
        <w:t>DDM</w:t>
      </w:r>
      <w:r>
        <w:rPr>
          <w:spacing w:val="-3"/>
        </w:rPr>
        <w:t> </w:t>
      </w:r>
      <w:r>
        <w:rPr/>
        <w:t>where</w:t>
      </w:r>
      <w:r>
        <w:rPr>
          <w:spacing w:val="-3"/>
        </w:rPr>
        <w:t> </w:t>
      </w:r>
      <w:r>
        <w:rPr/>
        <w:t>real</w:t>
      </w:r>
      <w:r>
        <w:rPr>
          <w:spacing w:val="-3"/>
        </w:rPr>
        <w:t> </w:t>
      </w:r>
      <w:r>
        <w:rPr/>
        <w:t>earnings</w:t>
      </w:r>
      <w:r>
        <w:rPr>
          <w:spacing w:val="-3"/>
        </w:rPr>
        <w:t> </w:t>
      </w:r>
      <w:r>
        <w:rPr/>
        <w:t>growth</w:t>
      </w:r>
      <w:r>
        <w:rPr>
          <w:spacing w:val="-4"/>
        </w:rPr>
        <w:t> </w:t>
      </w:r>
      <w:r>
        <w:rPr>
          <w:spacing w:val="3"/>
        </w:rPr>
        <w:t>only</w:t>
      </w:r>
      <w:r>
        <w:rPr>
          <w:spacing w:val="1"/>
        </w:rPr>
        <w:t> </w:t>
      </w:r>
      <w:r>
        <w:rPr/>
        <w:t>falls gradually from </w:t>
      </w:r>
      <w:r>
        <w:rPr>
          <w:spacing w:val="2"/>
        </w:rPr>
        <w:t>its </w:t>
      </w:r>
      <w:r>
        <w:rPr/>
        <w:t>elevated level </w:t>
      </w:r>
      <w:r>
        <w:rPr>
          <w:spacing w:val="4"/>
        </w:rPr>
        <w:t>over </w:t>
      </w:r>
      <w:r>
        <w:rPr/>
        <w:t>the next 4 years. I have implicitly assumed an average growth rate </w:t>
      </w:r>
      <w:r>
        <w:rPr>
          <w:spacing w:val="2"/>
        </w:rPr>
        <w:t>of </w:t>
      </w:r>
      <w:r>
        <w:rPr/>
        <w:t>real earnings </w:t>
      </w:r>
      <w:r>
        <w:rPr>
          <w:spacing w:val="2"/>
        </w:rPr>
        <w:t>of </w:t>
      </w:r>
      <w:r>
        <w:rPr/>
        <w:t>around 8.2% pa </w:t>
      </w:r>
      <w:r>
        <w:rPr>
          <w:spacing w:val="3"/>
        </w:rPr>
        <w:t>over </w:t>
      </w:r>
      <w:r>
        <w:rPr/>
        <w:t>the next 12 years. Yet, as Figure 10 shows, this has been a very unusual event </w:t>
      </w:r>
      <w:r>
        <w:rPr>
          <w:spacing w:val="3"/>
        </w:rPr>
        <w:t>over </w:t>
      </w:r>
      <w:r>
        <w:rPr/>
        <w:t>the last 125</w:t>
      </w:r>
      <w:r>
        <w:rPr>
          <w:spacing w:val="-17"/>
        </w:rPr>
        <w:t> </w:t>
      </w:r>
      <w:r>
        <w:rPr/>
        <w:t>years.</w:t>
      </w:r>
    </w:p>
    <w:p>
      <w:pPr>
        <w:spacing w:after="0" w:line="360" w:lineRule="auto"/>
        <w:sectPr>
          <w:type w:val="continuous"/>
          <w:pgSz w:w="11900" w:h="16840"/>
          <w:pgMar w:top="1180" w:bottom="280" w:left="1640" w:right="1680"/>
        </w:sectPr>
      </w:pPr>
    </w:p>
    <w:p>
      <w:pPr>
        <w:pStyle w:val="BodyText"/>
        <w:spacing w:line="360" w:lineRule="auto" w:before="73"/>
        <w:ind w:left="160" w:right="443" w:hanging="1"/>
      </w:pPr>
      <w:r>
        <w:rPr/>
        <w:t>Specifically, this rate of earnings growth has only been exceeded around 1% of the time.</w:t>
      </w:r>
      <w:r>
        <w:rPr>
          <w:vertAlign w:val="superscript"/>
        </w:rPr>
        <w:t>14</w:t>
      </w:r>
    </w:p>
    <w:p>
      <w:pPr>
        <w:pStyle w:val="BodyText"/>
        <w:spacing w:before="6"/>
        <w:rPr>
          <w:sz w:val="36"/>
        </w:rPr>
      </w:pPr>
    </w:p>
    <w:p>
      <w:pPr>
        <w:pStyle w:val="Heading1"/>
      </w:pPr>
      <w:r>
        <w:rPr/>
        <w:t>FIGURE 10</w:t>
      </w:r>
    </w:p>
    <w:p>
      <w:pPr>
        <w:pStyle w:val="BodyText"/>
        <w:spacing w:before="7"/>
        <w:rPr>
          <w:b/>
          <w:sz w:val="16"/>
        </w:rPr>
      </w:pPr>
    </w:p>
    <w:p>
      <w:pPr>
        <w:spacing w:after="0"/>
        <w:rPr>
          <w:sz w:val="16"/>
        </w:rPr>
        <w:sectPr>
          <w:pgSz w:w="11900" w:h="16840"/>
          <w:pgMar w:header="0" w:footer="782" w:top="1360" w:bottom="980" w:left="1640" w:right="1680"/>
        </w:sectPr>
      </w:pPr>
    </w:p>
    <w:p>
      <w:pPr>
        <w:spacing w:line="276" w:lineRule="auto" w:before="90"/>
        <w:ind w:left="400" w:right="-9" w:firstLine="0"/>
        <w:jc w:val="left"/>
        <w:rPr>
          <w:b/>
          <w:sz w:val="24"/>
        </w:rPr>
      </w:pPr>
      <w:r>
        <w:rPr/>
        <w:drawing>
          <wp:anchor distT="0" distB="0" distL="0" distR="0" allowOverlap="1" layoutInCell="1" locked="0" behindDoc="1" simplePos="0" relativeHeight="250285056">
            <wp:simplePos x="0" y="0"/>
            <wp:positionH relativeFrom="page">
              <wp:posOffset>1313688</wp:posOffset>
            </wp:positionH>
            <wp:positionV relativeFrom="paragraph">
              <wp:posOffset>316777</wp:posOffset>
            </wp:positionV>
            <wp:extent cx="2555748" cy="1868424"/>
            <wp:effectExtent l="0" t="0" r="0" b="0"/>
            <wp:wrapNone/>
            <wp:docPr id="3" name="image20.png"/>
            <wp:cNvGraphicFramePr>
              <a:graphicFrameLocks noChangeAspect="1"/>
            </wp:cNvGraphicFramePr>
            <a:graphic>
              <a:graphicData uri="http://schemas.openxmlformats.org/drawingml/2006/picture">
                <pic:pic>
                  <pic:nvPicPr>
                    <pic:cNvPr id="4" name="image20.png"/>
                    <pic:cNvPicPr/>
                  </pic:nvPicPr>
                  <pic:blipFill>
                    <a:blip r:embed="rId28" cstate="print"/>
                    <a:stretch>
                      <a:fillRect/>
                    </a:stretch>
                  </pic:blipFill>
                  <pic:spPr>
                    <a:xfrm>
                      <a:off x="0" y="0"/>
                      <a:ext cx="2555748" cy="1868424"/>
                    </a:xfrm>
                    <a:prstGeom prst="rect">
                      <a:avLst/>
                    </a:prstGeom>
                  </pic:spPr>
                </pic:pic>
              </a:graphicData>
            </a:graphic>
          </wp:anchor>
        </w:drawing>
      </w:r>
      <w:r>
        <w:rPr>
          <w:b/>
          <w:spacing w:val="-3"/>
          <w:sz w:val="24"/>
        </w:rPr>
        <w:t>Real Earnings </w:t>
      </w:r>
      <w:r>
        <w:rPr>
          <w:b/>
          <w:spacing w:val="-6"/>
          <w:sz w:val="24"/>
        </w:rPr>
        <w:t>Growth</w:t>
      </w:r>
      <w:r>
        <w:rPr>
          <w:b/>
          <w:spacing w:val="-34"/>
          <w:sz w:val="24"/>
        </w:rPr>
        <w:t> </w:t>
      </w:r>
      <w:r>
        <w:rPr>
          <w:b/>
          <w:sz w:val="24"/>
        </w:rPr>
        <w:t>(12-year Average </w:t>
      </w:r>
      <w:r>
        <w:rPr>
          <w:b/>
          <w:spacing w:val="-5"/>
          <w:sz w:val="24"/>
        </w:rPr>
        <w:t>Growth </w:t>
      </w:r>
      <w:r>
        <w:rPr>
          <w:b/>
          <w:sz w:val="24"/>
        </w:rPr>
        <w:t>Rate)</w:t>
      </w:r>
    </w:p>
    <w:p>
      <w:pPr>
        <w:spacing w:before="194"/>
        <w:ind w:left="2319" w:right="0" w:firstLine="0"/>
        <w:jc w:val="left"/>
        <w:rPr>
          <w:sz w:val="16"/>
        </w:rPr>
      </w:pPr>
      <w:r>
        <w:rPr>
          <w:w w:val="105"/>
          <w:sz w:val="16"/>
        </w:rPr>
        <w:t>Growth=8.2%</w:t>
      </w:r>
    </w:p>
    <w:p>
      <w:pPr>
        <w:pStyle w:val="BodyText"/>
        <w:rPr>
          <w:sz w:val="18"/>
        </w:rPr>
      </w:pPr>
      <w:r>
        <w:rPr/>
        <w:br w:type="column"/>
      </w:r>
      <w:r>
        <w:rPr>
          <w:sz w:val="18"/>
        </w:rPr>
      </w:r>
    </w:p>
    <w:p>
      <w:pPr>
        <w:pStyle w:val="BodyText"/>
        <w:spacing w:before="4"/>
        <w:rPr>
          <w:sz w:val="16"/>
        </w:rPr>
      </w:pPr>
    </w:p>
    <w:p>
      <w:pPr>
        <w:spacing w:line="159" w:lineRule="exact" w:before="0"/>
        <w:ind w:left="956" w:right="0" w:firstLine="0"/>
        <w:jc w:val="left"/>
        <w:rPr>
          <w:sz w:val="16"/>
        </w:rPr>
      </w:pPr>
      <w:r>
        <w:rPr>
          <w:w w:val="105"/>
          <w:sz w:val="16"/>
        </w:rPr>
        <w:t>15</w:t>
      </w:r>
    </w:p>
    <w:p>
      <w:pPr>
        <w:spacing w:line="159" w:lineRule="exact" w:before="0"/>
        <w:ind w:left="116" w:right="0" w:firstLine="0"/>
        <w:jc w:val="left"/>
        <w:rPr>
          <w:sz w:val="16"/>
        </w:rPr>
      </w:pPr>
      <w:r>
        <w:rPr>
          <w:sz w:val="16"/>
        </w:rPr>
        <w:t>Percent</w:t>
      </w:r>
    </w:p>
    <w:p>
      <w:pPr>
        <w:pStyle w:val="BodyText"/>
        <w:spacing w:before="4"/>
        <w:rPr>
          <w:sz w:val="15"/>
        </w:rPr>
      </w:pPr>
    </w:p>
    <w:p>
      <w:pPr>
        <w:spacing w:before="0"/>
        <w:ind w:left="956" w:right="0" w:firstLine="0"/>
        <w:jc w:val="left"/>
        <w:rPr>
          <w:sz w:val="16"/>
        </w:rPr>
      </w:pPr>
      <w:r>
        <w:rPr>
          <w:w w:val="105"/>
          <w:sz w:val="16"/>
        </w:rPr>
        <w:t>10</w:t>
      </w:r>
    </w:p>
    <w:p>
      <w:pPr>
        <w:spacing w:after="0"/>
        <w:jc w:val="left"/>
        <w:rPr>
          <w:sz w:val="16"/>
        </w:rPr>
        <w:sectPr>
          <w:type w:val="continuous"/>
          <w:pgSz w:w="11900" w:h="16840"/>
          <w:pgMar w:top="1180" w:bottom="280" w:left="1640" w:right="1680"/>
          <w:cols w:num="2" w:equalWidth="0">
            <w:col w:w="3532" w:space="40"/>
            <w:col w:w="5008"/>
          </w:cols>
        </w:sectPr>
      </w:pPr>
    </w:p>
    <w:p>
      <w:pPr>
        <w:pStyle w:val="BodyText"/>
        <w:spacing w:before="8"/>
        <w:rPr>
          <w:sz w:val="14"/>
        </w:rPr>
      </w:pPr>
    </w:p>
    <w:p>
      <w:pPr>
        <w:spacing w:before="98"/>
        <w:ind w:left="558" w:right="0" w:firstLine="0"/>
        <w:jc w:val="center"/>
        <w:rPr>
          <w:sz w:val="16"/>
        </w:rPr>
      </w:pPr>
      <w:r>
        <w:rPr>
          <w:w w:val="103"/>
          <w:sz w:val="16"/>
        </w:rPr>
        <w:t>5</w:t>
      </w:r>
    </w:p>
    <w:p>
      <w:pPr>
        <w:pStyle w:val="BodyText"/>
        <w:spacing w:before="5"/>
        <w:rPr>
          <w:sz w:val="18"/>
        </w:rPr>
      </w:pPr>
    </w:p>
    <w:p>
      <w:pPr>
        <w:spacing w:before="98"/>
        <w:ind w:left="558" w:right="0" w:firstLine="0"/>
        <w:jc w:val="center"/>
        <w:rPr>
          <w:sz w:val="16"/>
        </w:rPr>
      </w:pPr>
      <w:r>
        <w:rPr>
          <w:w w:val="103"/>
          <w:sz w:val="16"/>
        </w:rPr>
        <w:t>0</w:t>
      </w:r>
    </w:p>
    <w:p>
      <w:pPr>
        <w:pStyle w:val="BodyText"/>
        <w:spacing w:before="6"/>
        <w:rPr>
          <w:sz w:val="18"/>
        </w:rPr>
      </w:pPr>
    </w:p>
    <w:p>
      <w:pPr>
        <w:spacing w:before="98"/>
        <w:ind w:left="4338" w:right="3723" w:firstLine="0"/>
        <w:jc w:val="center"/>
        <w:rPr>
          <w:sz w:val="16"/>
        </w:rPr>
      </w:pPr>
      <w:r>
        <w:rPr>
          <w:w w:val="105"/>
          <w:sz w:val="16"/>
        </w:rPr>
        <w:t>-5</w:t>
      </w:r>
    </w:p>
    <w:p>
      <w:pPr>
        <w:pStyle w:val="BodyText"/>
        <w:spacing w:before="2"/>
        <w:rPr>
          <w:sz w:val="17"/>
        </w:rPr>
      </w:pPr>
    </w:p>
    <w:p>
      <w:pPr>
        <w:spacing w:before="98"/>
        <w:ind w:left="4354" w:right="3648" w:firstLine="0"/>
        <w:jc w:val="center"/>
        <w:rPr>
          <w:sz w:val="16"/>
        </w:rPr>
      </w:pPr>
      <w:r>
        <w:rPr>
          <w:spacing w:val="3"/>
          <w:w w:val="105"/>
          <w:sz w:val="16"/>
        </w:rPr>
        <w:t>-10</w:t>
      </w:r>
    </w:p>
    <w:p>
      <w:pPr>
        <w:pStyle w:val="BodyText"/>
        <w:spacing w:before="6"/>
        <w:rPr>
          <w:sz w:val="18"/>
        </w:rPr>
      </w:pPr>
    </w:p>
    <w:p>
      <w:pPr>
        <w:spacing w:before="98"/>
        <w:ind w:left="4354" w:right="3648" w:firstLine="0"/>
        <w:jc w:val="center"/>
        <w:rPr>
          <w:sz w:val="16"/>
        </w:rPr>
      </w:pPr>
      <w:r>
        <w:rPr>
          <w:spacing w:val="3"/>
          <w:w w:val="105"/>
          <w:sz w:val="16"/>
        </w:rPr>
        <w:t>-15</w:t>
      </w:r>
    </w:p>
    <w:p>
      <w:pPr>
        <w:tabs>
          <w:tab w:pos="657" w:val="left" w:leader="none"/>
          <w:tab w:pos="1334" w:val="left" w:leader="none"/>
          <w:tab w:pos="1996" w:val="left" w:leader="none"/>
          <w:tab w:pos="2668" w:val="left" w:leader="none"/>
          <w:tab w:pos="3331" w:val="left" w:leader="none"/>
        </w:tabs>
        <w:spacing w:before="56"/>
        <w:ind w:left="0" w:right="4365" w:firstLine="0"/>
        <w:jc w:val="center"/>
        <w:rPr>
          <w:sz w:val="16"/>
        </w:rPr>
      </w:pPr>
      <w:r>
        <w:rPr>
          <w:spacing w:val="3"/>
          <w:w w:val="105"/>
          <w:sz w:val="16"/>
        </w:rPr>
        <w:t>1883</w:t>
        <w:tab/>
      </w:r>
      <w:r>
        <w:rPr>
          <w:spacing w:val="4"/>
          <w:w w:val="105"/>
          <w:sz w:val="16"/>
        </w:rPr>
        <w:t>1903</w:t>
        <w:tab/>
      </w:r>
      <w:r>
        <w:rPr>
          <w:spacing w:val="3"/>
          <w:w w:val="105"/>
          <w:sz w:val="16"/>
        </w:rPr>
        <w:t>1923</w:t>
        <w:tab/>
        <w:t>1943</w:t>
        <w:tab/>
      </w:r>
      <w:r>
        <w:rPr>
          <w:spacing w:val="4"/>
          <w:w w:val="105"/>
          <w:sz w:val="16"/>
        </w:rPr>
        <w:t>1963</w:t>
        <w:tab/>
      </w:r>
      <w:r>
        <w:rPr>
          <w:spacing w:val="5"/>
          <w:w w:val="105"/>
          <w:sz w:val="16"/>
        </w:rPr>
        <w:t>1983</w:t>
      </w:r>
    </w:p>
    <w:p>
      <w:pPr>
        <w:pStyle w:val="BodyText"/>
        <w:rPr>
          <w:sz w:val="20"/>
        </w:rPr>
      </w:pPr>
    </w:p>
    <w:p>
      <w:pPr>
        <w:pStyle w:val="BodyText"/>
        <w:rPr>
          <w:sz w:val="20"/>
        </w:rPr>
      </w:pPr>
    </w:p>
    <w:p>
      <w:pPr>
        <w:pStyle w:val="BodyText"/>
        <w:rPr>
          <w:sz w:val="20"/>
        </w:rPr>
      </w:pPr>
    </w:p>
    <w:p>
      <w:pPr>
        <w:pStyle w:val="BodyText"/>
        <w:spacing w:before="11"/>
        <w:rPr>
          <w:sz w:val="16"/>
        </w:rPr>
      </w:pPr>
    </w:p>
    <w:p>
      <w:pPr>
        <w:pStyle w:val="BodyText"/>
        <w:spacing w:line="360" w:lineRule="auto" w:before="90"/>
        <w:ind w:left="159"/>
      </w:pPr>
      <w:r>
        <w:rPr/>
        <w:t>We also discussed before (in Section A) that expectations for a vigorous profits recovery in 2002 are threatened by a combination of little pricing power and positive unit labour cost growth.</w:t>
      </w:r>
    </w:p>
    <w:p>
      <w:pPr>
        <w:pStyle w:val="BodyText"/>
        <w:spacing w:before="5"/>
        <w:rPr>
          <w:sz w:val="36"/>
        </w:rPr>
      </w:pPr>
    </w:p>
    <w:p>
      <w:pPr>
        <w:pStyle w:val="Heading1"/>
        <w:ind w:left="159"/>
      </w:pPr>
      <w:r>
        <w:rPr/>
        <w:t>SECTION B5</w:t>
      </w:r>
    </w:p>
    <w:p>
      <w:pPr>
        <w:spacing w:line="242" w:lineRule="auto" w:before="137"/>
        <w:ind w:left="159" w:right="0" w:firstLine="0"/>
        <w:jc w:val="left"/>
        <w:rPr>
          <w:b/>
          <w:sz w:val="24"/>
        </w:rPr>
      </w:pPr>
      <w:r>
        <w:rPr>
          <w:b/>
          <w:sz w:val="24"/>
        </w:rPr>
        <w:t>THE LINK BETWEEN INFLATION AND THE P/E RATIO MIGHT BE UNRELIABLE</w:t>
      </w:r>
    </w:p>
    <w:p>
      <w:pPr>
        <w:pStyle w:val="BodyText"/>
        <w:spacing w:before="11"/>
        <w:rPr>
          <w:b/>
          <w:sz w:val="34"/>
        </w:rPr>
      </w:pPr>
    </w:p>
    <w:p>
      <w:pPr>
        <w:pStyle w:val="BodyText"/>
        <w:spacing w:line="360" w:lineRule="auto"/>
        <w:ind w:left="159" w:right="149"/>
      </w:pPr>
      <w:r>
        <w:rPr/>
        <w:t>Wall Street strategists typically justify the current level of the P/E ratio in the US by appealing to the evidence that, at least over the last 30 years, lower inflation appears to have been associated with higher P/E ratios. Equivalently, the ERP appears to have been positively correlated with inflation.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2"/>
        </w:rPr>
      </w:pPr>
      <w:r>
        <w:rPr/>
        <w:pict>
          <v:shape style="position:absolute;margin-left:90pt;margin-top:9.218349pt;width:144pt;height:.1pt;mso-position-horizontal-relative:page;mso-position-vertical-relative:paragraph;z-index:-251603968;mso-wrap-distance-left:0;mso-wrap-distance-right:0" coordorigin="1800,184" coordsize="2880,0" path="m1800,184l4680,184e" filled="false" stroked="true" strokeweight=".48pt" strokecolor="#000000">
            <v:path arrowok="t"/>
            <v:stroke dashstyle="solid"/>
            <w10:wrap type="topAndBottom"/>
          </v:shape>
        </w:pict>
      </w:r>
    </w:p>
    <w:p>
      <w:pPr>
        <w:spacing w:before="47"/>
        <w:ind w:left="160" w:right="153" w:firstLine="0"/>
        <w:jc w:val="left"/>
        <w:rPr>
          <w:sz w:val="20"/>
        </w:rPr>
      </w:pPr>
      <w:r>
        <w:rPr>
          <w:position w:val="9"/>
          <w:sz w:val="13"/>
        </w:rPr>
        <w:t>14 </w:t>
      </w:r>
      <w:r>
        <w:rPr>
          <w:sz w:val="20"/>
        </w:rPr>
        <w:t>Some may want to argue that these earnings forecasts are not truly believed by the market. If so, this would imply that the level of the ERP is rather lower than the current estimate of 2.7%, and might still imply that the market was “overvalued” unless one also thought that the appropriate equilibrium ERP was very low.</w:t>
      </w:r>
    </w:p>
    <w:p>
      <w:pPr>
        <w:spacing w:after="0"/>
        <w:jc w:val="left"/>
        <w:rPr>
          <w:sz w:val="20"/>
        </w:rPr>
        <w:sectPr>
          <w:type w:val="continuous"/>
          <w:pgSz w:w="11900" w:h="16840"/>
          <w:pgMar w:top="1180" w:bottom="280" w:left="1640" w:right="1680"/>
        </w:sectPr>
      </w:pPr>
    </w:p>
    <w:p>
      <w:pPr>
        <w:pStyle w:val="BodyText"/>
        <w:spacing w:line="360" w:lineRule="auto" w:before="73"/>
        <w:ind w:left="160" w:right="126"/>
      </w:pPr>
      <w:r>
        <w:rPr/>
        <w:t>A significant problem associated with relying on this relationship is that it is not stable over time. In an earlier paper,</w:t>
      </w:r>
      <w:r>
        <w:rPr>
          <w:vertAlign w:val="superscript"/>
        </w:rPr>
        <w:t>15</w:t>
      </w:r>
      <w:r>
        <w:rPr>
          <w:vertAlign w:val="baseline"/>
        </w:rPr>
        <w:t> I report evidence using 3 centuries of UK data suggesting that over the 1705-1949 period, the correlation between inflation and stock returns was the opposite sign of the post-1950 correlation. Similarly, in Japan, the post-1992 correlation has also switched signs relative to what prevailed before.</w:t>
      </w:r>
    </w:p>
    <w:p>
      <w:pPr>
        <w:pStyle w:val="BodyText"/>
        <w:spacing w:before="3"/>
        <w:rPr>
          <w:sz w:val="36"/>
        </w:rPr>
      </w:pPr>
    </w:p>
    <w:p>
      <w:pPr>
        <w:pStyle w:val="BodyText"/>
        <w:spacing w:line="360" w:lineRule="auto"/>
        <w:ind w:left="160"/>
      </w:pPr>
      <w:r>
        <w:rPr/>
        <w:t>In Japan, the failure of the economy to recover convincingly, associated with fears relating to deflation implied that lower interest rates no longer stimulated higher share prices. Some commentators believe that there is some risk that the same might eventually occur in the context of the US stock market.</w:t>
      </w:r>
    </w:p>
    <w:p>
      <w:pPr>
        <w:pStyle w:val="BodyText"/>
        <w:spacing w:before="3"/>
        <w:rPr>
          <w:sz w:val="36"/>
        </w:rPr>
      </w:pPr>
    </w:p>
    <w:p>
      <w:pPr>
        <w:pStyle w:val="Heading1"/>
        <w:spacing w:before="1"/>
      </w:pPr>
      <w:r>
        <w:rPr/>
        <w:t>SECTION B6</w:t>
      </w:r>
    </w:p>
    <w:p>
      <w:pPr>
        <w:spacing w:before="136"/>
        <w:ind w:left="160" w:right="0" w:firstLine="0"/>
        <w:jc w:val="left"/>
        <w:rPr>
          <w:b/>
          <w:sz w:val="24"/>
        </w:rPr>
      </w:pPr>
      <w:r>
        <w:rPr>
          <w:b/>
          <w:sz w:val="24"/>
        </w:rPr>
        <w:t>SOME TENTATIVE CONCLUSIONS</w:t>
      </w:r>
    </w:p>
    <w:p>
      <w:pPr>
        <w:pStyle w:val="BodyText"/>
        <w:rPr>
          <w:b/>
          <w:sz w:val="26"/>
        </w:rPr>
      </w:pPr>
    </w:p>
    <w:p>
      <w:pPr>
        <w:pStyle w:val="BodyText"/>
        <w:spacing w:before="9"/>
        <w:rPr>
          <w:b/>
          <w:sz w:val="21"/>
        </w:rPr>
      </w:pPr>
    </w:p>
    <w:p>
      <w:pPr>
        <w:pStyle w:val="BodyText"/>
        <w:spacing w:line="360" w:lineRule="auto" w:before="1"/>
        <w:ind w:left="160" w:right="153"/>
      </w:pPr>
      <w:r>
        <w:rPr/>
        <w:t>Although global stock markets are down significantly over the past 18 months, it is not, as yet, possible to assert that all the previous “excesses” have been purged.</w:t>
      </w:r>
    </w:p>
    <w:p>
      <w:pPr>
        <w:pStyle w:val="BodyText"/>
        <w:spacing w:line="360" w:lineRule="auto"/>
        <w:ind w:left="160"/>
      </w:pPr>
      <w:r>
        <w:rPr/>
        <w:t>Current valuations still appear to be predicated on estimates of medium-term earnings growth which, while not impossible, only occur infrequently. Individual investors appear to still have an unrealistic expectation of future, long-term equity returns.</w:t>
      </w:r>
    </w:p>
    <w:p>
      <w:pPr>
        <w:pStyle w:val="BodyText"/>
        <w:spacing w:before="9"/>
        <w:rPr>
          <w:sz w:val="35"/>
        </w:rPr>
      </w:pPr>
    </w:p>
    <w:p>
      <w:pPr>
        <w:pStyle w:val="BodyText"/>
        <w:spacing w:line="360" w:lineRule="auto"/>
        <w:ind w:left="160" w:right="194"/>
      </w:pPr>
      <w:r>
        <w:rPr/>
        <w:t>However, none of these “excesses” are necessarily inconsistent with a significant move up in equity prices over the next few months if, say, clear signs of an economic recovery do emerge. It behoves us to recall the fact that equities rallied by almost 60% over the subsequent 17 months from the lows reached in October 1998, even though levels of the ERP and long-term earnings expectations were not significantly different from today. Valuation considerations only matter on a longer-term basis.</w:t>
      </w:r>
    </w:p>
    <w:p>
      <w:pPr>
        <w:pStyle w:val="BodyText"/>
        <w:spacing w:line="360" w:lineRule="auto" w:before="3"/>
        <w:ind w:left="160" w:right="309"/>
      </w:pPr>
      <w:r>
        <w:rPr/>
        <w:t>An economic recovery that brought forth a significant bounce in profits and share prices is unlikely </w:t>
      </w:r>
      <w:r>
        <w:rPr>
          <w:spacing w:val="3"/>
        </w:rPr>
        <w:t>to </w:t>
      </w:r>
      <w:r>
        <w:rPr/>
        <w:t>lead anyone </w:t>
      </w:r>
      <w:r>
        <w:rPr>
          <w:spacing w:val="3"/>
        </w:rPr>
        <w:t>to </w:t>
      </w:r>
      <w:r>
        <w:rPr/>
        <w:t>question their current, longer-term expectations about earnings and equity returns. Also, if the military campaign were </w:t>
      </w:r>
      <w:r>
        <w:rPr>
          <w:spacing w:val="3"/>
        </w:rPr>
        <w:t>to </w:t>
      </w:r>
      <w:r>
        <w:rPr/>
        <w:t>be seen </w:t>
      </w:r>
      <w:r>
        <w:rPr>
          <w:spacing w:val="3"/>
        </w:rPr>
        <w:t>to </w:t>
      </w:r>
      <w:r>
        <w:rPr/>
        <w:t>be continuing </w:t>
      </w:r>
      <w:r>
        <w:rPr>
          <w:spacing w:val="3"/>
        </w:rPr>
        <w:t>to </w:t>
      </w:r>
      <w:r>
        <w:rPr/>
        <w:t>be proceeding well, equity markets and business confidence could </w:t>
      </w:r>
      <w:r>
        <w:rPr>
          <w:spacing w:val="3"/>
        </w:rPr>
        <w:t>recover</w:t>
      </w:r>
      <w:r>
        <w:rPr>
          <w:spacing w:val="5"/>
        </w:rPr>
        <w:t> </w:t>
      </w:r>
      <w:r>
        <w:rPr>
          <w:spacing w:val="2"/>
        </w:rPr>
        <w:t>significantly.</w:t>
      </w:r>
    </w:p>
    <w:p>
      <w:pPr>
        <w:pStyle w:val="BodyText"/>
        <w:rPr>
          <w:sz w:val="20"/>
        </w:rPr>
      </w:pPr>
    </w:p>
    <w:p>
      <w:pPr>
        <w:pStyle w:val="BodyText"/>
        <w:rPr>
          <w:sz w:val="20"/>
        </w:rPr>
      </w:pPr>
    </w:p>
    <w:p>
      <w:pPr>
        <w:pStyle w:val="BodyText"/>
        <w:spacing w:before="4"/>
      </w:pPr>
      <w:r>
        <w:rPr/>
        <w:pict>
          <v:shape style="position:absolute;margin-left:90pt;margin-top:16.225761pt;width:144pt;height:.1pt;mso-position-horizontal-relative:page;mso-position-vertical-relative:paragraph;z-index:-251601920;mso-wrap-distance-left:0;mso-wrap-distance-right:0" coordorigin="1800,325" coordsize="2880,0" path="m1800,325l4680,325e" filled="false" stroked="true" strokeweight=".48pt" strokecolor="#000000">
            <v:path arrowok="t"/>
            <v:stroke dashstyle="solid"/>
            <w10:wrap type="topAndBottom"/>
          </v:shape>
        </w:pict>
      </w:r>
    </w:p>
    <w:p>
      <w:pPr>
        <w:spacing w:before="47"/>
        <w:ind w:left="160" w:right="0" w:firstLine="0"/>
        <w:jc w:val="left"/>
        <w:rPr>
          <w:sz w:val="20"/>
        </w:rPr>
      </w:pPr>
      <w:r>
        <w:rPr>
          <w:position w:val="9"/>
          <w:sz w:val="13"/>
        </w:rPr>
        <w:t>15  </w:t>
      </w:r>
      <w:r>
        <w:rPr>
          <w:sz w:val="20"/>
        </w:rPr>
        <w:t>See Wadhwani</w:t>
      </w:r>
      <w:r>
        <w:rPr>
          <w:spacing w:val="-21"/>
          <w:sz w:val="20"/>
        </w:rPr>
        <w:t> </w:t>
      </w:r>
      <w:r>
        <w:rPr>
          <w:sz w:val="20"/>
        </w:rPr>
        <w:t>(1999).</w:t>
      </w:r>
    </w:p>
    <w:p>
      <w:pPr>
        <w:spacing w:after="0"/>
        <w:jc w:val="left"/>
        <w:rPr>
          <w:sz w:val="20"/>
        </w:rPr>
        <w:sectPr>
          <w:pgSz w:w="11900" w:h="16840"/>
          <w:pgMar w:header="0" w:footer="782" w:top="1360" w:bottom="980" w:left="1640" w:right="1680"/>
        </w:sectPr>
      </w:pPr>
    </w:p>
    <w:p>
      <w:pPr>
        <w:pStyle w:val="BodyText"/>
        <w:spacing w:line="360" w:lineRule="auto" w:before="73"/>
        <w:ind w:left="160" w:right="153"/>
      </w:pPr>
      <w:r>
        <w:rPr/>
        <w:t>If, on the other hand, for whatever reason, the recovery is delayed further, then we might see a valuation adjustment as investors come to re-evaluate their expectations about longer-term earnings growth and returns. Recall that, earlier this year, we have already had two failed rallies (January, and April-May) in the expectation of a recovery. When it appeared that the economy was actually getting weaker, the stock market fell significantly, and provided further downward impetus to the economy.</w:t>
      </w:r>
    </w:p>
    <w:p>
      <w:pPr>
        <w:pStyle w:val="BodyText"/>
        <w:spacing w:line="360" w:lineRule="auto" w:before="3"/>
        <w:ind w:left="160" w:right="195"/>
      </w:pPr>
      <w:r>
        <w:rPr/>
        <w:t>Hence, were the US economy to not recover on the expected schedule, there is the risk that the stock market might then act to amplify the extent of the weakness.</w:t>
      </w:r>
    </w:p>
    <w:p>
      <w:pPr>
        <w:pStyle w:val="BodyText"/>
        <w:spacing w:line="360" w:lineRule="auto"/>
        <w:ind w:left="160"/>
      </w:pPr>
      <w:r>
        <w:rPr/>
        <w:t>Alternatively, even if the economy and the stock market were to recover strongly over the next few months, it is possible that the potentially over-exuberant returns and earnings growth expectations prove problematic for the markets at some future date.</w:t>
      </w:r>
    </w:p>
    <w:p>
      <w:pPr>
        <w:pStyle w:val="BodyText"/>
        <w:ind w:left="160"/>
      </w:pPr>
      <w:r>
        <w:rPr/>
        <w:t>We shall have to wait and see.</w:t>
      </w:r>
    </w:p>
    <w:p>
      <w:pPr>
        <w:pStyle w:val="BodyText"/>
        <w:rPr>
          <w:sz w:val="26"/>
        </w:rPr>
      </w:pPr>
    </w:p>
    <w:p>
      <w:pPr>
        <w:pStyle w:val="BodyText"/>
        <w:spacing w:before="1"/>
        <w:rPr>
          <w:sz w:val="22"/>
        </w:rPr>
      </w:pPr>
    </w:p>
    <w:p>
      <w:pPr>
        <w:pStyle w:val="Heading1"/>
      </w:pPr>
      <w:r>
        <w:rPr/>
        <w:t>SECTION</w:t>
      </w:r>
      <w:r>
        <w:rPr>
          <w:spacing w:val="-5"/>
        </w:rPr>
        <w:t> </w:t>
      </w:r>
      <w:r>
        <w:rPr/>
        <w:t>C</w:t>
      </w:r>
    </w:p>
    <w:p>
      <w:pPr>
        <w:spacing w:line="237" w:lineRule="auto" w:before="144"/>
        <w:ind w:left="160" w:right="0" w:firstLine="0"/>
        <w:jc w:val="left"/>
        <w:rPr>
          <w:b/>
          <w:sz w:val="24"/>
        </w:rPr>
      </w:pPr>
      <w:r>
        <w:rPr>
          <w:b/>
          <w:sz w:val="24"/>
        </w:rPr>
        <w:t>UNCERTAINTIES RELATING TO THE SUPPLY POTENTIAL OF</w:t>
      </w:r>
      <w:r>
        <w:rPr>
          <w:b/>
          <w:spacing w:val="-25"/>
          <w:sz w:val="24"/>
        </w:rPr>
        <w:t> </w:t>
      </w:r>
      <w:r>
        <w:rPr>
          <w:b/>
          <w:sz w:val="24"/>
        </w:rPr>
        <w:t>THE ECONOMY</w:t>
      </w:r>
    </w:p>
    <w:p>
      <w:pPr>
        <w:pStyle w:val="BodyText"/>
        <w:spacing w:before="9"/>
        <w:rPr>
          <w:b/>
          <w:sz w:val="35"/>
        </w:rPr>
      </w:pPr>
    </w:p>
    <w:p>
      <w:pPr>
        <w:pStyle w:val="BodyText"/>
        <w:spacing w:line="360" w:lineRule="auto"/>
        <w:ind w:left="160" w:right="295"/>
      </w:pPr>
      <w:r>
        <w:rPr/>
        <w:t>At a theoretical level, most existing macroeconomic models produce forecasts of inflation that depend on some assessment of demand pressures relative to the supply potential of the economy. However, in practice, assessing the true degree of supply potential is very difficult. We have, for some time, had to make some difficult judgments about, among other things, the level of spare capacity and the degree of competitive pressure. One way of assessing whether our assumptions about these key, hard-to-measure variables are appropriate is to look at the performance of the equation which helps predict prices that is embedded in the Bank's Medium-Term Macro-econometric Model (MTMM, hereafter).</w:t>
      </w:r>
    </w:p>
    <w:p>
      <w:pPr>
        <w:pStyle w:val="BodyText"/>
        <w:spacing w:before="9"/>
        <w:rPr>
          <w:sz w:val="35"/>
        </w:rPr>
      </w:pPr>
    </w:p>
    <w:p>
      <w:pPr>
        <w:pStyle w:val="BodyText"/>
        <w:spacing w:line="360" w:lineRule="auto"/>
        <w:ind w:left="160" w:right="149"/>
      </w:pPr>
      <w:r>
        <w:rPr/>
        <w:t>Now, there has been a tendency since around 1998 for actual prices to come in below what the MTMM equation predicted – these errors have been, both, economically and statistically significant.</w:t>
      </w:r>
      <w:r>
        <w:rPr>
          <w:vertAlign w:val="superscript"/>
        </w:rPr>
        <w:t>16</w:t>
      </w:r>
      <w:r>
        <w:rPr>
          <w:vertAlign w:val="baseline"/>
        </w:rPr>
        <w:t> Much of the “art” of forecasting lies in the judgments that are made. Different assumptions about whether or not these errors would persist can have a large effect on the inflation forecast. If one assumes that these errors are relatively transient, then the forecast would tend to follow the prediction of the</w:t>
      </w:r>
    </w:p>
    <w:p>
      <w:pPr>
        <w:pStyle w:val="BodyText"/>
        <w:spacing w:before="9"/>
        <w:rPr>
          <w:sz w:val="16"/>
        </w:rPr>
      </w:pPr>
      <w:r>
        <w:rPr/>
        <w:pict>
          <v:shape style="position:absolute;margin-left:90pt;margin-top:11.852129pt;width:144pt;height:.1pt;mso-position-horizontal-relative:page;mso-position-vertical-relative:paragraph;z-index:-251600896;mso-wrap-distance-left:0;mso-wrap-distance-right:0" coordorigin="1800,237" coordsize="2880,0" path="m1800,237l4680,237e" filled="false" stroked="true" strokeweight=".48pt" strokecolor="#000000">
            <v:path arrowok="t"/>
            <v:stroke dashstyle="solid"/>
            <w10:wrap type="topAndBottom"/>
          </v:shape>
        </w:pict>
      </w:r>
    </w:p>
    <w:p>
      <w:pPr>
        <w:spacing w:before="47"/>
        <w:ind w:left="160" w:right="0" w:firstLine="0"/>
        <w:jc w:val="left"/>
        <w:rPr>
          <w:sz w:val="20"/>
        </w:rPr>
      </w:pPr>
      <w:r>
        <w:rPr>
          <w:position w:val="9"/>
          <w:sz w:val="13"/>
        </w:rPr>
        <w:t>16 </w:t>
      </w:r>
      <w:r>
        <w:rPr>
          <w:sz w:val="20"/>
        </w:rPr>
        <w:t>See Wadhwani (2001) for a more detailed discussion.</w:t>
      </w:r>
    </w:p>
    <w:p>
      <w:pPr>
        <w:spacing w:after="0"/>
        <w:jc w:val="left"/>
        <w:rPr>
          <w:sz w:val="20"/>
        </w:rPr>
        <w:sectPr>
          <w:footerReference w:type="default" r:id="rId29"/>
          <w:pgSz w:w="11900" w:h="16840"/>
          <w:pgMar w:footer="782" w:header="0" w:top="1360" w:bottom="980" w:left="1640" w:right="1680"/>
          <w:pgNumType w:start="18"/>
        </w:sectPr>
      </w:pPr>
    </w:p>
    <w:p>
      <w:pPr>
        <w:pStyle w:val="BodyText"/>
        <w:spacing w:line="360" w:lineRule="auto" w:before="73"/>
        <w:ind w:left="160"/>
      </w:pPr>
      <w:r>
        <w:rPr/>
        <w:t>equation. If, instead, one felt that the factors that explain these errors were likely to endure, then this can lead to a significantly different forecast of inflation.</w:t>
      </w:r>
    </w:p>
    <w:p>
      <w:pPr>
        <w:pStyle w:val="BodyText"/>
        <w:spacing w:before="1"/>
        <w:rPr>
          <w:sz w:val="36"/>
        </w:rPr>
      </w:pPr>
    </w:p>
    <w:p>
      <w:pPr>
        <w:pStyle w:val="BodyText"/>
        <w:spacing w:line="360" w:lineRule="auto" w:before="1"/>
        <w:ind w:left="160" w:right="139"/>
      </w:pPr>
      <w:r>
        <w:rPr/>
        <w:t>In deciding </w:t>
      </w:r>
      <w:r>
        <w:rPr>
          <w:spacing w:val="2"/>
        </w:rPr>
        <w:t>on </w:t>
      </w:r>
      <w:r>
        <w:rPr/>
        <w:t>appropriate assumptions, we have had </w:t>
      </w:r>
      <w:r>
        <w:rPr>
          <w:spacing w:val="2"/>
        </w:rPr>
        <w:t>to </w:t>
      </w:r>
      <w:r>
        <w:rPr/>
        <w:t>take into account the upward revisions </w:t>
      </w:r>
      <w:r>
        <w:rPr>
          <w:spacing w:val="3"/>
        </w:rPr>
        <w:t>to </w:t>
      </w:r>
      <w:r>
        <w:rPr/>
        <w:t>the historical capital stock data that were unveiled by the ONS in September 2001. The new measure </w:t>
      </w:r>
      <w:r>
        <w:rPr>
          <w:spacing w:val="2"/>
        </w:rPr>
        <w:t>of </w:t>
      </w:r>
      <w:r>
        <w:rPr/>
        <w:t>the capital stock had a significant effect </w:t>
      </w:r>
      <w:r>
        <w:rPr>
          <w:spacing w:val="2"/>
        </w:rPr>
        <w:t>on </w:t>
      </w:r>
      <w:r>
        <w:rPr/>
        <w:t>the MTMM measure </w:t>
      </w:r>
      <w:r>
        <w:rPr>
          <w:spacing w:val="3"/>
        </w:rPr>
        <w:t>of </w:t>
      </w:r>
      <w:r>
        <w:rPr/>
        <w:t>capacity </w:t>
      </w:r>
      <w:r>
        <w:rPr>
          <w:spacing w:val="2"/>
        </w:rPr>
        <w:t>utilisation.</w:t>
      </w:r>
      <w:r>
        <w:rPr>
          <w:spacing w:val="2"/>
          <w:vertAlign w:val="superscript"/>
        </w:rPr>
        <w:t>17</w:t>
      </w:r>
      <w:r>
        <w:rPr>
          <w:spacing w:val="2"/>
          <w:vertAlign w:val="baseline"/>
        </w:rPr>
        <w:t> </w:t>
      </w:r>
      <w:r>
        <w:rPr>
          <w:vertAlign w:val="baseline"/>
        </w:rPr>
        <w:t>This new measure is rather closer </w:t>
      </w:r>
      <w:r>
        <w:rPr>
          <w:spacing w:val="2"/>
          <w:vertAlign w:val="baseline"/>
        </w:rPr>
        <w:t>to </w:t>
      </w:r>
      <w:r>
        <w:rPr>
          <w:vertAlign w:val="baseline"/>
        </w:rPr>
        <w:t>survey measures than was true </w:t>
      </w:r>
      <w:r>
        <w:rPr>
          <w:spacing w:val="2"/>
          <w:vertAlign w:val="baseline"/>
        </w:rPr>
        <w:t>of </w:t>
      </w:r>
      <w:r>
        <w:rPr>
          <w:vertAlign w:val="baseline"/>
        </w:rPr>
        <w:t>the previous measure, and implies that we are </w:t>
      </w:r>
      <w:r>
        <w:rPr>
          <w:spacing w:val="3"/>
          <w:vertAlign w:val="baseline"/>
        </w:rPr>
        <w:t>operating </w:t>
      </w:r>
      <w:r>
        <w:rPr>
          <w:vertAlign w:val="baseline"/>
        </w:rPr>
        <w:t>below</w:t>
      </w:r>
      <w:r>
        <w:rPr>
          <w:spacing w:val="-7"/>
          <w:vertAlign w:val="baseline"/>
        </w:rPr>
        <w:t> </w:t>
      </w:r>
      <w:r>
        <w:rPr>
          <w:vertAlign w:val="baseline"/>
        </w:rPr>
        <w:t>full</w:t>
      </w:r>
      <w:r>
        <w:rPr>
          <w:spacing w:val="-7"/>
          <w:vertAlign w:val="baseline"/>
        </w:rPr>
        <w:t> </w:t>
      </w:r>
      <w:r>
        <w:rPr>
          <w:vertAlign w:val="baseline"/>
        </w:rPr>
        <w:t>capacity,</w:t>
      </w:r>
      <w:r>
        <w:rPr>
          <w:spacing w:val="-6"/>
          <w:vertAlign w:val="baseline"/>
        </w:rPr>
        <w:t> </w:t>
      </w:r>
      <w:r>
        <w:rPr>
          <w:vertAlign w:val="baseline"/>
        </w:rPr>
        <w:t>while</w:t>
      </w:r>
      <w:r>
        <w:rPr>
          <w:spacing w:val="-7"/>
          <w:vertAlign w:val="baseline"/>
        </w:rPr>
        <w:t> </w:t>
      </w:r>
      <w:r>
        <w:rPr>
          <w:vertAlign w:val="baseline"/>
        </w:rPr>
        <w:t>the</w:t>
      </w:r>
      <w:r>
        <w:rPr>
          <w:spacing w:val="-6"/>
          <w:vertAlign w:val="baseline"/>
        </w:rPr>
        <w:t> </w:t>
      </w:r>
      <w:r>
        <w:rPr>
          <w:vertAlign w:val="baseline"/>
        </w:rPr>
        <w:t>previous</w:t>
      </w:r>
      <w:r>
        <w:rPr>
          <w:spacing w:val="-7"/>
          <w:vertAlign w:val="baseline"/>
        </w:rPr>
        <w:t> </w:t>
      </w:r>
      <w:r>
        <w:rPr>
          <w:vertAlign w:val="baseline"/>
        </w:rPr>
        <w:t>measure</w:t>
      </w:r>
      <w:r>
        <w:rPr>
          <w:spacing w:val="-6"/>
          <w:vertAlign w:val="baseline"/>
        </w:rPr>
        <w:t> </w:t>
      </w:r>
      <w:r>
        <w:rPr>
          <w:vertAlign w:val="baseline"/>
        </w:rPr>
        <w:t>implied</w:t>
      </w:r>
      <w:r>
        <w:rPr>
          <w:spacing w:val="-7"/>
          <w:vertAlign w:val="baseline"/>
        </w:rPr>
        <w:t> </w:t>
      </w:r>
      <w:r>
        <w:rPr>
          <w:vertAlign w:val="baseline"/>
        </w:rPr>
        <w:t>that</w:t>
      </w:r>
      <w:r>
        <w:rPr>
          <w:spacing w:val="-2"/>
          <w:vertAlign w:val="baseline"/>
        </w:rPr>
        <w:t> </w:t>
      </w:r>
      <w:r>
        <w:rPr>
          <w:vertAlign w:val="baseline"/>
        </w:rPr>
        <w:t>we</w:t>
      </w:r>
      <w:r>
        <w:rPr>
          <w:spacing w:val="-7"/>
          <w:vertAlign w:val="baseline"/>
        </w:rPr>
        <w:t> </w:t>
      </w:r>
      <w:r>
        <w:rPr>
          <w:vertAlign w:val="baseline"/>
        </w:rPr>
        <w:t>were</w:t>
      </w:r>
      <w:r>
        <w:rPr>
          <w:spacing w:val="-6"/>
          <w:vertAlign w:val="baseline"/>
        </w:rPr>
        <w:t> </w:t>
      </w:r>
      <w:r>
        <w:rPr>
          <w:spacing w:val="5"/>
          <w:vertAlign w:val="baseline"/>
        </w:rPr>
        <w:t>operating</w:t>
      </w:r>
      <w:r>
        <w:rPr>
          <w:spacing w:val="-2"/>
          <w:vertAlign w:val="baseline"/>
        </w:rPr>
        <w:t> </w:t>
      </w:r>
      <w:r>
        <w:rPr>
          <w:vertAlign w:val="baseline"/>
        </w:rPr>
        <w:t>above full </w:t>
      </w:r>
      <w:r>
        <w:rPr>
          <w:spacing w:val="3"/>
          <w:vertAlign w:val="baseline"/>
        </w:rPr>
        <w:t>capacity.</w:t>
      </w:r>
      <w:r>
        <w:rPr>
          <w:spacing w:val="3"/>
          <w:vertAlign w:val="superscript"/>
        </w:rPr>
        <w:t>18</w:t>
      </w:r>
      <w:r>
        <w:rPr>
          <w:spacing w:val="3"/>
          <w:vertAlign w:val="baseline"/>
        </w:rPr>
        <w:t> </w:t>
      </w:r>
      <w:r>
        <w:rPr>
          <w:vertAlign w:val="baseline"/>
        </w:rPr>
        <w:t>The </w:t>
      </w:r>
      <w:r>
        <w:rPr>
          <w:spacing w:val="2"/>
          <w:vertAlign w:val="baseline"/>
        </w:rPr>
        <w:t>revised </w:t>
      </w:r>
      <w:r>
        <w:rPr>
          <w:vertAlign w:val="baseline"/>
        </w:rPr>
        <w:t>measure </w:t>
      </w:r>
      <w:r>
        <w:rPr>
          <w:spacing w:val="3"/>
          <w:vertAlign w:val="baseline"/>
        </w:rPr>
        <w:t>of </w:t>
      </w:r>
      <w:r>
        <w:rPr>
          <w:vertAlign w:val="baseline"/>
        </w:rPr>
        <w:t>capacity utilisation has the considerable advantage that it reduces the size </w:t>
      </w:r>
      <w:r>
        <w:rPr>
          <w:spacing w:val="2"/>
          <w:vertAlign w:val="baseline"/>
        </w:rPr>
        <w:t>of </w:t>
      </w:r>
      <w:r>
        <w:rPr>
          <w:vertAlign w:val="baseline"/>
        </w:rPr>
        <w:t>the price forecasting errors that would have been made.  It is also more plausible as it is more closely correlated with survey measures.</w:t>
      </w:r>
      <w:r>
        <w:rPr>
          <w:vertAlign w:val="superscript"/>
        </w:rPr>
        <w:t>19</w:t>
      </w:r>
      <w:r>
        <w:rPr>
          <w:vertAlign w:val="baseline"/>
        </w:rPr>
        <w:t> One is normally more confident about projecting the future when </w:t>
      </w:r>
      <w:r>
        <w:rPr>
          <w:spacing w:val="3"/>
          <w:vertAlign w:val="baseline"/>
        </w:rPr>
        <w:t>one </w:t>
      </w:r>
      <w:r>
        <w:rPr>
          <w:vertAlign w:val="baseline"/>
        </w:rPr>
        <w:t>understands the past better. Since this alternative explanation </w:t>
      </w:r>
      <w:r>
        <w:rPr>
          <w:spacing w:val="2"/>
          <w:vertAlign w:val="baseline"/>
        </w:rPr>
        <w:t>of </w:t>
      </w:r>
      <w:r>
        <w:rPr>
          <w:vertAlign w:val="baseline"/>
        </w:rPr>
        <w:t>the price forecasting errors was </w:t>
      </w:r>
      <w:r>
        <w:rPr>
          <w:spacing w:val="2"/>
          <w:vertAlign w:val="baseline"/>
        </w:rPr>
        <w:t>of </w:t>
      </w:r>
      <w:r>
        <w:rPr>
          <w:vertAlign w:val="baseline"/>
        </w:rPr>
        <w:t>a more enduring character, this reduced the medium-term inflation forecast that was mechanically produced by the model.</w:t>
      </w:r>
      <w:r>
        <w:rPr>
          <w:spacing w:val="-9"/>
          <w:vertAlign w:val="baseline"/>
        </w:rPr>
        <w:t> </w:t>
      </w:r>
      <w:r>
        <w:rPr>
          <w:vertAlign w:val="superscript"/>
        </w:rPr>
        <w:t>20</w:t>
      </w:r>
    </w:p>
    <w:p>
      <w:pPr>
        <w:pStyle w:val="BodyText"/>
        <w:spacing w:before="9"/>
        <w:rPr>
          <w:sz w:val="35"/>
        </w:rPr>
      </w:pPr>
    </w:p>
    <w:p>
      <w:pPr>
        <w:pStyle w:val="BodyText"/>
        <w:spacing w:line="360" w:lineRule="auto"/>
        <w:ind w:left="160" w:right="153"/>
      </w:pPr>
      <w:r>
        <w:rPr/>
        <w:t>Indeed, this partly explains why, as was noted in the November 2001 Inflation Report (p iii), although the broad outlook for growth was similar to August, underlying inflationary pressures were a little weaker. </w:t>
      </w:r>
      <w:r>
        <w:rPr>
          <w:vertAlign w:val="superscript"/>
        </w:rPr>
        <w:t>21</w:t>
      </w:r>
    </w:p>
    <w:p>
      <w:pPr>
        <w:pStyle w:val="BodyText"/>
        <w:rPr>
          <w:sz w:val="36"/>
        </w:rPr>
      </w:pPr>
    </w:p>
    <w:p>
      <w:pPr>
        <w:pStyle w:val="BodyText"/>
        <w:spacing w:line="362" w:lineRule="auto"/>
        <w:ind w:left="160" w:right="153"/>
      </w:pPr>
      <w:r>
        <w:rPr/>
        <w:t>However, important uncertainties about the degree of inflationary pressure remain. This is unlikely to be the final word on the capital stock.</w:t>
      </w:r>
      <w:r>
        <w:rPr>
          <w:vertAlign w:val="superscript"/>
        </w:rPr>
        <w:t>22</w:t>
      </w:r>
      <w:r>
        <w:rPr>
          <w:vertAlign w:val="baseline"/>
        </w:rPr>
        <w:t> Moreover, although the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2"/>
        </w:rPr>
      </w:pPr>
      <w:r>
        <w:rPr/>
        <w:pict>
          <v:shape style="position:absolute;margin-left:90pt;margin-top:9.264287pt;width:144pt;height:.1pt;mso-position-horizontal-relative:page;mso-position-vertical-relative:paragraph;z-index:-251599872;mso-wrap-distance-left:0;mso-wrap-distance-right:0" coordorigin="1800,185" coordsize="2880,0" path="m1800,185l4680,185e" filled="false" stroked="true" strokeweight=".48pt" strokecolor="#000000">
            <v:path arrowok="t"/>
            <v:stroke dashstyle="solid"/>
            <w10:wrap type="topAndBottom"/>
          </v:shape>
        </w:pict>
      </w:r>
    </w:p>
    <w:p>
      <w:pPr>
        <w:spacing w:line="243" w:lineRule="exact" w:before="47"/>
        <w:ind w:left="160" w:right="0" w:firstLine="0"/>
        <w:jc w:val="left"/>
        <w:rPr>
          <w:sz w:val="20"/>
        </w:rPr>
      </w:pPr>
      <w:r>
        <w:rPr>
          <w:position w:val="9"/>
          <w:sz w:val="13"/>
        </w:rPr>
        <w:t>17 </w:t>
      </w:r>
      <w:r>
        <w:rPr>
          <w:sz w:val="20"/>
        </w:rPr>
        <w:t>The Bank’s measure of capacity utilisation is defined in Bank of England (2000), pp 28-29.</w:t>
      </w:r>
    </w:p>
    <w:p>
      <w:pPr>
        <w:spacing w:line="230" w:lineRule="exact" w:before="15"/>
        <w:ind w:left="160" w:right="0" w:firstLine="0"/>
        <w:jc w:val="left"/>
        <w:rPr>
          <w:sz w:val="20"/>
        </w:rPr>
      </w:pPr>
      <w:r>
        <w:rPr>
          <w:position w:val="9"/>
          <w:sz w:val="13"/>
        </w:rPr>
        <w:t>18 </w:t>
      </w:r>
      <w:r>
        <w:rPr>
          <w:sz w:val="20"/>
        </w:rPr>
        <w:t>See Wadhwani (2001) for a discussion of the lack of correlation of the previous measure with survey measures.</w:t>
      </w:r>
    </w:p>
    <w:p>
      <w:pPr>
        <w:spacing w:line="230" w:lineRule="exact" w:before="1"/>
        <w:ind w:left="160" w:right="512" w:firstLine="0"/>
        <w:jc w:val="left"/>
        <w:rPr>
          <w:sz w:val="20"/>
        </w:rPr>
      </w:pPr>
      <w:r>
        <w:rPr>
          <w:position w:val="9"/>
          <w:sz w:val="13"/>
        </w:rPr>
        <w:t>19 </w:t>
      </w:r>
      <w:r>
        <w:rPr>
          <w:sz w:val="20"/>
        </w:rPr>
        <w:t>We have compared it to a composite measure based on surveys carried out in manufacturing and services.</w:t>
      </w:r>
    </w:p>
    <w:p>
      <w:pPr>
        <w:spacing w:line="226" w:lineRule="exact" w:before="4"/>
        <w:ind w:left="160" w:right="0" w:firstLine="0"/>
        <w:jc w:val="left"/>
        <w:rPr>
          <w:sz w:val="20"/>
        </w:rPr>
      </w:pPr>
      <w:r>
        <w:rPr>
          <w:position w:val="9"/>
          <w:sz w:val="13"/>
        </w:rPr>
        <w:t>20 </w:t>
      </w:r>
      <w:r>
        <w:rPr>
          <w:sz w:val="20"/>
        </w:rPr>
        <w:t>Since the previous adjustments that had been previously been made to deal with the price forecasting errors were unwound over time. Note also that we have now assumed a faster, prospective growth rate</w:t>
      </w:r>
    </w:p>
    <w:p>
      <w:pPr>
        <w:spacing w:before="0"/>
        <w:ind w:left="160" w:right="153" w:firstLine="0"/>
        <w:jc w:val="left"/>
        <w:rPr>
          <w:sz w:val="20"/>
        </w:rPr>
      </w:pPr>
      <w:r>
        <w:rPr>
          <w:sz w:val="20"/>
        </w:rPr>
        <w:t>in the capital stock over the forecast period, which, in a mechanical sense, implies a faster growth rate of potential output.</w:t>
      </w:r>
    </w:p>
    <w:p>
      <w:pPr>
        <w:spacing w:line="230" w:lineRule="exact" w:before="2"/>
        <w:ind w:left="160" w:right="153" w:hanging="1"/>
        <w:jc w:val="left"/>
        <w:rPr>
          <w:sz w:val="20"/>
        </w:rPr>
      </w:pPr>
      <w:r>
        <w:rPr>
          <w:position w:val="9"/>
          <w:sz w:val="13"/>
        </w:rPr>
        <w:t>21 </w:t>
      </w:r>
      <w:r>
        <w:rPr>
          <w:sz w:val="20"/>
        </w:rPr>
        <w:t>Other explanatory factors included lower input prices and, perhaps, the fact that quarterly growth in the second half of 2002 is a little lower than in the August projection.</w:t>
      </w:r>
    </w:p>
    <w:p>
      <w:pPr>
        <w:spacing w:line="230" w:lineRule="exact" w:before="1"/>
        <w:ind w:left="160" w:right="778" w:firstLine="0"/>
        <w:jc w:val="left"/>
        <w:rPr>
          <w:sz w:val="20"/>
        </w:rPr>
      </w:pPr>
      <w:r>
        <w:rPr>
          <w:position w:val="9"/>
          <w:sz w:val="13"/>
        </w:rPr>
        <w:t>22 </w:t>
      </w:r>
      <w:r>
        <w:rPr>
          <w:sz w:val="20"/>
        </w:rPr>
        <w:t>I have previously (Wadhwani (2000, 2001)) considered the possibility that we use alternative conceptual measures of the capital stock.</w:t>
      </w:r>
    </w:p>
    <w:p>
      <w:pPr>
        <w:spacing w:after="0" w:line="230" w:lineRule="exact"/>
        <w:jc w:val="left"/>
        <w:rPr>
          <w:sz w:val="20"/>
        </w:rPr>
        <w:sectPr>
          <w:pgSz w:w="11900" w:h="16840"/>
          <w:pgMar w:header="0" w:footer="782" w:top="1360" w:bottom="980" w:left="1640" w:right="1680"/>
        </w:sectPr>
      </w:pPr>
    </w:p>
    <w:p>
      <w:pPr>
        <w:pStyle w:val="BodyText"/>
        <w:spacing w:line="360" w:lineRule="auto" w:before="73"/>
        <w:ind w:left="160" w:right="149"/>
      </w:pPr>
      <w:r>
        <w:rPr/>
        <w:t>new capital stock data imply smaller forecast errors in the price equation, there is still some tendency </w:t>
      </w:r>
      <w:r>
        <w:rPr>
          <w:spacing w:val="3"/>
        </w:rPr>
        <w:t>to </w:t>
      </w:r>
      <w:r>
        <w:rPr>
          <w:spacing w:val="4"/>
        </w:rPr>
        <w:t>over-predict </w:t>
      </w:r>
      <w:r>
        <w:rPr/>
        <w:t>price inflation since </w:t>
      </w:r>
      <w:r>
        <w:rPr>
          <w:spacing w:val="-3"/>
        </w:rPr>
        <w:t>1998.</w:t>
      </w:r>
      <w:r>
        <w:rPr>
          <w:spacing w:val="-3"/>
          <w:vertAlign w:val="superscript"/>
        </w:rPr>
        <w:t>23</w:t>
      </w:r>
      <w:r>
        <w:rPr>
          <w:spacing w:val="-3"/>
          <w:vertAlign w:val="baseline"/>
        </w:rPr>
        <w:t> </w:t>
      </w:r>
      <w:r>
        <w:rPr>
          <w:vertAlign w:val="baseline"/>
        </w:rPr>
        <w:t>These forecasting errors are </w:t>
      </w:r>
      <w:r>
        <w:rPr>
          <w:spacing w:val="2"/>
          <w:vertAlign w:val="baseline"/>
        </w:rPr>
        <w:t>still economically </w:t>
      </w:r>
      <w:r>
        <w:rPr>
          <w:spacing w:val="3"/>
          <w:vertAlign w:val="baseline"/>
        </w:rPr>
        <w:t>significant. </w:t>
      </w:r>
      <w:r>
        <w:rPr>
          <w:vertAlign w:val="baseline"/>
        </w:rPr>
        <w:t>If, for example, we projected the average forecast error that has been made </w:t>
      </w:r>
      <w:r>
        <w:rPr>
          <w:spacing w:val="3"/>
          <w:vertAlign w:val="baseline"/>
        </w:rPr>
        <w:t>over </w:t>
      </w:r>
      <w:r>
        <w:rPr>
          <w:vertAlign w:val="baseline"/>
        </w:rPr>
        <w:t>the post-1998 period into the future, Figure 11 shows that the implied path for inflation would have been quite different from what was published in the November Inflation Report, with a difference in the two year-ahead inflation</w:t>
      </w:r>
      <w:r>
        <w:rPr>
          <w:spacing w:val="-8"/>
          <w:vertAlign w:val="baseline"/>
        </w:rPr>
        <w:t> </w:t>
      </w:r>
      <w:r>
        <w:rPr>
          <w:vertAlign w:val="baseline"/>
        </w:rPr>
        <w:t>projection</w:t>
      </w:r>
      <w:r>
        <w:rPr>
          <w:spacing w:val="-8"/>
          <w:vertAlign w:val="baseline"/>
        </w:rPr>
        <w:t> </w:t>
      </w:r>
      <w:r>
        <w:rPr>
          <w:spacing w:val="2"/>
          <w:vertAlign w:val="baseline"/>
        </w:rPr>
        <w:t>of</w:t>
      </w:r>
      <w:r>
        <w:rPr>
          <w:spacing w:val="-3"/>
          <w:vertAlign w:val="baseline"/>
        </w:rPr>
        <w:t> </w:t>
      </w:r>
      <w:r>
        <w:rPr>
          <w:vertAlign w:val="baseline"/>
        </w:rPr>
        <w:t>as</w:t>
      </w:r>
      <w:r>
        <w:rPr>
          <w:spacing w:val="-8"/>
          <w:vertAlign w:val="baseline"/>
        </w:rPr>
        <w:t> </w:t>
      </w:r>
      <w:r>
        <w:rPr>
          <w:vertAlign w:val="baseline"/>
        </w:rPr>
        <w:t>much</w:t>
      </w:r>
      <w:r>
        <w:rPr>
          <w:spacing w:val="-8"/>
          <w:vertAlign w:val="baseline"/>
        </w:rPr>
        <w:t> </w:t>
      </w:r>
      <w:r>
        <w:rPr>
          <w:vertAlign w:val="baseline"/>
        </w:rPr>
        <w:t>as</w:t>
      </w:r>
      <w:r>
        <w:rPr>
          <w:spacing w:val="-7"/>
          <w:vertAlign w:val="baseline"/>
        </w:rPr>
        <w:t> </w:t>
      </w:r>
      <w:r>
        <w:rPr>
          <w:vertAlign w:val="baseline"/>
        </w:rPr>
        <w:t>1.8</w:t>
      </w:r>
      <w:r>
        <w:rPr>
          <w:spacing w:val="-8"/>
          <w:vertAlign w:val="baseline"/>
        </w:rPr>
        <w:t> </w:t>
      </w:r>
      <w:r>
        <w:rPr>
          <w:vertAlign w:val="baseline"/>
        </w:rPr>
        <w:t>percentage</w:t>
      </w:r>
      <w:r>
        <w:rPr>
          <w:spacing w:val="-8"/>
          <w:vertAlign w:val="baseline"/>
        </w:rPr>
        <w:t> </w:t>
      </w:r>
      <w:r>
        <w:rPr>
          <w:vertAlign w:val="baseline"/>
        </w:rPr>
        <w:t>points.</w:t>
      </w:r>
      <w:r>
        <w:rPr>
          <w:spacing w:val="-32"/>
          <w:vertAlign w:val="baseline"/>
        </w:rPr>
        <w:t> </w:t>
      </w:r>
      <w:r>
        <w:rPr>
          <w:vertAlign w:val="superscript"/>
        </w:rPr>
        <w:t>24</w:t>
      </w:r>
      <w:r>
        <w:rPr>
          <w:spacing w:val="43"/>
          <w:vertAlign w:val="baseline"/>
        </w:rPr>
        <w:t> </w:t>
      </w:r>
      <w:r>
        <w:rPr>
          <w:vertAlign w:val="baseline"/>
        </w:rPr>
        <w:t>Of</w:t>
      </w:r>
      <w:r>
        <w:rPr>
          <w:spacing w:val="-9"/>
          <w:vertAlign w:val="baseline"/>
        </w:rPr>
        <w:t> </w:t>
      </w:r>
      <w:r>
        <w:rPr>
          <w:vertAlign w:val="baseline"/>
        </w:rPr>
        <w:t>course,</w:t>
      </w:r>
      <w:r>
        <w:rPr>
          <w:spacing w:val="-9"/>
          <w:vertAlign w:val="baseline"/>
        </w:rPr>
        <w:t> </w:t>
      </w:r>
      <w:r>
        <w:rPr>
          <w:vertAlign w:val="baseline"/>
        </w:rPr>
        <w:t>the</w:t>
      </w:r>
      <w:r>
        <w:rPr>
          <w:spacing w:val="-10"/>
          <w:vertAlign w:val="baseline"/>
        </w:rPr>
        <w:t> </w:t>
      </w:r>
      <w:r>
        <w:rPr>
          <w:vertAlign w:val="baseline"/>
        </w:rPr>
        <w:t>model-based inflation forecast is very sensitive </w:t>
      </w:r>
      <w:r>
        <w:rPr>
          <w:spacing w:val="3"/>
          <w:vertAlign w:val="baseline"/>
        </w:rPr>
        <w:t>to </w:t>
      </w:r>
      <w:r>
        <w:rPr>
          <w:vertAlign w:val="baseline"/>
        </w:rPr>
        <w:t>different technical assumptions about </w:t>
      </w:r>
      <w:r>
        <w:rPr>
          <w:spacing w:val="2"/>
          <w:vertAlign w:val="baseline"/>
        </w:rPr>
        <w:t>the </w:t>
      </w:r>
      <w:r>
        <w:rPr>
          <w:vertAlign w:val="baseline"/>
        </w:rPr>
        <w:t>behaviour of future forecast errors. Figure 11 shows that projecting the post-1997 error forward would yield a path for inflation that was lower than the November Inflation Report projection by 0.9 percentage points instead. Hence, considerable uncertainty</w:t>
      </w:r>
      <w:r>
        <w:rPr>
          <w:spacing w:val="-9"/>
          <w:vertAlign w:val="baseline"/>
        </w:rPr>
        <w:t> </w:t>
      </w:r>
      <w:r>
        <w:rPr>
          <w:spacing w:val="2"/>
          <w:vertAlign w:val="baseline"/>
        </w:rPr>
        <w:t>remains,</w:t>
      </w:r>
      <w:r>
        <w:rPr>
          <w:spacing w:val="-6"/>
          <w:vertAlign w:val="baseline"/>
        </w:rPr>
        <w:t> </w:t>
      </w:r>
      <w:r>
        <w:rPr>
          <w:vertAlign w:val="baseline"/>
        </w:rPr>
        <w:t>though</w:t>
      </w:r>
      <w:r>
        <w:rPr>
          <w:spacing w:val="-8"/>
          <w:vertAlign w:val="baseline"/>
        </w:rPr>
        <w:t> </w:t>
      </w:r>
      <w:r>
        <w:rPr>
          <w:vertAlign w:val="baseline"/>
        </w:rPr>
        <w:t>all</w:t>
      </w:r>
      <w:r>
        <w:rPr>
          <w:spacing w:val="-8"/>
          <w:vertAlign w:val="baseline"/>
        </w:rPr>
        <w:t> </w:t>
      </w:r>
      <w:r>
        <w:rPr>
          <w:spacing w:val="2"/>
          <w:vertAlign w:val="baseline"/>
        </w:rPr>
        <w:t>reasonable</w:t>
      </w:r>
      <w:r>
        <w:rPr>
          <w:spacing w:val="-7"/>
          <w:vertAlign w:val="baseline"/>
        </w:rPr>
        <w:t> </w:t>
      </w:r>
      <w:r>
        <w:rPr>
          <w:vertAlign w:val="baseline"/>
        </w:rPr>
        <w:t>assumptions</w:t>
      </w:r>
      <w:r>
        <w:rPr>
          <w:spacing w:val="-8"/>
          <w:vertAlign w:val="baseline"/>
        </w:rPr>
        <w:t> </w:t>
      </w:r>
      <w:r>
        <w:rPr>
          <w:spacing w:val="2"/>
          <w:vertAlign w:val="baseline"/>
        </w:rPr>
        <w:t>regarding</w:t>
      </w:r>
      <w:r>
        <w:rPr>
          <w:spacing w:val="-7"/>
          <w:vertAlign w:val="baseline"/>
        </w:rPr>
        <w:t> </w:t>
      </w:r>
      <w:r>
        <w:rPr>
          <w:vertAlign w:val="baseline"/>
        </w:rPr>
        <w:t>the</w:t>
      </w:r>
      <w:r>
        <w:rPr>
          <w:spacing w:val="-8"/>
          <w:vertAlign w:val="baseline"/>
        </w:rPr>
        <w:t> </w:t>
      </w:r>
      <w:r>
        <w:rPr>
          <w:vertAlign w:val="baseline"/>
        </w:rPr>
        <w:t>historical</w:t>
      </w:r>
      <w:r>
        <w:rPr>
          <w:spacing w:val="-8"/>
          <w:vertAlign w:val="baseline"/>
        </w:rPr>
        <w:t> </w:t>
      </w:r>
      <w:r>
        <w:rPr>
          <w:vertAlign w:val="baseline"/>
        </w:rPr>
        <w:t>errors would point </w:t>
      </w:r>
      <w:r>
        <w:rPr>
          <w:spacing w:val="3"/>
          <w:vertAlign w:val="baseline"/>
        </w:rPr>
        <w:t>to </w:t>
      </w:r>
      <w:r>
        <w:rPr>
          <w:vertAlign w:val="baseline"/>
        </w:rPr>
        <w:t>lower inflation. </w:t>
      </w:r>
      <w:r>
        <w:rPr>
          <w:vertAlign w:val="superscript"/>
        </w:rPr>
        <w:t>25</w:t>
      </w:r>
      <w:r>
        <w:rPr>
          <w:vertAlign w:val="baseline"/>
        </w:rPr>
        <w:t> Of course, the forecast that we publish is not mechanically generated, and depends </w:t>
      </w:r>
      <w:r>
        <w:rPr>
          <w:spacing w:val="3"/>
          <w:vertAlign w:val="baseline"/>
        </w:rPr>
        <w:t>on </w:t>
      </w:r>
      <w:r>
        <w:rPr>
          <w:vertAlign w:val="baseline"/>
        </w:rPr>
        <w:t>a host </w:t>
      </w:r>
      <w:r>
        <w:rPr>
          <w:spacing w:val="3"/>
          <w:vertAlign w:val="baseline"/>
        </w:rPr>
        <w:t>of</w:t>
      </w:r>
      <w:r>
        <w:rPr>
          <w:spacing w:val="22"/>
          <w:vertAlign w:val="baseline"/>
        </w:rPr>
        <w:t> </w:t>
      </w:r>
      <w:r>
        <w:rPr>
          <w:vertAlign w:val="baseline"/>
        </w:rPr>
        <w:t>judgments.</w:t>
      </w:r>
    </w:p>
    <w:p>
      <w:pPr>
        <w:pStyle w:val="BodyText"/>
        <w:spacing w:before="2"/>
        <w:rPr>
          <w:sz w:val="36"/>
        </w:rPr>
      </w:pPr>
    </w:p>
    <w:p>
      <w:pPr>
        <w:pStyle w:val="BodyText"/>
        <w:spacing w:line="360" w:lineRule="auto"/>
        <w:ind w:left="160"/>
      </w:pPr>
      <w:r>
        <w:rPr/>
        <w:t>This suggests that there might still be important missing/poorly measured variables in the MTMM price equation, and that there is much work for us to do. Progress here could help reduce the degree of dispersion in alternative inflation forecasts in</w:t>
      </w:r>
    </w:p>
    <w:p>
      <w:pPr>
        <w:pStyle w:val="BodyText"/>
        <w:spacing w:line="360" w:lineRule="auto" w:before="1"/>
        <w:ind w:left="160" w:right="139"/>
      </w:pPr>
      <w:r>
        <w:rPr/>
        <w:t>Figure 11. Candidate explanations include the possibility that the capital </w:t>
      </w:r>
      <w:r>
        <w:rPr>
          <w:spacing w:val="2"/>
        </w:rPr>
        <w:t>stock remains </w:t>
      </w:r>
      <w:r>
        <w:rPr/>
        <w:t>mis-measured and we still need </w:t>
      </w:r>
      <w:r>
        <w:rPr>
          <w:spacing w:val="3"/>
        </w:rPr>
        <w:t>to </w:t>
      </w:r>
      <w:r>
        <w:rPr/>
        <w:t>investigate alternative conceptual measures </w:t>
      </w:r>
      <w:r>
        <w:rPr>
          <w:spacing w:val="2"/>
        </w:rPr>
        <w:t>of </w:t>
      </w:r>
      <w:r>
        <w:rPr/>
        <w:t>the capital stock, eg the Volume Index </w:t>
      </w:r>
      <w:r>
        <w:rPr>
          <w:spacing w:val="2"/>
        </w:rPr>
        <w:t>of </w:t>
      </w:r>
      <w:r>
        <w:rPr/>
        <w:t>Capital Services. More generally, the evidence that prices have been coming in below what the equation predicts is consistent with the growth rate </w:t>
      </w:r>
      <w:r>
        <w:rPr>
          <w:spacing w:val="2"/>
        </w:rPr>
        <w:t>of </w:t>
      </w:r>
      <w:r>
        <w:rPr/>
        <w:t>potential </w:t>
      </w:r>
      <w:r>
        <w:rPr>
          <w:spacing w:val="4"/>
        </w:rPr>
        <w:t>output </w:t>
      </w:r>
      <w:r>
        <w:rPr/>
        <w:t>being higher than we have assumed. Another issue is that the equation does not currently allow the world price </w:t>
      </w:r>
      <w:r>
        <w:rPr>
          <w:spacing w:val="3"/>
        </w:rPr>
        <w:t>of </w:t>
      </w:r>
      <w:r>
        <w:rPr>
          <w:spacing w:val="2"/>
        </w:rPr>
        <w:t>competitor </w:t>
      </w:r>
      <w:r>
        <w:rPr/>
        <w:t>goods </w:t>
      </w:r>
      <w:r>
        <w:rPr>
          <w:spacing w:val="3"/>
        </w:rPr>
        <w:t>to </w:t>
      </w:r>
      <w:r>
        <w:rPr/>
        <w:t>influence domestic pricing and, thereby, potentially fails </w:t>
      </w:r>
      <w:r>
        <w:rPr>
          <w:spacing w:val="3"/>
        </w:rPr>
        <w:t>to</w:t>
      </w:r>
      <w:r>
        <w:rPr>
          <w:spacing w:val="-3"/>
        </w:rPr>
        <w:t> </w:t>
      </w:r>
      <w:r>
        <w:rPr/>
        <w:t>pick</w:t>
      </w:r>
      <w:r>
        <w:rPr>
          <w:spacing w:val="-6"/>
        </w:rPr>
        <w:t> </w:t>
      </w:r>
      <w:r>
        <w:rPr/>
        <w:t>up</w:t>
      </w:r>
      <w:r>
        <w:rPr>
          <w:spacing w:val="-7"/>
        </w:rPr>
        <w:t> </w:t>
      </w:r>
      <w:r>
        <w:rPr/>
        <w:t>the</w:t>
      </w:r>
      <w:r>
        <w:rPr>
          <w:spacing w:val="-6"/>
        </w:rPr>
        <w:t> </w:t>
      </w:r>
      <w:r>
        <w:rPr/>
        <w:t>intensification</w:t>
      </w:r>
      <w:r>
        <w:rPr>
          <w:spacing w:val="-7"/>
        </w:rPr>
        <w:t> </w:t>
      </w:r>
      <w:r>
        <w:rPr>
          <w:spacing w:val="2"/>
        </w:rPr>
        <w:t>of</w:t>
      </w:r>
      <w:r>
        <w:rPr>
          <w:spacing w:val="-2"/>
        </w:rPr>
        <w:t> </w:t>
      </w:r>
      <w:r>
        <w:rPr/>
        <w:t>competitive</w:t>
      </w:r>
      <w:r>
        <w:rPr>
          <w:spacing w:val="-6"/>
        </w:rPr>
        <w:t> </w:t>
      </w:r>
      <w:r>
        <w:rPr/>
        <w:t>pressure</w:t>
      </w:r>
      <w:r>
        <w:rPr>
          <w:spacing w:val="-7"/>
        </w:rPr>
        <w:t> </w:t>
      </w:r>
      <w:r>
        <w:rPr/>
        <w:t>that</w:t>
      </w:r>
      <w:r>
        <w:rPr>
          <w:spacing w:val="-2"/>
        </w:rPr>
        <w:t> </w:t>
      </w:r>
      <w:r>
        <w:rPr/>
        <w:t>has</w:t>
      </w:r>
      <w:r>
        <w:rPr>
          <w:spacing w:val="-6"/>
        </w:rPr>
        <w:t> </w:t>
      </w:r>
      <w:r>
        <w:rPr>
          <w:spacing w:val="3"/>
        </w:rPr>
        <w:t>occurred</w:t>
      </w:r>
      <w:r>
        <w:rPr>
          <w:spacing w:val="3"/>
          <w:vertAlign w:val="superscript"/>
        </w:rPr>
        <w:t>26</w:t>
      </w:r>
      <w:r>
        <w:rPr>
          <w:spacing w:val="-9"/>
          <w:vertAlign w:val="baseline"/>
        </w:rPr>
        <w:t> </w:t>
      </w:r>
      <w:r>
        <w:rPr>
          <w:vertAlign w:val="baseline"/>
        </w:rPr>
        <w:t>as</w:t>
      </w:r>
      <w:r>
        <w:rPr>
          <w:spacing w:val="-9"/>
          <w:vertAlign w:val="baseline"/>
        </w:rPr>
        <w:t> </w:t>
      </w:r>
      <w:r>
        <w:rPr>
          <w:vertAlign w:val="baseline"/>
        </w:rPr>
        <w:t>the</w:t>
      </w:r>
      <w:r>
        <w:rPr>
          <w:spacing w:val="-11"/>
          <w:vertAlign w:val="baseline"/>
        </w:rPr>
        <w:t> </w:t>
      </w:r>
      <w:r>
        <w:rPr>
          <w:vertAlign w:val="baseline"/>
        </w:rPr>
        <w:t>ratio</w:t>
      </w:r>
      <w:r>
        <w:rPr>
          <w:spacing w:val="-9"/>
          <w:vertAlign w:val="baseline"/>
        </w:rPr>
        <w:t> </w:t>
      </w:r>
      <w:r>
        <w:rPr>
          <w:vertAlign w:val="baseline"/>
        </w:rPr>
        <w:t>of world prices </w:t>
      </w:r>
      <w:r>
        <w:rPr>
          <w:spacing w:val="3"/>
          <w:vertAlign w:val="baseline"/>
        </w:rPr>
        <w:t>to </w:t>
      </w:r>
      <w:r>
        <w:rPr>
          <w:vertAlign w:val="baseline"/>
        </w:rPr>
        <w:t>domestic prices has fallen significantly in </w:t>
      </w:r>
      <w:r>
        <w:rPr>
          <w:spacing w:val="2"/>
          <w:vertAlign w:val="baseline"/>
        </w:rPr>
        <w:t>recent </w:t>
      </w:r>
      <w:r>
        <w:rPr>
          <w:vertAlign w:val="baseline"/>
        </w:rPr>
        <w:t>years. </w:t>
      </w:r>
      <w:r>
        <w:rPr>
          <w:spacing w:val="2"/>
          <w:vertAlign w:val="baseline"/>
        </w:rPr>
        <w:t>There </w:t>
      </w:r>
      <w:r>
        <w:rPr>
          <w:vertAlign w:val="baseline"/>
        </w:rPr>
        <w:t>is also survey evidence suggesting that an intensification </w:t>
      </w:r>
      <w:r>
        <w:rPr>
          <w:spacing w:val="3"/>
          <w:vertAlign w:val="baseline"/>
        </w:rPr>
        <w:t>of </w:t>
      </w:r>
      <w:r>
        <w:rPr>
          <w:vertAlign w:val="baseline"/>
        </w:rPr>
        <w:t>competitive pressures since mid- 1997 has been perceived </w:t>
      </w:r>
      <w:r>
        <w:rPr>
          <w:spacing w:val="3"/>
          <w:vertAlign w:val="baseline"/>
        </w:rPr>
        <w:t>to </w:t>
      </w:r>
      <w:r>
        <w:rPr>
          <w:vertAlign w:val="baseline"/>
        </w:rPr>
        <w:t>have an important effect </w:t>
      </w:r>
      <w:r>
        <w:rPr>
          <w:spacing w:val="2"/>
          <w:vertAlign w:val="baseline"/>
        </w:rPr>
        <w:t>on </w:t>
      </w:r>
      <w:r>
        <w:rPr>
          <w:vertAlign w:val="baseline"/>
        </w:rPr>
        <w:t>profitability. Further, it may be</w:t>
      </w:r>
      <w:r>
        <w:rPr>
          <w:spacing w:val="-5"/>
          <w:vertAlign w:val="baseline"/>
        </w:rPr>
        <w:t> </w:t>
      </w:r>
      <w:r>
        <w:rPr>
          <w:vertAlign w:val="baseline"/>
        </w:rPr>
        <w:t>that</w:t>
      </w:r>
      <w:r>
        <w:rPr>
          <w:spacing w:val="-1"/>
          <w:vertAlign w:val="baseline"/>
        </w:rPr>
        <w:t> </w:t>
      </w:r>
      <w:r>
        <w:rPr>
          <w:vertAlign w:val="baseline"/>
        </w:rPr>
        <w:t>we</w:t>
      </w:r>
      <w:r>
        <w:rPr>
          <w:spacing w:val="-6"/>
          <w:vertAlign w:val="baseline"/>
        </w:rPr>
        <w:t> </w:t>
      </w:r>
      <w:r>
        <w:rPr>
          <w:vertAlign w:val="baseline"/>
        </w:rPr>
        <w:t>need</w:t>
      </w:r>
      <w:r>
        <w:rPr>
          <w:spacing w:val="-5"/>
          <w:vertAlign w:val="baseline"/>
        </w:rPr>
        <w:t> </w:t>
      </w:r>
      <w:r>
        <w:rPr>
          <w:spacing w:val="3"/>
          <w:vertAlign w:val="baseline"/>
        </w:rPr>
        <w:t>to</w:t>
      </w:r>
      <w:r>
        <w:rPr>
          <w:spacing w:val="-1"/>
          <w:vertAlign w:val="baseline"/>
        </w:rPr>
        <w:t> </w:t>
      </w:r>
      <w:r>
        <w:rPr>
          <w:vertAlign w:val="baseline"/>
        </w:rPr>
        <w:t>revisit</w:t>
      </w:r>
      <w:r>
        <w:rPr>
          <w:spacing w:val="-4"/>
          <w:vertAlign w:val="baseline"/>
        </w:rPr>
        <w:t> </w:t>
      </w:r>
      <w:r>
        <w:rPr>
          <w:vertAlign w:val="baseline"/>
        </w:rPr>
        <w:t>the</w:t>
      </w:r>
      <w:r>
        <w:rPr>
          <w:spacing w:val="-6"/>
          <w:vertAlign w:val="baseline"/>
        </w:rPr>
        <w:t> </w:t>
      </w:r>
      <w:r>
        <w:rPr>
          <w:vertAlign w:val="baseline"/>
        </w:rPr>
        <w:t>conceptual</w:t>
      </w:r>
      <w:r>
        <w:rPr>
          <w:spacing w:val="-6"/>
          <w:vertAlign w:val="baseline"/>
        </w:rPr>
        <w:t> </w:t>
      </w:r>
      <w:r>
        <w:rPr>
          <w:vertAlign w:val="baseline"/>
        </w:rPr>
        <w:t>measure</w:t>
      </w:r>
      <w:r>
        <w:rPr>
          <w:spacing w:val="-5"/>
          <w:vertAlign w:val="baseline"/>
        </w:rPr>
        <w:t> </w:t>
      </w:r>
      <w:r>
        <w:rPr>
          <w:spacing w:val="2"/>
          <w:vertAlign w:val="baseline"/>
        </w:rPr>
        <w:t>of</w:t>
      </w:r>
      <w:r>
        <w:rPr>
          <w:spacing w:val="-2"/>
          <w:vertAlign w:val="baseline"/>
        </w:rPr>
        <w:t> </w:t>
      </w:r>
      <w:r>
        <w:rPr>
          <w:vertAlign w:val="baseline"/>
        </w:rPr>
        <w:t>capacity</w:t>
      </w:r>
      <w:r>
        <w:rPr>
          <w:spacing w:val="-6"/>
          <w:vertAlign w:val="baseline"/>
        </w:rPr>
        <w:t> </w:t>
      </w:r>
      <w:r>
        <w:rPr>
          <w:vertAlign w:val="baseline"/>
        </w:rPr>
        <w:t>utilisation</w:t>
      </w:r>
      <w:r>
        <w:rPr>
          <w:spacing w:val="-5"/>
          <w:vertAlign w:val="baseline"/>
        </w:rPr>
        <w:t> </w:t>
      </w:r>
      <w:r>
        <w:rPr>
          <w:vertAlign w:val="baseline"/>
        </w:rPr>
        <w:t>that is</w:t>
      </w:r>
      <w:r>
        <w:rPr>
          <w:spacing w:val="-6"/>
          <w:vertAlign w:val="baseline"/>
        </w:rPr>
        <w:t> </w:t>
      </w:r>
      <w:r>
        <w:rPr>
          <w:vertAlign w:val="baseline"/>
        </w:rPr>
        <w:t>used</w:t>
      </w:r>
      <w:r>
        <w:rPr>
          <w:spacing w:val="-6"/>
          <w:vertAlign w:val="baseline"/>
        </w:rPr>
        <w:t> </w:t>
      </w:r>
      <w:r>
        <w:rPr>
          <w:vertAlign w:val="baseline"/>
        </w:rPr>
        <w:t>in</w:t>
      </w:r>
    </w:p>
    <w:p>
      <w:pPr>
        <w:pStyle w:val="BodyText"/>
        <w:spacing w:before="3"/>
        <w:rPr>
          <w:sz w:val="10"/>
        </w:rPr>
      </w:pPr>
      <w:r>
        <w:rPr/>
        <w:pict>
          <v:shape style="position:absolute;margin-left:90pt;margin-top:8.132734pt;width:144pt;height:.1pt;mso-position-horizontal-relative:page;mso-position-vertical-relative:paragraph;z-index:-251598848;mso-wrap-distance-left:0;mso-wrap-distance-right:0" coordorigin="1800,163" coordsize="2880,0" path="m1800,163l4680,163e" filled="false" stroked="true" strokeweight=".48pt" strokecolor="#000000">
            <v:path arrowok="t"/>
            <v:stroke dashstyle="solid"/>
            <w10:wrap type="topAndBottom"/>
          </v:shape>
        </w:pict>
      </w:r>
    </w:p>
    <w:p>
      <w:pPr>
        <w:spacing w:before="52"/>
        <w:ind w:left="160" w:right="0" w:firstLine="0"/>
        <w:jc w:val="left"/>
        <w:rPr>
          <w:sz w:val="20"/>
        </w:rPr>
      </w:pPr>
      <w:r>
        <w:rPr>
          <w:position w:val="9"/>
          <w:sz w:val="13"/>
        </w:rPr>
        <w:t>23</w:t>
      </w:r>
      <w:r>
        <w:rPr>
          <w:spacing w:val="13"/>
          <w:position w:val="9"/>
          <w:sz w:val="13"/>
        </w:rPr>
        <w:t> </w:t>
      </w:r>
      <w:r>
        <w:rPr>
          <w:sz w:val="20"/>
        </w:rPr>
        <w:t>A</w:t>
      </w:r>
      <w:r>
        <w:rPr>
          <w:spacing w:val="-7"/>
          <w:sz w:val="20"/>
        </w:rPr>
        <w:t> </w:t>
      </w:r>
      <w:r>
        <w:rPr>
          <w:sz w:val="20"/>
        </w:rPr>
        <w:t>t-ratio</w:t>
      </w:r>
      <w:r>
        <w:rPr>
          <w:spacing w:val="-7"/>
          <w:sz w:val="20"/>
        </w:rPr>
        <w:t> </w:t>
      </w:r>
      <w:r>
        <w:rPr>
          <w:sz w:val="20"/>
        </w:rPr>
        <w:t>to</w:t>
      </w:r>
      <w:r>
        <w:rPr>
          <w:spacing w:val="-3"/>
          <w:sz w:val="20"/>
        </w:rPr>
        <w:t> </w:t>
      </w:r>
      <w:r>
        <w:rPr>
          <w:sz w:val="20"/>
        </w:rPr>
        <w:t>assess</w:t>
      </w:r>
      <w:r>
        <w:rPr>
          <w:spacing w:val="-7"/>
          <w:sz w:val="20"/>
        </w:rPr>
        <w:t> </w:t>
      </w:r>
      <w:r>
        <w:rPr>
          <w:sz w:val="20"/>
        </w:rPr>
        <w:t>the</w:t>
      </w:r>
      <w:r>
        <w:rPr>
          <w:spacing w:val="-6"/>
          <w:sz w:val="20"/>
        </w:rPr>
        <w:t> </w:t>
      </w:r>
      <w:r>
        <w:rPr>
          <w:sz w:val="20"/>
        </w:rPr>
        <w:t>statistical</w:t>
      </w:r>
      <w:r>
        <w:rPr>
          <w:spacing w:val="-7"/>
          <w:sz w:val="20"/>
        </w:rPr>
        <w:t> </w:t>
      </w:r>
      <w:r>
        <w:rPr>
          <w:sz w:val="20"/>
        </w:rPr>
        <w:t>significance</w:t>
      </w:r>
      <w:r>
        <w:rPr>
          <w:spacing w:val="-7"/>
          <w:sz w:val="20"/>
        </w:rPr>
        <w:t> </w:t>
      </w:r>
      <w:r>
        <w:rPr>
          <w:sz w:val="20"/>
        </w:rPr>
        <w:t>of</w:t>
      </w:r>
      <w:r>
        <w:rPr>
          <w:spacing w:val="-4"/>
          <w:sz w:val="20"/>
        </w:rPr>
        <w:t> </w:t>
      </w:r>
      <w:r>
        <w:rPr>
          <w:sz w:val="20"/>
        </w:rPr>
        <w:t>the</w:t>
      </w:r>
      <w:r>
        <w:rPr>
          <w:spacing w:val="-7"/>
          <w:sz w:val="20"/>
        </w:rPr>
        <w:t> </w:t>
      </w:r>
      <w:r>
        <w:rPr>
          <w:sz w:val="20"/>
        </w:rPr>
        <w:t>forecasting</w:t>
      </w:r>
      <w:r>
        <w:rPr>
          <w:spacing w:val="-6"/>
          <w:sz w:val="20"/>
        </w:rPr>
        <w:t> </w:t>
      </w:r>
      <w:r>
        <w:rPr>
          <w:sz w:val="20"/>
        </w:rPr>
        <w:t>errors</w:t>
      </w:r>
      <w:r>
        <w:rPr>
          <w:spacing w:val="-7"/>
          <w:sz w:val="20"/>
        </w:rPr>
        <w:t> </w:t>
      </w:r>
      <w:r>
        <w:rPr>
          <w:sz w:val="20"/>
        </w:rPr>
        <w:t>was</w:t>
      </w:r>
      <w:r>
        <w:rPr>
          <w:spacing w:val="-7"/>
          <w:sz w:val="20"/>
        </w:rPr>
        <w:t> </w:t>
      </w:r>
      <w:r>
        <w:rPr>
          <w:sz w:val="20"/>
        </w:rPr>
        <w:t>previously</w:t>
      </w:r>
      <w:r>
        <w:rPr>
          <w:spacing w:val="-6"/>
          <w:sz w:val="20"/>
        </w:rPr>
        <w:t> </w:t>
      </w:r>
      <w:r>
        <w:rPr>
          <w:sz w:val="20"/>
        </w:rPr>
        <w:t>–2.19.</w:t>
      </w:r>
      <w:r>
        <w:rPr>
          <w:spacing w:val="37"/>
          <w:sz w:val="20"/>
        </w:rPr>
        <w:t> </w:t>
      </w:r>
      <w:r>
        <w:rPr>
          <w:sz w:val="20"/>
        </w:rPr>
        <w:t>It</w:t>
      </w:r>
      <w:r>
        <w:rPr>
          <w:spacing w:val="-6"/>
          <w:sz w:val="20"/>
        </w:rPr>
        <w:t> </w:t>
      </w:r>
      <w:r>
        <w:rPr>
          <w:sz w:val="20"/>
        </w:rPr>
        <w:t>is</w:t>
      </w:r>
      <w:r>
        <w:rPr>
          <w:spacing w:val="-7"/>
          <w:sz w:val="20"/>
        </w:rPr>
        <w:t> </w:t>
      </w:r>
      <w:r>
        <w:rPr>
          <w:sz w:val="20"/>
        </w:rPr>
        <w:t>now</w:t>
      </w:r>
    </w:p>
    <w:p>
      <w:pPr>
        <w:spacing w:line="218" w:lineRule="exact" w:before="0"/>
        <w:ind w:left="160" w:right="0" w:firstLine="0"/>
        <w:jc w:val="left"/>
        <w:rPr>
          <w:sz w:val="20"/>
        </w:rPr>
      </w:pPr>
      <w:r>
        <w:rPr>
          <w:sz w:val="20"/>
        </w:rPr>
        <w:t>–1.5.</w:t>
      </w:r>
      <w:r>
        <w:rPr>
          <w:spacing w:val="-5"/>
          <w:sz w:val="20"/>
        </w:rPr>
        <w:t> </w:t>
      </w:r>
      <w:r>
        <w:rPr>
          <w:sz w:val="20"/>
        </w:rPr>
        <w:t>Although</w:t>
      </w:r>
      <w:r>
        <w:rPr>
          <w:spacing w:val="-5"/>
          <w:sz w:val="20"/>
        </w:rPr>
        <w:t> </w:t>
      </w:r>
      <w:r>
        <w:rPr>
          <w:sz w:val="20"/>
        </w:rPr>
        <w:t>this</w:t>
      </w:r>
      <w:r>
        <w:rPr>
          <w:spacing w:val="-5"/>
          <w:sz w:val="20"/>
        </w:rPr>
        <w:t> </w:t>
      </w:r>
      <w:r>
        <w:rPr>
          <w:sz w:val="20"/>
        </w:rPr>
        <w:t>is</w:t>
      </w:r>
      <w:r>
        <w:rPr>
          <w:spacing w:val="-5"/>
          <w:sz w:val="20"/>
        </w:rPr>
        <w:t> </w:t>
      </w:r>
      <w:r>
        <w:rPr>
          <w:sz w:val="20"/>
        </w:rPr>
        <w:t>not</w:t>
      </w:r>
      <w:r>
        <w:rPr>
          <w:spacing w:val="-1"/>
          <w:sz w:val="20"/>
        </w:rPr>
        <w:t> </w:t>
      </w:r>
      <w:r>
        <w:rPr>
          <w:sz w:val="20"/>
        </w:rPr>
        <w:t>statistically</w:t>
      </w:r>
      <w:r>
        <w:rPr>
          <w:spacing w:val="-5"/>
          <w:sz w:val="20"/>
        </w:rPr>
        <w:t> </w:t>
      </w:r>
      <w:r>
        <w:rPr>
          <w:sz w:val="20"/>
        </w:rPr>
        <w:t>significant, it</w:t>
      </w:r>
      <w:r>
        <w:rPr>
          <w:spacing w:val="-1"/>
          <w:sz w:val="20"/>
        </w:rPr>
        <w:t> </w:t>
      </w:r>
      <w:r>
        <w:rPr>
          <w:sz w:val="20"/>
        </w:rPr>
        <w:t>is</w:t>
      </w:r>
      <w:r>
        <w:rPr>
          <w:spacing w:val="-5"/>
          <w:sz w:val="20"/>
        </w:rPr>
        <w:t> </w:t>
      </w:r>
      <w:r>
        <w:rPr>
          <w:sz w:val="20"/>
        </w:rPr>
        <w:t>economically</w:t>
      </w:r>
      <w:r>
        <w:rPr>
          <w:spacing w:val="-5"/>
          <w:sz w:val="20"/>
        </w:rPr>
        <w:t> </w:t>
      </w:r>
      <w:r>
        <w:rPr>
          <w:sz w:val="20"/>
        </w:rPr>
        <w:t>significant,</w:t>
      </w:r>
      <w:r>
        <w:rPr>
          <w:spacing w:val="-1"/>
          <w:sz w:val="20"/>
        </w:rPr>
        <w:t> </w:t>
      </w:r>
      <w:r>
        <w:rPr>
          <w:sz w:val="20"/>
        </w:rPr>
        <w:t>as</w:t>
      </w:r>
      <w:r>
        <w:rPr>
          <w:spacing w:val="-5"/>
          <w:sz w:val="20"/>
        </w:rPr>
        <w:t> </w:t>
      </w:r>
      <w:r>
        <w:rPr>
          <w:sz w:val="20"/>
        </w:rPr>
        <w:t>I</w:t>
      </w:r>
      <w:r>
        <w:rPr>
          <w:spacing w:val="-3"/>
          <w:sz w:val="20"/>
        </w:rPr>
        <w:t> </w:t>
      </w:r>
      <w:r>
        <w:rPr>
          <w:sz w:val="20"/>
        </w:rPr>
        <w:t>discuss</w:t>
      </w:r>
      <w:r>
        <w:rPr>
          <w:spacing w:val="-5"/>
          <w:sz w:val="20"/>
        </w:rPr>
        <w:t> </w:t>
      </w:r>
      <w:r>
        <w:rPr>
          <w:sz w:val="20"/>
        </w:rPr>
        <w:t>in</w:t>
      </w:r>
      <w:r>
        <w:rPr>
          <w:spacing w:val="-5"/>
          <w:sz w:val="20"/>
        </w:rPr>
        <w:t> </w:t>
      </w:r>
      <w:r>
        <w:rPr>
          <w:sz w:val="20"/>
        </w:rPr>
        <w:t>the</w:t>
      </w:r>
      <w:r>
        <w:rPr>
          <w:spacing w:val="-5"/>
          <w:sz w:val="20"/>
        </w:rPr>
        <w:t> </w:t>
      </w:r>
      <w:r>
        <w:rPr>
          <w:spacing w:val="2"/>
          <w:sz w:val="20"/>
        </w:rPr>
        <w:t>text.</w:t>
      </w:r>
    </w:p>
    <w:p>
      <w:pPr>
        <w:spacing w:line="228" w:lineRule="exact" w:before="0"/>
        <w:ind w:left="160" w:right="0" w:firstLine="0"/>
        <w:jc w:val="left"/>
        <w:rPr>
          <w:sz w:val="20"/>
        </w:rPr>
      </w:pPr>
      <w:r>
        <w:rPr>
          <w:position w:val="9"/>
          <w:sz w:val="13"/>
        </w:rPr>
        <w:t>24 </w:t>
      </w:r>
      <w:r>
        <w:rPr>
          <w:sz w:val="20"/>
        </w:rPr>
        <w:t>This simulation was carried out within the External MPC Unit.</w:t>
      </w:r>
    </w:p>
    <w:p>
      <w:pPr>
        <w:spacing w:line="230" w:lineRule="exact" w:before="13"/>
        <w:ind w:left="160" w:right="0" w:firstLine="0"/>
        <w:jc w:val="left"/>
        <w:rPr>
          <w:sz w:val="20"/>
        </w:rPr>
      </w:pPr>
      <w:r>
        <w:rPr>
          <w:position w:val="9"/>
          <w:sz w:val="13"/>
        </w:rPr>
        <w:t>25 </w:t>
      </w:r>
      <w:r>
        <w:rPr>
          <w:sz w:val="20"/>
        </w:rPr>
        <w:t>Note that, in any case, the variance of our August 2001 inflation forecast was around 0.8 percentage points at the two year horizon.</w:t>
      </w:r>
    </w:p>
    <w:p>
      <w:pPr>
        <w:spacing w:after="0" w:line="230" w:lineRule="exact"/>
        <w:jc w:val="left"/>
        <w:rPr>
          <w:sz w:val="20"/>
        </w:rPr>
        <w:sectPr>
          <w:pgSz w:w="11900" w:h="16840"/>
          <w:pgMar w:header="0" w:footer="782" w:top="1360" w:bottom="980" w:left="1640" w:right="1680"/>
        </w:sectPr>
      </w:pPr>
    </w:p>
    <w:p>
      <w:pPr>
        <w:pStyle w:val="BodyText"/>
        <w:spacing w:line="360" w:lineRule="auto" w:before="73"/>
        <w:ind w:left="160" w:right="595"/>
      </w:pPr>
      <w:r>
        <w:rPr/>
        <w:t>the model. In any case, while there are considerable uncertainties, my personal judgment is that the current published best collective projection is overstating the degree of inflationary pressure.</w:t>
      </w:r>
      <w:r>
        <w:rPr>
          <w:vertAlign w:val="superscript"/>
        </w:rPr>
        <w:t>27</w:t>
      </w:r>
    </w:p>
    <w:p>
      <w:pPr>
        <w:pStyle w:val="BodyText"/>
        <w:spacing w:before="5"/>
        <w:rPr>
          <w:sz w:val="36"/>
        </w:rPr>
      </w:pPr>
    </w:p>
    <w:p>
      <w:pPr>
        <w:pStyle w:val="Heading1"/>
      </w:pPr>
      <w:r>
        <w:rPr/>
        <w:t>FIGURE 11</w:t>
      </w:r>
    </w:p>
    <w:p>
      <w:pPr>
        <w:pStyle w:val="BodyText"/>
        <w:rPr>
          <w:b/>
          <w:sz w:val="17"/>
        </w:rPr>
      </w:pPr>
    </w:p>
    <w:p>
      <w:pPr>
        <w:spacing w:after="0"/>
        <w:rPr>
          <w:sz w:val="17"/>
        </w:rPr>
        <w:sectPr>
          <w:pgSz w:w="11900" w:h="16840"/>
          <w:pgMar w:header="0" w:footer="782" w:top="1360" w:bottom="980" w:left="1640" w:right="1680"/>
        </w:sectPr>
      </w:pPr>
    </w:p>
    <w:p>
      <w:pPr>
        <w:spacing w:before="90"/>
        <w:ind w:left="342" w:right="0" w:firstLine="0"/>
        <w:jc w:val="left"/>
        <w:rPr>
          <w:b/>
          <w:sz w:val="24"/>
        </w:rPr>
      </w:pPr>
      <w:r>
        <w:rPr>
          <w:b/>
          <w:spacing w:val="-5"/>
          <w:sz w:val="24"/>
        </w:rPr>
        <w:t>Alternative </w:t>
      </w:r>
      <w:r>
        <w:rPr>
          <w:b/>
          <w:spacing w:val="-6"/>
          <w:sz w:val="24"/>
        </w:rPr>
        <w:t>'Inflation </w:t>
      </w:r>
      <w:r>
        <w:rPr>
          <w:b/>
          <w:sz w:val="24"/>
        </w:rPr>
        <w:t>Forecasts'</w:t>
      </w:r>
    </w:p>
    <w:p>
      <w:pPr>
        <w:pStyle w:val="BodyText"/>
        <w:rPr>
          <w:b/>
          <w:sz w:val="18"/>
        </w:rPr>
      </w:pPr>
      <w:r>
        <w:rPr/>
        <w:br w:type="column"/>
      </w:r>
      <w:r>
        <w:rPr>
          <w:b/>
          <w:sz w:val="18"/>
        </w:rPr>
      </w:r>
    </w:p>
    <w:p>
      <w:pPr>
        <w:pStyle w:val="BodyText"/>
        <w:spacing w:before="4"/>
        <w:rPr>
          <w:b/>
          <w:sz w:val="16"/>
        </w:rPr>
      </w:pPr>
    </w:p>
    <w:p>
      <w:pPr>
        <w:spacing w:before="0"/>
        <w:ind w:left="342" w:right="0" w:firstLine="0"/>
        <w:jc w:val="left"/>
        <w:rPr>
          <w:sz w:val="16"/>
        </w:rPr>
      </w:pPr>
      <w:r>
        <w:rPr/>
        <w:pict>
          <v:group style="position:absolute;margin-left:115.440002pt;margin-top:5.188730pt;width:189pt;height:153.75pt;mso-position-horizontal-relative:page;mso-position-vertical-relative:paragraph;z-index:251719680" coordorigin="2309,104" coordsize="3780,3075">
            <v:shape style="position:absolute;left:2323;top:106;width:3764;height:3000" coordorigin="2323,106" coordsize="3764,3000" path="m6043,106l6043,3058,6086,3058m6043,2641l6086,2641m6043,2218l6086,2218m6043,1801l6086,1801m6043,1364l6086,1364m6043,946l6086,946m6043,524l6086,524m6043,106l6086,106m2323,3058l6043,3058m2323,3106l2323,3058m3178,3106l3178,3058m4018,3106l4018,3058m4872,3106l4872,3058m5726,3106l5726,3058e" filled="false" stroked="true" strokeweight=".24pt" strokecolor="#000000">
              <v:path arrowok="t"/>
              <v:stroke dashstyle="solid"/>
            </v:shape>
            <v:line style="position:absolute" from="2323,735" to="2429,778" stroked="true" strokeweight="1.44pt" strokecolor="#000080">
              <v:stroke dashstyle="solid"/>
            </v:line>
            <v:line style="position:absolute" from="2429,778" to="2534,601" stroked="true" strokeweight="1.44pt" strokecolor="#000080">
              <v:stroke dashstyle="solid"/>
            </v:line>
            <v:line style="position:absolute" from="2534,601" to="2640,615" stroked="true" strokeweight="1.44pt" strokecolor="#000080">
              <v:stroke dashstyle="solid"/>
            </v:line>
            <v:shape style="position:absolute;left:2640;top:614;width:332;height:44" coordorigin="2640,615" coordsize="332,44" path="m2640,615l2746,629m2746,629l2851,658m2851,658l2971,615e" filled="false" stroked="true" strokeweight="1.44pt" strokecolor="#000080">
              <v:path arrowok="t"/>
              <v:stroke dashstyle="solid"/>
            </v:shape>
            <v:line style="position:absolute" from="2971,615" to="3077,346" stroked="true" strokeweight="1.44pt" strokecolor="#000080">
              <v:stroke dashstyle="solid"/>
            </v:line>
            <v:line style="position:absolute" from="3077,346" to="3178,644" stroked="true" strokeweight="1.44pt" strokecolor="#000080">
              <v:stroke dashstyle="solid"/>
            </v:line>
            <v:shape style="position:absolute;left:3177;top:571;width:2549;height:927" coordorigin="3178,572" coordsize="2549,927" path="m3178,644l3283,898m3283,898l3389,692m3389,692l3494,706m3494,706l3600,869m3600,869l3706,572m3706,572l3811,913m3811,913l3912,932m3912,932l4018,932m4018,932l4123,1124m4123,1124l4243,1229m4243,1229l4349,1229m4349,1229l4454,1292m4454,1292l4560,1321m4560,1321l4666,1258m4666,1258l4771,1273m4771,1273l4872,1484m4872,1484l4978,1153m4978,1153l5083,1052m5083,1052l5189,1364m5189,1364l5294,1349m5294,1349l5400,1498m5400,1498l5520,1321m5520,1321l5626,1321m5626,1321l5726,1306e" filled="false" stroked="true" strokeweight="1.44pt" strokecolor="#000080">
              <v:path arrowok="t"/>
              <v:stroke dashstyle="solid"/>
            </v:shape>
            <v:line style="position:absolute" from="5726,1306" to="5832,1244" stroked="true" strokeweight="1.44pt" strokecolor="#000080">
              <v:stroke dashstyle="solid"/>
            </v:line>
            <v:line style="position:absolute" from="5832,1244" to="5938,1172" stroked="true" strokeweight="1.44pt" strokecolor="#000080">
              <v:stroke dashstyle="solid"/>
            </v:line>
            <v:line style="position:absolute" from="5938,1172" to="6043,1066" stroked="true" strokeweight="1.44pt" strokecolor="#000080">
              <v:stroke dashstyle="solid"/>
            </v:line>
            <v:shape style="position:absolute;left:2323;top:312;width:3692;height:2314" coordorigin="2323,313" coordsize="3692,2314" path="m2491,692l2477,673,2448,737,2443,735,2423,776,2363,751,2371,735,2323,724,2323,735,2323,755,2323,756,2327,757,2414,793,2443,812,2477,749,2466,745,2491,692m2957,629l2938,615,2884,638,2880,629,2818,644,2822,650,2784,640,2789,629,2731,615,2725,627,2683,621,2683,601,2626,601,2626,613,2578,606,2578,586,2549,586,2534,572,2532,578,2520,572,2491,629,2520,644,2533,617,2626,629,2718,642,2717,644,2774,658,2776,656,2837,673,2848,670,2851,673,2874,663,2894,658,2893,655,2957,629m3014,524l3000,509,2986,562,2971,553,2957,615,2986,629,3014,524m3077,375l3058,361,3047,399,3029,389,3014,452,3031,460,3029,466,3043,481,3077,375m3120,433l3091,332,3077,313,3080,326,3058,313,3077,375,3097,385,3106,418,3120,433m3163,553l3149,495,3120,481,3134,538,3139,540,3149,572,3163,586,3151,546,3163,553m3226,735l3197,629,3178,615,3180,622,3163,615,3178,673,3200,685,3211,721,3226,735m3346,812l3331,793,3307,845,3298,841,3281,874,3274,850,3283,855,3264,813,3254,778,3240,764,3247,789,3226,778,3254,841,3262,844,3269,869,3278,879,3269,898,3298,913,3331,855,3326,853,3346,812m3494,706l3437,698,3437,673,3403,673,3403,673,3389,658,3384,673,3374,673,3374,673,3374,673,3346,735,3362,743,3360,749,3374,764,3387,725,3395,709,3480,721,3494,706m3571,793l3535,733,3538,735,3509,673,3480,658,3490,679,3480,673,3538,778,3571,793m3643,778l3629,764,3614,819,3600,812,3594,835,3586,826,3592,845,3590,850,3586,841,3557,826,3586,884,3614,898,3605,879,3614,884,3643,778m3691,629l3677,615,3665,647,3658,644,3643,706,3658,721,3660,713,3677,721,3691,658,3682,654,3691,629m3749,658l3720,553,3706,538,3708,547,3691,538,3706,601,3725,610,3734,644,3749,658m3797,826l3763,721,3749,706,3756,731,3734,721,3749,778,3772,790,3778,812,3797,826m4018,932l3960,932,3960,913,3898,913,3898,929,3854,921,3854,898,3816,898,3811,884,3797,869,3806,898,3797,898,3797,913,3797,932,3898,946,3912,946,3960,946,4018,946,4018,932m4080,1018l4051,954,4066,961,4032,898,4003,884,4032,946,4041,950,4066,1004,4080,1018m4200,1172l4152,1139,4152,1138,4132,1125,4109,1066,4094,1052,4098,1061,4080,1052,4094,1109,4106,1115,4094,1138,4098,1141,4094,1153,4138,1186,4142,1171,4186,1201,4200,1172m4440,1273l4388,1251,4392,1244,4334,1215,4327,1229,4291,1229,4291,1215,4258,1215,4229,1201,4243,1215,4229,1215,4229,1244,4243,1244,4291,1244,4320,1244,4378,1273,4379,1270,4426,1292,4440,1273m4651,1292l4632,1273,4596,1290,4589,1273,4531,1306,4535,1314,4492,1302,4498,1292,4440,1273,4426,1306,4483,1321,4484,1318,4546,1335,4651,1292m4829,1364l4810,1319,4814,1321,4786,1258,4771,1244,4775,1254,4752,1244,4767,1272,4709,1264,4709,1244,4651,1244,4651,1273,4752,1292,4769,1275,4786,1306,4800,1313,4814,1349,4829,1364m4920,1393l4906,1378,4888,1433,4872,1426,4869,1440,4858,1412,4843,1393,4853,1424,4829,1412,4858,1469,4861,1471,4858,1484,4891,1498,4920,1393m4963,1244l4949,1229,4937,1267,4920,1258,4906,1306,4922,1314,4920,1321,4934,1335,4963,1244m5054,1081l5026,1066,4981,1127,4978,1124,4973,1138,4963,1138,4963,1153,4968,1156,4963,1172,4978,1186,4980,1177,5011,1186,5040,1138,5019,1132,5054,1081m5131,1138l5098,1033,5112,1018,5069,1004,5054,1018,5070,1023,5083,1081,5103,1090,5112,1124,5131,1138m5174,1306l5146,1201,5131,1186,5138,1212,5112,1201,5131,1258,5154,1270,5160,1292,5174,1306m5266,1455l5199,1410,5189,1364,5174,1349,5184,1390,5160,1378,5167,1409,5160,1426,5173,1434,5174,1441,5194,1450,5203,1469,5232,1484,5223,1466,5251,1484,5266,1455m5323,1652l5309,1589,5280,1575,5282,1583,5266,1575,5280,1618,5292,1624,5294,1633,5323,1652m5338,1575l5309,1469,5294,1455,5323,1561,5338,1575m5371,1829l5352,1772,5323,1753,5338,1815,5371,1829m5400,1724l5371,1633,5352,1618,5386,1709,5400,1724m5443,2012l5410,1992,5400,1949,5371,1935,5383,1983,5371,2012,5429,2041,5443,2012m5506,1738l5486,1724,5386,1772,5400,1786,5506,1738m5563,2132l5534,2069,5506,2055,5534,2113,5563,2132m5592,1801l5534,1709,5506,1695,5563,1786,5592,1801m5669,2338l5640,2281,5630,2276,5606,2233,5578,2218,5606,2281,5618,2285,5640,2324,5669,2338m5698,1921l5640,1829,5606,1815,5627,1845,5626,1844,5592,1829,5606,1844,5634,1856,5669,1906,5698,1921m5746,2506l5712,2444,5683,2429,5712,2492,5746,2506m5774,2521l5712,2492,5698,2521,5760,2549,5774,2521m5880,2578l5818,2578,5818,2612,5880,2612,5880,2578m5986,2612l5966,2578,5909,2593,5923,2626,5986,2612m6014,1906l6000,1873,5909,1935,5916,1950,5825,1963,5726,1949,5712,1964,5818,1978,5825,1971,5832,1978,5938,1964,5932,1958,6014,1906e" filled="true" fillcolor="#000080" stroked="false">
              <v:path arrowok="t"/>
              <v:fill type="solid"/>
            </v:shape>
            <v:line style="position:absolute" from="5266,3178" to="5266,255" stroked="true" strokeweight=".72pt" strokecolor="#000000">
              <v:stroke dashstyle="solid"/>
            </v:line>
            <w10:wrap type="none"/>
          </v:group>
        </w:pict>
      </w:r>
      <w:r>
        <w:rPr>
          <w:w w:val="105"/>
          <w:sz w:val="16"/>
        </w:rPr>
        <w:t>3.5</w:t>
      </w:r>
    </w:p>
    <w:p>
      <w:pPr>
        <w:spacing w:after="0"/>
        <w:jc w:val="left"/>
        <w:rPr>
          <w:sz w:val="16"/>
        </w:rPr>
        <w:sectPr>
          <w:type w:val="continuous"/>
          <w:pgSz w:w="11900" w:h="16840"/>
          <w:pgMar w:top="1180" w:bottom="280" w:left="1640" w:right="1680"/>
          <w:cols w:num="2" w:equalWidth="0">
            <w:col w:w="3621" w:space="559"/>
            <w:col w:w="4400"/>
          </w:cols>
        </w:sectPr>
      </w:pPr>
    </w:p>
    <w:p>
      <w:pPr>
        <w:pStyle w:val="BodyText"/>
        <w:spacing w:before="10"/>
        <w:rPr>
          <w:sz w:val="11"/>
        </w:rPr>
      </w:pPr>
    </w:p>
    <w:p>
      <w:pPr>
        <w:spacing w:before="98"/>
        <w:ind w:left="4354" w:right="3674" w:firstLine="0"/>
        <w:jc w:val="center"/>
        <w:rPr>
          <w:sz w:val="16"/>
        </w:rPr>
      </w:pPr>
      <w:r>
        <w:rPr>
          <w:spacing w:val="2"/>
          <w:w w:val="105"/>
          <w:sz w:val="16"/>
        </w:rPr>
        <w:t>3.0</w:t>
      </w:r>
    </w:p>
    <w:p>
      <w:pPr>
        <w:pStyle w:val="BodyText"/>
        <w:spacing w:before="2"/>
        <w:rPr>
          <w:sz w:val="12"/>
        </w:rPr>
      </w:pPr>
    </w:p>
    <w:p>
      <w:pPr>
        <w:spacing w:before="98"/>
        <w:ind w:left="4354" w:right="3674" w:firstLine="0"/>
        <w:jc w:val="center"/>
        <w:rPr>
          <w:sz w:val="16"/>
        </w:rPr>
      </w:pPr>
      <w:r>
        <w:rPr>
          <w:spacing w:val="2"/>
          <w:w w:val="105"/>
          <w:sz w:val="16"/>
        </w:rPr>
        <w:t>2.5</w:t>
      </w:r>
    </w:p>
    <w:p>
      <w:pPr>
        <w:pStyle w:val="BodyText"/>
        <w:spacing w:before="9"/>
        <w:rPr>
          <w:sz w:val="11"/>
        </w:rPr>
      </w:pPr>
    </w:p>
    <w:p>
      <w:pPr>
        <w:spacing w:before="98"/>
        <w:ind w:left="4354" w:right="3674" w:firstLine="0"/>
        <w:jc w:val="center"/>
        <w:rPr>
          <w:sz w:val="16"/>
        </w:rPr>
      </w:pPr>
      <w:r>
        <w:rPr>
          <w:spacing w:val="2"/>
          <w:w w:val="105"/>
          <w:sz w:val="16"/>
        </w:rPr>
        <w:t>2.0</w:t>
      </w:r>
    </w:p>
    <w:p>
      <w:pPr>
        <w:pStyle w:val="BodyText"/>
        <w:spacing w:before="6"/>
        <w:rPr>
          <w:sz w:val="13"/>
        </w:rPr>
      </w:pPr>
    </w:p>
    <w:p>
      <w:pPr>
        <w:spacing w:before="97"/>
        <w:ind w:left="4354" w:right="3674" w:firstLine="0"/>
        <w:jc w:val="center"/>
        <w:rPr>
          <w:sz w:val="16"/>
        </w:rPr>
      </w:pPr>
      <w:r>
        <w:rPr>
          <w:spacing w:val="2"/>
          <w:w w:val="105"/>
          <w:sz w:val="16"/>
        </w:rPr>
        <w:t>1.5</w:t>
      </w:r>
    </w:p>
    <w:p>
      <w:pPr>
        <w:pStyle w:val="BodyText"/>
        <w:spacing w:before="10"/>
        <w:rPr>
          <w:sz w:val="11"/>
        </w:rPr>
      </w:pPr>
    </w:p>
    <w:p>
      <w:pPr>
        <w:spacing w:before="98"/>
        <w:ind w:left="4354" w:right="3674" w:firstLine="0"/>
        <w:jc w:val="center"/>
        <w:rPr>
          <w:sz w:val="16"/>
        </w:rPr>
      </w:pPr>
      <w:r>
        <w:rPr>
          <w:spacing w:val="2"/>
          <w:w w:val="105"/>
          <w:sz w:val="16"/>
        </w:rPr>
        <w:t>1.0</w:t>
      </w:r>
    </w:p>
    <w:p>
      <w:pPr>
        <w:pStyle w:val="BodyText"/>
        <w:spacing w:before="2"/>
        <w:rPr>
          <w:sz w:val="12"/>
        </w:rPr>
      </w:pPr>
    </w:p>
    <w:p>
      <w:pPr>
        <w:spacing w:before="98"/>
        <w:ind w:left="4354" w:right="3674" w:firstLine="0"/>
        <w:jc w:val="center"/>
        <w:rPr>
          <w:sz w:val="16"/>
        </w:rPr>
      </w:pPr>
      <w:r>
        <w:rPr>
          <w:spacing w:val="2"/>
          <w:w w:val="105"/>
          <w:sz w:val="16"/>
        </w:rPr>
        <w:t>0.5</w:t>
      </w:r>
    </w:p>
    <w:p>
      <w:pPr>
        <w:pStyle w:val="BodyText"/>
        <w:spacing w:before="9"/>
        <w:rPr>
          <w:sz w:val="11"/>
        </w:rPr>
      </w:pPr>
    </w:p>
    <w:p>
      <w:pPr>
        <w:spacing w:after="0"/>
        <w:rPr>
          <w:sz w:val="11"/>
        </w:rPr>
        <w:sectPr>
          <w:type w:val="continuous"/>
          <w:pgSz w:w="11900" w:h="16840"/>
          <w:pgMar w:top="1180" w:bottom="280" w:left="1640" w:right="1680"/>
        </w:sectPr>
      </w:pPr>
    </w:p>
    <w:p>
      <w:pPr>
        <w:pStyle w:val="BodyText"/>
        <w:rPr>
          <w:sz w:val="18"/>
        </w:rPr>
      </w:pPr>
    </w:p>
    <w:p>
      <w:pPr>
        <w:tabs>
          <w:tab w:pos="1283" w:val="left" w:leader="none"/>
          <w:tab w:pos="2123" w:val="left" w:leader="none"/>
          <w:tab w:pos="2977" w:val="left" w:leader="none"/>
        </w:tabs>
        <w:spacing w:before="136"/>
        <w:ind w:left="428" w:right="0" w:firstLine="0"/>
        <w:jc w:val="left"/>
        <w:rPr>
          <w:sz w:val="16"/>
        </w:rPr>
      </w:pPr>
      <w:r>
        <w:rPr>
          <w:spacing w:val="2"/>
          <w:w w:val="105"/>
          <w:sz w:val="16"/>
        </w:rPr>
        <w:t>Mar-95</w:t>
        <w:tab/>
        <w:t>Mar-97</w:t>
        <w:tab/>
        <w:t>Mar-99</w:t>
        <w:tab/>
      </w:r>
      <w:r>
        <w:rPr>
          <w:w w:val="105"/>
          <w:sz w:val="16"/>
        </w:rPr>
        <w:t>Mar-01</w:t>
      </w:r>
    </w:p>
    <w:p>
      <w:pPr>
        <w:pStyle w:val="BodyText"/>
        <w:rPr>
          <w:sz w:val="18"/>
        </w:rPr>
      </w:pPr>
      <w:r>
        <w:rPr/>
        <w:br w:type="column"/>
      </w:r>
      <w:r>
        <w:rPr>
          <w:sz w:val="18"/>
        </w:rPr>
      </w:r>
    </w:p>
    <w:p>
      <w:pPr>
        <w:spacing w:before="136"/>
        <w:ind w:left="298" w:right="0" w:firstLine="0"/>
        <w:jc w:val="left"/>
        <w:rPr>
          <w:sz w:val="16"/>
        </w:rPr>
      </w:pPr>
      <w:r>
        <w:rPr>
          <w:sz w:val="16"/>
        </w:rPr>
        <w:t>Mar-03</w:t>
      </w:r>
    </w:p>
    <w:p>
      <w:pPr>
        <w:spacing w:before="98"/>
        <w:ind w:left="135" w:right="0" w:firstLine="0"/>
        <w:jc w:val="left"/>
        <w:rPr>
          <w:sz w:val="16"/>
        </w:rPr>
      </w:pPr>
      <w:r>
        <w:rPr/>
        <w:br w:type="column"/>
      </w:r>
      <w:r>
        <w:rPr>
          <w:w w:val="105"/>
          <w:sz w:val="16"/>
        </w:rPr>
        <w:t>0.0</w:t>
      </w:r>
    </w:p>
    <w:p>
      <w:pPr>
        <w:spacing w:after="0"/>
        <w:jc w:val="left"/>
        <w:rPr>
          <w:sz w:val="16"/>
        </w:rPr>
        <w:sectPr>
          <w:type w:val="continuous"/>
          <w:pgSz w:w="11900" w:h="16840"/>
          <w:pgMar w:top="1180" w:bottom="280" w:left="1640" w:right="1680"/>
          <w:cols w:num="3" w:equalWidth="0">
            <w:col w:w="3494" w:space="40"/>
            <w:col w:w="815" w:space="39"/>
            <w:col w:w="4192"/>
          </w:cols>
        </w:sectPr>
      </w:pPr>
    </w:p>
    <w:p>
      <w:pPr>
        <w:pStyle w:val="BodyText"/>
        <w:spacing w:before="6"/>
        <w:rPr>
          <w:sz w:val="16"/>
        </w:rPr>
      </w:pPr>
    </w:p>
    <w:p>
      <w:pPr>
        <w:tabs>
          <w:tab w:pos="3428" w:val="left" w:leader="none"/>
        </w:tabs>
        <w:spacing w:line="408" w:lineRule="auto" w:before="0"/>
        <w:ind w:left="1177" w:right="3825" w:firstLine="0"/>
        <w:jc w:val="left"/>
        <w:rPr>
          <w:sz w:val="16"/>
        </w:rPr>
      </w:pPr>
      <w:r>
        <w:rPr/>
        <w:pict>
          <v:line style="position:absolute;mso-position-horizontal-relative:page;mso-position-vertical-relative:paragraph;z-index:251720704" from="110.879997pt,5.308764pt" to="138.719997pt,5.308764pt" stroked="true" strokeweight="1.44pt" strokecolor="#000080">
            <v:stroke dashstyle="solid"/>
            <w10:wrap type="none"/>
          </v:line>
        </w:pict>
      </w:r>
      <w:r>
        <w:rPr/>
        <w:pict>
          <v:shape style="position:absolute;margin-left:223.440018pt;margin-top:5.308742pt;width:27.85pt;height:.75pt;mso-position-horizontal-relative:page;mso-position-vertical-relative:paragraph;z-index:-253023232" coordorigin="4469,106" coordsize="557,15" path="m4574,106l4469,106,4469,121,4574,121,4574,106m4738,106l4632,106,4632,121,4738,121,4738,106m4906,106l4800,106,4800,121,4906,121,4906,106m5026,106l4963,106,4963,121,5026,121,5026,106e" filled="true" fillcolor="#000080" stroked="false">
            <v:path arrowok="t"/>
            <v:fill type="solid"/>
            <w10:wrap type="none"/>
          </v:shape>
        </w:pict>
      </w:r>
      <w:r>
        <w:rPr/>
        <w:pict>
          <v:rect style="position:absolute;margin-left:110.160004pt;margin-top:20.188763pt;width:3.12pt;height:1.44pt;mso-position-horizontal-relative:page;mso-position-vertical-relative:paragraph;z-index:251722752" filled="true" fillcolor="#000080" stroked="false">
            <v:fill type="solid"/>
            <w10:wrap type="none"/>
          </v:rect>
        </w:pict>
      </w:r>
      <w:r>
        <w:rPr/>
        <w:pict>
          <v:rect style="position:absolute;margin-left:119.279999pt;margin-top:20.188763pt;width:2.88pt;height:1.44pt;mso-position-horizontal-relative:page;mso-position-vertical-relative:paragraph;z-index:251723776" filled="true" fillcolor="#000080" stroked="false">
            <v:fill type="solid"/>
            <w10:wrap type="none"/>
          </v:rect>
        </w:pict>
      </w:r>
      <w:r>
        <w:rPr/>
        <w:pict>
          <v:rect style="position:absolute;margin-left:128.160004pt;margin-top:20.188763pt;width:3.12pt;height:1.44pt;mso-position-horizontal-relative:page;mso-position-vertical-relative:paragraph;z-index:251724800" filled="true" fillcolor="#000080" stroked="false">
            <v:fill type="solid"/>
            <w10:wrap type="none"/>
          </v:rect>
        </w:pict>
      </w:r>
      <w:r>
        <w:rPr/>
        <w:pict>
          <v:rect style="position:absolute;margin-left:137.279999pt;margin-top:20.188763pt;width:2.16pt;height:1.44pt;mso-position-horizontal-relative:page;mso-position-vertical-relative:paragraph;z-index:251725824" filled="true" fillcolor="#000080" stroked="false">
            <v:fill type="solid"/>
            <w10:wrap type="none"/>
          </v:rect>
        </w:pict>
      </w:r>
      <w:r>
        <w:rPr>
          <w:spacing w:val="3"/>
          <w:w w:val="105"/>
          <w:sz w:val="16"/>
        </w:rPr>
        <w:t>Nov</w:t>
      </w:r>
      <w:r>
        <w:rPr>
          <w:spacing w:val="2"/>
          <w:w w:val="105"/>
          <w:sz w:val="16"/>
        </w:rPr>
        <w:t> IR</w:t>
        <w:tab/>
        <w:t>Average </w:t>
      </w:r>
      <w:r>
        <w:rPr>
          <w:w w:val="105"/>
          <w:sz w:val="16"/>
        </w:rPr>
        <w:t>97 - </w:t>
      </w:r>
      <w:r>
        <w:rPr>
          <w:spacing w:val="3"/>
          <w:w w:val="105"/>
          <w:sz w:val="16"/>
        </w:rPr>
        <w:t>01Q2 Average </w:t>
      </w:r>
      <w:r>
        <w:rPr>
          <w:w w:val="105"/>
          <w:sz w:val="16"/>
        </w:rPr>
        <w:t>98 -</w:t>
      </w:r>
      <w:r>
        <w:rPr>
          <w:spacing w:val="15"/>
          <w:w w:val="105"/>
          <w:sz w:val="16"/>
        </w:rPr>
        <w:t> </w:t>
      </w:r>
      <w:r>
        <w:rPr>
          <w:spacing w:val="4"/>
          <w:w w:val="105"/>
          <w:sz w:val="16"/>
        </w:rPr>
        <w:t>01Q2</w:t>
      </w:r>
    </w:p>
    <w:p>
      <w:pPr>
        <w:pStyle w:val="BodyText"/>
        <w:spacing w:before="3"/>
        <w:rPr>
          <w:sz w:val="17"/>
        </w:rPr>
      </w:pPr>
    </w:p>
    <w:p>
      <w:pPr>
        <w:pStyle w:val="BodyText"/>
        <w:spacing w:line="360" w:lineRule="auto" w:before="90"/>
        <w:ind w:left="160" w:right="195"/>
      </w:pPr>
      <w:r>
        <w:rPr/>
        <w:t>I have used the above example to illustrate some of the difficult decisions that we have to make in terms of assessing supply potential. While I have concentrated on issues relating to physical capacity and the degree of competitive pressure today, trying to assess slack in the labour market is just as difficult, though that can be left for another occasion.</w:t>
      </w:r>
    </w:p>
    <w:p>
      <w:pPr>
        <w:pStyle w:val="BodyText"/>
        <w:spacing w:before="3"/>
        <w:rPr>
          <w:sz w:val="36"/>
        </w:rPr>
      </w:pPr>
    </w:p>
    <w:p>
      <w:pPr>
        <w:pStyle w:val="Heading1"/>
      </w:pPr>
      <w:r>
        <w:rPr/>
        <w:t>CONCLUSIONS</w:t>
      </w:r>
    </w:p>
    <w:p>
      <w:pPr>
        <w:pStyle w:val="BodyText"/>
        <w:rPr>
          <w:b/>
          <w:sz w:val="26"/>
        </w:rPr>
      </w:pPr>
    </w:p>
    <w:p>
      <w:pPr>
        <w:pStyle w:val="BodyText"/>
        <w:spacing w:before="9"/>
        <w:rPr>
          <w:b/>
          <w:sz w:val="21"/>
        </w:rPr>
      </w:pPr>
    </w:p>
    <w:p>
      <w:pPr>
        <w:pStyle w:val="BodyText"/>
        <w:ind w:left="160"/>
      </w:pPr>
      <w:r>
        <w:rPr/>
        <w:t>Let me end by summarising what I have said today.</w:t>
      </w:r>
    </w:p>
    <w:p>
      <w:pPr>
        <w:pStyle w:val="BodyText"/>
        <w:rPr>
          <w:sz w:val="26"/>
        </w:rPr>
      </w:pPr>
    </w:p>
    <w:p>
      <w:pPr>
        <w:pStyle w:val="BodyText"/>
        <w:spacing w:before="9"/>
        <w:rPr>
          <w:sz w:val="21"/>
        </w:rPr>
      </w:pPr>
    </w:p>
    <w:p>
      <w:pPr>
        <w:pStyle w:val="BodyText"/>
        <w:spacing w:line="360" w:lineRule="auto"/>
        <w:ind w:left="160" w:right="161"/>
      </w:pPr>
      <w:r>
        <w:rPr/>
        <w:t>In terms of the outlook for the global economy, the consensus forecast is for a recovery to begin in the US by the middle of 2002. This view is based on the significant degree of fiscal and monetary stimulus in the pipeline. I did, though discuss the risks to this view, including the possibility that the ongoing deterioration</w:t>
      </w:r>
    </w:p>
    <w:p>
      <w:pPr>
        <w:pStyle w:val="BodyText"/>
        <w:rPr>
          <w:sz w:val="27"/>
        </w:rPr>
      </w:pPr>
      <w:r>
        <w:rPr/>
        <w:pict>
          <v:shape style="position:absolute;margin-left:90pt;margin-top:17.725557pt;width:415.2pt;height:.1pt;mso-position-horizontal-relative:page;mso-position-vertical-relative:paragraph;z-index:-251597824;mso-wrap-distance-left:0;mso-wrap-distance-right:0" coordorigin="1800,355" coordsize="8304,0" path="m1800,355l10104,355e" filled="false" stroked="true" strokeweight=".48pt" strokecolor="#000000">
            <v:path arrowok="t"/>
            <v:stroke dashstyle="solid"/>
            <w10:wrap type="topAndBottom"/>
          </v:shape>
        </w:pict>
      </w:r>
    </w:p>
    <w:p>
      <w:pPr>
        <w:spacing w:line="243" w:lineRule="exact" w:before="47"/>
        <w:ind w:left="160" w:right="0" w:firstLine="0"/>
        <w:jc w:val="left"/>
        <w:rPr>
          <w:sz w:val="20"/>
        </w:rPr>
      </w:pPr>
      <w:r>
        <w:rPr>
          <w:position w:val="9"/>
          <w:sz w:val="13"/>
        </w:rPr>
        <w:t>26 </w:t>
      </w:r>
      <w:r>
        <w:rPr>
          <w:sz w:val="20"/>
        </w:rPr>
        <w:t>See Wadhwani (2001), Section 6 for further discussion of this hypothesis.</w:t>
      </w:r>
    </w:p>
    <w:p>
      <w:pPr>
        <w:spacing w:line="230" w:lineRule="exact" w:before="15"/>
        <w:ind w:left="160" w:right="615" w:firstLine="0"/>
        <w:jc w:val="left"/>
        <w:rPr>
          <w:sz w:val="20"/>
        </w:rPr>
      </w:pPr>
      <w:r>
        <w:rPr>
          <w:position w:val="9"/>
          <w:sz w:val="13"/>
        </w:rPr>
        <w:t>27 </w:t>
      </w:r>
      <w:r>
        <w:rPr>
          <w:sz w:val="20"/>
        </w:rPr>
        <w:t>It is one reason why I personally favoured the lower modal inflation projection, represented in Table 6B of the November Inflation Report.</w:t>
      </w:r>
    </w:p>
    <w:p>
      <w:pPr>
        <w:spacing w:after="0" w:line="230" w:lineRule="exact"/>
        <w:jc w:val="left"/>
        <w:rPr>
          <w:sz w:val="20"/>
        </w:rPr>
        <w:sectPr>
          <w:type w:val="continuous"/>
          <w:pgSz w:w="11900" w:h="16840"/>
          <w:pgMar w:top="1180" w:bottom="280" w:left="1640" w:right="1680"/>
        </w:sectPr>
      </w:pPr>
    </w:p>
    <w:p>
      <w:pPr>
        <w:pStyle w:val="BodyText"/>
        <w:spacing w:line="360" w:lineRule="auto" w:before="73"/>
        <w:ind w:left="160" w:right="381"/>
      </w:pPr>
      <w:r>
        <w:rPr/>
        <w:t>in the labour market would impact on consumption, and also that weak profitability might keep layoffs high.</w:t>
      </w:r>
    </w:p>
    <w:p>
      <w:pPr>
        <w:pStyle w:val="BodyText"/>
        <w:spacing w:before="1"/>
        <w:rPr>
          <w:sz w:val="36"/>
        </w:rPr>
      </w:pPr>
    </w:p>
    <w:p>
      <w:pPr>
        <w:pStyle w:val="BodyText"/>
        <w:spacing w:line="360" w:lineRule="auto" w:before="1"/>
        <w:ind w:left="160" w:right="153"/>
      </w:pPr>
      <w:r>
        <w:rPr/>
        <w:t>Turning to the stock market, while valuations are much more moderate than in early 2000, expectations of medium-term earnings growth and stock market performance are still high. While none of this would preclude a significant rise in stock prices over the next few months, it does increase the risk to the stock market if the economic recovery were delayed. Moreover, over the medium-term, a downward valuation adjustment may still be necessary.</w:t>
      </w:r>
    </w:p>
    <w:p>
      <w:pPr>
        <w:pStyle w:val="BodyText"/>
        <w:spacing w:before="1"/>
        <w:rPr>
          <w:sz w:val="36"/>
        </w:rPr>
      </w:pPr>
    </w:p>
    <w:p>
      <w:pPr>
        <w:pStyle w:val="BodyText"/>
        <w:spacing w:line="360" w:lineRule="auto"/>
        <w:ind w:left="160" w:right="215"/>
      </w:pPr>
      <w:r>
        <w:rPr/>
        <w:t>Finally, I discussed some of our recent difficulties associated with assessing supply capacity. The recent upward revisions for the capital stock have helped us to understand the past better and increased the measured degree of spare capacity in the economy. Major uncertainties remain, but my own view is that the tendency for prices to come in lower than the Bank’s model appears to imply that there might be less inflationary pressure than has been assumed.</w:t>
      </w:r>
    </w:p>
    <w:p>
      <w:pPr>
        <w:pStyle w:val="BodyText"/>
        <w:spacing w:before="8"/>
        <w:rPr>
          <w:sz w:val="35"/>
        </w:rPr>
      </w:pPr>
    </w:p>
    <w:p>
      <w:pPr>
        <w:pStyle w:val="BodyText"/>
        <w:ind w:left="160"/>
      </w:pPr>
      <w:r>
        <w:rPr/>
        <w:t>I now look forward to hearing your views on these thorny issues.</w:t>
      </w:r>
    </w:p>
    <w:p>
      <w:pPr>
        <w:spacing w:after="0"/>
        <w:sectPr>
          <w:pgSz w:w="11900" w:h="16840"/>
          <w:pgMar w:header="0" w:footer="782" w:top="1360" w:bottom="980" w:left="1640" w:right="1680"/>
        </w:sectPr>
      </w:pPr>
    </w:p>
    <w:p>
      <w:pPr>
        <w:pStyle w:val="BodyText"/>
        <w:rPr>
          <w:sz w:val="14"/>
        </w:rPr>
      </w:pPr>
    </w:p>
    <w:p>
      <w:pPr>
        <w:pStyle w:val="Heading1"/>
        <w:spacing w:before="90"/>
      </w:pPr>
      <w:r>
        <w:rPr/>
        <w:t>BIBLIOGRAPHY</w:t>
      </w:r>
    </w:p>
    <w:p>
      <w:pPr>
        <w:pStyle w:val="BodyText"/>
        <w:rPr>
          <w:b/>
          <w:sz w:val="26"/>
        </w:rPr>
      </w:pPr>
    </w:p>
    <w:p>
      <w:pPr>
        <w:pStyle w:val="BodyText"/>
        <w:spacing w:before="9"/>
        <w:rPr>
          <w:b/>
          <w:sz w:val="21"/>
        </w:rPr>
      </w:pPr>
    </w:p>
    <w:p>
      <w:pPr>
        <w:pStyle w:val="BodyText"/>
        <w:spacing w:line="242" w:lineRule="auto"/>
        <w:ind w:left="160" w:right="115"/>
      </w:pPr>
      <w:r>
        <w:rPr/>
        <w:t>Bank of England (2000) “Economic models at the Bank of England”, September 2000 update.</w:t>
      </w:r>
    </w:p>
    <w:p>
      <w:pPr>
        <w:pStyle w:val="BodyText"/>
        <w:spacing w:before="5"/>
        <w:rPr>
          <w:sz w:val="35"/>
        </w:rPr>
      </w:pPr>
    </w:p>
    <w:p>
      <w:pPr>
        <w:pStyle w:val="BodyText"/>
        <w:spacing w:line="242" w:lineRule="auto"/>
        <w:ind w:left="160" w:right="715"/>
      </w:pPr>
      <w:r>
        <w:rPr/>
        <w:t>Blanchard, Olivier Jean (1993) “Movements in the equity premium”, Brookings Papers on Economic Activity, Vol 2, pp 75-118.</w:t>
      </w:r>
    </w:p>
    <w:p>
      <w:pPr>
        <w:pStyle w:val="BodyText"/>
        <w:spacing w:before="10"/>
        <w:rPr>
          <w:sz w:val="23"/>
        </w:rPr>
      </w:pPr>
    </w:p>
    <w:p>
      <w:pPr>
        <w:pStyle w:val="BodyText"/>
        <w:spacing w:line="237" w:lineRule="auto" w:before="1"/>
        <w:ind w:left="160" w:right="321"/>
      </w:pPr>
      <w:r>
        <w:rPr/>
        <w:t>Gordon, M J (1962) “The Investment, Financing and Valuation of the Corporation”, Homewood, LL, Richard D Irwin.</w:t>
      </w:r>
    </w:p>
    <w:p>
      <w:pPr>
        <w:pStyle w:val="BodyText"/>
      </w:pPr>
    </w:p>
    <w:p>
      <w:pPr>
        <w:pStyle w:val="BodyText"/>
        <w:spacing w:line="242" w:lineRule="auto" w:before="1"/>
        <w:ind w:left="160"/>
      </w:pPr>
      <w:r>
        <w:rPr/>
        <w:t>Shiller, R J (2000), “Irrational Exuberance”, Princeton, University Press, Princeton. Data available at </w:t>
      </w:r>
      <w:hyperlink r:id="rId30">
        <w:r>
          <w:rPr/>
          <w:t>http://aida.econ.yale.edu/~shiller/data.htm.</w:t>
        </w:r>
      </w:hyperlink>
    </w:p>
    <w:p>
      <w:pPr>
        <w:pStyle w:val="BodyText"/>
        <w:spacing w:before="10"/>
        <w:rPr>
          <w:sz w:val="23"/>
        </w:rPr>
      </w:pPr>
    </w:p>
    <w:p>
      <w:pPr>
        <w:pStyle w:val="BodyText"/>
        <w:spacing w:line="237" w:lineRule="auto"/>
        <w:ind w:left="160"/>
      </w:pPr>
      <w:r>
        <w:rPr/>
        <w:t>Wadhwani, S B (1999) “The US Stock Market and the Global Economic Crisis”, National Institute Economic Review, Vol 167 (January), pp 86-105.</w:t>
      </w:r>
    </w:p>
    <w:p>
      <w:pPr>
        <w:pStyle w:val="BodyText"/>
        <w:spacing w:before="1"/>
      </w:pPr>
    </w:p>
    <w:p>
      <w:pPr>
        <w:pStyle w:val="BodyText"/>
        <w:spacing w:line="242" w:lineRule="auto"/>
        <w:ind w:left="160"/>
      </w:pPr>
      <w:r>
        <w:rPr/>
        <w:t>Wadhwani, S B (2000) “Monetary Challenges in a New Economy”, Bank of England Quarterly Bulletin, November.</w:t>
      </w:r>
    </w:p>
    <w:p>
      <w:pPr>
        <w:pStyle w:val="BodyText"/>
        <w:spacing w:before="11"/>
        <w:rPr>
          <w:sz w:val="23"/>
        </w:rPr>
      </w:pPr>
    </w:p>
    <w:p>
      <w:pPr>
        <w:pStyle w:val="BodyText"/>
        <w:spacing w:line="237" w:lineRule="auto"/>
        <w:ind w:left="160"/>
      </w:pPr>
      <w:r>
        <w:rPr/>
        <w:t>Wadhwani, S B (2001) “Do We Have A New Economy?”, Bank of England, </w:t>
      </w:r>
      <w:hyperlink r:id="rId31">
        <w:r>
          <w:rPr/>
          <w:t>www.bankofengland.co.uk</w:t>
        </w:r>
      </w:hyperlink>
    </w:p>
    <w:sectPr>
      <w:pgSz w:w="11900" w:h="16840"/>
      <w:pgMar w:header="0" w:footer="782" w:top="1600" w:bottom="980" w:left="16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00006pt;margin-top:791.906616pt;width:18pt;height:15.3pt;mso-position-horizontal-relative:page;mso-position-vertical-relative:page;z-index:-2530867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85696" from="90pt,695.119995pt" to="234pt,695.119995pt" stroked="true" strokeweight=".48pt" strokecolor="#000000">
          <v:stroke dashstyle="solid"/>
          <w10:wrap type="none"/>
        </v:line>
      </w:pict>
    </w:r>
    <w:r>
      <w:rPr/>
      <w:pict>
        <v:shape style="position:absolute;margin-left:290.600006pt;margin-top:791.906616pt;width:14pt;height:15.3pt;mso-position-horizontal-relative:page;mso-position-vertical-relative:page;z-index:-253084672" type="#_x0000_t202" filled="false" stroked="false">
          <v:textbox inset="0,0,0,0">
            <w:txbxContent>
              <w:p>
                <w:pPr>
                  <w:pStyle w:val="BodyText"/>
                  <w:spacing w:before="10"/>
                  <w:ind w:left="20"/>
                </w:pPr>
                <w:r>
                  <w:rPr/>
                  <w:t>12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791.906616pt;width:18pt;height:15.3pt;mso-position-horizontal-relative:page;mso-position-vertical-relative:page;z-index:-253083648" type="#_x0000_t202" filled="false" stroked="false">
          <v:textbox inset="0,0,0,0">
            <w:txbxContent>
              <w:p>
                <w:pPr>
                  <w:pStyle w:val="BodyText"/>
                  <w:spacing w:before="10"/>
                  <w:ind w:left="60"/>
                </w:pPr>
                <w:r>
                  <w:rPr/>
                  <w:fldChar w:fldCharType="begin"/>
                </w:r>
                <w:r>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791.906616pt;width:18pt;height:15.3pt;mso-position-horizontal-relative:page;mso-position-vertical-relative:page;z-index:-253082624" type="#_x0000_t202" filled="false" stroked="false">
          <v:textbox inset="0,0,0,0">
            <w:txbxContent>
              <w:p>
                <w:pPr>
                  <w:pStyle w:val="BodyText"/>
                  <w:spacing w:before="10"/>
                  <w:ind w:left="60"/>
                </w:pPr>
                <w:r>
                  <w:rPr/>
                  <w:fldChar w:fldCharType="begin"/>
                </w:r>
                <w:r>
                  <w:rPr/>
                  <w:instrText> PAGE </w:instrText>
                </w:r>
                <w:r>
                  <w:rPr/>
                  <w:fldChar w:fldCharType="separate"/>
                </w:r>
                <w:r>
                  <w:rPr/>
                  <w:t>18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5" w:hanging="306"/>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272" w:hanging="306"/>
      </w:pPr>
      <w:rPr>
        <w:rFonts w:hint="default"/>
      </w:rPr>
    </w:lvl>
    <w:lvl w:ilvl="2">
      <w:start w:val="0"/>
      <w:numFmt w:val="bullet"/>
      <w:lvlText w:val="•"/>
      <w:lvlJc w:val="left"/>
      <w:pPr>
        <w:ind w:left="2084" w:hanging="306"/>
      </w:pPr>
      <w:rPr>
        <w:rFonts w:hint="default"/>
      </w:rPr>
    </w:lvl>
    <w:lvl w:ilvl="3">
      <w:start w:val="0"/>
      <w:numFmt w:val="bullet"/>
      <w:lvlText w:val="•"/>
      <w:lvlJc w:val="left"/>
      <w:pPr>
        <w:ind w:left="2896" w:hanging="306"/>
      </w:pPr>
      <w:rPr>
        <w:rFonts w:hint="default"/>
      </w:rPr>
    </w:lvl>
    <w:lvl w:ilvl="4">
      <w:start w:val="0"/>
      <w:numFmt w:val="bullet"/>
      <w:lvlText w:val="•"/>
      <w:lvlJc w:val="left"/>
      <w:pPr>
        <w:ind w:left="3708" w:hanging="306"/>
      </w:pPr>
      <w:rPr>
        <w:rFonts w:hint="default"/>
      </w:rPr>
    </w:lvl>
    <w:lvl w:ilvl="5">
      <w:start w:val="0"/>
      <w:numFmt w:val="bullet"/>
      <w:lvlText w:val="•"/>
      <w:lvlJc w:val="left"/>
      <w:pPr>
        <w:ind w:left="4520" w:hanging="306"/>
      </w:pPr>
      <w:rPr>
        <w:rFonts w:hint="default"/>
      </w:rPr>
    </w:lvl>
    <w:lvl w:ilvl="6">
      <w:start w:val="0"/>
      <w:numFmt w:val="bullet"/>
      <w:lvlText w:val="•"/>
      <w:lvlJc w:val="left"/>
      <w:pPr>
        <w:ind w:left="5332" w:hanging="306"/>
      </w:pPr>
      <w:rPr>
        <w:rFonts w:hint="default"/>
      </w:rPr>
    </w:lvl>
    <w:lvl w:ilvl="7">
      <w:start w:val="0"/>
      <w:numFmt w:val="bullet"/>
      <w:lvlText w:val="•"/>
      <w:lvlJc w:val="left"/>
      <w:pPr>
        <w:ind w:left="6144" w:hanging="306"/>
      </w:pPr>
      <w:rPr>
        <w:rFonts w:hint="default"/>
      </w:rPr>
    </w:lvl>
    <w:lvl w:ilvl="8">
      <w:start w:val="0"/>
      <w:numFmt w:val="bullet"/>
      <w:lvlText w:val="•"/>
      <w:lvlJc w:val="left"/>
      <w:pPr>
        <w:ind w:left="6956" w:hanging="30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image" Target="media/image20.png"/><Relationship Id="rId29" Type="http://schemas.openxmlformats.org/officeDocument/2006/relationships/footer" Target="footer4.xml"/><Relationship Id="rId30" Type="http://schemas.openxmlformats.org/officeDocument/2006/relationships/hyperlink" Target="http://aida.econ.yale.edu/~shiller/data.htm" TargetMode="External"/><Relationship Id="rId31" Type="http://schemas.openxmlformats.org/officeDocument/2006/relationships/hyperlink" Target="http://www.bankofengland.co.uk/"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Press Office</dc:creator>
  <dc:subject>To the Edinburgh University Economics Society on 21 November</dc:subject>
  <dc:title>Speech by Sushil Wadhwani </dc:title>
  <dcterms:created xsi:type="dcterms:W3CDTF">2020-06-02T18:53:05Z</dcterms:created>
  <dcterms:modified xsi:type="dcterms:W3CDTF">2020-06-02T18:53:05Z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2001-11-21T00:00:00Z</vt:filetime>
  </property>
  <property fmtid="{D5CDD505-2E9C-101B-9397-08002B2CF9AE}" pid="3" name="Creator">
    <vt:lpwstr>Microsoft Word - MA-DOCS_153203_1.DOC</vt:lpwstr>
  </property>
  <property fmtid="{D5CDD505-2E9C-101B-9397-08002B2CF9AE}" pid="4" name="LastSaved">
    <vt:filetime>2020-06-02T00:00:00Z</vt:filetime>
  </property>
</Properties>
</file>