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sz w:val="12"/>
        </w:rPr>
      </w:pPr>
      <w:r>
        <w:rPr/>
        <w:pict>
          <v:group style="position:absolute;margin-left:50.580002pt;margin-top:8.85pt;width:488.35pt;height:1.5pt;mso-position-horizontal-relative:page;mso-position-vertical-relative:paragraph;z-index:-251658240;mso-wrap-distance-left:0;mso-wrap-distance-right:0" coordorigin="1012,177" coordsize="9767,30">
            <v:line style="position:absolute" from="1012,192" to="8228,192" stroked="true" strokeweight="1.5pt" strokecolor="#000000">
              <v:stroke dashstyle="solid"/>
            </v:line>
            <v:line style="position:absolute" from="8214,192" to="10778,192" stroked="true" strokeweight="1.5pt" strokecolor="#000000">
              <v:stroke dashstyle="solid"/>
            </v:line>
            <w10:wrap type="topAndBottom"/>
          </v:group>
        </w:pict>
      </w:r>
    </w:p>
    <w:p>
      <w:pPr>
        <w:pStyle w:val="BodyText"/>
        <w:rPr>
          <w:rFonts w:ascii="Times New Roman"/>
        </w:rPr>
      </w:pPr>
    </w:p>
    <w:p>
      <w:pPr>
        <w:pStyle w:val="BodyText"/>
        <w:spacing w:before="6"/>
        <w:rPr>
          <w:rFonts w:ascii="Times New Roman"/>
          <w:sz w:val="17"/>
        </w:rPr>
      </w:pPr>
    </w:p>
    <w:p>
      <w:pPr>
        <w:spacing w:before="90"/>
        <w:ind w:left="474" w:right="0" w:firstLine="0"/>
        <w:jc w:val="left"/>
        <w:rPr>
          <w:b/>
          <w:sz w:val="32"/>
        </w:rPr>
      </w:pPr>
      <w:r>
        <w:rPr>
          <w:b/>
          <w:color w:val="6A709F"/>
          <w:sz w:val="32"/>
        </w:rPr>
        <w:t>The UK economy: the road ahead?</w:t>
      </w:r>
    </w:p>
    <w:p>
      <w:pPr>
        <w:spacing w:before="275"/>
        <w:ind w:left="474" w:right="0" w:firstLine="0"/>
        <w:jc w:val="left"/>
        <w:rPr>
          <w:sz w:val="24"/>
        </w:rPr>
      </w:pPr>
      <w:r>
        <w:rPr>
          <w:sz w:val="24"/>
        </w:rPr>
        <w:t>Speech given by</w:t>
      </w:r>
    </w:p>
    <w:p>
      <w:pPr>
        <w:spacing w:before="138"/>
        <w:ind w:left="474" w:right="0" w:firstLine="0"/>
        <w:jc w:val="left"/>
        <w:rPr>
          <w:sz w:val="24"/>
        </w:rPr>
      </w:pPr>
      <w:r>
        <w:rPr>
          <w:sz w:val="24"/>
        </w:rPr>
        <w:t>Ian McCafferty, External Member of the Monetary Policy Committee, Bank of England</w:t>
      </w:r>
    </w:p>
    <w:p>
      <w:pPr>
        <w:pStyle w:val="BodyText"/>
        <w:rPr>
          <w:sz w:val="26"/>
        </w:rPr>
      </w:pPr>
    </w:p>
    <w:p>
      <w:pPr>
        <w:pStyle w:val="BodyText"/>
        <w:spacing w:before="11"/>
        <w:rPr>
          <w:sz w:val="21"/>
        </w:rPr>
      </w:pPr>
    </w:p>
    <w:p>
      <w:pPr>
        <w:spacing w:line="360" w:lineRule="auto" w:before="0"/>
        <w:ind w:left="474" w:right="2176" w:firstLine="0"/>
        <w:jc w:val="left"/>
        <w:rPr>
          <w:sz w:val="24"/>
        </w:rPr>
      </w:pPr>
      <w:r>
        <w:rPr>
          <w:sz w:val="24"/>
        </w:rPr>
        <w:t>At Women in Business, Coventry and Warwickshire Chamber of Commerce 23 April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spacing w:before="94"/>
        <w:ind w:left="474" w:right="879"/>
      </w:pPr>
      <w:r>
        <w:rPr/>
        <w:t>I would like to thank Marilyne Tolle and Evan Wohlmann for their help in preparing this speech. The views expressed are my own and do not necessarily reflect those of the other members of the Monetary Policy Committee.</w:t>
      </w:r>
    </w:p>
    <w:p>
      <w:pPr>
        <w:pStyle w:val="BodyText"/>
      </w:pPr>
    </w:p>
    <w:p>
      <w:pPr>
        <w:pStyle w:val="BodyText"/>
        <w:spacing w:before="9"/>
        <w:rPr>
          <w:sz w:val="16"/>
        </w:rPr>
      </w:pPr>
      <w:r>
        <w:rPr/>
        <w:pict>
          <v:shape style="position:absolute;margin-left:56.700001pt;margin-top:11.777661pt;width:482pt;height:.1pt;mso-position-horizontal-relative:page;mso-position-vertical-relative:paragraph;z-index:-251657216;mso-wrap-distance-left:0;mso-wrap-distance-right:0" coordorigin="1134,236" coordsize="9640,0" path="m1134,236l10774,236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474"/>
      </w:pPr>
      <w:r>
        <w:rPr/>
        <w:t>All speeches are available online at </w:t>
      </w:r>
      <w:hyperlink r:id="rId6">
        <w:r>
          <w:rPr/>
          <w:t>www.bankofengland.co.uk/publications/Pages/speeches/default.aspx</w:t>
        </w:r>
      </w:hyperlink>
    </w:p>
    <w:p>
      <w:pPr>
        <w:spacing w:after="0"/>
        <w:sectPr>
          <w:type w:val="continuous"/>
          <w:pgSz w:w="11900" w:h="16840"/>
          <w:pgMar w:top="900" w:bottom="280" w:left="660" w:right="540"/>
        </w:sectPr>
      </w:pPr>
    </w:p>
    <w:p>
      <w:pPr>
        <w:pStyle w:val="Heading1"/>
        <w:spacing w:before="119"/>
        <w:ind w:left="474"/>
      </w:pPr>
      <w:r>
        <w:rPr/>
        <w:t>Introduction</w:t>
      </w:r>
    </w:p>
    <w:p>
      <w:pPr>
        <w:pStyle w:val="BodyText"/>
        <w:rPr>
          <w:b/>
          <w:sz w:val="22"/>
        </w:rPr>
      </w:pPr>
    </w:p>
    <w:p>
      <w:pPr>
        <w:pStyle w:val="BodyText"/>
        <w:spacing w:before="10"/>
        <w:rPr>
          <w:b/>
          <w:sz w:val="17"/>
        </w:rPr>
      </w:pPr>
    </w:p>
    <w:p>
      <w:pPr>
        <w:pStyle w:val="BodyText"/>
        <w:ind w:left="474"/>
      </w:pPr>
      <w:r>
        <w:rPr/>
        <w:t>Thank you for inviting me to speak here today.</w:t>
      </w:r>
    </w:p>
    <w:p>
      <w:pPr>
        <w:pStyle w:val="BodyText"/>
        <w:rPr>
          <w:sz w:val="22"/>
        </w:rPr>
      </w:pPr>
    </w:p>
    <w:p>
      <w:pPr>
        <w:pStyle w:val="BodyText"/>
        <w:rPr>
          <w:sz w:val="18"/>
        </w:rPr>
      </w:pPr>
    </w:p>
    <w:p>
      <w:pPr>
        <w:pStyle w:val="BodyText"/>
        <w:spacing w:line="360" w:lineRule="auto"/>
        <w:ind w:left="473" w:right="623"/>
      </w:pPr>
      <w:r>
        <w:rPr/>
        <w:t>Few would disagree that we are living through possibly the most turbulent and difficult economic period for over 80 years. Looking back from where we stand today, output in the United Kingdom has been broadly flat for almost two years following a very deep recession, and the outlook for 2013 is more subdued than we would have thought some six months ago. This has inevitably led to criticism that monetary policy has had little traction and that we are condemned to a “lost decade” of economic stagnation and declining living standards. Today, I would like to set out the reasons why I do not share such a pessimistic view of the economic outlook and the role of monetary policy.</w:t>
      </w:r>
    </w:p>
    <w:p>
      <w:pPr>
        <w:pStyle w:val="BodyText"/>
        <w:rPr>
          <w:sz w:val="30"/>
        </w:rPr>
      </w:pPr>
    </w:p>
    <w:p>
      <w:pPr>
        <w:pStyle w:val="BodyText"/>
        <w:spacing w:line="360" w:lineRule="auto" w:before="1"/>
        <w:ind w:left="474" w:right="689"/>
      </w:pPr>
      <w:r>
        <w:rPr/>
        <w:t>Let me first explain why I think economic performance in the United Kingdom has been so weak and what has been the impact of policy to date. I will then turn to the outlook for the economy and the role for monetary policy, particularly in light of the recent discussion around the MPC’s inflation targeting remit and the update to the Monetary Policy Framework announced by the Chancellor. Overall, and perhaps most importantly, I would like to leave you with a few reasons why I have some hope for the UK economy in 2013 and beyond.</w:t>
      </w:r>
    </w:p>
    <w:p>
      <w:pPr>
        <w:pStyle w:val="BodyText"/>
        <w:rPr>
          <w:sz w:val="30"/>
        </w:rPr>
      </w:pPr>
    </w:p>
    <w:p>
      <w:pPr>
        <w:pStyle w:val="Heading1"/>
        <w:ind w:left="474"/>
      </w:pPr>
      <w:r>
        <w:rPr/>
        <w:t>Why has UK economic growth been so disappointing?</w:t>
      </w:r>
    </w:p>
    <w:p>
      <w:pPr>
        <w:pStyle w:val="BodyText"/>
        <w:rPr>
          <w:b/>
          <w:sz w:val="22"/>
        </w:rPr>
      </w:pPr>
    </w:p>
    <w:p>
      <w:pPr>
        <w:pStyle w:val="BodyText"/>
        <w:spacing w:before="11"/>
        <w:rPr>
          <w:b/>
          <w:sz w:val="17"/>
        </w:rPr>
      </w:pPr>
    </w:p>
    <w:p>
      <w:pPr>
        <w:pStyle w:val="BodyText"/>
        <w:spacing w:line="360" w:lineRule="auto"/>
        <w:ind w:left="473" w:right="879"/>
      </w:pPr>
      <w:r>
        <w:rPr/>
        <w:t>This has been a lethargic recovery, on the heels of a deep and prolonged recession. Real output is still some 20% below its pre-crisis trend, assuming that the average rate of growth prior to the crisis had remained unchanged (</w:t>
      </w:r>
      <w:r>
        <w:rPr>
          <w:b/>
        </w:rPr>
        <w:t>Charts 1 and 2</w:t>
      </w:r>
      <w:r>
        <w:rPr/>
        <w:t>). Let me set out the reasons why I think growth has been so disappointing, which I suspect are more diverse and complex than sometimes portrayed.</w:t>
      </w:r>
    </w:p>
    <w:p>
      <w:pPr>
        <w:pStyle w:val="BodyText"/>
        <w:spacing w:before="11"/>
        <w:rPr>
          <w:sz w:val="29"/>
        </w:rPr>
      </w:pPr>
    </w:p>
    <w:p>
      <w:pPr>
        <w:pStyle w:val="BodyText"/>
        <w:spacing w:line="360" w:lineRule="auto"/>
        <w:ind w:left="473" w:right="879"/>
      </w:pPr>
      <w:r>
        <w:rPr/>
        <w:t>History suggests that financial crises are usually associated with a number of legacies which generate substantial headwinds to the subsequent recovery.</w:t>
      </w:r>
      <w:r>
        <w:rPr>
          <w:vertAlign w:val="superscript"/>
        </w:rPr>
        <w:t>1</w:t>
      </w:r>
      <w:r>
        <w:rPr>
          <w:vertAlign w:val="baseline"/>
        </w:rPr>
        <w:t> There is evidence to believe that three have been an important determinant of recent UK performance.</w:t>
      </w:r>
    </w:p>
    <w:p>
      <w:pPr>
        <w:pStyle w:val="BodyText"/>
        <w:rPr>
          <w:sz w:val="30"/>
        </w:rPr>
      </w:pPr>
    </w:p>
    <w:p>
      <w:pPr>
        <w:pStyle w:val="BodyText"/>
        <w:spacing w:line="360" w:lineRule="auto"/>
        <w:ind w:left="473" w:right="623"/>
      </w:pPr>
      <w:r>
        <w:rPr/>
        <w:t>First, the shock to the UK banking system revealed that some banks at least were undercapitalised and needed to reduce the substantial amount of leverage that had been built up prior to the crisis. This has led to significant constraints on lending to households and businesses. But the banks are not alone in seeking to get their house in order. Consumers have also focused on saving more and limiting their indebtedness, illustrated by the fall in the household debt-to-income ratio of 27 percentage points from its peak in early 2009 (</w:t>
      </w:r>
      <w:r>
        <w:rPr>
          <w:b/>
        </w:rPr>
        <w:t>Chart 3</w:t>
      </w:r>
      <w:r>
        <w:rPr/>
        <w:t>), and this has constrained the pace of consumer spending. Third, the impact on public</w:t>
      </w:r>
    </w:p>
    <w:p>
      <w:pPr>
        <w:pStyle w:val="BodyText"/>
        <w:spacing w:before="3"/>
        <w:rPr>
          <w:sz w:val="12"/>
        </w:rPr>
      </w:pPr>
      <w:r>
        <w:rPr/>
        <w:pict>
          <v:shape style="position:absolute;margin-left:56.700001pt;margin-top:9.277583pt;width:144pt;height:.1pt;mso-position-horizontal-relative:page;mso-position-vertical-relative:paragraph;z-index:-251656192;mso-wrap-distance-left:0;mso-wrap-distance-right:0" coordorigin="1134,186" coordsize="2880,0" path="m1134,186l4014,186e" filled="false" stroked="true" strokeweight=".48001pt" strokecolor="#000000">
            <v:path arrowok="t"/>
            <v:stroke dashstyle="solid"/>
            <w10:wrap type="topAndBottom"/>
          </v:shape>
        </w:pict>
      </w:r>
    </w:p>
    <w:p>
      <w:pPr>
        <w:spacing w:before="32"/>
        <w:ind w:left="473" w:right="879" w:firstLine="0"/>
        <w:jc w:val="left"/>
        <w:rPr>
          <w:sz w:val="16"/>
        </w:rPr>
      </w:pPr>
      <w:r>
        <w:rPr>
          <w:position w:val="8"/>
          <w:sz w:val="10"/>
        </w:rPr>
        <w:t>1 </w:t>
      </w:r>
      <w:r>
        <w:rPr>
          <w:sz w:val="16"/>
        </w:rPr>
        <w:t>In “What’s the Damage? Medium-term Output Dynamics After Banking Crises”, IMF Working Paper No. 09/245 (2009), Abiad et al. document how recoveries following a severe banking crisis can be anaemic.</w:t>
      </w:r>
    </w:p>
    <w:p>
      <w:pPr>
        <w:spacing w:after="0"/>
        <w:jc w:val="left"/>
        <w:rPr>
          <w:sz w:val="16"/>
        </w:rPr>
        <w:sectPr>
          <w:footerReference w:type="default" r:id="rId7"/>
          <w:pgSz w:w="11900" w:h="16840"/>
          <w:pgMar w:footer="1548" w:header="0" w:top="1600" w:bottom="1740" w:left="660" w:right="540"/>
        </w:sectPr>
      </w:pPr>
    </w:p>
    <w:p>
      <w:pPr>
        <w:pStyle w:val="BodyText"/>
        <w:spacing w:line="360" w:lineRule="auto" w:before="118"/>
        <w:ind w:left="473" w:right="646"/>
      </w:pPr>
      <w:r>
        <w:rPr/>
        <w:t>finances of the shrinkage of the economy, the fiscal support through the recession and the direct cost of bank rescue means that some form of fiscal austerity became inevitable. These three factors together act as significant headwinds to growth, and dictate that any recovery was always going to be slow and difficult, compared with more normal economic cycles.</w:t>
      </w:r>
    </w:p>
    <w:p>
      <w:pPr>
        <w:pStyle w:val="BodyText"/>
        <w:spacing w:before="11"/>
        <w:rPr>
          <w:sz w:val="29"/>
        </w:rPr>
      </w:pPr>
    </w:p>
    <w:p>
      <w:pPr>
        <w:pStyle w:val="BodyText"/>
        <w:spacing w:line="360" w:lineRule="auto"/>
        <w:ind w:left="473" w:right="623"/>
      </w:pPr>
      <w:r>
        <w:rPr/>
        <w:t>But over the past couple of years, growth has turned out even weaker than the Bank (and others) forecast in 2010.</w:t>
      </w:r>
      <w:r>
        <w:rPr>
          <w:vertAlign w:val="superscript"/>
        </w:rPr>
        <w:t>2</w:t>
      </w:r>
      <w:r>
        <w:rPr>
          <w:vertAlign w:val="baseline"/>
        </w:rPr>
        <w:t> This may have been due to some underestimation of the scale and duration of these legacy headwinds from the financial crisis. But more importantly it also reflects a number of other shocks to the system.</w:t>
      </w:r>
    </w:p>
    <w:p>
      <w:pPr>
        <w:pStyle w:val="BodyText"/>
        <w:rPr>
          <w:sz w:val="30"/>
        </w:rPr>
      </w:pPr>
    </w:p>
    <w:p>
      <w:pPr>
        <w:pStyle w:val="ListParagraph"/>
        <w:numPr>
          <w:ilvl w:val="0"/>
          <w:numId w:val="1"/>
        </w:numPr>
        <w:tabs>
          <w:tab w:pos="1193" w:val="left" w:leader="none"/>
          <w:tab w:pos="1195" w:val="left" w:leader="none"/>
        </w:tabs>
        <w:spacing w:line="357" w:lineRule="auto" w:before="0" w:after="0"/>
        <w:ind w:left="1193" w:right="607" w:hanging="360"/>
        <w:jc w:val="left"/>
        <w:rPr>
          <w:sz w:val="20"/>
        </w:rPr>
      </w:pPr>
      <w:r>
        <w:rPr>
          <w:sz w:val="20"/>
        </w:rPr>
        <w:t>In addition to dealing with their debt levels, consumers have had to contend with a period of elevated inflation, reflecting the rise in import prices following the 25% depreciation of sterling from 2007 to 2009; the surge in energy prices driven by increased political uncertainty following the Arab spring; a rise in food prices caused by unfavourable weather conditions; and the rise in value added tax. And more recently, increases in administered and regulated prices have also added to inflation. As a result, consumers have been faced with a dramatic squeeze in their real incomes, which have fallen by around 5% over four</w:t>
      </w:r>
      <w:r>
        <w:rPr>
          <w:spacing w:val="-6"/>
          <w:sz w:val="20"/>
        </w:rPr>
        <w:t> </w:t>
      </w:r>
      <w:r>
        <w:rPr>
          <w:sz w:val="20"/>
        </w:rPr>
        <w:t>years.</w:t>
      </w:r>
    </w:p>
    <w:p>
      <w:pPr>
        <w:pStyle w:val="BodyText"/>
        <w:spacing w:before="7"/>
        <w:rPr>
          <w:sz w:val="30"/>
        </w:rPr>
      </w:pPr>
    </w:p>
    <w:p>
      <w:pPr>
        <w:pStyle w:val="ListParagraph"/>
        <w:numPr>
          <w:ilvl w:val="0"/>
          <w:numId w:val="1"/>
        </w:numPr>
        <w:tabs>
          <w:tab w:pos="1193" w:val="left" w:leader="none"/>
          <w:tab w:pos="1195" w:val="left" w:leader="none"/>
        </w:tabs>
        <w:spacing w:line="357" w:lineRule="auto" w:before="0" w:after="0"/>
        <w:ind w:left="1193" w:right="756" w:hanging="360"/>
        <w:jc w:val="left"/>
        <w:rPr>
          <w:sz w:val="20"/>
        </w:rPr>
      </w:pPr>
      <w:r>
        <w:rPr>
          <w:sz w:val="20"/>
        </w:rPr>
        <w:t>The United Kingdom has also been at the mercy of a global slowdown. Throughout 2011 and into 2012, the slowing of many emerging market economies, notably China, as well as the supply chain disruption emanating from the tsunami in Japan made it more difficult for the UK to source imports and sell its exports. World trade grew just 2% in 2012, down from 5.2% in 2011. And, closer to home,</w:t>
      </w:r>
      <w:r>
        <w:rPr>
          <w:spacing w:val="-3"/>
          <w:sz w:val="20"/>
        </w:rPr>
        <w:t> </w:t>
      </w:r>
      <w:r>
        <w:rPr>
          <w:sz w:val="20"/>
        </w:rPr>
        <w:t>over</w:t>
      </w:r>
      <w:r>
        <w:rPr>
          <w:spacing w:val="-3"/>
          <w:sz w:val="20"/>
        </w:rPr>
        <w:t> </w:t>
      </w:r>
      <w:r>
        <w:rPr>
          <w:sz w:val="20"/>
        </w:rPr>
        <w:t>the</w:t>
      </w:r>
      <w:r>
        <w:rPr>
          <w:spacing w:val="-2"/>
          <w:sz w:val="20"/>
        </w:rPr>
        <w:t> </w:t>
      </w:r>
      <w:r>
        <w:rPr>
          <w:sz w:val="20"/>
        </w:rPr>
        <w:t>past</w:t>
      </w:r>
      <w:r>
        <w:rPr>
          <w:spacing w:val="-3"/>
          <w:sz w:val="20"/>
        </w:rPr>
        <w:t> </w:t>
      </w:r>
      <w:r>
        <w:rPr>
          <w:sz w:val="20"/>
        </w:rPr>
        <w:t>year</w:t>
      </w:r>
      <w:r>
        <w:rPr>
          <w:spacing w:val="-2"/>
          <w:sz w:val="20"/>
        </w:rPr>
        <w:t> </w:t>
      </w:r>
      <w:r>
        <w:rPr>
          <w:sz w:val="20"/>
        </w:rPr>
        <w:t>the</w:t>
      </w:r>
      <w:r>
        <w:rPr>
          <w:spacing w:val="-3"/>
          <w:sz w:val="20"/>
        </w:rPr>
        <w:t> </w:t>
      </w:r>
      <w:r>
        <w:rPr>
          <w:sz w:val="20"/>
        </w:rPr>
        <w:t>recession</w:t>
      </w:r>
      <w:r>
        <w:rPr>
          <w:spacing w:val="-2"/>
          <w:sz w:val="20"/>
        </w:rPr>
        <w:t> </w:t>
      </w:r>
      <w:r>
        <w:rPr>
          <w:sz w:val="20"/>
        </w:rPr>
        <w:t>in</w:t>
      </w:r>
      <w:r>
        <w:rPr>
          <w:spacing w:val="-3"/>
          <w:sz w:val="20"/>
        </w:rPr>
        <w:t> </w:t>
      </w:r>
      <w:r>
        <w:rPr>
          <w:sz w:val="20"/>
        </w:rPr>
        <w:t>the</w:t>
      </w:r>
      <w:r>
        <w:rPr>
          <w:spacing w:val="-2"/>
          <w:sz w:val="20"/>
        </w:rPr>
        <w:t> </w:t>
      </w:r>
      <w:r>
        <w:rPr>
          <w:sz w:val="20"/>
        </w:rPr>
        <w:t>euro</w:t>
      </w:r>
      <w:r>
        <w:rPr>
          <w:spacing w:val="-3"/>
          <w:sz w:val="20"/>
        </w:rPr>
        <w:t> </w:t>
      </w:r>
      <w:r>
        <w:rPr>
          <w:sz w:val="20"/>
        </w:rPr>
        <w:t>area,</w:t>
      </w:r>
      <w:r>
        <w:rPr>
          <w:spacing w:val="-2"/>
          <w:sz w:val="20"/>
        </w:rPr>
        <w:t> </w:t>
      </w:r>
      <w:r>
        <w:rPr>
          <w:sz w:val="20"/>
        </w:rPr>
        <w:t>our</w:t>
      </w:r>
      <w:r>
        <w:rPr>
          <w:spacing w:val="-3"/>
          <w:sz w:val="20"/>
        </w:rPr>
        <w:t> </w:t>
      </w:r>
      <w:r>
        <w:rPr>
          <w:sz w:val="20"/>
        </w:rPr>
        <w:t>main</w:t>
      </w:r>
      <w:r>
        <w:rPr>
          <w:spacing w:val="-2"/>
          <w:sz w:val="20"/>
        </w:rPr>
        <w:t> </w:t>
      </w:r>
      <w:r>
        <w:rPr>
          <w:sz w:val="20"/>
        </w:rPr>
        <w:t>trading</w:t>
      </w:r>
      <w:r>
        <w:rPr>
          <w:spacing w:val="-3"/>
          <w:sz w:val="20"/>
        </w:rPr>
        <w:t> </w:t>
      </w:r>
      <w:r>
        <w:rPr>
          <w:sz w:val="20"/>
        </w:rPr>
        <w:t>partner,</w:t>
      </w:r>
      <w:r>
        <w:rPr>
          <w:spacing w:val="-2"/>
          <w:sz w:val="20"/>
        </w:rPr>
        <w:t> </w:t>
      </w:r>
      <w:r>
        <w:rPr>
          <w:sz w:val="20"/>
        </w:rPr>
        <w:t>has</w:t>
      </w:r>
      <w:r>
        <w:rPr>
          <w:spacing w:val="-3"/>
          <w:sz w:val="20"/>
        </w:rPr>
        <w:t> </w:t>
      </w:r>
      <w:r>
        <w:rPr>
          <w:sz w:val="20"/>
        </w:rPr>
        <w:t>had</w:t>
      </w:r>
      <w:r>
        <w:rPr>
          <w:spacing w:val="-2"/>
          <w:sz w:val="20"/>
        </w:rPr>
        <w:t> </w:t>
      </w:r>
      <w:r>
        <w:rPr>
          <w:sz w:val="20"/>
        </w:rPr>
        <w:t>an</w:t>
      </w:r>
      <w:r>
        <w:rPr>
          <w:spacing w:val="-4"/>
          <w:sz w:val="20"/>
        </w:rPr>
        <w:t> </w:t>
      </w:r>
      <w:r>
        <w:rPr>
          <w:sz w:val="20"/>
        </w:rPr>
        <w:t>even more direct impact on the United Kingdom, depriving our economy of much-needed external demand.</w:t>
      </w:r>
    </w:p>
    <w:p>
      <w:pPr>
        <w:pStyle w:val="BodyText"/>
        <w:spacing w:before="7"/>
        <w:rPr>
          <w:sz w:val="23"/>
        </w:rPr>
      </w:pPr>
    </w:p>
    <w:p>
      <w:pPr>
        <w:pStyle w:val="ListParagraph"/>
        <w:numPr>
          <w:ilvl w:val="0"/>
          <w:numId w:val="1"/>
        </w:numPr>
        <w:tabs>
          <w:tab w:pos="1193" w:val="left" w:leader="none"/>
          <w:tab w:pos="1195" w:val="left" w:leader="none"/>
        </w:tabs>
        <w:spacing w:line="240" w:lineRule="auto" w:before="1" w:after="0"/>
        <w:ind w:left="1194" w:right="0" w:hanging="362"/>
        <w:jc w:val="left"/>
        <w:rPr>
          <w:sz w:val="20"/>
        </w:rPr>
      </w:pPr>
      <w:r>
        <w:rPr>
          <w:sz w:val="20"/>
        </w:rPr>
        <w:t>Compounding these factors has been the uncertainty arising from the ongoing crisis in</w:t>
      </w:r>
      <w:r>
        <w:rPr>
          <w:spacing w:val="-16"/>
          <w:sz w:val="20"/>
        </w:rPr>
        <w:t> </w:t>
      </w:r>
      <w:r>
        <w:rPr>
          <w:sz w:val="20"/>
        </w:rPr>
        <w:t>the</w:t>
      </w:r>
    </w:p>
    <w:p>
      <w:pPr>
        <w:pStyle w:val="BodyText"/>
        <w:spacing w:line="360" w:lineRule="auto" w:before="114"/>
        <w:ind w:left="1193" w:right="623"/>
      </w:pPr>
      <w:r>
        <w:rPr/>
        <w:t>euro-area. Surveys of large UK businesses show that concerns over the euro-area crisis continue to have a large negative impact on business investment. And this uncertainty has also made it more expensive for banks, including those in the UK, to obtain funding, adding to the constraints on credit growth.</w:t>
      </w:r>
    </w:p>
    <w:p>
      <w:pPr>
        <w:pStyle w:val="BodyText"/>
        <w:spacing w:before="11"/>
        <w:rPr>
          <w:sz w:val="29"/>
        </w:rPr>
      </w:pPr>
    </w:p>
    <w:p>
      <w:pPr>
        <w:pStyle w:val="BodyText"/>
        <w:spacing w:line="360" w:lineRule="auto"/>
        <w:ind w:left="473" w:right="896"/>
        <w:jc w:val="both"/>
      </w:pPr>
      <w:r>
        <w:rPr/>
        <w:t>So where does that leave us? UK growth over the past two years can be characterised as weak, at best. Headline GDP growth in 2012 was only 0.3%. But I feel that the picture has been made worse in popular consciousness by a number of features which have made it all the more difficult to assess the underlying health of the economy. First, quarterly growth has been very erratic: the additional Diamond Jubilee bank</w:t>
      </w:r>
    </w:p>
    <w:p>
      <w:pPr>
        <w:pStyle w:val="BodyText"/>
        <w:spacing w:before="8"/>
        <w:rPr>
          <w:sz w:val="15"/>
        </w:rPr>
      </w:pPr>
      <w:r>
        <w:rPr/>
        <w:pict>
          <v:shape style="position:absolute;margin-left:56.700001pt;margin-top:11.243892pt;width:144pt;height:.1pt;mso-position-horizontal-relative:page;mso-position-vertical-relative:paragraph;z-index:-251655168;mso-wrap-distance-left:0;mso-wrap-distance-right:0" coordorigin="1134,225" coordsize="2880,0" path="m1134,225l4014,225e" filled="false" stroked="true" strokeweight=".48001pt" strokecolor="#000000">
            <v:path arrowok="t"/>
            <v:stroke dashstyle="solid"/>
            <w10:wrap type="topAndBottom"/>
          </v:shape>
        </w:pict>
      </w:r>
    </w:p>
    <w:p>
      <w:pPr>
        <w:spacing w:before="32"/>
        <w:ind w:left="473" w:right="623" w:firstLine="0"/>
        <w:jc w:val="left"/>
        <w:rPr>
          <w:sz w:val="16"/>
        </w:rPr>
      </w:pPr>
      <w:r>
        <w:rPr>
          <w:position w:val="8"/>
          <w:sz w:val="10"/>
        </w:rPr>
        <w:t>2 </w:t>
      </w:r>
      <w:r>
        <w:rPr>
          <w:sz w:val="16"/>
        </w:rPr>
        <w:t>This is also true for the Office for Budget Responsibility (OBR). In November 2010, the OBR forecast annual growth to be 2.1% and 2.6% in 2011 and 2012 respectively, higher than the realised growth rates of 0.8% and 0.3% in these two years.</w:t>
      </w:r>
    </w:p>
    <w:p>
      <w:pPr>
        <w:spacing w:after="0"/>
        <w:jc w:val="left"/>
        <w:rPr>
          <w:sz w:val="16"/>
        </w:rPr>
        <w:sectPr>
          <w:footerReference w:type="default" r:id="rId8"/>
          <w:pgSz w:w="11900" w:h="16840"/>
          <w:pgMar w:footer="1548" w:header="0" w:top="1600" w:bottom="1740" w:left="660" w:right="540"/>
          <w:pgNumType w:start="3"/>
        </w:sectPr>
      </w:pPr>
    </w:p>
    <w:p>
      <w:pPr>
        <w:pStyle w:val="BodyText"/>
        <w:spacing w:line="360" w:lineRule="auto" w:before="118"/>
        <w:ind w:left="473" w:right="656"/>
      </w:pPr>
      <w:r>
        <w:rPr/>
        <w:t>holiday no doubt contributed to the 0.5% contraction in Q2, while the Olympics delivered a temporary boost in Q3 which then reversed in the last quarter of 2012. Second, the weakness in total GDP was heavily affected by the weakness in two particular sectors. If we adjust overall GDP growth for the sharp falls in construction</w:t>
      </w:r>
      <w:r>
        <w:rPr>
          <w:spacing w:val="-4"/>
        </w:rPr>
        <w:t> </w:t>
      </w:r>
      <w:r>
        <w:rPr/>
        <w:t>and</w:t>
      </w:r>
      <w:r>
        <w:rPr>
          <w:spacing w:val="-3"/>
        </w:rPr>
        <w:t> </w:t>
      </w:r>
      <w:r>
        <w:rPr/>
        <w:t>North</w:t>
      </w:r>
      <w:r>
        <w:rPr>
          <w:spacing w:val="-2"/>
        </w:rPr>
        <w:t> </w:t>
      </w:r>
      <w:r>
        <w:rPr/>
        <w:t>Sea</w:t>
      </w:r>
      <w:r>
        <w:rPr>
          <w:spacing w:val="-3"/>
        </w:rPr>
        <w:t> </w:t>
      </w:r>
      <w:r>
        <w:rPr/>
        <w:t>oil</w:t>
      </w:r>
      <w:r>
        <w:rPr>
          <w:spacing w:val="-2"/>
        </w:rPr>
        <w:t> </w:t>
      </w:r>
      <w:r>
        <w:rPr/>
        <w:t>output,</w:t>
      </w:r>
      <w:r>
        <w:rPr>
          <w:spacing w:val="-3"/>
        </w:rPr>
        <w:t> </w:t>
      </w:r>
      <w:r>
        <w:rPr/>
        <w:t>the</w:t>
      </w:r>
      <w:r>
        <w:rPr>
          <w:spacing w:val="-3"/>
        </w:rPr>
        <w:t> </w:t>
      </w:r>
      <w:r>
        <w:rPr/>
        <w:t>rest</w:t>
      </w:r>
      <w:r>
        <w:rPr>
          <w:spacing w:val="-2"/>
        </w:rPr>
        <w:t> </w:t>
      </w:r>
      <w:r>
        <w:rPr/>
        <w:t>of</w:t>
      </w:r>
      <w:r>
        <w:rPr>
          <w:spacing w:val="-3"/>
        </w:rPr>
        <w:t> </w:t>
      </w:r>
      <w:r>
        <w:rPr/>
        <w:t>the</w:t>
      </w:r>
      <w:r>
        <w:rPr>
          <w:spacing w:val="-2"/>
        </w:rPr>
        <w:t> </w:t>
      </w:r>
      <w:r>
        <w:rPr/>
        <w:t>economy</w:t>
      </w:r>
      <w:r>
        <w:rPr>
          <w:spacing w:val="-3"/>
        </w:rPr>
        <w:t> </w:t>
      </w:r>
      <w:r>
        <w:rPr/>
        <w:t>–</w:t>
      </w:r>
      <w:r>
        <w:rPr>
          <w:spacing w:val="-3"/>
        </w:rPr>
        <w:t> </w:t>
      </w:r>
      <w:r>
        <w:rPr/>
        <w:t>over</w:t>
      </w:r>
      <w:r>
        <w:rPr>
          <w:spacing w:val="-2"/>
        </w:rPr>
        <w:t> </w:t>
      </w:r>
      <w:r>
        <w:rPr/>
        <w:t>90%</w:t>
      </w:r>
      <w:r>
        <w:rPr>
          <w:spacing w:val="-3"/>
        </w:rPr>
        <w:t> </w:t>
      </w:r>
      <w:r>
        <w:rPr/>
        <w:t>of</w:t>
      </w:r>
      <w:r>
        <w:rPr>
          <w:spacing w:val="-2"/>
        </w:rPr>
        <w:t> </w:t>
      </w:r>
      <w:r>
        <w:rPr/>
        <w:t>GDP</w:t>
      </w:r>
      <w:r>
        <w:rPr>
          <w:spacing w:val="-3"/>
        </w:rPr>
        <w:t> </w:t>
      </w:r>
      <w:r>
        <w:rPr/>
        <w:t>–</w:t>
      </w:r>
      <w:r>
        <w:rPr>
          <w:spacing w:val="-3"/>
        </w:rPr>
        <w:t> </w:t>
      </w:r>
      <w:r>
        <w:rPr/>
        <w:t>grew</w:t>
      </w:r>
      <w:r>
        <w:rPr>
          <w:spacing w:val="-1"/>
        </w:rPr>
        <w:t> </w:t>
      </w:r>
      <w:r>
        <w:rPr/>
        <w:t>by</w:t>
      </w:r>
      <w:r>
        <w:rPr>
          <w:spacing w:val="-5"/>
        </w:rPr>
        <w:t> </w:t>
      </w:r>
      <w:r>
        <w:rPr/>
        <w:t>1.2%</w:t>
      </w:r>
      <w:r>
        <w:rPr>
          <w:spacing w:val="-2"/>
        </w:rPr>
        <w:t> </w:t>
      </w:r>
      <w:r>
        <w:rPr/>
        <w:t>last</w:t>
      </w:r>
      <w:r>
        <w:rPr>
          <w:spacing w:val="-3"/>
        </w:rPr>
        <w:t> </w:t>
      </w:r>
      <w:r>
        <w:rPr/>
        <w:t>year. I do not wish to sound complacent; growth of even 1.2% across much of the economy is still at best a slow and difficult recovery. But it is also somewhat removed from the reports of semi-permanent, triple dip, recession.</w:t>
      </w:r>
    </w:p>
    <w:p>
      <w:pPr>
        <w:pStyle w:val="BodyText"/>
        <w:spacing w:before="1"/>
        <w:rPr>
          <w:sz w:val="30"/>
        </w:rPr>
      </w:pPr>
    </w:p>
    <w:p>
      <w:pPr>
        <w:pStyle w:val="Heading1"/>
        <w:ind w:left="474"/>
      </w:pPr>
      <w:r>
        <w:rPr/>
        <w:t>What has been the impact of policy?</w:t>
      </w:r>
    </w:p>
    <w:p>
      <w:pPr>
        <w:pStyle w:val="BodyText"/>
        <w:rPr>
          <w:b/>
          <w:sz w:val="22"/>
        </w:rPr>
      </w:pPr>
    </w:p>
    <w:p>
      <w:pPr>
        <w:pStyle w:val="BodyText"/>
        <w:spacing w:before="10"/>
        <w:rPr>
          <w:b/>
          <w:sz w:val="17"/>
        </w:rPr>
      </w:pPr>
    </w:p>
    <w:p>
      <w:pPr>
        <w:pStyle w:val="BodyText"/>
        <w:spacing w:line="360" w:lineRule="auto" w:before="1"/>
        <w:ind w:left="473" w:right="746"/>
      </w:pPr>
      <w:r>
        <w:rPr/>
        <w:t>Let me start by briefly outlining the current, extraordinary, policy landscape. Following the provision of emergency liquidity to commercial banks as the financial crisis took hold, the MPC rapidly reduced Bank Rate to 0.5% (</w:t>
      </w:r>
      <w:r>
        <w:rPr>
          <w:b/>
        </w:rPr>
        <w:t>Chart 4</w:t>
      </w:r>
      <w:r>
        <w:rPr/>
        <w:t>) – its lowest level ever. The introduction of the Bank’s Asset Purchase Facility, popularly known as Quantitative Easing (QE), has helped to provide further monetary stimulus over the last four years (</w:t>
      </w:r>
      <w:r>
        <w:rPr>
          <w:b/>
        </w:rPr>
        <w:t>Chart 5</w:t>
      </w:r>
      <w:r>
        <w:rPr/>
        <w:t>) by lowering long-term interest rates and supporting asset prices and spending by firms and households.</w:t>
      </w:r>
    </w:p>
    <w:p>
      <w:pPr>
        <w:pStyle w:val="BodyText"/>
        <w:spacing w:before="10"/>
        <w:rPr>
          <w:sz w:val="29"/>
        </w:rPr>
      </w:pPr>
    </w:p>
    <w:p>
      <w:pPr>
        <w:pStyle w:val="BodyText"/>
        <w:spacing w:line="360" w:lineRule="auto" w:before="1"/>
        <w:ind w:left="473" w:right="568"/>
      </w:pPr>
      <w:r>
        <w:rPr/>
        <w:t>There has been much debate about the effectiveness of QE, but it would be wrong to conclude that the sluggish performance of the economy is, by itself, evidence that it hasn’t worked. One would need to start by answering the question: what would have happened in the absence of policy action? In my view, the UK economy would have fared significantly worse if the Bank had not responded to the deteriorating economic environment with unconventional policy easing.</w:t>
      </w:r>
    </w:p>
    <w:p>
      <w:pPr>
        <w:pStyle w:val="BodyText"/>
        <w:rPr>
          <w:sz w:val="30"/>
        </w:rPr>
      </w:pPr>
    </w:p>
    <w:p>
      <w:pPr>
        <w:pStyle w:val="BodyText"/>
        <w:spacing w:line="360" w:lineRule="auto"/>
        <w:ind w:left="473" w:right="645"/>
      </w:pPr>
      <w:r>
        <w:rPr/>
        <w:t>One area where QE has had limited impact is on bank lending. It is a common misconception that the policy was designed to support banks, and bank lending, directly. In fact, most of our asset purchases have been from non-bank investors, such as pension funds and insurance companies. By increasing the amount of reserves in the economy, QE may have helped to improve the liquidity position of banks, thereby </w:t>
      </w:r>
      <w:r>
        <w:rPr>
          <w:u w:val="single"/>
        </w:rPr>
        <w:t>indirectly</w:t>
      </w:r>
      <w:r>
        <w:rPr/>
        <w:t> encouraging more lending. But the headwinds facing the banking sector have meant that this impact on bank lending has been limited. And over the past couple of years, stress from the euro area has meant that UK banks have had to pay more to borrow in wholesale markets. It is in light of this that the Funding for Lending Scheme (FLS) was introduced in 2012 to help reduce the funding costs of UK banks and</w:t>
      </w:r>
      <w:r>
        <w:rPr>
          <w:spacing w:val="-34"/>
        </w:rPr>
        <w:t> </w:t>
      </w:r>
      <w:r>
        <w:rPr/>
        <w:t>encourage them to lend more to the real</w:t>
      </w:r>
      <w:r>
        <w:rPr>
          <w:spacing w:val="-9"/>
        </w:rPr>
        <w:t> </w:t>
      </w:r>
      <w:r>
        <w:rPr/>
        <w:t>economy.</w:t>
      </w:r>
    </w:p>
    <w:p>
      <w:pPr>
        <w:pStyle w:val="BodyText"/>
        <w:rPr>
          <w:sz w:val="30"/>
        </w:rPr>
      </w:pPr>
    </w:p>
    <w:p>
      <w:pPr>
        <w:pStyle w:val="BodyText"/>
        <w:spacing w:line="360" w:lineRule="auto"/>
        <w:ind w:left="473" w:right="678"/>
      </w:pPr>
      <w:r>
        <w:rPr/>
        <w:t>Since its introduction last summer, the FLS has helped to reduce the cost of funding for UK banks, which in turn is starting to have an impact on bank lending rates. So far, the main impact has been seen in the mortgage market, where availability has risen and loan rates have come down, across a number of LTV mortgages (</w:t>
      </w:r>
      <w:r>
        <w:rPr>
          <w:b/>
        </w:rPr>
        <w:t>Chart 6</w:t>
      </w:r>
      <w:r>
        <w:rPr/>
        <w:t>). As yet, the impact on lending criteria for the SME sector has been less marked, though it was always expected that changes in lending to this sector would take longer than in the mortgage</w:t>
      </w:r>
    </w:p>
    <w:p>
      <w:pPr>
        <w:spacing w:after="0" w:line="360" w:lineRule="auto"/>
        <w:sectPr>
          <w:footerReference w:type="default" r:id="rId9"/>
          <w:pgSz w:w="11900" w:h="16840"/>
          <w:pgMar w:footer="1548" w:header="0" w:top="1600" w:bottom="1740" w:left="660" w:right="540"/>
          <w:pgNumType w:start="4"/>
        </w:sectPr>
      </w:pPr>
    </w:p>
    <w:p>
      <w:pPr>
        <w:pStyle w:val="BodyText"/>
        <w:spacing w:line="360" w:lineRule="auto" w:before="118"/>
        <w:ind w:left="473" w:right="646"/>
      </w:pPr>
      <w:r>
        <w:rPr/>
        <w:t>market. However, the cost of loans to companies has also fallen slightly since the middle of 2012, and some lenders are using cashback deals or fee reductions to pass on the benefits of lower funding costs. The impact of the FLS is likely to be more marked in coming months; the Bank’s latest </w:t>
      </w:r>
      <w:r>
        <w:rPr>
          <w:i/>
        </w:rPr>
        <w:t>Credit Conditions Survey </w:t>
      </w:r>
      <w:r>
        <w:rPr/>
        <w:t>shows that the recent improvement in the availability of credit, particularly in the household mortgage sector, is expected to continue (</w:t>
      </w:r>
      <w:r>
        <w:rPr>
          <w:b/>
        </w:rPr>
        <w:t>Chart 7</w:t>
      </w:r>
      <w:r>
        <w:rPr/>
        <w:t>).</w:t>
      </w:r>
    </w:p>
    <w:p>
      <w:pPr>
        <w:pStyle w:val="BodyText"/>
        <w:rPr>
          <w:sz w:val="30"/>
        </w:rPr>
      </w:pPr>
    </w:p>
    <w:p>
      <w:pPr>
        <w:pStyle w:val="BodyText"/>
        <w:spacing w:line="360" w:lineRule="auto"/>
        <w:ind w:left="473" w:right="712"/>
      </w:pPr>
      <w:r>
        <w:rPr/>
        <w:t>While these are encouraging signs, we have yet to see a pickup in the levels of lending to the real economy (</w:t>
      </w:r>
      <w:r>
        <w:rPr>
          <w:b/>
        </w:rPr>
        <w:t>Chart 8</w:t>
      </w:r>
      <w:r>
        <w:rPr/>
        <w:t>). Aggregate net lending to households and businesses by those banks participating in the FLS fell by around £2.5bn in the last quarter of 2012. But I do not agree with some commentators that this is evidence that the FLS is not working. The small reduction in net lending at the end of last year likely reflected normal seasonal factors and a bank-by-bank analysis showed that the weakness was largely confined to those banks undergoing significant balance sheet restructuring, much of which reflected plans agreed with the authorities to reduce non-core business. And, given that it will take time for lower bank funding costs (and the extra incentives to lend provided by the FLS) to be reflected in increased lending, I think it is too early to judge the full effects of the FLS on bank lending volumes.</w:t>
      </w:r>
    </w:p>
    <w:p>
      <w:pPr>
        <w:pStyle w:val="BodyText"/>
        <w:spacing w:before="1"/>
        <w:rPr>
          <w:sz w:val="30"/>
        </w:rPr>
      </w:pPr>
    </w:p>
    <w:p>
      <w:pPr>
        <w:pStyle w:val="Heading1"/>
        <w:ind w:left="473"/>
      </w:pPr>
      <w:r>
        <w:rPr/>
        <w:t>What is the outlook for the UK economy?</w:t>
      </w:r>
    </w:p>
    <w:p>
      <w:pPr>
        <w:pStyle w:val="BodyText"/>
        <w:rPr>
          <w:b/>
          <w:sz w:val="22"/>
        </w:rPr>
      </w:pPr>
    </w:p>
    <w:p>
      <w:pPr>
        <w:pStyle w:val="BodyText"/>
        <w:spacing w:before="11"/>
        <w:rPr>
          <w:b/>
          <w:sz w:val="17"/>
        </w:rPr>
      </w:pPr>
    </w:p>
    <w:p>
      <w:pPr>
        <w:pStyle w:val="BodyText"/>
        <w:ind w:left="473"/>
      </w:pPr>
      <w:r>
        <w:rPr/>
        <w:t>A number of factors make me hopeful for the UK economy through 2013 and into 2014.</w:t>
      </w:r>
    </w:p>
    <w:p>
      <w:pPr>
        <w:pStyle w:val="BodyText"/>
        <w:rPr>
          <w:sz w:val="22"/>
        </w:rPr>
      </w:pPr>
    </w:p>
    <w:p>
      <w:pPr>
        <w:pStyle w:val="BodyText"/>
        <w:rPr>
          <w:sz w:val="18"/>
        </w:rPr>
      </w:pPr>
    </w:p>
    <w:p>
      <w:pPr>
        <w:pStyle w:val="BodyText"/>
        <w:spacing w:line="360" w:lineRule="auto"/>
        <w:ind w:left="473" w:right="913"/>
      </w:pPr>
      <w:r>
        <w:rPr/>
        <w:t>First, credit conditions are improving, in part due to the impact of the FLS, with some signs that lending to households will pick up in the coming quarters. An improvement in the housing market, combined with resilient employment should help to support modest growth in consumption, albeit that low nominal wage growth and persistent above-target inflation will continue to squeeze real purchasing power.</w:t>
      </w:r>
    </w:p>
    <w:p>
      <w:pPr>
        <w:pStyle w:val="BodyText"/>
        <w:spacing w:before="11"/>
        <w:rPr>
          <w:sz w:val="29"/>
        </w:rPr>
      </w:pPr>
    </w:p>
    <w:p>
      <w:pPr>
        <w:pStyle w:val="BodyText"/>
        <w:spacing w:line="360" w:lineRule="auto"/>
        <w:ind w:left="473" w:right="624"/>
      </w:pPr>
      <w:r>
        <w:rPr/>
        <w:t>Second, business investment, which was concentrated in utility and energy sectors over the last year, may start to show some recovery in other sectors over the next 18 months. I have been struck, on recent regional visits, by the improvement in business sentiment relative to last summer and autumn, much of which has been due to the perceived reduction in the tail risk of a disruptive and sudden unravelling of the euro area.</w:t>
      </w:r>
    </w:p>
    <w:p>
      <w:pPr>
        <w:pStyle w:val="BodyText"/>
        <w:spacing w:line="360" w:lineRule="auto"/>
        <w:ind w:left="473" w:right="635"/>
      </w:pPr>
      <w:r>
        <w:rPr/>
        <w:t>Larger firms are also benefiting from an active corporate bond market which places them in a strong position to invest. However, confidence is still fragile, so any pickup in investment is likely to be gradual</w:t>
      </w:r>
      <w:r>
        <w:rPr>
          <w:b/>
        </w:rPr>
        <w:t>, </w:t>
      </w:r>
      <w:r>
        <w:rPr/>
        <w:t>particularly as many companies are also struggling with the impact of rising pension liabilities, which may divert cash away from investment spending.</w:t>
      </w:r>
    </w:p>
    <w:p>
      <w:pPr>
        <w:pStyle w:val="BodyText"/>
        <w:spacing w:before="11"/>
        <w:rPr>
          <w:sz w:val="29"/>
        </w:rPr>
      </w:pPr>
    </w:p>
    <w:p>
      <w:pPr>
        <w:pStyle w:val="BodyText"/>
        <w:spacing w:line="360" w:lineRule="auto"/>
        <w:ind w:left="473" w:right="701"/>
      </w:pPr>
      <w:r>
        <w:rPr/>
        <w:t>Third, the international outlook is improving – there are some encouraging signs that the slowdown in China is ending and the recovery in the US is gaining momentum – benefitting UK exports. And there is growing evidence – from conversations with Bank agents as well as the detail of the trade statistics – that UK</w:t>
      </w:r>
    </w:p>
    <w:p>
      <w:pPr>
        <w:spacing w:after="0" w:line="360" w:lineRule="auto"/>
        <w:sectPr>
          <w:pgSz w:w="11900" w:h="16840"/>
          <w:pgMar w:header="0" w:footer="1548" w:top="1600" w:bottom="1740" w:left="660" w:right="540"/>
        </w:sectPr>
      </w:pPr>
    </w:p>
    <w:p>
      <w:pPr>
        <w:pStyle w:val="BodyText"/>
        <w:spacing w:line="360" w:lineRule="auto" w:before="118"/>
        <w:ind w:left="473" w:right="1346"/>
      </w:pPr>
      <w:r>
        <w:rPr/>
        <w:t>businesses are now starting to succeed in re-orienting their exports into the faster-growing emerging markets, reducing our dependence on the slow-growth markets closer to home.</w:t>
      </w:r>
    </w:p>
    <w:p>
      <w:pPr>
        <w:pStyle w:val="BodyText"/>
        <w:rPr>
          <w:sz w:val="30"/>
        </w:rPr>
      </w:pPr>
    </w:p>
    <w:p>
      <w:pPr>
        <w:pStyle w:val="BodyText"/>
        <w:spacing w:line="360" w:lineRule="auto"/>
        <w:ind w:left="473" w:right="724"/>
      </w:pPr>
      <w:r>
        <w:rPr/>
        <w:t>Overall, I am hopeful for a modest pickup in growth as some of the negative factors that have made the last couple of years so difficult start to fade, and as levels of confidence, so badly battered by the impact of the euro crisis, start to heal.</w:t>
      </w:r>
    </w:p>
    <w:p>
      <w:pPr>
        <w:pStyle w:val="BodyText"/>
        <w:spacing w:before="11"/>
        <w:rPr>
          <w:sz w:val="29"/>
        </w:rPr>
      </w:pPr>
    </w:p>
    <w:p>
      <w:pPr>
        <w:pStyle w:val="BodyText"/>
        <w:spacing w:line="360" w:lineRule="auto"/>
        <w:ind w:left="473" w:right="636"/>
      </w:pPr>
      <w:r>
        <w:rPr/>
        <w:t>The outlook for inflation is more concerning. Inflation has been persistently above the 2% target for the past five years </w:t>
      </w:r>
      <w:r>
        <w:rPr>
          <w:b/>
        </w:rPr>
        <w:t>(Chart 9)</w:t>
      </w:r>
      <w:r>
        <w:rPr/>
        <w:t>. Late last year, inflation picked up rather sharply, reflecting increases in university tuition fees and domestic energy bills. Very recently, inflation has edged up higher. It now stands just shy of 3%, uncomfortably close to the letter-writing threshold, and is expected to remain elevated for much of the next two years.</w:t>
      </w:r>
    </w:p>
    <w:p>
      <w:pPr>
        <w:pStyle w:val="BodyText"/>
        <w:spacing w:before="1"/>
        <w:rPr>
          <w:sz w:val="30"/>
        </w:rPr>
      </w:pPr>
    </w:p>
    <w:p>
      <w:pPr>
        <w:pStyle w:val="Heading1"/>
        <w:ind w:left="473"/>
      </w:pPr>
      <w:r>
        <w:rPr/>
        <w:t>A flexible inflation targeting framework</w:t>
      </w:r>
    </w:p>
    <w:p>
      <w:pPr>
        <w:pStyle w:val="BodyText"/>
        <w:rPr>
          <w:b/>
          <w:sz w:val="22"/>
        </w:rPr>
      </w:pPr>
    </w:p>
    <w:p>
      <w:pPr>
        <w:pStyle w:val="BodyText"/>
        <w:spacing w:before="10"/>
        <w:rPr>
          <w:b/>
          <w:sz w:val="17"/>
        </w:rPr>
      </w:pPr>
    </w:p>
    <w:p>
      <w:pPr>
        <w:pStyle w:val="BodyText"/>
        <w:spacing w:line="360" w:lineRule="auto" w:before="1"/>
        <w:ind w:left="473" w:right="1124"/>
      </w:pPr>
      <w:r>
        <w:rPr/>
        <w:t>The combination of at best a slow recovery in activity with persistent above-target inflation poses a real challenge to the MPC, of a degree that is more acute now than at any time since the MPC’s inception 15 years ago. Faced with this trade-off, how should the MPC set monetary policy?</w:t>
      </w:r>
    </w:p>
    <w:p>
      <w:pPr>
        <w:pStyle w:val="BodyText"/>
        <w:spacing w:before="11"/>
        <w:rPr>
          <w:sz w:val="29"/>
        </w:rPr>
      </w:pPr>
    </w:p>
    <w:p>
      <w:pPr>
        <w:pStyle w:val="BodyText"/>
        <w:spacing w:line="360" w:lineRule="auto"/>
        <w:ind w:left="473" w:right="656"/>
      </w:pPr>
      <w:r>
        <w:rPr/>
        <w:t>At the February MPC meeting, the Committee judged that inflation was likely to remain above the 2% target for the next two years, returning to the target only by the end of the third year of our forecast. This prompted an outcry from some commentators who took this as evidence that the MPC had “gone soft on inflation”. Let me stress that we have not “gone soft”. We remain committed to delivering price stability in the medium term.</w:t>
      </w:r>
    </w:p>
    <w:p>
      <w:pPr>
        <w:pStyle w:val="BodyText"/>
        <w:rPr>
          <w:sz w:val="30"/>
        </w:rPr>
      </w:pPr>
    </w:p>
    <w:p>
      <w:pPr>
        <w:pStyle w:val="BodyText"/>
        <w:spacing w:line="360" w:lineRule="auto"/>
        <w:ind w:left="473" w:right="1135"/>
      </w:pPr>
      <w:r>
        <w:rPr/>
        <w:t>Let me further explain why I believe it is appropriate in the current environment to tolerate above-target inflation over the next two years and why this is entirely consistent with the MPC’s remit.</w:t>
      </w:r>
    </w:p>
    <w:p>
      <w:pPr>
        <w:pStyle w:val="BodyText"/>
        <w:rPr>
          <w:sz w:val="30"/>
        </w:rPr>
      </w:pPr>
    </w:p>
    <w:p>
      <w:pPr>
        <w:pStyle w:val="BodyText"/>
        <w:spacing w:line="360" w:lineRule="auto"/>
        <w:ind w:left="473" w:right="746"/>
      </w:pPr>
      <w:r>
        <w:rPr/>
        <w:t>Most importantly, the decision to accommodate current above-target inflation is based on a careful analysis of the particular reasons behind the upward pressure on prices.</w:t>
      </w:r>
    </w:p>
    <w:p>
      <w:pPr>
        <w:pStyle w:val="BodyText"/>
        <w:rPr>
          <w:sz w:val="30"/>
        </w:rPr>
      </w:pPr>
    </w:p>
    <w:p>
      <w:pPr>
        <w:pStyle w:val="BodyText"/>
        <w:spacing w:line="360" w:lineRule="auto" w:before="1"/>
        <w:ind w:left="473" w:right="723"/>
      </w:pPr>
      <w:r>
        <w:rPr/>
        <w:t>Much of the upward pressure comes from two sources. First, administered and regulated prices, such as university tuition fees and network charges for energy utilities. The contribution from these prices to CPI is particularly high at present </w:t>
      </w:r>
      <w:r>
        <w:rPr>
          <w:b/>
        </w:rPr>
        <w:t>(Chart 10)</w:t>
      </w:r>
      <w:r>
        <w:rPr/>
        <w:t>, adding around 1 percentage point to inflation in each of the next couple of years. They are determined by regulatory decisions, rather than the balance of domestic supply and demand, so are relatively insensitive to monetary policy. But while their impact is expected to be felt for the next couple of years, it is effectively a shift in relative prices, and should not have a permanent effect on the rate of CPI inflation.</w:t>
      </w:r>
    </w:p>
    <w:p>
      <w:pPr>
        <w:spacing w:after="0" w:line="360" w:lineRule="auto"/>
        <w:sectPr>
          <w:pgSz w:w="11900" w:h="16840"/>
          <w:pgMar w:header="0" w:footer="1548" w:top="1600" w:bottom="1740" w:left="660" w:right="540"/>
        </w:sectPr>
      </w:pPr>
    </w:p>
    <w:p>
      <w:pPr>
        <w:pStyle w:val="BodyText"/>
      </w:pPr>
    </w:p>
    <w:p>
      <w:pPr>
        <w:pStyle w:val="BodyText"/>
        <w:spacing w:before="3"/>
      </w:pPr>
    </w:p>
    <w:p>
      <w:pPr>
        <w:pStyle w:val="BodyText"/>
        <w:spacing w:line="360" w:lineRule="auto"/>
        <w:ind w:left="473" w:right="713"/>
      </w:pPr>
      <w:r>
        <w:rPr/>
        <w:t>The second shock to inflation has been the recent depreciation of sterling, and the effect on the prices of imports. How policy should respond to this is a more complex question. To the extent that a fall in the currency reflects real factors, such as a need to rebalance the economy towards exports or an unwinding of haven flows, it would not be sensible to prevent the real adjustment by tightening monetary policy. If, however, the weakness in sterling were deemed to reflect concerns regarding the Bank’s anti-inflation credibility, leading to an increase in inflation expectations, then I strongly believe that the case for accommodation is much weaker. So far, there is little evidence that inflation expectations have become</w:t>
      </w:r>
    </w:p>
    <w:p>
      <w:pPr>
        <w:pStyle w:val="BodyText"/>
        <w:spacing w:line="230" w:lineRule="exact"/>
        <w:ind w:left="473"/>
      </w:pPr>
      <w:r>
        <w:rPr/>
        <w:t>de-anchored, while domestic inflationary pressures, in particular wage growth, remain very subdued.</w:t>
      </w:r>
    </w:p>
    <w:p>
      <w:pPr>
        <w:pStyle w:val="BodyText"/>
        <w:rPr>
          <w:sz w:val="22"/>
        </w:rPr>
      </w:pPr>
    </w:p>
    <w:p>
      <w:pPr>
        <w:pStyle w:val="BodyText"/>
        <w:spacing w:before="7"/>
        <w:rPr>
          <w:sz w:val="17"/>
        </w:rPr>
      </w:pPr>
    </w:p>
    <w:p>
      <w:pPr>
        <w:pStyle w:val="BodyText"/>
        <w:spacing w:line="360" w:lineRule="auto"/>
        <w:ind w:left="473" w:right="568"/>
      </w:pPr>
      <w:r>
        <w:rPr/>
        <w:t>The current shocks to inflation are therefore such that, in my view, it remains appropriate to look through them. Indeed, in these circumstances, we would only be able to bring inflation back to the target more quickly by depressing domestic activity and hence possibly derailing the recovery.</w:t>
      </w:r>
    </w:p>
    <w:p>
      <w:pPr>
        <w:pStyle w:val="BodyText"/>
        <w:rPr>
          <w:sz w:val="30"/>
        </w:rPr>
      </w:pPr>
    </w:p>
    <w:p>
      <w:pPr>
        <w:pStyle w:val="BodyText"/>
        <w:spacing w:line="360" w:lineRule="auto"/>
        <w:ind w:left="473" w:right="635"/>
      </w:pPr>
      <w:r>
        <w:rPr/>
        <w:t>Our current policy stance, I would argue, is fully consistent with the MPC’s remit. The Committee’s remit has always embodied a </w:t>
      </w:r>
      <w:r>
        <w:rPr>
          <w:u w:val="single"/>
        </w:rPr>
        <w:t>flexible</w:t>
      </w:r>
      <w:r>
        <w:rPr/>
        <w:t> inflation target, with an explicit, though secondary, requirement to support the Government’s objective of high and stable growth and employment. During the first 15 years of the MPC’s existence, prior to the financial crisis, that auxiliary goal did not conflict with the objective of delivering low and stable inflation. But the crisis has crystallised the need to make full use of the flexibility afforded by the Bank’s remit – to deliver price stability in a way that avoids undesirable volatility in output. Making use of such flexibility, as recently confirmed by the Chancellor’s decision to update the MPC’s mandate, is in no way a departure from the inflation targeting framework in place since</w:t>
      </w:r>
      <w:r>
        <w:rPr>
          <w:spacing w:val="-13"/>
        </w:rPr>
        <w:t> </w:t>
      </w:r>
      <w:r>
        <w:rPr/>
        <w:t>1997.</w:t>
      </w:r>
    </w:p>
    <w:p>
      <w:pPr>
        <w:pStyle w:val="BodyText"/>
        <w:spacing w:before="1"/>
        <w:rPr>
          <w:sz w:val="30"/>
        </w:rPr>
      </w:pPr>
    </w:p>
    <w:p>
      <w:pPr>
        <w:pStyle w:val="Heading1"/>
        <w:ind w:left="474"/>
      </w:pPr>
      <w:r>
        <w:rPr/>
        <w:t>Conclusion</w:t>
      </w:r>
    </w:p>
    <w:p>
      <w:pPr>
        <w:pStyle w:val="BodyText"/>
        <w:rPr>
          <w:b/>
          <w:sz w:val="22"/>
        </w:rPr>
      </w:pPr>
    </w:p>
    <w:p>
      <w:pPr>
        <w:pStyle w:val="BodyText"/>
        <w:spacing w:before="10"/>
        <w:rPr>
          <w:b/>
          <w:sz w:val="17"/>
        </w:rPr>
      </w:pPr>
    </w:p>
    <w:p>
      <w:pPr>
        <w:pStyle w:val="BodyText"/>
        <w:spacing w:line="360" w:lineRule="auto"/>
        <w:ind w:left="474" w:right="623"/>
      </w:pPr>
      <w:r>
        <w:rPr/>
        <w:t>We are still living in very uncertain times. The economic recovery over the next year or so will continue to be slow and difficult, but I hope I have provided some reasons why the headwinds of the past may now be starting to ease, and why I remain cautiously optimistic about the road ahead.  On balance, I think the outlook is now looking more encouraging than for some time. Of course, there remain substantial risks that may still knock us off course, not least from the challenges facing the euro area, and if required, the MPC stands ready to</w:t>
      </w:r>
      <w:r>
        <w:rPr>
          <w:spacing w:val="-4"/>
        </w:rPr>
        <w:t> </w:t>
      </w:r>
      <w:r>
        <w:rPr/>
        <w:t>respond.</w:t>
      </w:r>
    </w:p>
    <w:p>
      <w:pPr>
        <w:spacing w:after="0" w:line="360" w:lineRule="auto"/>
        <w:sectPr>
          <w:pgSz w:w="11900" w:h="16840"/>
          <w:pgMar w:header="0" w:footer="1548" w:top="1600" w:bottom="1740" w:left="660" w:right="540"/>
        </w:sectPr>
      </w:pPr>
    </w:p>
    <w:p>
      <w:pPr>
        <w:pStyle w:val="Heading1"/>
        <w:spacing w:before="119"/>
      </w:pPr>
      <w:r>
        <w:rPr/>
        <w:t>Chart 1: UK real GDP</w:t>
      </w:r>
    </w:p>
    <w:p>
      <w:pPr>
        <w:pStyle w:val="BodyText"/>
        <w:rPr>
          <w:b/>
          <w:sz w:val="22"/>
        </w:rPr>
      </w:pPr>
      <w:r>
        <w:rPr/>
        <w:br w:type="column"/>
      </w:r>
      <w:r>
        <w:rPr>
          <w:b/>
          <w:sz w:val="22"/>
        </w:rPr>
      </w:r>
    </w:p>
    <w:p>
      <w:pPr>
        <w:pStyle w:val="BodyText"/>
        <w:rPr>
          <w:b/>
          <w:sz w:val="22"/>
        </w:rPr>
      </w:pPr>
    </w:p>
    <w:p>
      <w:pPr>
        <w:pStyle w:val="BodyText"/>
        <w:spacing w:before="187"/>
        <w:ind w:left="156"/>
      </w:pPr>
      <w:r>
        <w:rPr/>
        <w:pict>
          <v:group style="position:absolute;margin-left:54.779999pt;margin-top:8.219158pt;width:218pt;height:200.2pt;mso-position-horizontal-relative:page;mso-position-vertical-relative:paragraph;z-index:251663360" coordorigin="1096,164" coordsize="4360,4004">
            <v:shape style="position:absolute;left:1098;top:1652;width:94;height:123" coordorigin="1098,1653" coordsize="94,123" path="m1192,1661l1183,1653,1098,1653,1098,1672,1098,1692,1098,1735,1098,1755,1098,1775,1183,1775,1192,1767,1192,1755,1192,1735,1171,1735,1192,1735,1192,1692,1192,1672,1192,1661e" filled="true" fillcolor="#002060" stroked="false">
              <v:path arrowok="t"/>
              <v:fill type="solid"/>
            </v:shape>
            <v:line style="position:absolute" from="1357,1755" to="1357,2629" stroked="true" strokeweight="3.66pt" strokecolor="#002060">
              <v:stroke dashstyle="solid"/>
            </v:line>
            <v:shape style="position:absolute;left:1300;top:1735;width:113;height:915" coordorigin="1301,1735" coordsize="113,915" path="m1405,1735l1309,1735,1301,1744,1301,2641,1309,2650,1405,2650,1414,2641,1414,2629,1340,2629,1320,2610,1340,2610,1340,1775,1320,1775,1340,1755,1414,1755,1414,1744,1405,1735xm1340,2610l1320,2610,1340,2629,1340,2610xm1374,2610l1340,2610,1340,2629,1374,2629,1374,2610xm1374,1755l1374,2629,1393,2610,1414,2610,1414,1775,1393,1775,1374,1755xm1414,2610l1393,2610,1374,2629,1414,2629,1414,2610xm1340,1755l1320,1775,1340,1775,1340,1755xm1374,1755l1340,1755,1340,1775,1374,1775,1374,1755xm1414,1755l1374,1755,1393,1775,1414,1775,1414,1755xe" filled="true" fillcolor="#002060" stroked="false">
              <v:path arrowok="t"/>
              <v:fill type="solid"/>
            </v:shape>
            <v:line style="position:absolute" from="1579,1755" to="1579,3457" stroked="true" strokeweight="3.72pt" strokecolor="#002060">
              <v:stroke dashstyle="solid"/>
            </v:line>
            <v:shape style="position:absolute;left:1522;top:1735;width:114;height:1743" coordorigin="1523,1735" coordsize="114,1743" path="m1628,1735l1531,1735,1523,1744,1523,3469,1531,3478,1628,3478,1637,3469,1637,3457,1562,3457,1542,3438,1562,3438,1562,1775,1542,1775,1562,1755,1637,1755,1637,1744,1628,1735xm1562,3438l1542,3438,1562,3457,1562,3438xm1597,3438l1562,3438,1562,3457,1597,3457,1597,3438xm1597,1755l1597,3457,1616,3438,1637,3438,1637,1775,1616,1775,1597,1755xm1637,3438l1616,3438,1597,3457,1637,3457,1637,3438xm1562,1755l1542,1775,1562,1775,1562,1755xm1597,1755l1562,1755,1562,1775,1597,1775,1597,1755xm1637,1755l1597,1755,1616,1775,1637,1775,1637,1755xe" filled="true" fillcolor="#002060" stroked="false">
              <v:path arrowok="t"/>
              <v:fill type="solid"/>
            </v:shape>
            <v:line style="position:absolute" from="1801,1755" to="1801,3763" stroked="true" strokeweight="3.72pt" strokecolor="#002060">
              <v:stroke dashstyle="solid"/>
            </v:line>
            <v:shape style="position:absolute;left:1744;top:1735;width:114;height:2049" coordorigin="1745,1735" coordsize="114,2049" path="m1850,1735l1753,1735,1745,1744,1745,3775,1753,3784,1850,3784,1859,3775,1859,3763,1784,3763,1764,3744,1784,3744,1784,1775,1764,1775,1784,1755,1859,1755,1859,1744,1850,1735xm1784,3744l1764,3744,1784,3763,1784,3744xm1819,3744l1784,3744,1784,3763,1819,3763,1819,3744xm1819,1755l1819,3763,1838,3744,1859,3744,1859,1775,1838,1775,1819,1755xm1859,3744l1838,3744,1819,3763,1859,3763,1859,3744xm1784,1755l1764,1775,1784,1775,1784,1755xm1819,1755l1784,1755,1784,1775,1819,1775,1819,1755xm1859,1755l1819,1755,1838,1775,1859,1775,1859,1755xe" filled="true" fillcolor="#002060" stroked="false">
              <v:path arrowok="t"/>
              <v:fill type="solid"/>
            </v:shape>
            <v:line style="position:absolute" from="2023,1755" to="2023,3199" stroked="true" strokeweight="3.72pt" strokecolor="#002060">
              <v:stroke dashstyle="solid"/>
            </v:line>
            <v:shape style="position:absolute;left:1966;top:1735;width:114;height:1485" coordorigin="1967,1735" coordsize="114,1485" path="m2072,1735l1975,1735,1967,1744,1967,3211,1975,3220,2072,3220,2081,3211,2081,3199,2006,3199,1986,3180,2006,3180,2006,1775,1986,1775,2006,1755,2081,1755,2081,1744,2072,1735xm2006,3180l1986,3180,2006,3199,2006,3180xm2041,3180l2006,3180,2006,3199,2041,3199,2041,3180xm2041,1755l2041,3199,2060,3180,2081,3180,2081,1775,2060,1775,2041,1755xm2081,3180l2060,3180,2041,3199,2081,3199,2081,3180xm2006,1755l1986,1775,2006,1775,2006,1755xm2041,1755l2006,1755,2006,1775,2041,1775,2041,1755xm2081,1755l2041,1755,2060,1775,2081,1775,2081,1755xe" filled="true" fillcolor="#002060" stroked="false">
              <v:path arrowok="t"/>
              <v:fill type="solid"/>
            </v:shape>
            <v:line style="position:absolute" from="2246,1755" to="2246,1921" stroked="true" strokeweight="3.66pt" strokecolor="#002060">
              <v:stroke dashstyle="solid"/>
            </v:line>
            <v:shape style="position:absolute;left:2190;top:1735;width:113;height:207" coordorigin="2190,1735" coordsize="113,207" path="m2294,1735l2198,1735,2190,1744,2190,1933,2198,1942,2294,1942,2303,1933,2303,1921,2230,1921,2209,1902,2230,1902,2230,1775,2209,1775,2230,1755,2303,1755,2303,1744,2294,1735xm2230,1902l2209,1902,2230,1921,2230,1902xm2263,1902l2230,1902,2230,1921,2263,1921,2263,1902xm2263,1755l2263,1921,2282,1902,2303,1902,2303,1775,2282,1775,2263,1755xm2303,1902l2282,1902,2263,1921,2303,1921,2303,1902xm2230,1755l2209,1775,2230,1775,2230,1755xm2263,1755l2230,1755,2230,1775,2263,1775,2263,1755xm2303,1755l2263,1755,2282,1775,2303,1775,2303,1755xe" filled="true" fillcolor="#002060" stroked="false">
              <v:path arrowok="t"/>
              <v:fill type="solid"/>
            </v:shape>
            <v:line style="position:absolute" from="2468,1373" to="2468,1755" stroked="true" strokeweight="3.72pt" strokecolor="#002060">
              <v:stroke dashstyle="solid"/>
            </v:line>
            <v:shape style="position:absolute;left:2412;top:1353;width:114;height:422" coordorigin="2412,1354" coordsize="114,422" path="m2518,1354l2420,1354,2412,1362,2412,1767,2420,1775,2518,1775,2526,1767,2526,1755,2452,1755,2431,1735,2452,1735,2452,1393,2431,1393,2452,1373,2526,1373,2526,1362,2518,1354xm2452,1735l2431,1735,2452,1755,2452,1735xm2486,1735l2452,1735,2452,1755,2486,1755,2486,1735xm2486,1373l2486,1755,2506,1735,2526,1735,2526,1393,2506,1393,2486,1373xm2526,1735l2506,1735,2486,1755,2526,1755,2526,1735xm2452,1373l2431,1393,2452,1393,2452,1373xm2486,1373l2452,1373,2452,1393,2486,1393,2486,1373xm2526,1373l2486,1373,2506,1393,2526,1393,2526,1373xe" filled="true" fillcolor="#002060" stroked="false">
              <v:path arrowok="t"/>
              <v:fill type="solid"/>
            </v:shape>
            <v:line style="position:absolute" from="2690,1356" to="2690,1755" stroked="true" strokeweight="3.72pt" strokecolor="#002060">
              <v:stroke dashstyle="solid"/>
            </v:line>
            <v:shape style="position:absolute;left:2634;top:1337;width:114;height:438" coordorigin="2634,1337" coordsize="114,438" path="m2740,1337l2642,1337,2634,1345,2634,1767,2642,1775,2740,1775,2748,1767,2748,1755,2674,1755,2653,1735,2674,1735,2674,1377,2653,1377,2674,1356,2748,1356,2748,1345,2740,1337xm2674,1735l2653,1735,2674,1755,2674,1735xm2708,1735l2674,1735,2674,1755,2708,1755,2708,1735xm2708,1356l2708,1755,2728,1735,2748,1735,2748,1377,2728,1377,2708,1356xm2748,1735l2728,1735,2708,1755,2748,1755,2748,1735xm2674,1356l2653,1377,2674,1377,2674,1356xm2708,1356l2674,1356,2674,1377,2708,1377,2708,1356xm2748,1356l2708,1356,2728,1377,2748,1377,2748,1356xe" filled="true" fillcolor="#002060" stroked="false">
              <v:path arrowok="t"/>
              <v:fill type="solid"/>
            </v:shape>
            <v:line style="position:absolute" from="2912,1183" to="2912,1755" stroked="true" strokeweight="3.72pt" strokecolor="#002060">
              <v:stroke dashstyle="solid"/>
            </v:line>
            <v:shape style="position:absolute;left:2856;top:1164;width:114;height:611" coordorigin="2856,1164" coordsize="114,611" path="m2962,1164l2864,1164,2856,1173,2856,1767,2864,1775,2962,1775,2970,1767,2970,1755,2896,1755,2875,1735,2896,1735,2896,1204,2875,1204,2896,1183,2970,1183,2970,1173,2962,1164xm2896,1735l2875,1735,2896,1755,2896,1735xm2930,1735l2896,1735,2896,1755,2930,1755,2930,1735xm2930,1183l2930,1755,2950,1735,2970,1735,2970,1204,2950,1204,2930,1183xm2970,1735l2950,1735,2930,1755,2970,1755,2970,1735xm2896,1183l2875,1204,2896,1204,2896,1183xm2930,1183l2896,1183,2896,1204,2930,1204,2930,1183xm2970,1183l2930,1183,2950,1204,2970,1204,2970,1183xe" filled="true" fillcolor="#002060" stroked="false">
              <v:path arrowok="t"/>
              <v:fill type="solid"/>
            </v:shape>
            <v:line style="position:absolute" from="3135,1067" to="3135,1755" stroked="true" strokeweight="3.66pt" strokecolor="#002060">
              <v:stroke dashstyle="solid"/>
            </v:line>
            <v:shape style="position:absolute;left:3079;top:1047;width:113;height:728" coordorigin="3079,1048" coordsize="113,728" path="m3184,1048l3088,1048,3079,1056,3079,1767,3088,1775,3184,1775,3192,1767,3192,1755,3119,1755,3098,1735,3119,1735,3119,1087,3098,1087,3119,1067,3192,1067,3192,1056,3184,1048xm3119,1735l3098,1735,3119,1755,3119,1735xm3152,1735l3119,1735,3119,1755,3152,1755,3152,1735xm3152,1067l3152,1755,3172,1735,3192,1735,3192,1087,3172,1087,3152,1067xm3192,1735l3172,1735,3152,1755,3192,1755,3192,1735xm3119,1067l3098,1087,3119,1087,3119,1067xm3152,1067l3119,1067,3119,1087,3152,1087,3152,1067xm3192,1067l3152,1067,3172,1087,3192,1087,3192,1067xe" filled="true" fillcolor="#002060" stroked="false">
              <v:path arrowok="t"/>
              <v:fill type="solid"/>
            </v:shape>
            <v:line style="position:absolute" from="3357,1164" to="3357,1755" stroked="true" strokeweight="3.66pt" strokecolor="#002060">
              <v:stroke dashstyle="solid"/>
            </v:line>
            <v:shape style="position:absolute;left:3301;top:1145;width:113;height:630" coordorigin="3301,1145" coordsize="113,630" path="m3406,1145l3310,1145,3301,1153,3301,1767,3310,1775,3406,1775,3414,1767,3414,1755,3341,1755,3320,1735,3341,1735,3341,1185,3320,1185,3341,1164,3414,1164,3414,1153,3406,1145xm3341,1735l3320,1735,3341,1755,3341,1735xm3374,1735l3341,1735,3341,1755,3374,1755,3374,1735xm3374,1164l3374,1755,3394,1735,3414,1735,3414,1185,3394,1185,3374,1164xm3414,1735l3394,1735,3374,1755,3414,1755,3414,1735xm3341,1164l3320,1185,3341,1185,3341,1164xm3374,1164l3341,1164,3341,1185,3374,1185,3374,1164xm3414,1164l3374,1164,3394,1185,3414,1185,3414,1164xe" filled="true" fillcolor="#002060" stroked="false">
              <v:path arrowok="t"/>
              <v:fill type="solid"/>
            </v:shape>
            <v:line style="position:absolute" from="3580,1755" to="3580,2173" stroked="true" strokeweight="3.72pt" strokecolor="#002060">
              <v:stroke dashstyle="solid"/>
            </v:line>
            <v:shape style="position:absolute;left:3523;top:1735;width:114;height:459" coordorigin="3523,1735" coordsize="114,459" path="m3629,1735l3532,1735,3523,1744,3523,2185,3532,2194,3629,2194,3637,2185,3637,2173,3563,2173,3542,2154,3563,2154,3563,1775,3542,1775,3563,1755,3637,1755,3637,1744,3629,1735xm3563,2154l3542,2154,3563,2173,3563,2154xm3598,2154l3563,2154,3563,2173,3598,2173,3598,2154xm3598,1755l3598,2173,3617,2154,3637,2154,3637,1775,3617,1775,3598,1755xm3637,2154l3617,2154,3598,2173,3637,2173,3637,2154xm3563,1755l3542,1775,3563,1775,3563,1755xm3598,1755l3563,1755,3563,1775,3598,1775,3598,1755xm3637,1755l3598,1755,3617,1775,3637,1775,3637,1755xe" filled="true" fillcolor="#002060" stroked="false">
              <v:path arrowok="t"/>
              <v:fill type="solid"/>
            </v:shape>
            <v:line style="position:absolute" from="3802,1327" to="3802,1755" stroked="true" strokeweight="3.72pt" strokecolor="#002060">
              <v:stroke dashstyle="solid"/>
            </v:line>
            <v:shape style="position:absolute;left:3745;top:1308;width:336;height:467" coordorigin="3745,1308" coordsize="336,467" path="m3859,1317l3851,1308,3820,1308,3820,1348,3820,1735,3785,1735,3785,1348,3820,1348,3820,1308,3754,1308,3745,1317,3745,1767,3754,1775,3851,1775,3859,1767,3859,1755,3859,1735,3859,1348,3859,1327,3859,1317m4081,1611l4073,1602,3976,1602,3967,1611,3967,1767,3976,1775,4073,1775,4081,1767,4081,1755,4081,1735,4081,1642,4081,1621,4081,1611e" filled="true" fillcolor="#002060" stroked="false">
              <v:path arrowok="t"/>
              <v:fill type="solid"/>
            </v:shape>
            <v:line style="position:absolute" from="4246,1213" to="4246,1755" stroked="true" strokeweight="3.66pt" strokecolor="#002060">
              <v:stroke dashstyle="solid"/>
            </v:line>
            <v:shape style="position:absolute;left:4190;top:1194;width:113;height:581" coordorigin="4190,1194" coordsize="113,581" path="m4295,1194l4199,1194,4190,1203,4190,1767,4199,1775,4295,1775,4303,1767,4303,1755,4230,1755,4210,1735,4230,1735,4230,1234,4210,1234,4230,1213,4303,1213,4303,1203,4295,1194xm4230,1735l4210,1735,4230,1755,4230,1735xm4264,1735l4230,1735,4230,1755,4264,1755,4264,1735xm4264,1213l4264,1755,4283,1735,4303,1735,4303,1234,4283,1234,4264,1213xm4303,1735l4283,1735,4264,1755,4303,1755,4303,1735xm4230,1213l4210,1234,4230,1234,4230,1213xm4264,1213l4230,1213,4230,1234,4264,1234,4264,1213xm4303,1213l4264,1213,4283,1234,4303,1234,4303,1213xe" filled="true" fillcolor="#002060" stroked="false">
              <v:path arrowok="t"/>
              <v:fill type="solid"/>
            </v:shape>
            <v:line style="position:absolute" from="4469,1755" to="4469,2021" stroked="true" strokeweight="3.72pt" strokecolor="#002060">
              <v:stroke dashstyle="solid"/>
            </v:line>
            <v:shape style="position:absolute;left:4412;top:1735;width:114;height:306" coordorigin="4412,1735" coordsize="114,306" path="m4518,1735l4421,1735,4412,1744,4412,2033,4421,2041,4518,2041,4526,2033,4526,2021,4452,2021,4432,2002,4452,2002,4452,1775,4432,1775,4452,1755,4526,1755,4526,1744,4518,1735xm4452,2002l4432,2002,4452,2021,4452,2002xm4487,2002l4452,2002,4452,2021,4487,2021,4487,2002xm4487,1755l4487,2021,4506,2002,4526,2002,4526,1775,4506,1775,4487,1755xm4526,2002l4506,2002,4487,2021,4526,2021,4526,2002xm4452,1755l4432,1775,4452,1775,4452,1755xm4487,1755l4452,1755,4452,1775,4487,1775,4487,1755xm4526,1755l4487,1755,4506,1775,4526,1775,4526,1755xe" filled="true" fillcolor="#002060" stroked="false">
              <v:path arrowok="t"/>
              <v:fill type="solid"/>
            </v:shape>
            <v:line style="position:absolute" from="4691,1755" to="4691,1995" stroked="true" strokeweight="3.72pt" strokecolor="#002060">
              <v:stroke dashstyle="solid"/>
            </v:line>
            <v:shape style="position:absolute;left:4634;top:1735;width:114;height:280" coordorigin="4634,1735" coordsize="114,280" path="m4740,1735l4643,1735,4634,1744,4634,2007,4643,2015,4740,2015,4748,2007,4748,1995,4674,1995,4654,1975,4674,1975,4674,1775,4654,1775,4674,1755,4748,1755,4748,1744,4740,1735xm4674,1975l4654,1975,4674,1995,4674,1975xm4709,1975l4674,1975,4674,1995,4709,1995,4709,1975xm4709,1755l4709,1995,4728,1975,4748,1975,4748,1775,4728,1775,4709,1755xm4748,1975l4728,1975,4709,1995,4748,1995,4748,1975xm4674,1755l4654,1775,4674,1775,4674,1755xm4709,1755l4674,1755,4674,1775,4709,1775,4709,1755xm4748,1755l4709,1755,4728,1775,4748,1775,4748,1755xe" filled="true" fillcolor="#002060" stroked="false">
              <v:path arrowok="t"/>
              <v:fill type="solid"/>
            </v:shape>
            <v:line style="position:absolute" from="4913,1755" to="4913,2112" stroked="true" strokeweight="3.72pt" strokecolor="#002060">
              <v:stroke dashstyle="solid"/>
            </v:line>
            <v:shape style="position:absolute;left:4856;top:1735;width:114;height:398" coordorigin="4856,1735" coordsize="114,398" path="m4962,1735l4865,1735,4856,1744,4856,2124,4865,2133,4962,2133,4970,2124,4970,2112,4896,2112,4876,2093,4896,2093,4896,1775,4876,1775,4896,1755,4970,1755,4970,1744,4962,1735xm4896,2093l4876,2093,4896,2112,4896,2093xm4931,2093l4896,2093,4896,2112,4931,2112,4931,2093xm4931,1755l4931,2112,4950,2093,4970,2093,4970,1775,4950,1775,4931,1755xm4970,2093l4950,2093,4931,2112,4970,2112,4970,2093xm4896,1755l4876,1775,4896,1775,4896,1755xm4931,1755l4896,1755,4896,1775,4931,1775,4931,1755xm4970,1755l4931,1755,4950,1775,4970,1775,4970,1755xe" filled="true" fillcolor="#002060" stroked="false">
              <v:path arrowok="t"/>
              <v:fill type="solid"/>
            </v:shape>
            <v:line style="position:absolute" from="5135,844" to="5135,1755" stroked="true" strokeweight="3.66pt" strokecolor="#002060">
              <v:stroke dashstyle="solid"/>
            </v:line>
            <v:shape style="position:absolute;left:5079;top:824;width:113;height:951" coordorigin="5080,825" coordsize="113,951" path="m5184,825l5088,825,5080,833,5080,1767,5088,1775,5184,1775,5192,1767,5192,1755,5119,1755,5099,1735,5119,1735,5119,864,5099,864,5119,844,5192,844,5192,833,5184,825xm5119,1735l5099,1735,5119,1755,5119,1735xm5153,1735l5119,1735,5119,1755,5153,1755,5153,1735xm5153,844l5153,1755,5172,1735,5192,1735,5192,864,5172,864,5153,844xm5192,1735l5172,1735,5153,1755,5192,1755,5192,1735xm5119,844l5099,864,5119,864,5119,844xm5153,844l5119,844,5119,864,5153,864,5153,844xm5192,844l5153,844,5172,864,5192,864,5192,844xe" filled="true" fillcolor="#002060" stroked="false">
              <v:path arrowok="t"/>
              <v:fill type="solid"/>
            </v:shape>
            <v:line style="position:absolute" from="5358,1755" to="5358,2044" stroked="true" strokeweight="3.72pt" strokecolor="#002060">
              <v:stroke dashstyle="solid"/>
            </v:line>
            <v:shape style="position:absolute;left:5301;top:1735;width:114;height:329" coordorigin="5302,1735" coordsize="114,329" path="m5407,1735l5310,1735,5302,1744,5302,2056,5310,2064,5407,2064,5416,2056,5416,2044,5341,2044,5321,2025,5341,2025,5341,1775,5321,1775,5341,1755,5416,1755,5416,1744,5407,1735xm5341,2025l5321,2025,5341,2044,5341,2025xm5376,2025l5341,2025,5341,2044,5376,2044,5376,2025xm5376,1755l5376,2044,5395,2025,5416,2025,5416,1775,5395,1775,5376,1755xm5416,2025l5395,2025,5376,2044,5416,2044,5416,2025xm5341,1755l5321,1775,5341,1775,5341,1755xm5376,1755l5341,1755,5341,1775,5376,1775,5376,1755xm5416,1755l5376,1755,5395,1775,5416,1775,5416,1755xe" filled="true" fillcolor="#002060" stroked="false">
              <v:path arrowok="t"/>
              <v:fill type="solid"/>
            </v:shape>
            <v:line style="position:absolute" from="5395,309" to="5395,4165" stroked="true" strokeweight=".23999pt" strokecolor="#000000">
              <v:stroke dashstyle="solid"/>
            </v:line>
            <v:shape style="position:absolute;left:5395;top:306;width:60;height:3862" coordorigin="5395,306" coordsize="60,3862" path="m5455,4163l5395,4163,5395,4168,5455,4168,5455,4163m5455,3681l5395,3681,5395,3685,5455,3685,5455,3681m5455,3198l5395,3198,5395,3203,5455,3203,5455,3198m5455,2717l5395,2717,5395,2722,5455,2722,5455,2717m5455,2235l5395,2235,5395,2239,5455,2239,5455,2235m5455,1752l5395,1752,5395,1757,5455,1757,5455,1752m5455,1271l5395,1271,5395,1276,5455,1276,5455,1271m5455,789l5395,789,5395,793,5455,793,5455,789m5455,306l5395,306,5395,311,5455,311,5455,306e" filled="true" fillcolor="#000000" stroked="false">
              <v:path arrowok="t"/>
              <v:fill type="solid"/>
            </v:shape>
            <v:line style="position:absolute" from="1098,1755" to="5395,1755" stroked="true" strokeweight=".23999pt" strokecolor="#000000">
              <v:stroke dashstyle="solid"/>
            </v:line>
            <v:shape style="position:absolute;left:1095;top:1694;width:3562;height:60" coordorigin="1096,1695" coordsize="3562,60" path="m1100,1695l1096,1695,1096,1755,1100,1755,1100,1695m1990,1695l1985,1695,1985,1755,1990,1755,1990,1695m2879,1695l2874,1695,2874,1755,2879,1755,2879,1695m3768,1695l3763,1695,3763,1755,3768,1755,3768,1695m4657,1695l4652,1695,4652,1755,4657,1755,4657,1695e" filled="true" fillcolor="#000000" stroked="false">
              <v:path arrowok="t"/>
              <v:fill type="solid"/>
            </v:shape>
            <v:shape style="position:absolute;left:1638;top:164;width:3501;height:224" type="#_x0000_t202" filled="false" stroked="false">
              <v:textbox inset="0,0,0,0">
                <w:txbxContent>
                  <w:p>
                    <w:pPr>
                      <w:spacing w:line="224" w:lineRule="exact" w:before="0"/>
                      <w:ind w:left="0" w:right="0" w:firstLine="0"/>
                      <w:jc w:val="left"/>
                      <w:rPr>
                        <w:sz w:val="20"/>
                      </w:rPr>
                    </w:pPr>
                    <w:r>
                      <w:rPr>
                        <w:sz w:val="20"/>
                      </w:rPr>
                      <w:t>Percentage change on a quarter earlier</w:t>
                    </w:r>
                  </w:p>
                </w:txbxContent>
              </v:textbox>
              <w10:wrap type="none"/>
            </v:shape>
            <w10:wrap type="none"/>
          </v:group>
        </w:pict>
      </w:r>
      <w:r>
        <w:rPr/>
        <w:t>1.5</w:t>
      </w:r>
    </w:p>
    <w:p>
      <w:pPr>
        <w:pStyle w:val="Heading1"/>
        <w:spacing w:before="119"/>
        <w:ind w:left="0" w:right="38"/>
        <w:jc w:val="right"/>
      </w:pPr>
      <w:r>
        <w:rPr>
          <w:b w:val="0"/>
        </w:rPr>
        <w:br w:type="column"/>
      </w:r>
      <w:r>
        <w:rPr/>
        <w:t>Chart 2: UK GDP relative to pre-crisis trend</w:t>
      </w:r>
      <w:r>
        <w:rPr>
          <w:vertAlign w:val="superscript"/>
        </w:rPr>
        <w:t>(a)</w:t>
      </w:r>
    </w:p>
    <w:p>
      <w:pPr>
        <w:pStyle w:val="BodyText"/>
        <w:spacing w:before="4"/>
        <w:rPr>
          <w:b/>
          <w:sz w:val="24"/>
        </w:rPr>
      </w:pPr>
    </w:p>
    <w:p>
      <w:pPr>
        <w:pStyle w:val="BodyText"/>
        <w:ind w:right="104"/>
        <w:jc w:val="right"/>
      </w:pPr>
      <w:r>
        <w:rPr/>
        <w:pict>
          <v:group style="position:absolute;margin-left:316.140015pt;margin-top:9.800222pt;width:211.3pt;height:193.6pt;mso-position-horizontal-relative:page;mso-position-vertical-relative:paragraph;z-index:-252523520" coordorigin="6323,196" coordsize="4226,3872">
            <v:line style="position:absolute" from="10488,198" to="10488,4065" stroked="true" strokeweight=".23999pt" strokecolor="#000000">
              <v:stroke dashstyle="solid"/>
            </v:line>
            <v:shape style="position:absolute;left:10488;top:196;width:60;height:3872" coordorigin="10488,196" coordsize="60,3872" path="m10548,4062l10488,4062,10488,4067,10548,4067,10548,4062m10548,3418l10488,3418,10488,3423,10548,3423,10548,3418m10548,2774l10488,2774,10488,2778,10548,2778,10548,2774m10548,2129l10488,2129,10488,2134,10548,2134,10548,2129m10548,1485l10488,1485,10488,1490,10548,1490,10548,1485m10548,840l10488,840,10488,845,10548,845,10548,840m10548,196l10488,196,10488,201,10548,201,10548,196e" filled="true" fillcolor="#000000" stroked="false">
              <v:path arrowok="t"/>
              <v:fill type="solid"/>
            </v:shape>
            <v:line style="position:absolute" from="6325,4065" to="10488,4065" stroked="true" strokeweight=".24005pt" strokecolor="#000000">
              <v:stroke dashstyle="solid"/>
            </v:line>
            <v:shape style="position:absolute;left:6322;top:4004;width:3603;height:60" coordorigin="6323,4005" coordsize="3603,60" path="m6328,4005l6323,4005,6323,4065,6328,4065,6328,4005m6928,4005l6923,4005,6923,4065,6928,4065,6928,4005m7528,4005l7523,4005,7523,4065,7528,4065,7528,4005m8126,4005l8122,4005,8122,4065,8126,4065,8126,4005m8726,4005l8722,4005,8722,4065,8726,4065,8726,4005m9326,4005l9322,4005,9322,4065,9326,4065,9326,4005m9925,4005l9920,4005,9920,4065,9925,4065,9925,4005e" filled="true" fillcolor="#000000" stroked="false">
              <v:path arrowok="t"/>
              <v:fill type="solid"/>
            </v:shape>
            <v:shape style="position:absolute;left:6325;top:1468;width:4166;height:922" coordorigin="6325,1468" coordsize="4166,922" path="m6438,2283l6332,2350,6325,2355,6325,2376,6332,2387,6344,2390,6354,2384,6452,2321,6451,2321,6439,2319,6433,2309,6427,2301,6430,2289,6438,2283xm6448,2277l6438,2283,6430,2289,6427,2301,6433,2309,6439,2319,6451,2321,6460,2315,6470,2309,6472,2298,6460,2279,6448,2277xm6470,2309l6460,2315,6451,2321,6452,2321,6460,2316,6469,2310,6470,2309xm6519,2277l6448,2277,6460,2279,6472,2298,6470,2309,6519,2277xm6975,2086l6870,2086,6763,2099,6762,2099,6761,2100,6758,2100,6653,2144,6652,2145,6650,2145,6649,2146,6438,2283,6448,2277,6519,2277,6671,2178,6674,2178,6771,2139,6768,2139,6774,2138,6778,2138,6875,2126,6983,2126,6985,2124,7091,2087,6972,2087,6975,2086xm6674,2178l6671,2178,6668,2181,6674,2178xm6774,2138l6768,2139,6772,2138,6774,2138xm6772,2138l6768,2139,6771,2139,6772,2138xm6778,2138l6774,2138,6772,2138,6778,2138xm7181,2015l7078,2050,6972,2087,6978,2086,7094,2086,7196,2051,7198,2051,7200,2050,7201,2049,7248,2016,7178,2016,7181,2015xm7094,2086l6978,2086,6972,2087,7091,2087,7094,2086xm7183,2014l7181,2015,7178,2016,7183,2014xm7251,2014l7183,2014,7178,2016,7248,2016,7251,2014xm7820,1766l7716,1779,7608,1798,7502,1829,7500,1829,7499,1830,7498,1830,7393,1893,7288,1941,7286,1942,7285,1942,7284,1943,7181,2015,7183,2014,7251,2014,7305,1977,7303,1977,7409,1929,7516,1866,7513,1866,7619,1835,7722,1818,7828,1805,7830,1805,7832,1804,7834,1803,7897,1768,7816,1768,7820,1766xm7307,1976l7303,1977,7305,1977,7307,1976xm8552,1562l8656,1673,8762,1802,8762,1803,8764,1803,8765,1804,8870,1896,8873,1899,8876,1901,8881,1901,8987,1912,8993,1912,9098,1888,9164,1872,8984,1872,8986,1872,8932,1866,8896,1866,8885,1862,8890,1862,8793,1776,8792,1776,8790,1774,8790,1774,8686,1646,8609,1564,8555,1564,8552,1562xm8986,1872l8984,1872,8990,1872,8986,1872xm9518,1706l9515,1706,9511,1707,9404,1745,9300,1788,9196,1823,9090,1848,8986,1872,8990,1872,9164,1872,9204,1863,9313,1826,9420,1782,9519,1746,9512,1744,9746,1744,9836,1737,9839,1737,9841,1736,9845,1734,9618,1734,9623,1733,9523,1707,9518,1706xm7518,1865l7513,1866,7516,1866,7518,1865xm8885,1862l8896,1866,8891,1862,8885,1862xm8891,1862l8896,1866,8932,1866,8891,1862xm8890,1862l8885,1862,8891,1862,8890,1862xm8790,1774l8792,1776,8792,1775,8790,1774xm8792,1775l8792,1776,8793,1776,8792,1775xm8790,1774l8790,1774,8792,1775,8790,1774xm9734,1744l9524,1744,9519,1746,9618,1772,9622,1773,9625,1773,9629,1772,9734,1744xm7822,1766l7820,1766,7816,1768,7822,1766xm7902,1766l7822,1766,7816,1768,7897,1768,7902,1766xm8462,1468l8459,1468,8352,1473,8246,1485,8243,1485,8239,1486,8237,1488,8024,1641,7921,1710,7820,1766,7822,1766,7902,1766,7939,1745,8047,1673,8255,1524,8250,1524,8260,1521,8282,1521,8356,1512,8454,1508,8449,1505,8531,1505,8468,1470,8466,1469,8462,1468xm10235,1701l9948,1701,9942,1703,10044,1719,10152,1724,10148,1724,10254,1746,10264,1746,10267,1744,10330,1709,10248,1709,10255,1705,10235,1701xm9524,1744l9512,1744,9519,1746,9524,1744xm9746,1744l9734,1744,9731,1745,9746,1744xm9623,1733l9618,1734,9629,1734,9623,1733xm9831,1697l9727,1706,9725,1706,9724,1707,9623,1733,9629,1734,9845,1734,9942,1703,9938,1702,9948,1701,10235,1701,10223,1698,9828,1698,9831,1697xm10255,1705l10248,1709,10262,1707,10255,1705xm10367,1648l10358,1648,10354,1650,10255,1705,10262,1707,10248,1709,10330,1709,10367,1689,10361,1688,10373,1685,10489,1685,10490,1676,10483,1665,10472,1664,10367,1648xm10489,1685l10373,1685,10367,1689,10466,1703,10477,1704,10487,1697,10489,1686,10489,1685xm9948,1701l9938,1702,9942,1703,9948,1701xm9833,1697l9831,1697,9828,1698,9833,1697xm10218,1697l9833,1697,9828,1698,10223,1698,10218,1697xm9944,1662l9938,1662,9831,1697,9833,1697,10218,1697,10157,1684,10153,1684,10050,1679,9944,1662xm10373,1685l10361,1688,10367,1689,10373,1685xm8550,1560l8552,1562,8555,1564,8550,1560xm8606,1560l8550,1560,8555,1564,8609,1564,8606,1560xm8531,1505l8449,1505,8460,1508,8454,1508,8552,1562,8550,1560,8606,1560,8580,1533,8578,1532,8576,1530,8574,1529,8531,1505xm8260,1521l8250,1524,8255,1524,8260,1521xm8255,1524l8250,1524,8255,1524,8255,1524xm8282,1521l8260,1521,8255,1524,8282,1521xm8449,1505l8454,1508,8460,1508,8449,1505xe" filled="true" fillcolor="#0f0080" stroked="false">
              <v:path arrowok="t"/>
              <v:fill type="solid"/>
            </v:shape>
            <v:shape style="position:absolute;left:6325;top:444;width:4167;height:1984" coordorigin="6325,444" coordsize="4167,1984" path="m6438,2321l6332,2388,6325,2393,6325,2414,6332,2426,6344,2428,6354,2422,6452,2360,6451,2360,6439,2357,6433,2348,6427,2339,6430,2327,6438,2321xm6448,2315l6438,2321,6430,2327,6427,2339,6433,2348,6439,2357,6451,2360,6460,2354,6470,2347,6472,2337,6460,2318,6448,2315xm6470,2347l6460,2354,6451,2360,6452,2360,6460,2355,6469,2349,6470,2347xm6519,2315l6448,2315,6460,2318,6472,2337,6470,2347,6519,2315xm6976,2126l6870,2126,6763,2140,6762,2140,6761,2141,6758,2141,6653,2183,6652,2184,6650,2184,6650,2186,6544,2253,6438,2321,6448,2315,6519,2315,6565,2285,6671,2218,6674,2218,6771,2180,6769,2180,6774,2178,6778,2178,6876,2165,6983,2165,6985,2164,7094,2127,6972,2127,6976,2126xm6674,2218l6671,2218,6668,2220,6674,2218xm6774,2178l6769,2180,6772,2179,6774,2178xm6772,2179l6769,2180,6771,2180,6772,2179xm6778,2178l6774,2178,6772,2179,6778,2178xm7181,2056l6972,2127,6978,2126,7098,2126,7196,2092,7198,2092,7200,2091,7201,2090,7249,2057,7178,2057,7181,2056xm7098,2126l6978,2126,6972,2127,7094,2127,7098,2126xm7183,2055l7181,2056,7178,2057,7183,2055xm7252,2055l7183,2055,7178,2057,7249,2057,7252,2055xm7820,1808l7716,1821,7608,1840,7502,1870,7501,1870,7499,1871,7498,1871,7393,1935,7288,1983,7286,1984,7285,1984,7284,1985,7181,2056,7183,2055,7252,2055,7305,2019,7303,2019,7409,1971,7516,1907,7513,1907,7619,1877,7722,1860,7828,1847,7830,1847,7832,1846,7834,1845,7897,1810,7816,1810,7820,1808xm7307,2018l7303,2019,7305,2019,7307,2018xm7518,1906l7513,1907,7516,1907,7518,1906xm7822,1808l7820,1808,7816,1810,7822,1808xm7902,1808l7822,1808,7816,1810,7897,1810,7902,1808xm8351,1517l8246,1529,8243,1529,8239,1530,8237,1533,8131,1607,8024,1684,7921,1752,7820,1808,7822,1808,7902,1808,7939,1787,8047,1716,8154,1640,8254,1569,8250,1569,8260,1565,8282,1565,8356,1557,8358,1557,8360,1556,8362,1554,8436,1520,8346,1520,8351,1517xm8260,1565l8250,1569,8255,1568,8260,1565xm8255,1568l8250,1569,8254,1569,8255,1568xm8282,1565l8260,1565,8255,1568,8282,1565xm8352,1517l8351,1517,8346,1520,8352,1517xm8441,1517l8352,1517,8346,1520,8436,1520,8441,1517xm10470,444l10460,449,10216,582,9797,804,9304,1055,8879,1265,8351,1517,8352,1517,8441,1517,8895,1301,9392,1055,9884,802,10373,542,10478,484,10488,479,10492,467,10482,448,10470,444xe" filled="true" fillcolor="#ff01ff" stroked="false">
              <v:path arrowok="t"/>
              <v:fill type="solid"/>
            </v:shape>
            <v:line style="position:absolute" from="6878,2580" to="7302,2580" stroked="true" strokeweight="1.98pt" strokecolor="#0f0080">
              <v:stroke dashstyle="solid"/>
            </v:line>
            <v:shape style="position:absolute;left:6322;top:196;width:4226;height:3872"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1"/>
                      <w:rPr>
                        <w:sz w:val="20"/>
                      </w:rPr>
                    </w:pPr>
                  </w:p>
                  <w:p>
                    <w:pPr>
                      <w:spacing w:before="0"/>
                      <w:ind w:left="999" w:right="0" w:firstLine="0"/>
                      <w:jc w:val="left"/>
                      <w:rPr>
                        <w:sz w:val="20"/>
                      </w:rPr>
                    </w:pPr>
                    <w:r>
                      <w:rPr>
                        <w:sz w:val="20"/>
                      </w:rPr>
                      <w:t>Real GDP</w:t>
                    </w:r>
                  </w:p>
                  <w:p>
                    <w:pPr>
                      <w:spacing w:line="240" w:lineRule="auto" w:before="6"/>
                      <w:rPr>
                        <w:sz w:val="26"/>
                      </w:rPr>
                    </w:pPr>
                  </w:p>
                  <w:p>
                    <w:pPr>
                      <w:tabs>
                        <w:tab w:pos="979" w:val="left" w:leader="none"/>
                      </w:tabs>
                      <w:spacing w:before="0"/>
                      <w:ind w:left="999" w:right="476" w:hanging="444"/>
                      <w:jc w:val="left"/>
                      <w:rPr>
                        <w:sz w:val="20"/>
                      </w:rPr>
                    </w:pPr>
                    <w:r>
                      <w:rPr>
                        <w:w w:val="100"/>
                        <w:position w:val="4"/>
                        <w:sz w:val="20"/>
                        <w:u w:val="thick" w:color="FF01FF"/>
                      </w:rPr>
                      <w:t> </w:t>
                    </w:r>
                    <w:r>
                      <w:rPr>
                        <w:position w:val="4"/>
                        <w:sz w:val="20"/>
                        <w:u w:val="thick" w:color="FF01FF"/>
                      </w:rPr>
                      <w:tab/>
                    </w:r>
                    <w:r>
                      <w:rPr>
                        <w:sz w:val="20"/>
                      </w:rPr>
                      <w:t>Real GDP (assuming pre-crisis trend)</w:t>
                    </w:r>
                  </w:p>
                </w:txbxContent>
              </v:textbox>
              <w10:wrap type="none"/>
            </v:shape>
            <w10:wrap type="none"/>
          </v:group>
        </w:pict>
      </w:r>
      <w:r>
        <w:rPr/>
        <w:t>Index (2008 Q1 = 100)</w:t>
      </w:r>
    </w:p>
    <w:p>
      <w:pPr>
        <w:pStyle w:val="BodyText"/>
        <w:rPr>
          <w:sz w:val="22"/>
        </w:rPr>
      </w:pPr>
      <w:r>
        <w:rPr/>
        <w:br w:type="column"/>
      </w:r>
      <w:r>
        <w:rPr>
          <w:sz w:val="22"/>
        </w:rPr>
      </w:r>
    </w:p>
    <w:p>
      <w:pPr>
        <w:pStyle w:val="BodyText"/>
        <w:rPr>
          <w:sz w:val="22"/>
        </w:rPr>
      </w:pPr>
    </w:p>
    <w:p>
      <w:pPr>
        <w:pStyle w:val="BodyText"/>
        <w:spacing w:before="5"/>
        <w:rPr>
          <w:sz w:val="17"/>
        </w:rPr>
      </w:pPr>
    </w:p>
    <w:p>
      <w:pPr>
        <w:pStyle w:val="BodyText"/>
        <w:ind w:left="156"/>
      </w:pPr>
      <w:r>
        <w:rPr/>
        <w:t>120</w:t>
      </w:r>
    </w:p>
    <w:p>
      <w:pPr>
        <w:spacing w:after="0"/>
        <w:sectPr>
          <w:pgSz w:w="11900" w:h="16840"/>
          <w:pgMar w:header="0" w:footer="1548" w:top="1600" w:bottom="1740" w:left="660" w:right="540"/>
          <w:cols w:num="4" w:equalWidth="0">
            <w:col w:w="2198" w:space="2552"/>
            <w:col w:w="435" w:space="62"/>
            <w:col w:w="4456" w:space="139"/>
            <w:col w:w="858"/>
          </w:cols>
        </w:sectPr>
      </w:pPr>
    </w:p>
    <w:p>
      <w:pPr>
        <w:pStyle w:val="BodyText"/>
        <w:spacing w:before="6"/>
        <w:rPr>
          <w:sz w:val="12"/>
        </w:rPr>
      </w:pPr>
    </w:p>
    <w:p>
      <w:pPr>
        <w:spacing w:after="0"/>
        <w:rPr>
          <w:sz w:val="12"/>
        </w:rPr>
        <w:sectPr>
          <w:type w:val="continuous"/>
          <w:pgSz w:w="11900" w:h="16840"/>
          <w:pgMar w:top="900" w:bottom="280" w:left="660" w:right="540"/>
        </w:sectPr>
      </w:pPr>
    </w:p>
    <w:p>
      <w:pPr>
        <w:pStyle w:val="BodyText"/>
        <w:spacing w:before="94"/>
        <w:jc w:val="right"/>
      </w:pPr>
      <w:r>
        <w:rPr>
          <w:spacing w:val="-1"/>
        </w:rPr>
        <w:t>1.0</w:t>
      </w:r>
    </w:p>
    <w:p>
      <w:pPr>
        <w:pStyle w:val="BodyText"/>
        <w:rPr>
          <w:sz w:val="22"/>
        </w:rPr>
      </w:pPr>
    </w:p>
    <w:p>
      <w:pPr>
        <w:pStyle w:val="BodyText"/>
        <w:jc w:val="right"/>
      </w:pPr>
      <w:r>
        <w:rPr>
          <w:spacing w:val="-1"/>
        </w:rPr>
        <w:t>0.5</w:t>
      </w:r>
    </w:p>
    <w:p>
      <w:pPr>
        <w:pStyle w:val="BodyText"/>
        <w:spacing w:before="9"/>
        <w:rPr>
          <w:sz w:val="21"/>
        </w:rPr>
      </w:pPr>
    </w:p>
    <w:p>
      <w:pPr>
        <w:pStyle w:val="BodyText"/>
        <w:spacing w:before="1"/>
        <w:jc w:val="right"/>
      </w:pPr>
      <w:r>
        <w:rPr>
          <w:spacing w:val="-1"/>
        </w:rPr>
        <w:t>0.0</w:t>
      </w:r>
    </w:p>
    <w:p>
      <w:pPr>
        <w:pStyle w:val="BodyText"/>
        <w:spacing w:before="6"/>
        <w:rPr>
          <w:sz w:val="23"/>
        </w:rPr>
      </w:pPr>
      <w:r>
        <w:rPr/>
        <w:br w:type="column"/>
      </w:r>
      <w:r>
        <w:rPr>
          <w:sz w:val="23"/>
        </w:rPr>
      </w:r>
    </w:p>
    <w:p>
      <w:pPr>
        <w:pStyle w:val="BodyText"/>
        <w:ind w:right="364"/>
        <w:jc w:val="right"/>
      </w:pPr>
      <w:r>
        <w:rPr>
          <w:spacing w:val="-1"/>
        </w:rPr>
        <w:t>110</w:t>
      </w:r>
    </w:p>
    <w:p>
      <w:pPr>
        <w:pStyle w:val="BodyText"/>
        <w:rPr>
          <w:sz w:val="22"/>
        </w:rPr>
      </w:pPr>
    </w:p>
    <w:p>
      <w:pPr>
        <w:pStyle w:val="BodyText"/>
        <w:spacing w:before="162"/>
        <w:ind w:right="364"/>
        <w:jc w:val="right"/>
      </w:pPr>
      <w:r>
        <w:rPr>
          <w:spacing w:val="-1"/>
        </w:rPr>
        <w:t>100</w:t>
      </w:r>
    </w:p>
    <w:p>
      <w:pPr>
        <w:spacing w:after="0"/>
        <w:jc w:val="right"/>
        <w:sectPr>
          <w:type w:val="continuous"/>
          <w:pgSz w:w="11900" w:h="16840"/>
          <w:pgMar w:top="900" w:bottom="280" w:left="660" w:right="540"/>
          <w:cols w:num="2" w:equalWidth="0">
            <w:col w:w="5185" w:space="40"/>
            <w:col w:w="5475"/>
          </w:cols>
        </w:sectPr>
      </w:pPr>
    </w:p>
    <w:p>
      <w:pPr>
        <w:pStyle w:val="BodyText"/>
        <w:spacing w:before="9"/>
        <w:rPr>
          <w:sz w:val="13"/>
        </w:rPr>
      </w:pPr>
    </w:p>
    <w:p>
      <w:pPr>
        <w:pStyle w:val="BodyText"/>
        <w:tabs>
          <w:tab w:pos="9998" w:val="left" w:leader="none"/>
        </w:tabs>
        <w:spacing w:before="93"/>
        <w:ind w:left="4906"/>
      </w:pPr>
      <w:r>
        <w:rPr>
          <w:position w:val="2"/>
        </w:rPr>
        <w:t>-0.5</w:t>
        <w:tab/>
      </w:r>
      <w:r>
        <w:rPr/>
        <w:t>90</w:t>
      </w:r>
    </w:p>
    <w:p>
      <w:pPr>
        <w:pStyle w:val="BodyText"/>
        <w:spacing w:before="3"/>
      </w:pPr>
    </w:p>
    <w:p>
      <w:pPr>
        <w:pStyle w:val="BodyText"/>
        <w:spacing w:line="206" w:lineRule="exact"/>
        <w:ind w:left="4888" w:right="5427"/>
        <w:jc w:val="center"/>
      </w:pPr>
      <w:r>
        <w:rPr/>
        <w:t>-1.0</w:t>
      </w:r>
    </w:p>
    <w:p>
      <w:pPr>
        <w:pStyle w:val="BodyText"/>
        <w:spacing w:line="206" w:lineRule="exact"/>
        <w:ind w:left="9978" w:right="459"/>
        <w:jc w:val="center"/>
      </w:pPr>
      <w:r>
        <w:rPr/>
        <w:t>80</w:t>
      </w:r>
    </w:p>
    <w:p>
      <w:pPr>
        <w:pStyle w:val="BodyText"/>
        <w:spacing w:before="70"/>
        <w:ind w:left="4888" w:right="5427"/>
        <w:jc w:val="center"/>
      </w:pPr>
      <w:r>
        <w:rPr/>
        <w:t>-1.5</w:t>
      </w:r>
    </w:p>
    <w:p>
      <w:pPr>
        <w:pStyle w:val="BodyText"/>
        <w:tabs>
          <w:tab w:pos="9998" w:val="left" w:leader="none"/>
        </w:tabs>
        <w:spacing w:before="112"/>
        <w:ind w:left="4906"/>
      </w:pPr>
      <w:r>
        <w:rPr/>
        <w:t>-2.0</w:t>
        <w:tab/>
      </w:r>
      <w:r>
        <w:rPr>
          <w:position w:val="14"/>
        </w:rPr>
        <w:t>70</w:t>
      </w:r>
    </w:p>
    <w:p>
      <w:pPr>
        <w:pStyle w:val="BodyText"/>
        <w:spacing w:before="9"/>
        <w:rPr>
          <w:sz w:val="13"/>
        </w:rPr>
      </w:pPr>
    </w:p>
    <w:p>
      <w:pPr>
        <w:spacing w:after="0"/>
        <w:rPr>
          <w:sz w:val="13"/>
        </w:rPr>
        <w:sectPr>
          <w:type w:val="continuous"/>
          <w:pgSz w:w="11900" w:h="16840"/>
          <w:pgMar w:top="900" w:bottom="280" w:left="660" w:right="540"/>
        </w:sectPr>
      </w:pPr>
    </w:p>
    <w:p>
      <w:pPr>
        <w:pStyle w:val="BodyText"/>
        <w:spacing w:before="2"/>
        <w:rPr>
          <w:sz w:val="29"/>
        </w:rPr>
      </w:pPr>
    </w:p>
    <w:p>
      <w:pPr>
        <w:pStyle w:val="BodyText"/>
        <w:tabs>
          <w:tab w:pos="1139" w:val="left" w:leader="none"/>
          <w:tab w:pos="2028" w:val="left" w:leader="none"/>
          <w:tab w:pos="2917" w:val="left" w:leader="none"/>
          <w:tab w:pos="3806" w:val="left" w:leader="none"/>
        </w:tabs>
        <w:ind w:left="252"/>
      </w:pPr>
      <w:r>
        <w:rPr/>
        <w:t>2008</w:t>
        <w:tab/>
        <w:t>2009</w:t>
        <w:tab/>
        <w:t>2010</w:t>
        <w:tab/>
        <w:t>2011</w:t>
        <w:tab/>
        <w:t>2012</w:t>
      </w:r>
    </w:p>
    <w:p>
      <w:pPr>
        <w:spacing w:before="28"/>
        <w:ind w:left="155" w:right="0" w:firstLine="0"/>
        <w:jc w:val="left"/>
        <w:rPr>
          <w:sz w:val="16"/>
        </w:rPr>
      </w:pPr>
      <w:r>
        <w:rPr>
          <w:sz w:val="16"/>
        </w:rPr>
        <w:t>Source: ONS</w:t>
      </w:r>
    </w:p>
    <w:p>
      <w:pPr>
        <w:pStyle w:val="BodyText"/>
        <w:spacing w:before="94"/>
        <w:ind w:left="156"/>
      </w:pPr>
      <w:r>
        <w:rPr/>
        <w:br w:type="column"/>
      </w:r>
      <w:r>
        <w:rPr/>
        <w:t>-2.5</w:t>
      </w:r>
    </w:p>
    <w:p>
      <w:pPr>
        <w:spacing w:before="118"/>
        <w:ind w:left="4706" w:right="0" w:firstLine="0"/>
        <w:jc w:val="left"/>
        <w:rPr>
          <w:sz w:val="20"/>
        </w:rPr>
      </w:pPr>
      <w:r>
        <w:rPr/>
        <w:br w:type="column"/>
      </w:r>
      <w:r>
        <w:rPr>
          <w:sz w:val="20"/>
        </w:rPr>
        <w:t>60</w:t>
      </w:r>
    </w:p>
    <w:p>
      <w:pPr>
        <w:pStyle w:val="BodyText"/>
        <w:spacing w:before="12"/>
        <w:ind w:left="167"/>
      </w:pPr>
      <w:r>
        <w:rPr/>
        <w:t>2003 2004 2006 2007 2008 2010 2011</w:t>
      </w:r>
    </w:p>
    <w:p>
      <w:pPr>
        <w:spacing w:before="6"/>
        <w:ind w:left="110" w:right="0" w:firstLine="0"/>
        <w:jc w:val="left"/>
        <w:rPr>
          <w:sz w:val="16"/>
        </w:rPr>
      </w:pPr>
      <w:r>
        <w:rPr>
          <w:sz w:val="16"/>
        </w:rPr>
        <w:t>Source: ONS.</w:t>
      </w:r>
    </w:p>
    <w:p>
      <w:pPr>
        <w:spacing w:after="0"/>
        <w:jc w:val="left"/>
        <w:rPr>
          <w:sz w:val="16"/>
        </w:rPr>
        <w:sectPr>
          <w:type w:val="continuous"/>
          <w:pgSz w:w="11900" w:h="16840"/>
          <w:pgMar w:top="900" w:bottom="280" w:left="660" w:right="540"/>
          <w:cols w:num="3" w:equalWidth="0">
            <w:col w:w="4294" w:space="457"/>
            <w:col w:w="501" w:space="39"/>
            <w:col w:w="5409"/>
          </w:cols>
        </w:sectPr>
      </w:pPr>
    </w:p>
    <w:p>
      <w:pPr>
        <w:pStyle w:val="ListParagraph"/>
        <w:numPr>
          <w:ilvl w:val="0"/>
          <w:numId w:val="2"/>
        </w:numPr>
        <w:tabs>
          <w:tab w:pos="5763" w:val="left" w:leader="none"/>
        </w:tabs>
        <w:spacing w:line="240" w:lineRule="auto" w:before="138" w:after="0"/>
        <w:ind w:left="5762" w:right="0" w:hanging="361"/>
        <w:jc w:val="left"/>
        <w:rPr>
          <w:sz w:val="16"/>
        </w:rPr>
      </w:pPr>
      <w:r>
        <w:rPr>
          <w:sz w:val="16"/>
        </w:rPr>
        <w:t>Pre-crisis trend estimated as average growth from</w:t>
      </w:r>
      <w:r>
        <w:rPr>
          <w:spacing w:val="-2"/>
          <w:sz w:val="16"/>
        </w:rPr>
        <w:t> </w:t>
      </w:r>
      <w:r>
        <w:rPr>
          <w:sz w:val="16"/>
        </w:rPr>
        <w:t>1998-2007.</w:t>
      </w:r>
    </w:p>
    <w:p>
      <w:pPr>
        <w:pStyle w:val="BodyText"/>
      </w:pPr>
    </w:p>
    <w:p>
      <w:pPr>
        <w:pStyle w:val="BodyText"/>
      </w:pPr>
    </w:p>
    <w:p>
      <w:pPr>
        <w:pStyle w:val="BodyText"/>
        <w:spacing w:before="1"/>
        <w:rPr>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4"/>
        <w:gridCol w:w="467"/>
        <w:gridCol w:w="4534"/>
        <w:gridCol w:w="343"/>
      </w:tblGrid>
      <w:tr>
        <w:trPr>
          <w:trHeight w:val="263" w:hRule="atLeast"/>
        </w:trPr>
        <w:tc>
          <w:tcPr>
            <w:tcW w:w="4714" w:type="dxa"/>
          </w:tcPr>
          <w:p>
            <w:pPr>
              <w:pStyle w:val="TableParagraph"/>
              <w:spacing w:line="224" w:lineRule="exact"/>
              <w:ind w:left="50"/>
              <w:rPr>
                <w:b/>
                <w:sz w:val="20"/>
              </w:rPr>
            </w:pPr>
            <w:r>
              <w:rPr>
                <w:b/>
                <w:sz w:val="20"/>
              </w:rPr>
              <w:t>Chart 3: Household net debt to income</w:t>
            </w:r>
          </w:p>
        </w:tc>
        <w:tc>
          <w:tcPr>
            <w:tcW w:w="467" w:type="dxa"/>
          </w:tcPr>
          <w:p>
            <w:pPr>
              <w:pStyle w:val="TableParagraph"/>
              <w:rPr>
                <w:rFonts w:ascii="Times New Roman"/>
                <w:sz w:val="18"/>
              </w:rPr>
            </w:pPr>
          </w:p>
        </w:tc>
        <w:tc>
          <w:tcPr>
            <w:tcW w:w="4534" w:type="dxa"/>
          </w:tcPr>
          <w:p>
            <w:pPr>
              <w:pStyle w:val="TableParagraph"/>
              <w:spacing w:line="224" w:lineRule="exact"/>
              <w:ind w:left="115"/>
              <w:rPr>
                <w:b/>
                <w:sz w:val="20"/>
              </w:rPr>
            </w:pPr>
            <w:r>
              <w:rPr>
                <w:b/>
                <w:sz w:val="20"/>
              </w:rPr>
              <w:t>Chart 4: UK Bank Rate</w:t>
            </w:r>
          </w:p>
        </w:tc>
        <w:tc>
          <w:tcPr>
            <w:tcW w:w="343" w:type="dxa"/>
          </w:tcPr>
          <w:p>
            <w:pPr>
              <w:pStyle w:val="TableParagraph"/>
              <w:rPr>
                <w:rFonts w:ascii="Times New Roman"/>
                <w:sz w:val="18"/>
              </w:rPr>
            </w:pPr>
          </w:p>
        </w:tc>
      </w:tr>
      <w:tr>
        <w:trPr>
          <w:trHeight w:val="547" w:hRule="atLeast"/>
        </w:trPr>
        <w:tc>
          <w:tcPr>
            <w:tcW w:w="4714" w:type="dxa"/>
          </w:tcPr>
          <w:p>
            <w:pPr>
              <w:pStyle w:val="TableParagraph"/>
              <w:tabs>
                <w:tab w:pos="4229" w:val="left" w:leader="none"/>
              </w:tabs>
              <w:spacing w:before="33"/>
              <w:ind w:left="193"/>
              <w:rPr>
                <w:sz w:val="20"/>
              </w:rPr>
            </w:pPr>
            <w:r>
              <w:rPr>
                <w:sz w:val="20"/>
              </w:rPr>
              <w:t>£</w:t>
            </w:r>
            <w:r>
              <w:rPr>
                <w:spacing w:val="-4"/>
                <w:sz w:val="20"/>
              </w:rPr>
              <w:t> </w:t>
            </w:r>
            <w:r>
              <w:rPr>
                <w:sz w:val="20"/>
              </w:rPr>
              <w:t>billion</w:t>
              <w:tab/>
              <w:t>Ratio</w:t>
            </w:r>
          </w:p>
          <w:p>
            <w:pPr>
              <w:pStyle w:val="TableParagraph"/>
              <w:spacing w:line="228" w:lineRule="exact" w:before="36"/>
              <w:ind w:left="173"/>
              <w:rPr>
                <w:sz w:val="20"/>
              </w:rPr>
            </w:pPr>
            <w:r>
              <w:rPr>
                <w:sz w:val="20"/>
              </w:rPr>
              <w:t>1800</w:t>
            </w:r>
          </w:p>
        </w:tc>
        <w:tc>
          <w:tcPr>
            <w:tcW w:w="467" w:type="dxa"/>
          </w:tcPr>
          <w:p>
            <w:pPr>
              <w:pStyle w:val="TableParagraph"/>
              <w:rPr>
                <w:sz w:val="26"/>
              </w:rPr>
            </w:pPr>
          </w:p>
          <w:p>
            <w:pPr>
              <w:pStyle w:val="TableParagraph"/>
              <w:spacing w:line="228" w:lineRule="exact"/>
              <w:ind w:left="17"/>
              <w:rPr>
                <w:sz w:val="20"/>
              </w:rPr>
            </w:pPr>
            <w:r>
              <w:rPr>
                <w:sz w:val="20"/>
              </w:rPr>
              <w:t>180</w:t>
            </w:r>
          </w:p>
        </w:tc>
        <w:tc>
          <w:tcPr>
            <w:tcW w:w="4534" w:type="dxa"/>
          </w:tcPr>
          <w:p>
            <w:pPr>
              <w:pStyle w:val="TableParagraph"/>
              <w:spacing w:before="124"/>
              <w:ind w:right="12"/>
              <w:jc w:val="right"/>
              <w:rPr>
                <w:sz w:val="20"/>
              </w:rPr>
            </w:pPr>
            <w:r>
              <w:rPr>
                <w:sz w:val="20"/>
              </w:rPr>
              <w:t>Per cent</w:t>
            </w:r>
          </w:p>
        </w:tc>
        <w:tc>
          <w:tcPr>
            <w:tcW w:w="343" w:type="dxa"/>
          </w:tcPr>
          <w:p>
            <w:pPr>
              <w:pStyle w:val="TableParagraph"/>
              <w:spacing w:before="10"/>
              <w:rPr>
                <w:sz w:val="21"/>
              </w:rPr>
            </w:pPr>
          </w:p>
          <w:p>
            <w:pPr>
              <w:pStyle w:val="TableParagraph"/>
              <w:ind w:right="34"/>
              <w:jc w:val="center"/>
              <w:rPr>
                <w:sz w:val="20"/>
              </w:rPr>
            </w:pPr>
            <w:r>
              <w:rPr>
                <w:sz w:val="20"/>
              </w:rPr>
              <w:t>6.0</w:t>
            </w:r>
          </w:p>
        </w:tc>
      </w:tr>
      <w:tr>
        <w:trPr>
          <w:trHeight w:val="592" w:hRule="atLeast"/>
        </w:trPr>
        <w:tc>
          <w:tcPr>
            <w:tcW w:w="4714" w:type="dxa"/>
          </w:tcPr>
          <w:p>
            <w:pPr>
              <w:pStyle w:val="TableParagraph"/>
              <w:tabs>
                <w:tab w:pos="1438" w:val="left" w:leader="none"/>
              </w:tabs>
              <w:spacing w:before="81"/>
              <w:ind w:left="173"/>
              <w:rPr>
                <w:sz w:val="20"/>
              </w:rPr>
            </w:pPr>
            <w:r>
              <w:rPr>
                <w:position w:val="-7"/>
                <w:sz w:val="20"/>
              </w:rPr>
              <w:t>1600</w:t>
              <w:tab/>
            </w:r>
            <w:r>
              <w:rPr>
                <w:sz w:val="20"/>
              </w:rPr>
              <w:t>Net debt</w:t>
            </w:r>
            <w:r>
              <w:rPr>
                <w:spacing w:val="-4"/>
                <w:sz w:val="20"/>
              </w:rPr>
              <w:t> </w:t>
            </w:r>
            <w:r>
              <w:rPr>
                <w:sz w:val="20"/>
              </w:rPr>
              <w:t>(LHS)</w:t>
            </w:r>
          </w:p>
        </w:tc>
        <w:tc>
          <w:tcPr>
            <w:tcW w:w="467" w:type="dxa"/>
          </w:tcPr>
          <w:p>
            <w:pPr>
              <w:pStyle w:val="TableParagraph"/>
              <w:spacing w:before="2"/>
              <w:rPr>
                <w:sz w:val="32"/>
              </w:rPr>
            </w:pPr>
          </w:p>
          <w:p>
            <w:pPr>
              <w:pStyle w:val="TableParagraph"/>
              <w:spacing w:line="201" w:lineRule="exact" w:before="1"/>
              <w:ind w:left="17"/>
              <w:rPr>
                <w:sz w:val="20"/>
              </w:rPr>
            </w:pPr>
            <w:r>
              <w:rPr>
                <w:sz w:val="20"/>
              </w:rPr>
              <w:t>160</w:t>
            </w:r>
          </w:p>
        </w:tc>
        <w:tc>
          <w:tcPr>
            <w:tcW w:w="4534" w:type="dxa"/>
          </w:tcPr>
          <w:p>
            <w:pPr>
              <w:pStyle w:val="TableParagraph"/>
              <w:rPr>
                <w:rFonts w:ascii="Times New Roman"/>
                <w:sz w:val="18"/>
              </w:rPr>
            </w:pPr>
          </w:p>
        </w:tc>
        <w:tc>
          <w:tcPr>
            <w:tcW w:w="343" w:type="dxa"/>
          </w:tcPr>
          <w:p>
            <w:pPr>
              <w:pStyle w:val="TableParagraph"/>
              <w:spacing w:before="12"/>
              <w:ind w:left="14"/>
              <w:rPr>
                <w:sz w:val="20"/>
              </w:rPr>
            </w:pPr>
            <w:r>
              <w:rPr>
                <w:sz w:val="20"/>
              </w:rPr>
              <w:t>5.5</w:t>
            </w:r>
          </w:p>
          <w:p>
            <w:pPr>
              <w:pStyle w:val="TableParagraph"/>
              <w:spacing w:before="77"/>
              <w:ind w:left="14"/>
              <w:rPr>
                <w:sz w:val="20"/>
              </w:rPr>
            </w:pPr>
            <w:r>
              <w:rPr>
                <w:sz w:val="20"/>
              </w:rPr>
              <w:t>5.0</w:t>
            </w:r>
          </w:p>
        </w:tc>
      </w:tr>
      <w:tr>
        <w:trPr>
          <w:trHeight w:val="307" w:hRule="atLeast"/>
        </w:trPr>
        <w:tc>
          <w:tcPr>
            <w:tcW w:w="4714" w:type="dxa"/>
          </w:tcPr>
          <w:p>
            <w:pPr>
              <w:pStyle w:val="TableParagraph"/>
              <w:tabs>
                <w:tab w:pos="1438" w:val="left" w:leader="none"/>
              </w:tabs>
              <w:spacing w:line="288" w:lineRule="exact"/>
              <w:ind w:left="173"/>
              <w:rPr>
                <w:sz w:val="20"/>
              </w:rPr>
            </w:pPr>
            <w:r>
              <w:rPr>
                <w:position w:val="12"/>
                <w:sz w:val="20"/>
              </w:rPr>
              <w:t>1400</w:t>
              <w:tab/>
            </w:r>
            <w:r>
              <w:rPr>
                <w:sz w:val="20"/>
              </w:rPr>
              <w:t>Net debt to</w:t>
            </w:r>
            <w:r>
              <w:rPr>
                <w:spacing w:val="-4"/>
                <w:sz w:val="20"/>
              </w:rPr>
              <w:t> </w:t>
            </w:r>
            <w:r>
              <w:rPr>
                <w:sz w:val="20"/>
              </w:rPr>
              <w:t>income</w:t>
            </w:r>
          </w:p>
        </w:tc>
        <w:tc>
          <w:tcPr>
            <w:tcW w:w="467" w:type="dxa"/>
          </w:tcPr>
          <w:p>
            <w:pPr>
              <w:pStyle w:val="TableParagraph"/>
              <w:rPr>
                <w:rFonts w:ascii="Times New Roman"/>
                <w:sz w:val="18"/>
              </w:rPr>
            </w:pPr>
          </w:p>
        </w:tc>
        <w:tc>
          <w:tcPr>
            <w:tcW w:w="4534" w:type="dxa"/>
          </w:tcPr>
          <w:p>
            <w:pPr>
              <w:pStyle w:val="TableParagraph"/>
              <w:rPr>
                <w:rFonts w:ascii="Times New Roman"/>
                <w:sz w:val="18"/>
              </w:rPr>
            </w:pPr>
          </w:p>
        </w:tc>
        <w:tc>
          <w:tcPr>
            <w:tcW w:w="343" w:type="dxa"/>
          </w:tcPr>
          <w:p>
            <w:pPr>
              <w:pStyle w:val="TableParagraph"/>
              <w:spacing w:before="35"/>
              <w:ind w:right="34"/>
              <w:jc w:val="center"/>
              <w:rPr>
                <w:sz w:val="20"/>
              </w:rPr>
            </w:pPr>
            <w:r>
              <w:rPr>
                <w:sz w:val="20"/>
              </w:rPr>
              <w:t>4.5</w:t>
            </w:r>
          </w:p>
        </w:tc>
      </w:tr>
      <w:tr>
        <w:trPr>
          <w:trHeight w:val="335" w:hRule="atLeast"/>
        </w:trPr>
        <w:tc>
          <w:tcPr>
            <w:tcW w:w="4714" w:type="dxa"/>
          </w:tcPr>
          <w:p>
            <w:pPr>
              <w:pStyle w:val="TableParagraph"/>
              <w:tabs>
                <w:tab w:pos="1438" w:val="left" w:leader="none"/>
              </w:tabs>
              <w:spacing w:line="228" w:lineRule="auto" w:before="36"/>
              <w:ind w:left="173"/>
              <w:rPr>
                <w:sz w:val="20"/>
              </w:rPr>
            </w:pPr>
            <w:r>
              <w:rPr>
                <w:position w:val="-5"/>
                <w:sz w:val="20"/>
              </w:rPr>
              <w:t>1200</w:t>
              <w:tab/>
            </w:r>
            <w:r>
              <w:rPr>
                <w:sz w:val="20"/>
              </w:rPr>
              <w:t>(RHS)</w:t>
            </w:r>
          </w:p>
        </w:tc>
        <w:tc>
          <w:tcPr>
            <w:tcW w:w="467" w:type="dxa"/>
          </w:tcPr>
          <w:p>
            <w:pPr>
              <w:pStyle w:val="TableParagraph"/>
              <w:spacing w:line="225" w:lineRule="exact" w:before="90"/>
              <w:ind w:left="17"/>
              <w:rPr>
                <w:sz w:val="20"/>
              </w:rPr>
            </w:pPr>
            <w:r>
              <w:rPr>
                <w:sz w:val="20"/>
              </w:rPr>
              <w:t>140</w:t>
            </w:r>
          </w:p>
        </w:tc>
        <w:tc>
          <w:tcPr>
            <w:tcW w:w="4534" w:type="dxa"/>
          </w:tcPr>
          <w:p>
            <w:pPr>
              <w:pStyle w:val="TableParagraph"/>
              <w:rPr>
                <w:rFonts w:ascii="Times New Roman"/>
                <w:sz w:val="18"/>
              </w:rPr>
            </w:pPr>
          </w:p>
        </w:tc>
        <w:tc>
          <w:tcPr>
            <w:tcW w:w="343" w:type="dxa"/>
          </w:tcPr>
          <w:p>
            <w:pPr>
              <w:pStyle w:val="TableParagraph"/>
              <w:spacing w:before="36"/>
              <w:ind w:right="34"/>
              <w:jc w:val="center"/>
              <w:rPr>
                <w:sz w:val="20"/>
              </w:rPr>
            </w:pPr>
            <w:r>
              <w:rPr>
                <w:sz w:val="20"/>
              </w:rPr>
              <w:t>4.0</w:t>
            </w:r>
          </w:p>
        </w:tc>
      </w:tr>
      <w:tr>
        <w:trPr>
          <w:trHeight w:val="595" w:hRule="atLeast"/>
        </w:trPr>
        <w:tc>
          <w:tcPr>
            <w:tcW w:w="4714" w:type="dxa"/>
          </w:tcPr>
          <w:p>
            <w:pPr>
              <w:pStyle w:val="TableParagraph"/>
              <w:spacing w:before="167"/>
              <w:ind w:left="173"/>
              <w:rPr>
                <w:sz w:val="20"/>
              </w:rPr>
            </w:pPr>
            <w:r>
              <w:rPr>
                <w:sz w:val="20"/>
              </w:rPr>
              <w:t>1000</w:t>
            </w:r>
          </w:p>
        </w:tc>
        <w:tc>
          <w:tcPr>
            <w:tcW w:w="467" w:type="dxa"/>
          </w:tcPr>
          <w:p>
            <w:pPr>
              <w:pStyle w:val="TableParagraph"/>
              <w:spacing w:before="5"/>
              <w:rPr>
                <w:sz w:val="32"/>
              </w:rPr>
            </w:pPr>
          </w:p>
          <w:p>
            <w:pPr>
              <w:pStyle w:val="TableParagraph"/>
              <w:spacing w:line="201" w:lineRule="exact" w:before="1"/>
              <w:ind w:left="17"/>
              <w:rPr>
                <w:sz w:val="20"/>
              </w:rPr>
            </w:pPr>
            <w:r>
              <w:rPr>
                <w:sz w:val="20"/>
              </w:rPr>
              <w:t>120</w:t>
            </w:r>
          </w:p>
        </w:tc>
        <w:tc>
          <w:tcPr>
            <w:tcW w:w="4534" w:type="dxa"/>
          </w:tcPr>
          <w:p>
            <w:pPr>
              <w:pStyle w:val="TableParagraph"/>
              <w:rPr>
                <w:rFonts w:ascii="Times New Roman"/>
                <w:sz w:val="18"/>
              </w:rPr>
            </w:pPr>
          </w:p>
        </w:tc>
        <w:tc>
          <w:tcPr>
            <w:tcW w:w="343" w:type="dxa"/>
          </w:tcPr>
          <w:p>
            <w:pPr>
              <w:pStyle w:val="TableParagraph"/>
              <w:spacing w:before="9"/>
              <w:ind w:left="14"/>
              <w:rPr>
                <w:sz w:val="20"/>
              </w:rPr>
            </w:pPr>
            <w:r>
              <w:rPr>
                <w:sz w:val="20"/>
              </w:rPr>
              <w:t>3.5</w:t>
            </w:r>
          </w:p>
          <w:p>
            <w:pPr>
              <w:pStyle w:val="TableParagraph"/>
              <w:spacing w:before="77"/>
              <w:ind w:left="14"/>
              <w:rPr>
                <w:sz w:val="20"/>
              </w:rPr>
            </w:pPr>
            <w:r>
              <w:rPr>
                <w:sz w:val="20"/>
              </w:rPr>
              <w:t>3.0</w:t>
            </w:r>
          </w:p>
        </w:tc>
      </w:tr>
      <w:tr>
        <w:trPr>
          <w:trHeight w:val="301" w:hRule="atLeast"/>
        </w:trPr>
        <w:tc>
          <w:tcPr>
            <w:tcW w:w="4714" w:type="dxa"/>
          </w:tcPr>
          <w:p>
            <w:pPr>
              <w:pStyle w:val="TableParagraph"/>
              <w:spacing w:line="215" w:lineRule="exact"/>
              <w:ind w:left="285"/>
              <w:rPr>
                <w:sz w:val="20"/>
              </w:rPr>
            </w:pPr>
            <w:r>
              <w:rPr>
                <w:sz w:val="20"/>
              </w:rPr>
              <w:t>800</w:t>
            </w:r>
          </w:p>
        </w:tc>
        <w:tc>
          <w:tcPr>
            <w:tcW w:w="467" w:type="dxa"/>
          </w:tcPr>
          <w:p>
            <w:pPr>
              <w:pStyle w:val="TableParagraph"/>
              <w:rPr>
                <w:rFonts w:ascii="Times New Roman"/>
                <w:sz w:val="18"/>
              </w:rPr>
            </w:pPr>
          </w:p>
        </w:tc>
        <w:tc>
          <w:tcPr>
            <w:tcW w:w="4534" w:type="dxa"/>
          </w:tcPr>
          <w:p>
            <w:pPr>
              <w:pStyle w:val="TableParagraph"/>
              <w:rPr>
                <w:rFonts w:ascii="Times New Roman"/>
                <w:sz w:val="18"/>
              </w:rPr>
            </w:pPr>
          </w:p>
        </w:tc>
        <w:tc>
          <w:tcPr>
            <w:tcW w:w="343" w:type="dxa"/>
          </w:tcPr>
          <w:p>
            <w:pPr>
              <w:pStyle w:val="TableParagraph"/>
              <w:spacing w:before="29"/>
              <w:ind w:right="34"/>
              <w:jc w:val="center"/>
              <w:rPr>
                <w:sz w:val="20"/>
              </w:rPr>
            </w:pPr>
            <w:r>
              <w:rPr>
                <w:sz w:val="20"/>
              </w:rPr>
              <w:t>2.5</w:t>
            </w:r>
          </w:p>
        </w:tc>
      </w:tr>
      <w:tr>
        <w:trPr>
          <w:trHeight w:val="337" w:hRule="atLeast"/>
        </w:trPr>
        <w:tc>
          <w:tcPr>
            <w:tcW w:w="4714" w:type="dxa"/>
          </w:tcPr>
          <w:p>
            <w:pPr>
              <w:pStyle w:val="TableParagraph"/>
              <w:spacing w:line="222" w:lineRule="exact" w:before="96"/>
              <w:ind w:left="285"/>
              <w:rPr>
                <w:sz w:val="20"/>
              </w:rPr>
            </w:pPr>
            <w:r>
              <w:rPr>
                <w:sz w:val="20"/>
              </w:rPr>
              <w:t>600</w:t>
            </w:r>
          </w:p>
        </w:tc>
        <w:tc>
          <w:tcPr>
            <w:tcW w:w="467" w:type="dxa"/>
          </w:tcPr>
          <w:p>
            <w:pPr>
              <w:pStyle w:val="TableParagraph"/>
              <w:spacing w:line="222" w:lineRule="exact" w:before="96"/>
              <w:ind w:left="17"/>
              <w:rPr>
                <w:sz w:val="20"/>
              </w:rPr>
            </w:pPr>
            <w:r>
              <w:rPr>
                <w:sz w:val="20"/>
              </w:rPr>
              <w:t>100</w:t>
            </w:r>
          </w:p>
        </w:tc>
        <w:tc>
          <w:tcPr>
            <w:tcW w:w="4534" w:type="dxa"/>
          </w:tcPr>
          <w:p>
            <w:pPr>
              <w:pStyle w:val="TableParagraph"/>
              <w:rPr>
                <w:rFonts w:ascii="Times New Roman"/>
                <w:sz w:val="18"/>
              </w:rPr>
            </w:pPr>
          </w:p>
        </w:tc>
        <w:tc>
          <w:tcPr>
            <w:tcW w:w="343" w:type="dxa"/>
          </w:tcPr>
          <w:p>
            <w:pPr>
              <w:pStyle w:val="TableParagraph"/>
              <w:spacing w:before="36"/>
              <w:ind w:right="34"/>
              <w:jc w:val="center"/>
              <w:rPr>
                <w:sz w:val="20"/>
              </w:rPr>
            </w:pPr>
            <w:r>
              <w:rPr>
                <w:sz w:val="20"/>
              </w:rPr>
              <w:t>2.0</w:t>
            </w:r>
          </w:p>
        </w:tc>
      </w:tr>
      <w:tr>
        <w:trPr>
          <w:trHeight w:val="598" w:hRule="atLeast"/>
        </w:trPr>
        <w:tc>
          <w:tcPr>
            <w:tcW w:w="4714" w:type="dxa"/>
          </w:tcPr>
          <w:p>
            <w:pPr>
              <w:pStyle w:val="TableParagraph"/>
              <w:spacing w:before="171"/>
              <w:ind w:left="285"/>
              <w:rPr>
                <w:sz w:val="20"/>
              </w:rPr>
            </w:pPr>
            <w:r>
              <w:rPr>
                <w:sz w:val="20"/>
              </w:rPr>
              <w:t>400</w:t>
            </w:r>
          </w:p>
        </w:tc>
        <w:tc>
          <w:tcPr>
            <w:tcW w:w="467" w:type="dxa"/>
          </w:tcPr>
          <w:p>
            <w:pPr>
              <w:pStyle w:val="TableParagraph"/>
              <w:spacing w:before="9"/>
              <w:rPr>
                <w:sz w:val="32"/>
              </w:rPr>
            </w:pPr>
          </w:p>
          <w:p>
            <w:pPr>
              <w:pStyle w:val="TableParagraph"/>
              <w:spacing w:line="201" w:lineRule="exact"/>
              <w:ind w:left="17"/>
              <w:rPr>
                <w:sz w:val="20"/>
              </w:rPr>
            </w:pPr>
            <w:r>
              <w:rPr>
                <w:sz w:val="20"/>
              </w:rPr>
              <w:t>80</w:t>
            </w:r>
          </w:p>
        </w:tc>
        <w:tc>
          <w:tcPr>
            <w:tcW w:w="4534" w:type="dxa"/>
          </w:tcPr>
          <w:p>
            <w:pPr>
              <w:pStyle w:val="TableParagraph"/>
              <w:rPr>
                <w:rFonts w:ascii="Times New Roman"/>
                <w:sz w:val="18"/>
              </w:rPr>
            </w:pPr>
          </w:p>
        </w:tc>
        <w:tc>
          <w:tcPr>
            <w:tcW w:w="343" w:type="dxa"/>
          </w:tcPr>
          <w:p>
            <w:pPr>
              <w:pStyle w:val="TableParagraph"/>
              <w:spacing w:before="5"/>
              <w:ind w:left="14"/>
              <w:rPr>
                <w:sz w:val="20"/>
              </w:rPr>
            </w:pPr>
            <w:r>
              <w:rPr>
                <w:sz w:val="20"/>
              </w:rPr>
              <w:t>1.5</w:t>
            </w:r>
          </w:p>
          <w:p>
            <w:pPr>
              <w:pStyle w:val="TableParagraph"/>
              <w:spacing w:before="79"/>
              <w:ind w:left="14"/>
              <w:rPr>
                <w:sz w:val="20"/>
              </w:rPr>
            </w:pPr>
            <w:r>
              <w:rPr>
                <w:sz w:val="20"/>
              </w:rPr>
              <w:t>1.0</w:t>
            </w:r>
          </w:p>
        </w:tc>
      </w:tr>
      <w:tr>
        <w:trPr>
          <w:trHeight w:val="295" w:hRule="atLeast"/>
        </w:trPr>
        <w:tc>
          <w:tcPr>
            <w:tcW w:w="4714" w:type="dxa"/>
          </w:tcPr>
          <w:p>
            <w:pPr>
              <w:pStyle w:val="TableParagraph"/>
              <w:spacing w:line="215" w:lineRule="exact"/>
              <w:ind w:left="285"/>
              <w:rPr>
                <w:sz w:val="20"/>
              </w:rPr>
            </w:pPr>
            <w:r>
              <w:rPr>
                <w:sz w:val="20"/>
              </w:rPr>
              <w:t>200</w:t>
            </w:r>
          </w:p>
        </w:tc>
        <w:tc>
          <w:tcPr>
            <w:tcW w:w="467" w:type="dxa"/>
          </w:tcPr>
          <w:p>
            <w:pPr>
              <w:pStyle w:val="TableParagraph"/>
              <w:rPr>
                <w:rFonts w:ascii="Times New Roman"/>
                <w:sz w:val="18"/>
              </w:rPr>
            </w:pPr>
          </w:p>
        </w:tc>
        <w:tc>
          <w:tcPr>
            <w:tcW w:w="4534" w:type="dxa"/>
          </w:tcPr>
          <w:p>
            <w:pPr>
              <w:pStyle w:val="TableParagraph"/>
              <w:rPr>
                <w:rFonts w:ascii="Times New Roman"/>
                <w:sz w:val="18"/>
              </w:rPr>
            </w:pPr>
          </w:p>
        </w:tc>
        <w:tc>
          <w:tcPr>
            <w:tcW w:w="343" w:type="dxa"/>
          </w:tcPr>
          <w:p>
            <w:pPr>
              <w:pStyle w:val="TableParagraph"/>
              <w:spacing w:before="23"/>
              <w:ind w:right="34"/>
              <w:jc w:val="center"/>
              <w:rPr>
                <w:sz w:val="20"/>
              </w:rPr>
            </w:pPr>
            <w:r>
              <w:rPr>
                <w:sz w:val="20"/>
              </w:rPr>
              <w:t>0.5</w:t>
            </w:r>
          </w:p>
        </w:tc>
      </w:tr>
      <w:tr>
        <w:trPr>
          <w:trHeight w:val="573" w:hRule="atLeast"/>
        </w:trPr>
        <w:tc>
          <w:tcPr>
            <w:tcW w:w="4714" w:type="dxa"/>
          </w:tcPr>
          <w:p>
            <w:pPr>
              <w:pStyle w:val="TableParagraph"/>
              <w:spacing w:before="102"/>
              <w:ind w:left="508"/>
              <w:rPr>
                <w:sz w:val="20"/>
              </w:rPr>
            </w:pPr>
            <w:r>
              <w:rPr>
                <w:w w:val="100"/>
                <w:sz w:val="20"/>
              </w:rPr>
              <w:t>0</w:t>
            </w:r>
          </w:p>
          <w:p>
            <w:pPr>
              <w:pStyle w:val="TableParagraph"/>
              <w:spacing w:line="210" w:lineRule="exact" w:before="11"/>
              <w:ind w:left="575"/>
              <w:rPr>
                <w:sz w:val="20"/>
              </w:rPr>
            </w:pPr>
            <w:r>
              <w:rPr>
                <w:sz w:val="20"/>
              </w:rPr>
              <w:t>1990 1993 1996 2000 2003 2006 2010</w:t>
            </w:r>
          </w:p>
        </w:tc>
        <w:tc>
          <w:tcPr>
            <w:tcW w:w="467" w:type="dxa"/>
          </w:tcPr>
          <w:p>
            <w:pPr>
              <w:pStyle w:val="TableParagraph"/>
              <w:spacing w:before="102"/>
              <w:ind w:left="17"/>
              <w:rPr>
                <w:sz w:val="20"/>
              </w:rPr>
            </w:pPr>
            <w:r>
              <w:rPr>
                <w:sz w:val="20"/>
              </w:rPr>
              <w:t>60</w:t>
            </w:r>
          </w:p>
        </w:tc>
        <w:tc>
          <w:tcPr>
            <w:tcW w:w="4534" w:type="dxa"/>
          </w:tcPr>
          <w:p>
            <w:pPr>
              <w:pStyle w:val="TableParagraph"/>
              <w:spacing w:before="1"/>
              <w:rPr>
                <w:sz w:val="24"/>
              </w:rPr>
            </w:pPr>
          </w:p>
          <w:p>
            <w:pPr>
              <w:pStyle w:val="TableParagraph"/>
              <w:tabs>
                <w:tab w:pos="964" w:val="left" w:leader="none"/>
                <w:tab w:pos="1929" w:val="left" w:leader="none"/>
                <w:tab w:pos="2893" w:val="left" w:leader="none"/>
                <w:tab w:pos="3858" w:val="left" w:leader="none"/>
              </w:tabs>
              <w:ind w:right="74"/>
              <w:jc w:val="right"/>
              <w:rPr>
                <w:sz w:val="20"/>
              </w:rPr>
            </w:pPr>
            <w:r>
              <w:rPr>
                <w:sz w:val="20"/>
              </w:rPr>
              <w:t>2005</w:t>
              <w:tab/>
              <w:t>2007</w:t>
              <w:tab/>
              <w:t>2009</w:t>
              <w:tab/>
              <w:t>2011</w:t>
              <w:tab/>
              <w:t>2013</w:t>
            </w:r>
          </w:p>
        </w:tc>
        <w:tc>
          <w:tcPr>
            <w:tcW w:w="343" w:type="dxa"/>
          </w:tcPr>
          <w:p>
            <w:pPr>
              <w:pStyle w:val="TableParagraph"/>
              <w:spacing w:before="36"/>
              <w:ind w:right="34"/>
              <w:jc w:val="center"/>
              <w:rPr>
                <w:sz w:val="20"/>
              </w:rPr>
            </w:pPr>
            <w:r>
              <w:rPr>
                <w:sz w:val="20"/>
              </w:rPr>
              <w:t>0.0</w:t>
            </w:r>
          </w:p>
        </w:tc>
      </w:tr>
    </w:tbl>
    <w:p>
      <w:pPr>
        <w:pStyle w:val="BodyText"/>
        <w:spacing w:before="1"/>
        <w:rPr>
          <w:sz w:val="6"/>
        </w:rPr>
      </w:pPr>
    </w:p>
    <w:p>
      <w:pPr>
        <w:spacing w:after="0"/>
        <w:rPr>
          <w:sz w:val="6"/>
        </w:rPr>
        <w:sectPr>
          <w:type w:val="continuous"/>
          <w:pgSz w:w="11900" w:h="16840"/>
          <w:pgMar w:top="900" w:bottom="280" w:left="660" w:right="540"/>
        </w:sectPr>
      </w:pPr>
    </w:p>
    <w:p>
      <w:pPr>
        <w:spacing w:before="77"/>
        <w:ind w:left="155" w:right="0" w:firstLine="0"/>
        <w:jc w:val="left"/>
        <w:rPr>
          <w:sz w:val="16"/>
        </w:rPr>
      </w:pPr>
      <w:r>
        <w:rPr/>
        <w:pict>
          <v:group style="position:absolute;margin-left:74.879997pt;margin-top:-206.865784pt;width:194.4pt;height:185.95pt;mso-position-horizontal-relative:page;mso-position-vertical-relative:paragraph;z-index:-252522496" coordorigin="1498,-4137" coordsize="3888,3719">
            <v:line style="position:absolute" from="5326,-4135" to="5326,-421" stroked="true" strokeweight=".23999pt" strokecolor="#000000">
              <v:stroke dashstyle="solid"/>
            </v:line>
            <v:shape style="position:absolute;left:5325;top:-4138;width:60;height:3719" coordorigin="5326,-4137" coordsize="60,3719" path="m5386,-423l5326,-423,5326,-419,5386,-419,5386,-423m5386,-1043l5326,-1043,5326,-1038,5386,-1038,5386,-1043m5386,-1662l5326,-1662,5326,-1657,5386,-1657,5386,-1662m5386,-2280l5326,-2280,5326,-2275,5386,-2275,5386,-2280m5386,-2899l5326,-2899,5326,-2894,5386,-2894,5386,-2899m5386,-3518l5326,-3518,5326,-3513,5386,-3513,5386,-3518m5386,-4137l5326,-4137,5326,-4133,5386,-4133,5386,-4137e" filled="true" fillcolor="#000000" stroked="false">
              <v:path arrowok="t"/>
              <v:fill type="solid"/>
            </v:shape>
            <v:line style="position:absolute" from="1558,-4135" to="1558,-421" stroked="true" strokeweight=".24001pt" strokecolor="#000000">
              <v:stroke dashstyle="solid"/>
            </v:line>
            <v:shape style="position:absolute;left:1497;top:-4138;width:60;height:3719" coordorigin="1498,-4137" coordsize="60,3719" path="m1558,-423l1498,-423,1498,-419,1558,-419,1558,-423m1558,-836l1498,-836,1498,-831,1558,-831,1558,-836m1558,-1249l1498,-1249,1498,-1244,1558,-1244,1558,-1249m1558,-1662l1498,-1662,1498,-1657,1558,-1657,1558,-1662m1558,-2073l1498,-2073,1498,-2069,1558,-2069,1558,-2073m1558,-2486l1498,-2486,1498,-2481,1558,-2481,1558,-2486m1558,-2899l1498,-2899,1498,-2894,1558,-2894,1558,-2899m1558,-3312l1498,-3312,1498,-3307,1558,-3307,1558,-3312m1558,-3725l1498,-3725,1498,-3720,1558,-3720,1558,-3725m1558,-4137l1498,-4137,1498,-4133,1558,-4133,1558,-4137e" filled="true" fillcolor="#000000" stroked="false">
              <v:path arrowok="t"/>
              <v:fill type="solid"/>
            </v:shape>
            <v:line style="position:absolute" from="1558,-421" to="5326,-421" stroked="true" strokeweight=".23999pt" strokecolor="#000000">
              <v:stroke dashstyle="solid"/>
            </v:line>
            <v:shape style="position:absolute;left:2104;top:-481;width:2756;height:60" coordorigin="2105,-481" coordsize="2756,60" path="m2110,-481l2105,-481,2105,-421,2110,-421,2110,-481m2660,-481l2656,-481,2656,-421,2660,-421,2660,-481m3210,-481l3205,-481,3205,-421,3210,-421,3210,-481m3760,-481l3755,-481,3755,-421,3760,-421,3760,-481m4310,-481l4306,-481,4306,-421,4310,-421,4310,-481m4860,-481l4855,-481,4855,-421,4860,-421,4860,-481e" filled="true" fillcolor="#000000" stroked="false">
              <v:path arrowok="t"/>
              <v:fill type="solid"/>
            </v:shape>
            <v:shape style="position:absolute;left:1557;top:-3783;width:3784;height:2599" type="#_x0000_t75" stroked="false">
              <v:imagedata r:id="rId10" o:title=""/>
            </v:shape>
            <v:line style="position:absolute" from="1759,-3809" to="2183,-3809" stroked="true" strokeweight="1.98pt" strokecolor="#0f0080">
              <v:stroke dashstyle="solid"/>
            </v:line>
            <w10:wrap type="none"/>
          </v:group>
        </w:pict>
      </w:r>
      <w:r>
        <w:rPr/>
        <w:pict>
          <v:group style="position:absolute;margin-left:315.059998pt;margin-top:-209.32579pt;width:204.15pt;height:185.1pt;mso-position-horizontal-relative:page;mso-position-vertical-relative:paragraph;z-index:-252521472" coordorigin="6301,-4187" coordsize="4083,3702">
            <v:line style="position:absolute" from="10324,-4184" to="10324,-487" stroked="true" strokeweight=".23999pt" strokecolor="#000000">
              <v:stroke dashstyle="solid"/>
            </v:line>
            <v:shape style="position:absolute;left:10323;top:-4187;width:60;height:3703" coordorigin="10324,-4187" coordsize="60,3703" path="m10384,-489l10324,-489,10324,-484,10384,-484,10384,-489m10384,-798l10324,-798,10324,-793,10384,-793,10384,-798m10384,-1105l10324,-1105,10324,-1100,10384,-1100,10384,-1105m10384,-1413l10324,-1413,10324,-1409,10384,-1409,10384,-1413m10384,-1722l10324,-1722,10324,-1717,10384,-1717,10384,-1722m10384,-2030l10324,-2030,10324,-2025,10384,-2025,10384,-2030m10384,-2337l10324,-2337,10324,-2333,10384,-2333,10384,-2337m10384,-2646l10324,-2646,10324,-2641,10384,-2641,10384,-2646m10384,-2954l10324,-2954,10324,-2949,10384,-2949,10384,-2954m10384,-3263l10324,-3263,10324,-3258,10384,-3258,10384,-3263m10384,-3570l10324,-3570,10324,-3565,10384,-3565,10384,-3570m10384,-3878l10324,-3878,10324,-3873,10384,-3873,10384,-3878m10384,-4187l10324,-4187,10324,-4182,10384,-4182,10384,-4187e" filled="true" fillcolor="#000000" stroked="false">
              <v:path arrowok="t"/>
              <v:fill type="solid"/>
            </v:shape>
            <v:line style="position:absolute" from="6304,-487" to="10324,-487" stroked="true" strokeweight=".24001pt" strokecolor="#000000">
              <v:stroke dashstyle="solid"/>
            </v:line>
            <v:shape style="position:absolute;left:6301;top:-547;width:3864;height:60" coordorigin="6301,-547" coordsize="3864,60" path="m6306,-547l6301,-547,6301,-487,6306,-487,6306,-547m7271,-547l7266,-547,7266,-487,7271,-487,7271,-547m8236,-547l8231,-547,8231,-487,8236,-487,8236,-547m9200,-547l9196,-547,9196,-487,9200,-487,9200,-547m10165,-547l10160,-547,10160,-487,10165,-487,10165,-547e" filled="true" fillcolor="#000000" stroked="false">
              <v:path arrowok="t"/>
              <v:fill type="solid"/>
            </v:shape>
            <v:shape style="position:absolute;left:6303;top:-4050;width:4020;height:3275" coordorigin="6304,-4050" coordsize="4020,3275" path="m8072,-3565l8113,-3257,8153,-2335,8194,-1717,8233,-1409,8274,-1100,8314,-792,8315,-782,8323,-775,10315,-775,10324,-783,10324,-798,8353,-798,8333,-815,8351,-815,8314,-1106,8273,-1415,8233,-1721,8192,-2336,8153,-3263,8115,-3548,8092,-3548,8072,-3565xm8351,-815l8333,-815,8353,-798,8351,-815xm10315,-815l8351,-815,8353,-798,10324,-798,10324,-806,10315,-815xm6546,-3408l6587,-3254,6588,-3246,6596,-3240,7056,-3240,7063,-3246,7066,-3254,7068,-3265,6624,-3265,6605,-3279,6620,-3279,6590,-3393,6564,-3393,6546,-3408xm6620,-3279l6605,-3279,6624,-3265,6620,-3279xm7032,-3279l6620,-3279,6624,-3265,7028,-3265,7032,-3279xm7152,-3433l7079,-3433,7070,-3427,7069,-3419,7028,-3265,7046,-3279,7072,-3279,7103,-3393,7087,-3393,7106,-3408,7187,-3408,7190,-3419,7148,-3419,7152,-3433xm7072,-3279l7046,-3279,7028,-3265,7068,-3265,7072,-3279xm6375,-3433l6353,-3433,6344,-3425,6344,-3402,6353,-3393,6550,-3393,6550,-3395,6374,-3395,6383,-3403,6383,-3425,6375,-3433xm6586,-3408l6546,-3408,6564,-3393,6590,-3393,6586,-3408xm7106,-3408l7087,-3393,7103,-3393,7106,-3408xm7187,-3408l7106,-3408,7103,-3393,7177,-3393,7186,-3399,7187,-3408xm6374,-3434l6313,-3434,6304,-3425,6304,-3403,6313,-3395,6352,-3395,6344,-3402,6344,-3425,6353,-3433,6375,-3433,6374,-3434xm6574,-3433l6375,-3433,6383,-3425,6383,-3403,6374,-3395,6550,-3395,6546,-3408,6586,-3408,6583,-3419,6581,-3427,6574,-3433xm7233,-3588l7199,-3588,7190,-3582,7188,-3573,7148,-3419,7168,-3433,7193,-3433,7223,-3548,7207,-3548,7226,-3563,7267,-3563,7270,-3573,7229,-3573,7233,-3588xm7193,-3433l7168,-3433,7148,-3419,7190,-3419,7193,-3433xm7226,-3563l7207,-3548,7223,-3548,7226,-3563xm7267,-3563l7226,-3563,7223,-3548,7258,-3548,7266,-3554,7267,-3563xm7832,-3716l7873,-3563,7874,-3554,7883,-3548,8075,-3548,8072,-3565,8113,-3565,8112,-3573,7910,-3573,7891,-3588,7907,-3588,7876,-3702,7850,-3702,7832,-3716xm8113,-3565l8072,-3565,8092,-3548,8115,-3548,8113,-3565xm7393,-3741l7279,-3741,7271,-3735,7268,-3727,7229,-3573,7248,-3588,7274,-3588,7303,-3702,7288,-3702,7307,-3716,7428,-3716,7431,-3727,7390,-3727,7393,-3741xm7274,-3588l7248,-3588,7229,-3573,7270,-3573,7274,-3588xm7907,-3588l7891,-3588,7910,-3573,7907,-3588xm8102,-3588l7907,-3588,7910,-3573,8112,-3573,8111,-3581,8102,-3588xm7307,-3716l7288,-3702,7303,-3702,7307,-3716xm7428,-3716l7307,-3716,7303,-3702,7418,-3702,7427,-3708,7428,-3716xm7752,-3870l7793,-3716,7794,-3708,7802,-3702,7836,-3702,7832,-3716,7872,-3716,7870,-3727,7830,-3727,7811,-3741,7826,-3741,7796,-3855,7770,-3855,7752,-3870xm7872,-3716l7832,-3716,7850,-3702,7876,-3702,7872,-3716xm7474,-3895l7440,-3895,7432,-3889,7429,-3881,7390,-3727,7409,-3741,7434,-3741,7464,-3855,7448,-3855,7468,-3870,7508,-3870,7511,-3881,7470,-3881,7474,-3895xm7434,-3741l7409,-3741,7390,-3727,7431,-3727,7434,-3741xm7826,-3741l7811,-3741,7830,-3727,7826,-3741xm7860,-3741l7826,-3741,7830,-3727,7870,-3727,7867,-3735,7860,-3741xm7468,-3870l7448,-3855,7464,-3855,7468,-3870xm7508,-3870l7468,-3870,7464,-3855,7499,-3855,7507,-3861,7508,-3870xm7672,-4025l7712,-3870,7714,-3861,7722,-3855,7756,-3855,7752,-3870,7792,-3870,7789,-3881,7750,-3881,7730,-3895,7746,-3895,7715,-4010,7690,-4010,7672,-4025xm7792,-3870l7752,-3870,7770,-3855,7796,-3855,7792,-3870xm7699,-4050l7520,-4050,7512,-4044,7510,-4035,7470,-3881,7489,-3895,7515,-3895,7544,-4010,7529,-4010,7548,-4025,7712,-4025,7709,-4035,7708,-4044,7699,-4050xm7515,-3895l7489,-3895,7470,-3881,7511,-3881,7515,-3895xm7746,-3895l7730,-3895,7750,-3881,7746,-3895xm7780,-3895l7746,-3895,7750,-3881,7789,-3881,7787,-3889,7780,-3895xm7548,-4025l7529,-4010,7544,-4010,7548,-4025xm7672,-4025l7548,-4025,7544,-4010,7675,-4010,7672,-4025xm7712,-4025l7672,-4025,7690,-4010,7715,-4010,7712,-4025xe" filled="true" fillcolor="#0f0080" stroked="false">
              <v:path arrowok="t"/>
              <v:fill type="solid"/>
            </v:shape>
            <w10:wrap type="none"/>
          </v:group>
        </w:pict>
      </w:r>
      <w:r>
        <w:rPr>
          <w:sz w:val="16"/>
        </w:rPr>
        <w:t>Source: ONS National Accounts.</w:t>
      </w:r>
    </w:p>
    <w:p>
      <w:pPr>
        <w:spacing w:before="107"/>
        <w:ind w:left="156" w:right="0" w:firstLine="0"/>
        <w:jc w:val="left"/>
        <w:rPr>
          <w:sz w:val="16"/>
        </w:rPr>
      </w:pPr>
      <w:r>
        <w:rPr/>
        <w:br w:type="column"/>
      </w:r>
      <w:r>
        <w:rPr>
          <w:sz w:val="16"/>
        </w:rPr>
        <w:t>Source: Bank of England.</w:t>
      </w:r>
    </w:p>
    <w:p>
      <w:pPr>
        <w:spacing w:after="0"/>
        <w:jc w:val="left"/>
        <w:rPr>
          <w:sz w:val="16"/>
        </w:rPr>
        <w:sectPr>
          <w:type w:val="continuous"/>
          <w:pgSz w:w="11900" w:h="16840"/>
          <w:pgMar w:top="900" w:bottom="280" w:left="660" w:right="540"/>
          <w:cols w:num="2" w:equalWidth="0">
            <w:col w:w="2518" w:space="2728"/>
            <w:col w:w="5454"/>
          </w:cols>
        </w:sectPr>
      </w:pPr>
    </w:p>
    <w:p>
      <w:pPr>
        <w:pStyle w:val="Heading1"/>
        <w:spacing w:before="119"/>
      </w:pPr>
      <w:r>
        <w:rPr/>
        <w:t>Chart 5: Cumulative gilt purchases</w:t>
      </w:r>
    </w:p>
    <w:p>
      <w:pPr>
        <w:pStyle w:val="BodyText"/>
        <w:rPr>
          <w:b/>
          <w:sz w:val="22"/>
        </w:rPr>
      </w:pPr>
      <w:r>
        <w:rPr/>
        <w:br w:type="column"/>
      </w:r>
      <w:r>
        <w:rPr>
          <w:b/>
          <w:sz w:val="22"/>
        </w:rPr>
      </w:r>
    </w:p>
    <w:p>
      <w:pPr>
        <w:pStyle w:val="BodyText"/>
        <w:spacing w:before="4"/>
        <w:rPr>
          <w:b/>
          <w:sz w:val="19"/>
        </w:rPr>
      </w:pPr>
    </w:p>
    <w:p>
      <w:pPr>
        <w:pStyle w:val="BodyText"/>
        <w:ind w:left="156"/>
      </w:pPr>
      <w:r>
        <w:rPr/>
        <w:t>£ billions</w:t>
      </w:r>
    </w:p>
    <w:p>
      <w:pPr>
        <w:pStyle w:val="BodyText"/>
        <w:rPr>
          <w:sz w:val="22"/>
        </w:rPr>
      </w:pPr>
      <w:r>
        <w:rPr/>
        <w:br w:type="column"/>
      </w:r>
      <w:r>
        <w:rPr>
          <w:sz w:val="22"/>
        </w:rPr>
      </w:r>
    </w:p>
    <w:p>
      <w:pPr>
        <w:pStyle w:val="BodyText"/>
        <w:rPr>
          <w:sz w:val="22"/>
        </w:rPr>
      </w:pPr>
    </w:p>
    <w:p>
      <w:pPr>
        <w:pStyle w:val="BodyText"/>
        <w:spacing w:before="8"/>
        <w:rPr>
          <w:sz w:val="17"/>
        </w:rPr>
      </w:pPr>
    </w:p>
    <w:p>
      <w:pPr>
        <w:pStyle w:val="BodyText"/>
        <w:ind w:left="154"/>
      </w:pPr>
      <w:r>
        <w:rPr/>
        <w:pict>
          <v:group style="position:absolute;margin-left:55.439999pt;margin-top:5.725146pt;width:210.85pt;height:189.2pt;mso-position-horizontal-relative:page;mso-position-vertical-relative:paragraph;z-index:251668480" coordorigin="1109,115" coordsize="4217,3784">
            <v:line style="position:absolute" from="5266,122" to="5266,3879" stroked="true" strokeweight=".72pt" strokecolor="#868686">
              <v:stroke dashstyle="solid"/>
            </v:line>
            <v:shape style="position:absolute;left:5265;top:114;width:60;height:3772" coordorigin="5266,115" coordsize="60,3772" path="m5326,3872l5266,3872,5266,3886,5326,3886,5326,3872m5326,3637l5266,3637,5266,3651,5326,3651,5326,3637m5326,3403l5266,3403,5266,3417,5326,3417,5326,3403m5326,3167l5266,3167,5266,3182,5326,3182,5326,3167m5326,2932l5266,2932,5266,2947,5326,2947,5326,2932m5326,2698l5266,2698,5266,2713,5326,2713,5326,2698m5326,2463l5266,2463,5266,2477,5326,2477,5326,2463m5326,2228l5266,2228,5266,2242,5326,2242,5326,2228m5326,1994l5266,1994,5266,2008,5326,2008,5326,1994m5326,1759l5266,1759,5266,1773,5326,1773,5326,1759m5326,1523l5266,1523,5266,1538,5326,1538,5326,1523m5326,1289l5266,1289,5266,1304,5326,1304,5326,1289m5326,1054l5266,1054,5266,1069,5326,1069,5326,1054m5326,819l5266,819,5266,833,5326,833,5326,819m5326,585l5266,585,5266,599,5326,599,5326,585m5326,350l5266,350,5266,364,5326,364,5326,350m5326,115l5266,115,5266,129,5326,129,5326,115e" filled="true" fillcolor="#868686" stroked="false">
              <v:path arrowok="t"/>
              <v:fill type="solid"/>
            </v:shape>
            <v:line style="position:absolute" from="1116,3879" to="5266,3879" stroked="true" strokeweight=".71997pt" strokecolor="#868686">
              <v:stroke dashstyle="solid"/>
            </v:line>
            <v:shape style="position:absolute;left:1108;top:3818;width:3986;height:60" coordorigin="1109,3819" coordsize="3986,60" path="m1123,3819l1109,3819,1109,3879,1123,3879,1123,3819m2116,3819l2101,3819,2101,3879,2116,3879,2116,3819m3107,3819l3092,3819,3092,3879,3107,3879,3107,3819m4099,3819l4085,3819,4085,3879,4099,3879,4099,3819m5094,3819l5080,3819,5080,3879,5094,3879,5094,3819e" filled="true" fillcolor="#868686" stroked="false">
              <v:path arrowok="t"/>
              <v:fill type="solid"/>
            </v:shape>
            <v:shape style="position:absolute;left:1116;top:338;width:3826;height:3560" coordorigin="1116,338" coordsize="3826,3560" path="m1117,3878l1116,3878,1116,3898,1117,3898,1117,3878xm1156,3878l1117,3878,1117,3898,1156,3898,1156,3878xm1226,3878l1156,3878,1156,3898,1204,3898,1226,3878xm1604,2718l1579,2718,1576,2738,1555,2778,1536,2818,1507,2898,1480,2978,1455,3058,1429,3138,1403,3218,1385,3278,1366,3338,1339,3418,1313,3518,1287,3598,1260,3678,1232,3758,1213,3818,1194,3858,1199,3858,1180,3878,1231,3878,1250,3838,1270,3778,1297,3698,1324,3598,1376,3438,1403,3358,1422,3298,1440,3238,1466,3158,1491,3078,1517,2978,1544,2898,1573,2818,1591,2778,1610,2758,1630,2758,1639,2738,1595,2738,1604,2718xm1672,2578l1652,2618,1650,2618,1633,2658,1595,2738,1612,2718,1649,2718,1668,2678,1686,2638,1685,2638,1704,2598,1669,2598,1672,2578xm1649,2718l1612,2718,1595,2738,1639,2738,1649,2718xm1896,2238l1859,2238,1842,2258,1823,2258,1804,2298,1775,2358,1747,2418,1718,2478,1688,2538,1669,2598,1706,2598,1726,2558,1755,2498,1783,2438,1810,2378,1838,2318,1858,2278,1877,2278,1896,2238xm1852,2238l1832,2238,1825,2258,1842,2258,1852,2238xm1934,2198l1885,2198,1866,2218,1861,2218,1842,2258,1859,2238,1915,2238,1934,2198xm1910,2238l1896,2238,1891,2258,1910,2238xm1949,2178l1900,2178,1880,2198,1931,2198,1949,2178xm1972,2158l1921,2158,1903,2178,1952,2178,1972,2158xm2048,2098l2011,2098,1994,2118,1938,2118,1937,2138,1918,2158,1967,2158,1986,2138,2029,2138,2048,2098xm2004,2098l1964,2098,1961,2118,1994,2118,2004,2098xm2065,2078l2014,2078,1994,2118,2011,2098,2064,2098,2065,2078xm2086,2058l2036,2058,2018,2078,2066,2078,2086,2058xm2100,2038l2051,2038,2032,2058,2081,2058,2100,2038xm3797,1998l3761,1998,3743,2018,2056,2018,2054,2038,3780,2038,3797,1998xm3752,1998l2083,1998,2078,2018,3743,2018,3752,1998xm3991,1498l3972,1538,3934,1538,3914,1598,3883,1658,3853,1738,3823,1818,3793,1898,3762,1978,3743,2018,3761,1998,3797,1998,3830,1918,3890,1758,3920,1678,3952,1598,3961,1578,3952,1578,3971,1558,4007,1558,4026,1518,3990,1518,3991,1498xm3971,1558l3952,1578,3961,1578,3971,1558xm4003,1558l3971,1558,3961,1578,3996,1578,4003,1558xm4094,1298l4070,1298,4067,1318,4048,1358,4028,1418,3990,1518,4027,1518,4066,1418,4104,1338,4121,1338,4130,1318,4085,1318,4094,1298xm4235,1098l4181,1098,4123,1238,4085,1318,4103,1298,4140,1298,4160,1238,4178,1198,4217,1118,4216,1118,4235,1098xm4140,1298l4103,1298,4085,1318,4130,1318,4140,1298xm4273,998l4237,998,4218,1038,4200,1078,4202,1078,4183,1098,4237,1098,4273,998xm4933,338l4820,338,4814,358,4811,358,4792,378,4758,438,4725,478,4692,538,4658,578,4639,618,4622,618,4620,638,4601,658,4578,698,4554,738,4530,758,4506,798,4487,818,4318,818,4314,838,4256,958,4259,958,4240,978,4238,998,4273,998,4272,1018,4291,978,4292,978,4312,938,4332,898,4345,858,4332,858,4351,838,4529,838,4538,818,4562,778,4587,758,4610,718,4633,678,4652,658,4650,658,4669,638,4672,638,4691,598,4724,558,4757,498,4790,458,4824,418,4843,378,4942,378,4942,358,4933,338xm4351,838l4332,858,4345,858,4351,838xm4529,838l4351,838,4345,858,4519,858,4529,838xe" filled="true" fillcolor="#1f497d" stroked="false">
              <v:path arrowok="t"/>
              <v:fill type="solid"/>
            </v:shape>
            <v:shape style="position:absolute;left:4902;top:337;width:382;height:104" type="#_x0000_t75" stroked="false">
              <v:imagedata r:id="rId11" o:title=""/>
            </v:shape>
            <w10:wrap type="none"/>
          </v:group>
        </w:pict>
      </w:r>
      <w:r>
        <w:rPr/>
        <w:t>400</w:t>
      </w:r>
    </w:p>
    <w:p>
      <w:pPr>
        <w:pStyle w:val="BodyText"/>
        <w:spacing w:before="5"/>
        <w:ind w:left="154"/>
      </w:pPr>
      <w:r>
        <w:rPr/>
        <w:t>375</w:t>
      </w:r>
    </w:p>
    <w:p>
      <w:pPr>
        <w:pStyle w:val="BodyText"/>
        <w:spacing w:before="5"/>
        <w:ind w:left="154"/>
      </w:pPr>
      <w:r>
        <w:rPr/>
        <w:t>350</w:t>
      </w:r>
    </w:p>
    <w:p>
      <w:pPr>
        <w:pStyle w:val="BodyText"/>
        <w:spacing w:before="4"/>
        <w:ind w:left="154"/>
      </w:pPr>
      <w:r>
        <w:rPr/>
        <w:t>325</w:t>
      </w:r>
    </w:p>
    <w:p>
      <w:pPr>
        <w:pStyle w:val="BodyText"/>
        <w:spacing w:before="5"/>
        <w:ind w:left="154"/>
      </w:pPr>
      <w:r>
        <w:rPr/>
        <w:t>300</w:t>
      </w:r>
    </w:p>
    <w:p>
      <w:pPr>
        <w:pStyle w:val="BodyText"/>
        <w:spacing w:before="6"/>
        <w:ind w:left="154"/>
      </w:pPr>
      <w:r>
        <w:rPr/>
        <w:t>275</w:t>
      </w:r>
    </w:p>
    <w:p>
      <w:pPr>
        <w:pStyle w:val="BodyText"/>
        <w:spacing w:before="4"/>
        <w:ind w:left="154"/>
      </w:pPr>
      <w:r>
        <w:rPr/>
        <w:t>250</w:t>
      </w:r>
    </w:p>
    <w:p>
      <w:pPr>
        <w:pStyle w:val="BodyText"/>
        <w:spacing w:before="5"/>
        <w:ind w:left="154"/>
      </w:pPr>
      <w:r>
        <w:rPr/>
        <w:t>225</w:t>
      </w:r>
    </w:p>
    <w:p>
      <w:pPr>
        <w:pStyle w:val="BodyText"/>
        <w:spacing w:before="5"/>
        <w:ind w:left="154"/>
      </w:pPr>
      <w:r>
        <w:rPr/>
        <w:t>200</w:t>
      </w:r>
    </w:p>
    <w:p>
      <w:pPr>
        <w:pStyle w:val="BodyText"/>
        <w:spacing w:before="4"/>
        <w:ind w:left="154"/>
      </w:pPr>
      <w:r>
        <w:rPr/>
        <w:t>175</w:t>
      </w:r>
    </w:p>
    <w:p>
      <w:pPr>
        <w:pStyle w:val="BodyText"/>
        <w:spacing w:before="5"/>
        <w:ind w:left="154"/>
      </w:pPr>
      <w:r>
        <w:rPr/>
        <w:t>150</w:t>
      </w:r>
    </w:p>
    <w:p>
      <w:pPr>
        <w:pStyle w:val="BodyText"/>
        <w:spacing w:before="6"/>
        <w:ind w:left="154"/>
      </w:pPr>
      <w:r>
        <w:rPr/>
        <w:t>125</w:t>
      </w:r>
    </w:p>
    <w:p>
      <w:pPr>
        <w:pStyle w:val="BodyText"/>
        <w:spacing w:before="4"/>
        <w:ind w:left="154"/>
      </w:pPr>
      <w:r>
        <w:rPr/>
        <w:t>100</w:t>
      </w:r>
    </w:p>
    <w:p>
      <w:pPr>
        <w:pStyle w:val="BodyText"/>
        <w:spacing w:before="5"/>
        <w:ind w:left="154"/>
      </w:pPr>
      <w:r>
        <w:rPr/>
        <w:t>75</w:t>
      </w:r>
    </w:p>
    <w:p>
      <w:pPr>
        <w:pStyle w:val="BodyText"/>
        <w:spacing w:before="5"/>
        <w:ind w:left="154"/>
      </w:pPr>
      <w:r>
        <w:rPr/>
        <w:t>50</w:t>
      </w:r>
    </w:p>
    <w:p>
      <w:pPr>
        <w:pStyle w:val="BodyText"/>
        <w:spacing w:before="5"/>
        <w:ind w:left="154"/>
      </w:pPr>
      <w:r>
        <w:rPr/>
        <w:t>25</w:t>
      </w:r>
    </w:p>
    <w:p>
      <w:pPr>
        <w:pStyle w:val="BodyText"/>
        <w:spacing w:before="4"/>
        <w:ind w:left="154"/>
      </w:pPr>
      <w:r>
        <w:rPr>
          <w:w w:val="100"/>
        </w:rPr>
        <w:t>0</w:t>
      </w:r>
    </w:p>
    <w:p>
      <w:pPr>
        <w:pStyle w:val="Heading1"/>
        <w:spacing w:before="119"/>
        <w:ind w:right="443"/>
      </w:pPr>
      <w:r>
        <w:rPr>
          <w:b w:val="0"/>
        </w:rPr>
        <w:br w:type="column"/>
      </w:r>
      <w:r>
        <w:rPr/>
        <w:t>Chart 6: Changes in average quoted new mortgage rates and indicative UK bank funding costs since June 2012</w:t>
      </w:r>
      <w:r>
        <w:rPr>
          <w:vertAlign w:val="superscript"/>
        </w:rPr>
        <w:t>(a)</w:t>
      </w:r>
    </w:p>
    <w:p>
      <w:pPr>
        <w:spacing w:before="74"/>
        <w:ind w:left="3532" w:right="0" w:firstLine="0"/>
        <w:jc w:val="left"/>
        <w:rPr>
          <w:sz w:val="18"/>
        </w:rPr>
      </w:pPr>
      <w:r>
        <w:rPr>
          <w:sz w:val="18"/>
        </w:rPr>
        <w:t>Percentage points</w:t>
      </w:r>
    </w:p>
    <w:p>
      <w:pPr>
        <w:pStyle w:val="BodyText"/>
        <w:ind w:left="4983"/>
      </w:pPr>
      <w:r>
        <w:rPr/>
        <w:pict>
          <v:group style="position:absolute;margin-left:313.619995pt;margin-top:5.658779pt;width:225.4pt;height:175.45pt;mso-position-horizontal-relative:page;mso-position-vertical-relative:paragraph;z-index:251669504" coordorigin="6272,113" coordsize="4508,3509">
            <v:shape style="position:absolute;left:6273;top:120;width:989;height:3494" coordorigin="6273,120" coordsize="989,3494" path="m6273,120l6273,3614m6768,121l7261,121e" filled="false" stroked="true" strokeweight=".06pt" strokecolor="#000000">
              <v:path arrowok="t"/>
              <v:stroke dashstyle="solid"/>
            </v:shape>
            <v:rect style="position:absolute;left:6273;top:120;width:495;height:2272" filled="true" fillcolor="#1f497d" stroked="false">
              <v:fill type="solid"/>
            </v:rect>
            <v:line style="position:absolute" from="7756,121" to="8249,121" stroked="true" strokeweight=".06pt" strokecolor="#000000">
              <v:stroke dashstyle="solid"/>
            </v:line>
            <v:rect style="position:absolute;left:7261;top:120;width:495;height:2846" filled="true" fillcolor="#1f497d" stroked="false">
              <v:fill type="solid"/>
            </v:rect>
            <v:line style="position:absolute" from="8743,121" to="9236,121" stroked="true" strokeweight=".06pt" strokecolor="#000000">
              <v:stroke dashstyle="solid"/>
            </v:line>
            <v:rect style="position:absolute;left:8248;top:120;width:495;height:1348" filled="true" fillcolor="#1f497d" stroked="false">
              <v:fill type="solid"/>
            </v:rect>
            <v:line style="position:absolute" from="9731,121" to="10225,121" stroked="true" strokeweight=".06pt" strokecolor="#000000">
              <v:stroke dashstyle="solid"/>
            </v:line>
            <v:rect style="position:absolute;left:9236;top:120;width:495;height:3273" filled="true" fillcolor="#1f497d" stroked="false">
              <v:fill type="solid"/>
            </v:rect>
            <v:line style="position:absolute" from="10719,120" to="10719,3614" stroked="true" strokeweight=".06pt" strokecolor="#000000">
              <v:stroke dashstyle="solid"/>
            </v:line>
            <v:rect style="position:absolute;left:10225;top:120;width:494;height:1995" filled="true" fillcolor="#1f497d" stroked="false">
              <v:fill type="solid"/>
            </v:rect>
            <v:line style="position:absolute" from="10718,120" to="10718,3615" stroked="true" strokeweight=".72003pt" strokecolor="#000000">
              <v:stroke dashstyle="solid"/>
            </v:line>
            <v:shape style="position:absolute;left:10718;top:113;width:62;height:3509" coordorigin="10718,113" coordsize="62,3509" path="m10780,3608l10718,3608,10718,3622,10780,3622,10780,3608m10780,3108l10718,3108,10718,3123,10780,3123,10780,3108m10780,2609l10718,2609,10718,2624,10780,2624,10780,2609m10780,2110l10718,2110,10718,2124,10780,2124,10780,2110m10780,1611l10718,1611,10718,1625,10780,1625,10780,1611m10780,1112l10718,1112,10718,1126,10780,1126,10780,1112m10780,612l10718,612,10718,627,10780,627,10780,612m10780,113l10718,113,10718,128,10780,128,10780,113e" filled="true" fillcolor="#000000" stroked="false">
              <v:path arrowok="t"/>
              <v:fill type="solid"/>
            </v:shape>
            <v:line style="position:absolute" from="6274,3615" to="10718,3615" stroked="true" strokeweight=".71997pt" strokecolor="#000000">
              <v:stroke dashstyle="solid"/>
            </v:line>
            <v:line style="position:absolute" from="9065,116" to="9065,2968" stroked="true" strokeweight=".059998pt" strokecolor="#000000">
              <v:stroke dashstyle="solid"/>
            </v:line>
            <w10:wrap type="none"/>
          </v:group>
        </w:pict>
      </w:r>
      <w:r>
        <w:rPr/>
        <w:t>0.0</w:t>
      </w:r>
    </w:p>
    <w:p>
      <w:pPr>
        <w:pStyle w:val="BodyText"/>
        <w:spacing w:before="3"/>
        <w:rPr>
          <w:sz w:val="23"/>
        </w:rPr>
      </w:pPr>
    </w:p>
    <w:p>
      <w:pPr>
        <w:pStyle w:val="BodyText"/>
        <w:ind w:left="4983"/>
      </w:pPr>
      <w:r>
        <w:rPr/>
        <w:t>-0.2</w:t>
      </w:r>
    </w:p>
    <w:p>
      <w:pPr>
        <w:pStyle w:val="BodyText"/>
        <w:spacing w:before="5"/>
        <w:rPr>
          <w:sz w:val="23"/>
        </w:rPr>
      </w:pPr>
    </w:p>
    <w:p>
      <w:pPr>
        <w:pStyle w:val="BodyText"/>
        <w:ind w:left="4983"/>
      </w:pPr>
      <w:r>
        <w:rPr/>
        <w:t>-0.4</w:t>
      </w:r>
    </w:p>
    <w:p>
      <w:pPr>
        <w:pStyle w:val="BodyText"/>
        <w:spacing w:before="5"/>
        <w:rPr>
          <w:sz w:val="23"/>
        </w:rPr>
      </w:pPr>
    </w:p>
    <w:p>
      <w:pPr>
        <w:pStyle w:val="BodyText"/>
        <w:ind w:left="4983"/>
      </w:pPr>
      <w:r>
        <w:rPr/>
        <w:t>-0.6</w:t>
      </w:r>
    </w:p>
    <w:p>
      <w:pPr>
        <w:pStyle w:val="BodyText"/>
        <w:spacing w:before="4"/>
        <w:rPr>
          <w:sz w:val="23"/>
        </w:rPr>
      </w:pPr>
    </w:p>
    <w:p>
      <w:pPr>
        <w:pStyle w:val="BodyText"/>
        <w:spacing w:before="1"/>
        <w:ind w:left="4983"/>
      </w:pPr>
      <w:r>
        <w:rPr/>
        <w:t>-0.8</w:t>
      </w:r>
    </w:p>
    <w:p>
      <w:pPr>
        <w:pStyle w:val="BodyText"/>
        <w:spacing w:before="4"/>
        <w:rPr>
          <w:sz w:val="23"/>
        </w:rPr>
      </w:pPr>
    </w:p>
    <w:p>
      <w:pPr>
        <w:pStyle w:val="BodyText"/>
        <w:ind w:left="4983"/>
      </w:pPr>
      <w:r>
        <w:rPr/>
        <w:t>-1.0</w:t>
      </w:r>
    </w:p>
    <w:p>
      <w:pPr>
        <w:pStyle w:val="BodyText"/>
        <w:spacing w:before="5"/>
        <w:rPr>
          <w:sz w:val="23"/>
        </w:rPr>
      </w:pPr>
    </w:p>
    <w:p>
      <w:pPr>
        <w:pStyle w:val="BodyText"/>
        <w:ind w:left="4983"/>
      </w:pPr>
      <w:r>
        <w:rPr/>
        <w:t>-1.2</w:t>
      </w:r>
    </w:p>
    <w:p>
      <w:pPr>
        <w:pStyle w:val="BodyText"/>
        <w:spacing w:before="5"/>
        <w:rPr>
          <w:sz w:val="23"/>
        </w:rPr>
      </w:pPr>
    </w:p>
    <w:p>
      <w:pPr>
        <w:pStyle w:val="BodyText"/>
        <w:spacing w:line="132" w:lineRule="exact"/>
        <w:ind w:left="4983"/>
      </w:pPr>
      <w:r>
        <w:rPr/>
        <w:t>-1.4</w:t>
      </w:r>
    </w:p>
    <w:p>
      <w:pPr>
        <w:spacing w:after="0" w:line="132" w:lineRule="exact"/>
        <w:sectPr>
          <w:pgSz w:w="11900" w:h="16840"/>
          <w:pgMar w:header="0" w:footer="1548" w:top="1600" w:bottom="1740" w:left="660" w:right="540"/>
          <w:cols w:num="4" w:equalWidth="0">
            <w:col w:w="3500" w:space="148"/>
            <w:col w:w="935" w:space="39"/>
            <w:col w:w="530" w:space="94"/>
            <w:col w:w="5454"/>
          </w:cols>
        </w:sectPr>
      </w:pPr>
    </w:p>
    <w:p>
      <w:pPr>
        <w:pStyle w:val="BodyText"/>
        <w:tabs>
          <w:tab w:pos="1224" w:val="left" w:leader="none"/>
          <w:tab w:pos="2217" w:val="left" w:leader="none"/>
          <w:tab w:pos="3209" w:val="left" w:leader="none"/>
          <w:tab w:pos="4202" w:val="left" w:leader="none"/>
        </w:tabs>
        <w:spacing w:line="224" w:lineRule="exact"/>
        <w:ind w:left="233"/>
      </w:pPr>
      <w:r>
        <w:rPr/>
        <w:t>2009</w:t>
        <w:tab/>
        <w:t>2010</w:t>
        <w:tab/>
        <w:t>2011</w:t>
        <w:tab/>
        <w:t>2012</w:t>
        <w:tab/>
        <w:t>2013</w:t>
      </w:r>
    </w:p>
    <w:p>
      <w:pPr>
        <w:pStyle w:val="BodyText"/>
        <w:spacing w:before="1"/>
        <w:rPr>
          <w:sz w:val="18"/>
        </w:rPr>
      </w:pPr>
    </w:p>
    <w:p>
      <w:pPr>
        <w:spacing w:before="0"/>
        <w:ind w:left="155" w:right="0" w:firstLine="0"/>
        <w:jc w:val="left"/>
        <w:rPr>
          <w:sz w:val="16"/>
        </w:rPr>
      </w:pPr>
      <w:r>
        <w:rPr>
          <w:sz w:val="16"/>
        </w:rPr>
        <w:t>Source: Bank of England.</w:t>
      </w:r>
    </w:p>
    <w:p>
      <w:pPr>
        <w:spacing w:line="207" w:lineRule="exact" w:before="98"/>
        <w:ind w:left="164" w:right="0" w:firstLine="0"/>
        <w:jc w:val="left"/>
        <w:rPr>
          <w:sz w:val="18"/>
        </w:rPr>
      </w:pPr>
      <w:r>
        <w:rPr/>
        <w:br w:type="column"/>
      </w:r>
      <w:r>
        <w:rPr>
          <w:sz w:val="18"/>
        </w:rPr>
        <w:t>75%</w:t>
      </w:r>
      <w:r>
        <w:rPr>
          <w:spacing w:val="-3"/>
          <w:sz w:val="18"/>
        </w:rPr>
        <w:t> </w:t>
      </w:r>
      <w:r>
        <w:rPr>
          <w:sz w:val="18"/>
        </w:rPr>
        <w:t>LTV</w:t>
      </w:r>
    </w:p>
    <w:p>
      <w:pPr>
        <w:spacing w:before="0"/>
        <w:ind w:left="156" w:right="-14" w:firstLine="4"/>
        <w:jc w:val="left"/>
        <w:rPr>
          <w:sz w:val="18"/>
        </w:rPr>
      </w:pPr>
      <w:r>
        <w:rPr>
          <w:spacing w:val="-1"/>
          <w:sz w:val="18"/>
        </w:rPr>
        <w:t>fixed-rate mortgage</w:t>
      </w:r>
    </w:p>
    <w:p>
      <w:pPr>
        <w:spacing w:line="207" w:lineRule="exact" w:before="98"/>
        <w:ind w:left="164" w:right="0" w:firstLine="0"/>
        <w:jc w:val="left"/>
        <w:rPr>
          <w:sz w:val="18"/>
        </w:rPr>
      </w:pPr>
      <w:r>
        <w:rPr/>
        <w:br w:type="column"/>
      </w:r>
      <w:r>
        <w:rPr>
          <w:sz w:val="18"/>
        </w:rPr>
        <w:t>90%</w:t>
      </w:r>
      <w:r>
        <w:rPr>
          <w:spacing w:val="-3"/>
          <w:sz w:val="18"/>
        </w:rPr>
        <w:t> </w:t>
      </w:r>
      <w:r>
        <w:rPr>
          <w:sz w:val="18"/>
        </w:rPr>
        <w:t>LTV</w:t>
      </w:r>
    </w:p>
    <w:p>
      <w:pPr>
        <w:spacing w:before="0"/>
        <w:ind w:left="156" w:right="-14" w:firstLine="4"/>
        <w:jc w:val="left"/>
        <w:rPr>
          <w:sz w:val="18"/>
        </w:rPr>
      </w:pPr>
      <w:r>
        <w:rPr>
          <w:spacing w:val="-1"/>
          <w:sz w:val="18"/>
        </w:rPr>
        <w:t>fixed-rate mortgage</w:t>
      </w:r>
    </w:p>
    <w:p>
      <w:pPr>
        <w:pStyle w:val="BodyText"/>
        <w:spacing w:before="6"/>
        <w:rPr>
          <w:sz w:val="17"/>
        </w:rPr>
      </w:pPr>
      <w:r>
        <w:rPr/>
        <w:br w:type="column"/>
      </w:r>
      <w:r>
        <w:rPr>
          <w:sz w:val="17"/>
        </w:rPr>
      </w:r>
    </w:p>
    <w:p>
      <w:pPr>
        <w:spacing w:line="207" w:lineRule="exact" w:before="1"/>
        <w:ind w:left="197" w:right="0" w:firstLine="0"/>
        <w:jc w:val="left"/>
        <w:rPr>
          <w:sz w:val="18"/>
        </w:rPr>
      </w:pPr>
      <w:r>
        <w:rPr>
          <w:sz w:val="18"/>
        </w:rPr>
        <w:t>75% LTV</w:t>
      </w:r>
    </w:p>
    <w:p>
      <w:pPr>
        <w:spacing w:before="0"/>
        <w:ind w:left="114" w:right="0" w:firstLine="28"/>
        <w:jc w:val="left"/>
        <w:rPr>
          <w:sz w:val="18"/>
        </w:rPr>
      </w:pPr>
      <w:r>
        <w:rPr>
          <w:sz w:val="18"/>
        </w:rPr>
        <w:t>floating-rat e </w:t>
      </w:r>
      <w:r>
        <w:rPr>
          <w:spacing w:val="-3"/>
          <w:sz w:val="18"/>
        </w:rPr>
        <w:t>mortgage</w:t>
      </w:r>
    </w:p>
    <w:p>
      <w:pPr>
        <w:spacing w:before="98"/>
        <w:ind w:left="75" w:right="-13" w:firstLine="159"/>
        <w:jc w:val="left"/>
        <w:rPr>
          <w:sz w:val="18"/>
        </w:rPr>
      </w:pPr>
      <w:r>
        <w:rPr/>
        <w:br w:type="column"/>
      </w:r>
      <w:r>
        <w:rPr>
          <w:sz w:val="18"/>
        </w:rPr>
        <w:t>Senior </w:t>
      </w:r>
      <w:r>
        <w:rPr>
          <w:spacing w:val="-1"/>
          <w:sz w:val="18"/>
        </w:rPr>
        <w:t>unsecured</w:t>
      </w:r>
    </w:p>
    <w:p>
      <w:pPr>
        <w:spacing w:before="98"/>
        <w:ind w:left="296" w:right="553" w:hanging="141"/>
        <w:jc w:val="left"/>
        <w:rPr>
          <w:sz w:val="18"/>
        </w:rPr>
      </w:pPr>
      <w:r>
        <w:rPr/>
        <w:br w:type="column"/>
      </w:r>
      <w:r>
        <w:rPr>
          <w:sz w:val="18"/>
        </w:rPr>
        <w:t>Covered bond</w:t>
      </w:r>
    </w:p>
    <w:p>
      <w:pPr>
        <w:spacing w:after="0"/>
        <w:jc w:val="left"/>
        <w:rPr>
          <w:sz w:val="18"/>
        </w:rPr>
        <w:sectPr>
          <w:type w:val="continuous"/>
          <w:pgSz w:w="11900" w:h="16840"/>
          <w:pgMar w:top="900" w:bottom="280" w:left="660" w:right="540"/>
          <w:cols w:num="6" w:equalWidth="0">
            <w:col w:w="4690" w:space="636"/>
            <w:col w:w="915" w:space="72"/>
            <w:col w:w="915" w:space="40"/>
            <w:col w:w="1022" w:space="39"/>
            <w:col w:w="914" w:space="48"/>
            <w:col w:w="1409"/>
          </w:cols>
        </w:sectPr>
      </w:pPr>
    </w:p>
    <w:p>
      <w:pPr>
        <w:pStyle w:val="BodyText"/>
        <w:spacing w:before="2"/>
        <w:rPr>
          <w:sz w:val="25"/>
        </w:rPr>
      </w:pPr>
    </w:p>
    <w:p>
      <w:pPr>
        <w:spacing w:before="95"/>
        <w:ind w:left="5490" w:right="0" w:firstLine="0"/>
        <w:jc w:val="left"/>
        <w:rPr>
          <w:sz w:val="16"/>
        </w:rPr>
      </w:pPr>
      <w:r>
        <w:rPr>
          <w:sz w:val="16"/>
        </w:rPr>
        <w:t>Sources: Bank of England, Bloomberg and Bank calculations</w:t>
      </w:r>
    </w:p>
    <w:p>
      <w:pPr>
        <w:pStyle w:val="BodyText"/>
        <w:spacing w:before="10"/>
        <w:rPr>
          <w:sz w:val="15"/>
        </w:rPr>
      </w:pPr>
    </w:p>
    <w:p>
      <w:pPr>
        <w:pStyle w:val="ListParagraph"/>
        <w:numPr>
          <w:ilvl w:val="1"/>
          <w:numId w:val="2"/>
        </w:numPr>
        <w:tabs>
          <w:tab w:pos="5851" w:val="left" w:leader="none"/>
        </w:tabs>
        <w:spacing w:line="240" w:lineRule="auto" w:before="0" w:after="0"/>
        <w:ind w:left="5849" w:right="99" w:hanging="360"/>
        <w:jc w:val="left"/>
        <w:rPr>
          <w:sz w:val="16"/>
        </w:rPr>
      </w:pPr>
      <w:r>
        <w:rPr>
          <w:sz w:val="16"/>
        </w:rPr>
        <w:t>Change between end June 2012 and end March 2013. All quoted rates are for 2 year mortgages. Senior unsecured funding cost is measured as the sum of the five-year swap rate and a constant maturity unweighted average of UK banks’ five-year senior unsecured bond spreads. Where a five-year bond is unavailable, a proxy has been constructed based on the nearest maturity of bond available for a given institution and the historical relationship of that bond with the corresponding five-year bond. Same for covered bonds.</w:t>
      </w:r>
    </w:p>
    <w:p>
      <w:pPr>
        <w:spacing w:after="0" w:line="240" w:lineRule="auto"/>
        <w:jc w:val="left"/>
        <w:rPr>
          <w:sz w:val="16"/>
        </w:rPr>
        <w:sectPr>
          <w:type w:val="continuous"/>
          <w:pgSz w:w="11900" w:h="16840"/>
          <w:pgMar w:top="900" w:bottom="280" w:left="660" w:right="540"/>
        </w:sectPr>
      </w:pPr>
    </w:p>
    <w:p>
      <w:pPr>
        <w:pStyle w:val="BodyText"/>
        <w:spacing w:before="1"/>
        <w:rPr>
          <w:sz w:val="19"/>
        </w:rPr>
      </w:pPr>
    </w:p>
    <w:p>
      <w:pPr>
        <w:spacing w:after="0"/>
        <w:rPr>
          <w:sz w:val="19"/>
        </w:rPr>
        <w:sectPr>
          <w:pgSz w:w="11900" w:h="16840"/>
          <w:pgMar w:header="0" w:footer="1548" w:top="1600" w:bottom="1740" w:left="660" w:right="540"/>
        </w:sectPr>
      </w:pPr>
    </w:p>
    <w:p>
      <w:pPr>
        <w:spacing w:before="130"/>
        <w:ind w:left="156" w:right="38" w:firstLine="0"/>
        <w:jc w:val="both"/>
        <w:rPr>
          <w:b/>
          <w:sz w:val="20"/>
        </w:rPr>
      </w:pPr>
      <w:r>
        <w:rPr>
          <w:b/>
          <w:sz w:val="20"/>
        </w:rPr>
        <w:t>Chart 7: </w:t>
      </w:r>
      <w:r>
        <w:rPr>
          <w:b/>
          <w:i/>
          <w:sz w:val="20"/>
        </w:rPr>
        <w:t>Credit Conditions Survey </w:t>
      </w:r>
      <w:r>
        <w:rPr>
          <w:b/>
          <w:sz w:val="20"/>
        </w:rPr>
        <w:t>– changes in availability of and spreads on secured loans to households</w:t>
      </w:r>
      <w:r>
        <w:rPr>
          <w:b/>
          <w:sz w:val="20"/>
          <w:vertAlign w:val="superscript"/>
        </w:rPr>
        <w:t>(a)</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spacing w:before="144"/>
        <w:ind w:left="157"/>
      </w:pPr>
      <w:r>
        <w:rPr/>
        <w:pict>
          <v:group style="position:absolute;margin-left:47.459999pt;margin-top:-5.631987pt;width:236.25pt;height:194.3pt;mso-position-horizontal-relative:page;mso-position-vertical-relative:paragraph;z-index:251674624" coordorigin="949,-113" coordsize="4725,3886">
            <v:line style="position:absolute" from="5482,266" to="5482,3766" stroked="true" strokeweight=".72pt" strokecolor="#000000">
              <v:stroke dashstyle="solid"/>
            </v:line>
            <v:shape style="position:absolute;left:5481;top:258;width:60;height:3515" coordorigin="5482,258" coordsize="60,3515" path="m5542,3759l5482,3759,5482,3773,5542,3773,5542,3759m5542,3258l5482,3258,5482,3273,5542,3273,5542,3258m5542,2758l5482,2758,5482,2772,5542,2772,5542,2758m5542,2258l5482,2258,5482,2272,5542,2272,5542,2258m5542,1758l5482,1758,5482,1773,5542,1773,5542,1758m5542,1258l5482,1258,5482,1272,5542,1272,5542,1258m5542,758l5482,758,5482,772,5542,772,5542,758m5542,258l5482,258,5482,273,5542,273,5542,258e" filled="true" fillcolor="#000000" stroked="false">
              <v:path arrowok="t"/>
              <v:fill type="solid"/>
            </v:shape>
            <v:line style="position:absolute" from="1158,3766" to="5482,3766" stroked="true" strokeweight=".72003pt" strokecolor="#000000">
              <v:stroke dashstyle="solid"/>
            </v:line>
            <v:shape style="position:absolute;left:1150;top:3704;width:3618;height:62" coordorigin="1151,3705" coordsize="3618,62" path="m1165,3705l1151,3705,1151,3766,1165,3766,1165,3705m1888,3705l1873,3705,1873,3766,1888,3766,1888,3705m2608,3705l2593,3705,2593,3766,2608,3766,2608,3705m3326,3705l3312,3705,3312,3766,3326,3766,3326,3705m4046,3705l4032,3705,4032,3766,4046,3766,4046,3705m4769,3705l4754,3705,4754,3766,4769,3766,4769,3705e" filled="true" fillcolor="#000000" stroked="false">
              <v:path arrowok="t"/>
              <v:fill type="solid"/>
            </v:shape>
            <v:shape style="position:absolute;left:1158;top:402;width:4391;height:2916" type="#_x0000_t75" stroked="false">
              <v:imagedata r:id="rId12" o:title=""/>
            </v:shape>
            <v:line style="position:absolute" from="1158,1773" to="5489,1773" stroked="true" strokeweight=".3pt" strokecolor="#000000">
              <v:stroke dashstyle="solid"/>
            </v:line>
            <v:line style="position:absolute" from="1158,1765" to="5491,1765" stroked="true" strokeweight=".5pt" strokecolor="#000000">
              <v:stroke dashstyle="solid"/>
            </v:line>
            <v:line style="position:absolute" from="1158,1758" to="5488,1758" stroked="true" strokeweight=".2pt" strokecolor="#000000">
              <v:stroke dashstyle="solid"/>
            </v:line>
            <v:line style="position:absolute" from="3013,2547" to="3432,2547" stroked="true" strokeweight="1.74pt" strokecolor="#4a7ebb">
              <v:stroke dashstyle="solid"/>
            </v:line>
            <v:line style="position:absolute" from="3013,2859" to="3432,2859" stroked="true" strokeweight="1.74pt" strokecolor="#c00000">
              <v:stroke dashstyle="solid"/>
            </v:line>
            <v:shape style="position:absolute;left:949;top:114;width:190;height:3377" coordorigin="949,114" coordsize="190,3377" path="m1112,3352l1110,3346,1105,3342,1100,3340,1094,3341,1092,3346,1040,3435,1040,2980,1021,2980,1021,3435,1021,3471,1021,3435,970,3346,966,3341,960,3340,955,3342,950,3346,949,3352,952,3357,1031,3491,1043,3471,1109,3357,1112,3352m1139,254l1136,250,1070,135,1058,114,979,250,977,254,978,261,988,266,994,264,996,260,1048,172,1048,611,1068,611,1068,172,1120,260,1122,264,1128,266,1138,261,1139,254e" filled="true" fillcolor="#000000" stroked="false">
              <v:path arrowok="t"/>
              <v:fill type="solid"/>
            </v:shape>
            <v:shape style="position:absolute;left:3428;top:-113;width:2246;height:224" type="#_x0000_t202" filled="false" stroked="false">
              <v:textbox inset="0,0,0,0">
                <w:txbxContent>
                  <w:p>
                    <w:pPr>
                      <w:spacing w:line="224" w:lineRule="exact" w:before="0"/>
                      <w:ind w:left="0" w:right="0" w:firstLine="0"/>
                      <w:jc w:val="left"/>
                      <w:rPr>
                        <w:sz w:val="20"/>
                      </w:rPr>
                    </w:pPr>
                    <w:r>
                      <w:rPr>
                        <w:sz w:val="20"/>
                      </w:rPr>
                      <w:t>Net percentage balances</w:t>
                    </w:r>
                  </w:p>
                </w:txbxContent>
              </v:textbox>
              <w10:wrap type="none"/>
            </v:shape>
            <v:shape style="position:absolute;left:1177;top:189;width:2134;height:224" type="#_x0000_t202" filled="false" stroked="false">
              <v:textbox inset="0,0,0,0">
                <w:txbxContent>
                  <w:p>
                    <w:pPr>
                      <w:spacing w:line="224" w:lineRule="exact" w:before="0"/>
                      <w:ind w:left="0" w:right="0" w:firstLine="0"/>
                      <w:jc w:val="left"/>
                      <w:rPr>
                        <w:sz w:val="20"/>
                      </w:rPr>
                    </w:pPr>
                    <w:r>
                      <w:rPr>
                        <w:sz w:val="20"/>
                      </w:rPr>
                      <w:t>Looser credit conditions</w:t>
                    </w:r>
                  </w:p>
                </w:txbxContent>
              </v:textbox>
              <w10:wrap type="none"/>
            </v:shape>
            <v:shape style="position:absolute;left:3454;top:2434;width:965;height:536" type="#_x0000_t202" filled="false" stroked="false">
              <v:textbox inset="0,0,0,0">
                <w:txbxContent>
                  <w:p>
                    <w:pPr>
                      <w:spacing w:line="224" w:lineRule="exact" w:before="0"/>
                      <w:ind w:left="0" w:right="0" w:firstLine="0"/>
                      <w:jc w:val="left"/>
                      <w:rPr>
                        <w:sz w:val="20"/>
                      </w:rPr>
                    </w:pPr>
                    <w:r>
                      <w:rPr>
                        <w:sz w:val="20"/>
                      </w:rPr>
                      <w:t>Availability</w:t>
                    </w:r>
                  </w:p>
                  <w:p>
                    <w:pPr>
                      <w:spacing w:before="82"/>
                      <w:ind w:left="0" w:right="0" w:firstLine="0"/>
                      <w:jc w:val="left"/>
                      <w:rPr>
                        <w:sz w:val="20"/>
                      </w:rPr>
                    </w:pPr>
                    <w:r>
                      <w:rPr>
                        <w:sz w:val="20"/>
                      </w:rPr>
                      <w:t>Spreads</w:t>
                    </w:r>
                  </w:p>
                </w:txbxContent>
              </v:textbox>
              <w10:wrap type="none"/>
            </v:shape>
            <v:shape style="position:absolute;left:1184;top:3187;width:2144;height:224" type="#_x0000_t202" filled="false" stroked="false">
              <v:textbox inset="0,0,0,0">
                <w:txbxContent>
                  <w:p>
                    <w:pPr>
                      <w:spacing w:line="224" w:lineRule="exact" w:before="0"/>
                      <w:ind w:left="0" w:right="0" w:firstLine="0"/>
                      <w:jc w:val="left"/>
                      <w:rPr>
                        <w:sz w:val="20"/>
                      </w:rPr>
                    </w:pPr>
                    <w:r>
                      <w:rPr>
                        <w:sz w:val="20"/>
                      </w:rPr>
                      <w:t>Tighter credit conditions</w:t>
                    </w:r>
                  </w:p>
                </w:txbxContent>
              </v:textbox>
              <w10:wrap type="none"/>
            </v:shape>
            <w10:wrap type="none"/>
          </v:group>
        </w:pict>
      </w:r>
      <w:r>
        <w:rPr/>
        <w:t>60</w:t>
      </w:r>
    </w:p>
    <w:p>
      <w:pPr>
        <w:pStyle w:val="BodyText"/>
        <w:spacing w:before="4"/>
        <w:rPr>
          <w:sz w:val="23"/>
        </w:rPr>
      </w:pPr>
    </w:p>
    <w:p>
      <w:pPr>
        <w:pStyle w:val="BodyText"/>
        <w:spacing w:before="1"/>
        <w:ind w:left="157"/>
      </w:pPr>
      <w:r>
        <w:rPr/>
        <w:t>40</w:t>
      </w:r>
    </w:p>
    <w:p>
      <w:pPr>
        <w:pStyle w:val="BodyText"/>
        <w:spacing w:before="5"/>
        <w:rPr>
          <w:sz w:val="23"/>
        </w:rPr>
      </w:pPr>
    </w:p>
    <w:p>
      <w:pPr>
        <w:pStyle w:val="BodyText"/>
        <w:spacing w:before="1"/>
        <w:ind w:left="157"/>
      </w:pPr>
      <w:r>
        <w:rPr/>
        <w:t>20</w:t>
      </w:r>
    </w:p>
    <w:p>
      <w:pPr>
        <w:pStyle w:val="BodyText"/>
        <w:spacing w:before="5"/>
        <w:rPr>
          <w:sz w:val="23"/>
        </w:rPr>
      </w:pPr>
    </w:p>
    <w:p>
      <w:pPr>
        <w:pStyle w:val="BodyText"/>
        <w:spacing w:before="1"/>
        <w:ind w:left="157"/>
      </w:pPr>
      <w:r>
        <w:rPr>
          <w:w w:val="100"/>
        </w:rPr>
        <w:t>0</w:t>
      </w:r>
    </w:p>
    <w:p>
      <w:pPr>
        <w:pStyle w:val="BodyText"/>
        <w:spacing w:before="4"/>
        <w:rPr>
          <w:sz w:val="23"/>
        </w:rPr>
      </w:pPr>
    </w:p>
    <w:p>
      <w:pPr>
        <w:pStyle w:val="BodyText"/>
        <w:ind w:left="156"/>
      </w:pPr>
      <w:r>
        <w:rPr/>
        <w:t>-20</w:t>
      </w:r>
    </w:p>
    <w:p>
      <w:pPr>
        <w:pStyle w:val="BodyText"/>
        <w:spacing w:before="6"/>
        <w:rPr>
          <w:sz w:val="23"/>
        </w:rPr>
      </w:pPr>
    </w:p>
    <w:p>
      <w:pPr>
        <w:pStyle w:val="BodyText"/>
        <w:ind w:left="156"/>
      </w:pPr>
      <w:r>
        <w:rPr/>
        <w:t>-40</w:t>
      </w:r>
    </w:p>
    <w:p>
      <w:pPr>
        <w:pStyle w:val="BodyText"/>
        <w:spacing w:before="6"/>
        <w:rPr>
          <w:sz w:val="23"/>
        </w:rPr>
      </w:pPr>
    </w:p>
    <w:p>
      <w:pPr>
        <w:pStyle w:val="BodyText"/>
        <w:ind w:left="156"/>
      </w:pPr>
      <w:r>
        <w:rPr/>
        <w:t>-60</w:t>
      </w:r>
    </w:p>
    <w:p>
      <w:pPr>
        <w:pStyle w:val="BodyText"/>
        <w:spacing w:before="6"/>
        <w:rPr>
          <w:sz w:val="23"/>
        </w:rPr>
      </w:pPr>
    </w:p>
    <w:p>
      <w:pPr>
        <w:pStyle w:val="BodyText"/>
        <w:spacing w:line="187" w:lineRule="exact"/>
        <w:ind w:left="156"/>
      </w:pPr>
      <w:r>
        <w:rPr/>
        <w:t>-80</w:t>
      </w:r>
    </w:p>
    <w:p>
      <w:pPr>
        <w:pStyle w:val="Heading1"/>
        <w:spacing w:before="130"/>
        <w:ind w:left="0" w:right="660"/>
        <w:jc w:val="right"/>
      </w:pPr>
      <w:r>
        <w:rPr>
          <w:b w:val="0"/>
        </w:rPr>
        <w:br w:type="column"/>
      </w:r>
      <w:r>
        <w:rPr/>
        <w:t>Chart 8: Lending to UK households and PNFCs</w:t>
      </w:r>
      <w:r>
        <w:rPr>
          <w:vertAlign w:val="superscript"/>
        </w:rPr>
        <w:t>(a)</w:t>
      </w:r>
    </w:p>
    <w:p>
      <w:pPr>
        <w:pStyle w:val="BodyText"/>
        <w:spacing w:before="4"/>
        <w:rPr>
          <w:b/>
          <w:sz w:val="24"/>
        </w:rPr>
      </w:pPr>
    </w:p>
    <w:p>
      <w:pPr>
        <w:pStyle w:val="BodyText"/>
        <w:ind w:right="709"/>
        <w:jc w:val="right"/>
      </w:pPr>
      <w:r>
        <w:rPr/>
        <w:pict>
          <v:group style="position:absolute;margin-left:315.119995pt;margin-top:1.449331pt;width:200.65pt;height:202.6pt;mso-position-horizontal-relative:page;mso-position-vertical-relative:paragraph;z-index:251676672" coordorigin="6302,29" coordsize="4013,4052">
            <v:line style="position:absolute" from="10255,122" to="10255,4078" stroked="true" strokeweight=".23999pt" strokecolor="#000000">
              <v:stroke dashstyle="solid"/>
            </v:line>
            <v:shape style="position:absolute;left:10255;top:119;width:60;height:3962" coordorigin="10255,119" coordsize="60,3962" path="m10315,4076l10255,4076,10255,4080,10315,4080,10315,4076m10315,3635l10255,3635,10255,3640,10315,3640,10315,3635m10315,3196l10255,3196,10255,3201,10315,3201,10315,3196m10315,2757l10255,2757,10255,2762,10315,2762,10315,2757m10315,2316l10255,2316,10255,2321,10315,2321,10315,2316m10315,1877l10255,1877,10255,1882,10315,1882,10315,1877m10315,1438l10255,1438,10255,1443,10315,1443,10315,1438m10315,999l10255,999,10255,1004,10315,1004,10315,999m10315,558l10255,558,10255,563,10315,563,10315,558m10315,119l10255,119,10255,124,10315,124,10315,119e" filled="true" fillcolor="#000000" stroked="false">
              <v:path arrowok="t"/>
              <v:fill type="solid"/>
            </v:shape>
            <v:line style="position:absolute" from="6305,3638" to="10255,3638" stroked="true" strokeweight=".23999pt" strokecolor="#000000">
              <v:stroke dashstyle="solid"/>
            </v:line>
            <v:shape style="position:absolute;left:6302;top:3577;width:3605;height:60" coordorigin="6302,3578" coordsize="3605,60" path="m6307,3578l6302,3578,6302,3638,6307,3638,6307,3578m6907,3578l6902,3578,6902,3638,6907,3638,6907,3578m7507,3578l7502,3578,7502,3638,7507,3638,7507,3578m8107,3578l8102,3578,8102,3638,8107,3638,8107,3578m8707,3578l8702,3578,8702,3638,8707,3638,8707,3578m9307,3578l9302,3578,9302,3638,9307,3638,9307,3578m9907,3578l9902,3578,9902,3638,9907,3638,9907,3578e" filled="true" fillcolor="#000000" stroked="false">
              <v:path arrowok="t"/>
              <v:fill type="solid"/>
            </v:shape>
            <v:shape style="position:absolute;left:6303;top:658;width:3959;height:3220" coordorigin="6304,659" coordsize="3959,3220" path="m9037,2619l8998,2619,9048,3059,9072,3239,9097,3339,9148,3659,9150,3659,9175,3699,9174,3699,9199,3779,9223,3879,9259,3879,9272,3859,9224,3859,9249,3820,9236,3779,9211,3679,9210,3679,9185,3639,9187,3639,9162,3499,9137,3339,9112,3219,9088,3059,9037,2619xm9406,3859l9305,3859,9330,3879,9382,3879,9406,3859xm9249,3820l9224,3859,9260,3859,9249,3820xm9274,3780l9249,3820,9260,3859,9272,3859,9290,3830,9274,3780xm9308,3759l9278,3759,9275,3779,9274,3779,9310,3799,9290,3830,9299,3859,9354,3859,9354,3858,9354,3858,9330,3839,9336,3839,9311,3779,9308,3759xm9355,3858l9354,3859,9355,3859,9355,3858xm9410,3819l9382,3819,9378,3839,9355,3858,9355,3859,9434,3859,9444,3839,9400,3839,9410,3819xm9367,3839l9342,3839,9355,3858,9367,3839xm9481,3739l9450,3739,9400,3839,9416,3819,9455,3819,9469,3791,9454,3779,9485,3759,9504,3759,9505,3758,9481,3739xm9455,3819l9416,3819,9400,3839,9444,3839,9455,3819xm9274,3779l9274,3780,9290,3830,9310,3799,9274,3779xm9630,3759l9485,3759,9469,3791,9479,3799,9532,3799,9542,3790,9528,3779,9606,3779,9630,3759xm9606,3779l9556,3779,9542,3790,9553,3799,9581,3799,9606,3779xm9485,3759l9454,3779,9469,3791,9485,3759xm9556,3779l9528,3779,9542,3790,9556,3779xm9274,3779l9274,3780,9274,3779,9274,3779xm9505,3758l9504,3759,9506,3759,9505,3758xm9556,3739l9528,3739,9505,3758,9506,3759,9553,3759,9567,3748,9556,3739xm9567,3748l9553,3759,9581,3759,9567,3748xm9704,3639l9674,3639,9650,3679,9625,3719,9605,3719,9578,3739,9567,3748,9581,3759,9656,3759,9660,3739,9685,3699,9700,3675,9679,3659,9730,3659,9704,3639xm10081,3579l10004,3579,9995,3594,10009,3619,10050,3619,10075,3659,10080,3659,10105,3679,10128,3699,10124,3699,10150,3739,10153,3759,10180,3759,10205,3739,10207,3719,10154,3719,10174,3703,10159,3679,10156,3679,10105,3639,10110,3639,10085,3599,10081,3579xm9730,3659l9709,3659,9700,3675,9730,3699,9733,3719,9751,3719,9756,3699,9760,3699,9772,3679,9725,3679,9735,3663,9730,3659xm10174,3703l10154,3719,10184,3719,10174,3703xm10235,3679l10217,3699,10180,3699,10174,3703,10184,3719,10210,3719,10235,3679xm10262,3659l10200,3659,10175,3699,10217,3699,10235,3679,10262,3679,10262,3659xm10262,3679l10235,3679,10222,3699,10254,3699,10262,3679xm9735,3663l9725,3679,9755,3679,9735,3663xm9806,3639l9750,3639,9735,3663,9755,3679,9772,3679,9785,3659,9781,3659,9806,3639xm9709,3659l9679,3659,9700,3675,9709,3659xm9694,3619l9689,3619,9683,3639,9700,3639,9694,3619xm9850,3519l9802,3519,9774,3619,9779,3619,9754,3639,9811,3639,9831,3559,9817,3559,9836,3539,9858,3539,9850,3519xm9992,3599l9980,3599,9960,3615,9974,3639,10004,3639,10030,3619,9979,3619,9992,3599xm9982,3559l9955,3559,9943,3569,9955,3579,9878,3579,9904,3599,9930,3619,9955,3619,9960,3615,9950,3599,9992,3599,9995,3594,9985,3579,9982,3559xm9995,3594l9979,3619,10009,3619,9995,3594xm9980,3599l9950,3599,9960,3615,9980,3599xm9884,3499l9854,3499,9829,3519,9850,3519,9880,3539,9863,3552,9875,3579,9930,3579,9943,3569,9931,3559,9910,3559,9884,3499xm9943,3569l9930,3579,9955,3579,9943,3569xm9836,3539l9817,3559,9831,3559,9836,3539xm9858,3539l9836,3539,9831,3559,9854,3559,9863,3552,9858,3539xm9906,3539l9910,3559,9931,3559,9906,3539xm9850,3519l9863,3552,9880,3539,9850,3519xm8773,1179l8761,1179,8749,1217,8750,1219,8749,1219,8773,1279,8797,1379,8848,1699,8898,2099,8923,2179,8947,2359,8972,2559,8974,2559,8999,2619,9036,2619,9036,2599,9011,2539,9012,2539,8987,2339,8960,2179,8938,2079,8912,1879,8887,1699,8837,1379,8810,1259,8786,1199,8785,1199,8773,1179xm6325,1679l6304,1679,6304,1699,6306,1719,6329,1719,6322,1699,6323,1699,6325,1679xm6480,1259l6400,1259,6397,1279,6373,1399,6348,1499,6323,1699,6322,1699,6329,1719,6350,1719,6361,1699,6361,1679,6365,1679,6388,1499,6410,1419,6433,1299,6416,1299,6437,1279,6467,1279,6480,1259xm6361,1699l6350,1719,6353,1719,6361,1699xm6365,1679l6361,1679,6361,1699,6362,1699,6365,1679xm6717,1476l6697,1599,6698,1619,6734,1619,6737,1599,6717,1476xm6661,1279l6624,1279,6655,1299,6635,1315,6649,1359,6673,1459,6697,1599,6717,1476,6710,1439,6686,1359,6661,1279xm6806,1399l6750,1399,6725,1439,6722,1439,6717,1476,6737,1599,6762,1459,6760,1459,6785,1419,6781,1419,6806,1399xm6876,1376l6898,1479,6900,1479,6906,1499,6930,1499,6935,1479,6947,1459,6900,1459,6925,1419,6927,1419,6917,1379,6880,1379,6876,1376xm6927,1419l6925,1419,6900,1459,6937,1459,6927,1419xm6954,1419l6927,1419,6937,1459,6947,1459,6960,1439,6955,1439,6967,1430,6954,1419xm7006,1439l6984,1439,6991,1459,7006,1439xm7036,1219l6997,1219,6976,1386,6982,1399,7006,1419,6980,1419,6967,1430,6978,1439,7012,1439,7027,1319,7026,1319,7024,1299,6998,1239,7042,1239,7036,1219xm6980,1419l6954,1419,6967,1430,6980,1419xm6973,1379l6962,1379,6955,1399,6930,1419,6972,1419,6976,1386,6973,1379xm6976,1386l6972,1419,7006,1419,6982,1399,6976,1386xm6779,1359l6754,1399,6810,1399,6823,1379,6775,1379,6779,1359xm6832,1319l6804,1319,6800,1339,6775,1379,6823,1379,6824,1376,6804,1359,6908,1359,6905,1339,6829,1339,6843,1328,6832,1319xm6854,1359l6835,1359,6824,1376,6828,1379,6854,1379,6867,1369,6854,1359xm6874,1363l6873,1364,6876,1376,6880,1379,6874,1363xm6912,1359l6880,1359,6874,1363,6880,1379,6917,1379,6912,1359xm6873,1364l6867,1369,6876,1376,6873,1364xm6835,1359l6804,1359,6824,1376,6835,1359xm6872,1359l6854,1359,6867,1369,6873,1364,6872,1359xm6872,1359l6873,1364,6874,1363,6872,1359xm6880,1359l6872,1359,6874,1363,6880,1359xm6660,1259l6630,1259,6592,1289,6605,1299,6550,1299,6554,1319,6580,1339,6605,1339,6635,1315,6624,1279,6661,1279,6660,1259xm6843,1328l6829,1339,6856,1339,6843,1328xm6880,1319l6854,1319,6843,1328,6856,1339,6905,1339,6880,1319xm7037,1239l6998,1239,7024,1299,7026,1319,7027,1319,7037,1239xm7042,1239l7037,1239,7027,1319,7082,1319,7086,1299,7049,1299,7052,1289,7042,1279,7054,1279,7042,1239xm8141,1233l8124,1299,8128,1319,8159,1319,8164,1299,8161,1299,8141,1233xm6624,1279l6635,1315,6655,1299,6624,1279xm6437,1279l6416,1299,6433,1299,6437,1279xm6467,1279l6437,1279,6433,1299,6455,1299,6467,1279xm6560,1219l6504,1219,6528,1239,6523,1239,6548,1299,6580,1299,6584,1295,6560,1219xm6584,1295l6580,1299,6586,1299,6584,1295xm6584,1295l6584,1295,6586,1299,6584,1295xm6592,1289l6584,1295,6586,1299,6605,1299,6592,1289xm7052,1289l7049,1299,7055,1292,7052,1289xm7055,1292l7049,1299,7061,1299,7055,1292xm7058,1289l7055,1292,7061,1299,7058,1289xm7094,1279l7067,1279,7058,1289,7058,1289,7061,1299,7086,1299,7094,1279xm8099,1239l8124,1299,8134,1259,8117,1259,8099,1239xm8176,1179l8168,1179,8162,1199,8149,1199,8141,1233,8161,1299,8164,1299,8181,1239,8178,1239,8154,1219,8206,1219,8182,1199,8176,1179xm8273,1219l8234,1219,8260,1259,8224,1278,8225,1279,8230,1299,8254,1299,8260,1279,8262,1279,8273,1219xm6580,1279l6584,1295,6592,1289,6580,1279xm7055,1280l7052,1289,7055,1292,7058,1289,7055,1280xm7054,1279l7042,1279,7052,1289,7055,1280,7054,1279xm7103,1219l7074,1219,7055,1280,7058,1289,7067,1279,7094,1279,7103,1259,7098,1259,7099,1254,7079,1239,7101,1239,7103,1219xm7055,1279l7054,1279,7055,1280,7055,1279xm7143,1219l7106,1219,7132,1239,7104,1255,7103,1258,7104,1259,7110,1279,7132,1279,7136,1259,7138,1259,7143,1219xm8035,1199l7980,1199,8005,1219,8000,1219,8024,1259,8028,1279,8051,1279,8058,1259,8060,1259,8069,1239,8023,1239,8038,1203,8035,1199xm8223,1276l8222,1279,8224,1278,8223,1276xm8606,1079l8579,1079,8571,1085,8585,1119,8656,1119,8650,1124,8674,1219,8675,1219,8700,1259,8704,1279,8728,1279,8735,1259,8736,1259,8742,1239,8699,1239,8711,1201,8710,1199,8711,1199,8686,1119,8683,1099,8604,1099,8617,1088,8606,1079xm8287,1139l8248,1139,8223,1276,8224,1278,8260,1259,8234,1219,8273,1219,8287,1139xm8200,1239l8223,1276,8226,1259,8216,1259,8200,1239xm6506,1139l6482,1139,6475,1159,6474,1159,6449,1239,6455,1239,6430,1259,6486,1259,6499,1217,6475,1179,6523,1179,6510,1159,6506,1139xm7099,1254l7098,1259,7101,1257,7099,1254xm7101,1257l7098,1259,7103,1259,7103,1258,7101,1257xm8099,1239l8078,1239,8086,1259,8107,1259,8099,1239xm8097,1199l8086,1199,8071,1233,8075,1239,8099,1239,8117,1259,8134,1259,8141,1233,8136,1219,8110,1219,8097,1199xm8200,1239l8182,1239,8186,1259,8212,1259,8200,1239xm8233,1219l8186,1219,8181,1239,8200,1239,8216,1259,8226,1259,8233,1219xm7104,1255l7101,1257,7103,1258,7104,1255xm7256,759l7199,759,7174,819,7172,839,7122,1079,7099,1254,7101,1257,7104,1255,7111,1239,7132,1239,7106,1219,7143,1219,7162,1079,7187,979,7212,839,7211,839,7236,779,7231,779,7256,759xm7132,1239l7111,1239,7104,1255,7132,1239xm7101,1239l7079,1239,7099,1254,7101,1239xm8038,1203l8023,1239,8059,1239,8038,1203xm8084,1179l8048,1179,8038,1203,8059,1239,8069,1239,8071,1233,8050,1199,8097,1199,8084,1179xm8186,1219l8154,1219,8178,1239,8181,1239,8186,1219xm8711,1201l8699,1239,8735,1239,8711,1201xm8756,1139l8732,1139,8725,1159,8724,1159,8711,1201,8735,1239,8742,1239,8749,1217,8725,1179,8773,1179,8760,1159,8756,1139xm8086,1199l8050,1199,8071,1233,8086,1199xm6523,1179l6511,1179,6499,1217,6500,1219,6556,1219,6532,1199,6535,1199,6523,1179xm6511,1179l6475,1179,6499,1217,6511,1179xm8761,1179l8725,1179,8749,1217,8761,1179xm7985,1139l7949,1139,7949,1159,7950,1159,7975,1199,8030,1199,8005,1179,8010,1179,7985,1139xm8072,1159l8058,1159,8051,1179,8081,1179,8072,1159xm8382,1059l8276,1059,8274,1079,8249,1139,8287,1139,8286,1159,8305,1099,8292,1099,8311,1079,8380,1079,8382,1059xm7962,999l7930,999,7905,1018,7906,1019,7955,1019,7930,1039,7928,1046,7948,1139,7987,1139,7962,999xm8525,1079l8550,1139,8581,1139,8593,1130,8579,1119,8585,1119,8554,1099,8542,1099,8525,1079xm8628,1119l8606,1119,8593,1130,8604,1139,8632,1139,8642,1130,8628,1119xm8650,1124l8642,1130,8653,1139,8650,1124xm8648,1119l8628,1119,8642,1130,8650,1124,8648,1119xm8606,1119l8579,1119,8593,1130,8606,1119xm8648,1119l8650,1124,8650,1124,8648,1119xm8656,1119l8648,1119,8650,1124,8656,1119xm8571,1085l8554,1099,8585,1119,8571,1085xm8311,1079l8292,1099,8305,1099,8311,1079xm8380,1079l8311,1079,8305,1099,8354,1099,8380,1079xm8417,1019l8410,1019,8388,1053,8399,1079,8401,1099,8431,1099,8435,1079,8435,1078,8400,1059,8420,1027,8417,1019xm8482,1039l8460,1039,8444,1064,8454,1079,8478,1099,8533,1099,8525,1079,8568,1079,8560,1059,8506,1059,8482,1039xm8568,1079l8525,1079,8542,1099,8554,1099,8571,1085,8568,1079xm8617,1088l8604,1099,8632,1099,8617,1088xm8656,1079l8628,1079,8617,1088,8632,1099,8681,1099,8656,1079xm8436,1078l8435,1078,8436,1079,8436,1078xm8420,1027l8400,1059,8435,1078,8436,1078,8420,1027xm8456,1019l8425,1019,8420,1027,8436,1078,8444,1064,8429,1039,8482,1039,8456,1019xm8460,1039l8429,1039,8444,1064,8460,1039xm7922,1019l7854,1019,7878,1039,7882,1059,7926,1059,7928,1046,7922,1019xm8411,999l8375,999,8350,1039,8354,1039,8329,1059,8384,1059,8388,1053,8374,1019,8417,1019,8411,999xm8410,1019l8374,1019,8388,1053,8410,1019xm7955,1019l7922,1019,7928,1046,7930,1039,7955,1019xm7854,1019l7826,1019,7835,1039,7867,1039,7854,1019xm7836,939l7754,939,7780,959,7799,959,7824,1019,7904,1019,7905,1018,7882,999,7861,999,7836,939xm7905,1018l7904,1019,7906,1019,7905,1018xm7484,819l7454,819,7450,823,7459,839,7448,839,7480,859,7459,875,7476,939,7511,939,7518,919,7474,919,7493,864,7486,839,7484,819xm7744,739l7730,739,7707,758,7723,799,7722,799,7747,919,7748,939,7805,939,7792,919,7787,919,7780,899,7783,899,7762,779,7760,779,7744,739xm7785,907l7787,919,7792,919,7805,939,7785,907xm7825,919l7792,919,7805,939,7832,939,7825,919xm7493,864l7474,919,7511,919,7493,864xm7562,779l7524,779,7493,864,7511,919,7518,919,7539,862,7523,799,7567,799,7562,779xm7567,799l7561,799,7539,862,7548,899,7550,919,7585,919,7593,899,7550,899,7574,839,7575,839,7567,799xm7780,899l7787,919,7785,907,7780,899xm7783,899l7780,899,7785,907,7783,899xm7575,839l7574,839,7550,899,7588,899,7584,883,7579,879,7583,876,7575,839xm7584,883l7588,899,7593,899,7596,892,7584,883xm7667,839l7630,839,7625,855,7630,859,7609,859,7596,892,7604,899,7630,899,7655,879,7658,879,7661,859,7667,839xm7609,859l7583,876,7584,883,7596,892,7609,859xm7583,876l7579,879,7584,883,7583,876xm7399,719l7360,719,7359,720,7374,779,7375,779,7400,819,7424,859,7427,879,7454,879,7459,875,7448,839,7429,839,7450,823,7435,799,7410,759,7411,759,7399,719xm7604,839l7575,839,7583,876,7609,859,7604,859,7617,849,7604,839xm7448,839l7459,875,7480,859,7448,839xm7561,799l7523,799,7539,862,7561,799xm7617,849l7604,859,7624,859,7625,855,7617,849xm7625,855l7624,859,7625,855,7625,855xm7625,855l7624,859,7630,859,7625,855xm7630,839l7628,840,7625,855,7625,855,7630,839xm7628,840l7617,849,7625,855,7628,840xm7729,699l7710,699,7705,719,7679,739,7654,759,7649,759,7628,840,7630,839,7667,839,7686,779,7681,779,7707,758,7699,739,7744,739,7736,719,7734,719,7729,699xm7450,823l7429,839,7459,839,7450,823xm7257,719l7232,719,7229,739,7204,759,7286,759,7292,739,7292,739,7249,739,7257,719xm7310,679l7292,739,7298,759,7334,759,7347,739,7300,739,7321,704,7310,679xm7730,739l7699,739,7707,758,7730,739xm7307,659l7276,659,7273,679,7292,739,7310,679,7307,659xm7273,679l7249,739,7267,719,7286,719,7273,679xm7286,719l7267,719,7249,739,7292,739,7286,719xm7321,704l7300,739,7336,739,7321,704xm7385,659l7354,659,7328,679,7327,699,7325,699,7321,704,7336,739,7347,739,7359,720,7359,719,7356,719,7358,717,7349,679,7386,679,7385,659xm7386,679l7349,679,7381,699,7358,717,7359,720,7360,719,7399,719,7386,679xm7349,679l7358,717,7381,699,7349,679xe" filled="true" fillcolor="#0f0080" stroked="false">
              <v:path arrowok="t"/>
              <v:fill type="solid"/>
            </v:shape>
            <v:shape style="position:absolute;left:6302;top:28;width:4013;height:4052" type="#_x0000_t202" filled="false" stroked="false">
              <v:textbox inset="0,0,0,0">
                <w:txbxContent>
                  <w:p>
                    <w:pPr>
                      <w:spacing w:line="240" w:lineRule="auto" w:before="0"/>
                      <w:ind w:left="1724" w:right="256" w:firstLine="0"/>
                      <w:jc w:val="left"/>
                      <w:rPr>
                        <w:sz w:val="20"/>
                      </w:rPr>
                    </w:pPr>
                    <w:r>
                      <w:rPr>
                        <w:sz w:val="20"/>
                      </w:rPr>
                      <w:t>Percentage change on a year earlier</w:t>
                    </w:r>
                  </w:p>
                </w:txbxContent>
              </v:textbox>
              <w10:wrap type="none"/>
            </v:shape>
            <w10:wrap type="none"/>
          </v:group>
        </w:pict>
      </w:r>
      <w:r>
        <w:rPr>
          <w:spacing w:val="-1"/>
        </w:rPr>
        <w:t>16</w:t>
      </w:r>
    </w:p>
    <w:p>
      <w:pPr>
        <w:pStyle w:val="BodyText"/>
        <w:spacing w:before="3"/>
        <w:rPr>
          <w:sz w:val="18"/>
        </w:rPr>
      </w:pPr>
    </w:p>
    <w:p>
      <w:pPr>
        <w:pStyle w:val="BodyText"/>
        <w:ind w:right="709"/>
        <w:jc w:val="right"/>
      </w:pPr>
      <w:r>
        <w:rPr>
          <w:spacing w:val="-1"/>
        </w:rPr>
        <w:t>14</w:t>
      </w:r>
    </w:p>
    <w:p>
      <w:pPr>
        <w:pStyle w:val="BodyText"/>
        <w:spacing w:before="2"/>
        <w:rPr>
          <w:sz w:val="18"/>
        </w:rPr>
      </w:pPr>
    </w:p>
    <w:p>
      <w:pPr>
        <w:pStyle w:val="BodyText"/>
        <w:spacing w:before="1"/>
        <w:ind w:right="709"/>
        <w:jc w:val="right"/>
      </w:pPr>
      <w:r>
        <w:rPr>
          <w:spacing w:val="-1"/>
        </w:rPr>
        <w:t>12</w:t>
      </w:r>
    </w:p>
    <w:p>
      <w:pPr>
        <w:pStyle w:val="BodyText"/>
        <w:spacing w:before="2"/>
        <w:rPr>
          <w:sz w:val="18"/>
        </w:rPr>
      </w:pPr>
    </w:p>
    <w:p>
      <w:pPr>
        <w:pStyle w:val="BodyText"/>
        <w:ind w:right="709"/>
        <w:jc w:val="right"/>
      </w:pPr>
      <w:r>
        <w:rPr>
          <w:spacing w:val="-1"/>
        </w:rPr>
        <w:t>10</w:t>
      </w:r>
    </w:p>
    <w:p>
      <w:pPr>
        <w:pStyle w:val="BodyText"/>
        <w:spacing w:before="3"/>
        <w:rPr>
          <w:sz w:val="18"/>
        </w:rPr>
      </w:pPr>
    </w:p>
    <w:p>
      <w:pPr>
        <w:pStyle w:val="BodyText"/>
        <w:ind w:right="819"/>
        <w:jc w:val="right"/>
      </w:pPr>
      <w:r>
        <w:rPr>
          <w:w w:val="100"/>
        </w:rPr>
        <w:t>8</w:t>
      </w:r>
    </w:p>
    <w:p>
      <w:pPr>
        <w:pStyle w:val="BodyText"/>
        <w:spacing w:before="2"/>
        <w:rPr>
          <w:sz w:val="18"/>
        </w:rPr>
      </w:pPr>
    </w:p>
    <w:p>
      <w:pPr>
        <w:pStyle w:val="BodyText"/>
        <w:ind w:right="819"/>
        <w:jc w:val="right"/>
      </w:pPr>
      <w:r>
        <w:rPr>
          <w:w w:val="100"/>
        </w:rPr>
        <w:t>6</w:t>
      </w:r>
    </w:p>
    <w:p>
      <w:pPr>
        <w:pStyle w:val="BodyText"/>
        <w:spacing w:before="2"/>
        <w:rPr>
          <w:sz w:val="18"/>
        </w:rPr>
      </w:pPr>
    </w:p>
    <w:p>
      <w:pPr>
        <w:pStyle w:val="BodyText"/>
        <w:spacing w:before="1"/>
        <w:ind w:right="819"/>
        <w:jc w:val="right"/>
      </w:pPr>
      <w:r>
        <w:rPr>
          <w:w w:val="100"/>
        </w:rPr>
        <w:t>4</w:t>
      </w:r>
    </w:p>
    <w:p>
      <w:pPr>
        <w:pStyle w:val="BodyText"/>
        <w:spacing w:before="2"/>
        <w:rPr>
          <w:sz w:val="18"/>
        </w:rPr>
      </w:pPr>
    </w:p>
    <w:p>
      <w:pPr>
        <w:pStyle w:val="BodyText"/>
        <w:ind w:right="819"/>
        <w:jc w:val="right"/>
      </w:pPr>
      <w:r>
        <w:rPr>
          <w:w w:val="100"/>
        </w:rPr>
        <w:t>2</w:t>
      </w:r>
    </w:p>
    <w:p>
      <w:pPr>
        <w:pStyle w:val="BodyText"/>
        <w:spacing w:before="3"/>
        <w:rPr>
          <w:sz w:val="18"/>
        </w:rPr>
      </w:pPr>
    </w:p>
    <w:p>
      <w:pPr>
        <w:pStyle w:val="BodyText"/>
        <w:ind w:right="819"/>
        <w:jc w:val="right"/>
      </w:pPr>
      <w:r>
        <w:rPr>
          <w:w w:val="100"/>
        </w:rPr>
        <w:t>0</w:t>
      </w:r>
    </w:p>
    <w:p>
      <w:pPr>
        <w:pStyle w:val="BodyText"/>
        <w:spacing w:before="2"/>
        <w:rPr>
          <w:sz w:val="18"/>
        </w:rPr>
      </w:pPr>
    </w:p>
    <w:p>
      <w:pPr>
        <w:pStyle w:val="BodyText"/>
        <w:spacing w:before="1"/>
        <w:ind w:right="753"/>
        <w:jc w:val="right"/>
      </w:pPr>
      <w:r>
        <w:rPr>
          <w:spacing w:val="-1"/>
        </w:rPr>
        <w:t>-2</w:t>
      </w:r>
    </w:p>
    <w:p>
      <w:pPr>
        <w:spacing w:after="0"/>
        <w:jc w:val="right"/>
        <w:sectPr>
          <w:type w:val="continuous"/>
          <w:pgSz w:w="11900" w:h="16840"/>
          <w:pgMar w:top="900" w:bottom="280" w:left="660" w:right="540"/>
          <w:cols w:num="3" w:equalWidth="0">
            <w:col w:w="4676" w:space="160"/>
            <w:col w:w="447" w:space="39"/>
            <w:col w:w="5378"/>
          </w:cols>
        </w:sectPr>
      </w:pPr>
    </w:p>
    <w:p>
      <w:pPr>
        <w:pStyle w:val="BodyText"/>
        <w:tabs>
          <w:tab w:pos="996" w:val="left" w:leader="none"/>
          <w:tab w:pos="1716" w:val="left" w:leader="none"/>
          <w:tab w:pos="2435" w:val="left" w:leader="none"/>
          <w:tab w:pos="3155" w:val="left" w:leader="none"/>
          <w:tab w:pos="3877" w:val="left" w:leader="none"/>
          <w:tab w:pos="4597" w:val="left" w:leader="none"/>
        </w:tabs>
        <w:spacing w:before="54"/>
        <w:ind w:left="274"/>
      </w:pPr>
      <w:r>
        <w:rPr/>
        <w:t>2007</w:t>
        <w:tab/>
        <w:t>2008</w:t>
        <w:tab/>
        <w:t>2009</w:t>
        <w:tab/>
        <w:t>2010</w:t>
        <w:tab/>
        <w:t>2011</w:t>
        <w:tab/>
        <w:t>2012</w:t>
        <w:tab/>
        <w:t>2013</w:t>
      </w:r>
    </w:p>
    <w:p>
      <w:pPr>
        <w:spacing w:before="119"/>
        <w:ind w:left="155" w:right="0" w:firstLine="0"/>
        <w:jc w:val="left"/>
        <w:rPr>
          <w:sz w:val="16"/>
        </w:rPr>
      </w:pPr>
      <w:r>
        <w:rPr>
          <w:sz w:val="16"/>
        </w:rPr>
        <w:t>Source: Bank of England.</w:t>
      </w:r>
    </w:p>
    <w:p>
      <w:pPr>
        <w:spacing w:line="237" w:lineRule="auto" w:before="2"/>
        <w:ind w:left="515" w:right="40" w:hanging="360"/>
        <w:jc w:val="left"/>
        <w:rPr>
          <w:sz w:val="16"/>
        </w:rPr>
      </w:pPr>
      <w:r>
        <w:rPr>
          <w:sz w:val="18"/>
        </w:rPr>
        <w:t>(a) </w:t>
      </w:r>
      <w:r>
        <w:rPr>
          <w:sz w:val="16"/>
        </w:rPr>
        <w:t>Weighted responses of lenders. Changes over the past three months. A positive balance indicates that more (less) credit was available or that spreads over reference rates had fallen (risen) over the past three months. The diamonds show lenders’ expectations for the next three months, reported in the 2012 Q4 survey.</w:t>
      </w:r>
    </w:p>
    <w:p>
      <w:pPr>
        <w:pStyle w:val="BodyText"/>
        <w:rPr>
          <w:sz w:val="18"/>
        </w:rPr>
      </w:pPr>
    </w:p>
    <w:p>
      <w:pPr>
        <w:pStyle w:val="Heading1"/>
        <w:ind w:left="155"/>
      </w:pPr>
      <w:r>
        <w:rPr/>
        <w:t>Chart 9: UK CPI</w:t>
      </w:r>
    </w:p>
    <w:p>
      <w:pPr>
        <w:pStyle w:val="BodyText"/>
        <w:spacing w:before="72"/>
        <w:ind w:left="1169"/>
      </w:pPr>
      <w:r>
        <w:rPr/>
        <w:t>Percentage change on a year earlier</w:t>
      </w:r>
    </w:p>
    <w:p>
      <w:pPr>
        <w:pStyle w:val="BodyText"/>
        <w:spacing w:line="224" w:lineRule="exact"/>
        <w:ind w:left="187"/>
      </w:pPr>
      <w:r>
        <w:rPr/>
        <w:br w:type="column"/>
      </w:r>
      <w:r>
        <w:rPr/>
        <w:t>2000 2002 2004 2006 2008 2010 2012</w:t>
      </w:r>
    </w:p>
    <w:p>
      <w:pPr>
        <w:spacing w:line="184" w:lineRule="exact" w:before="180"/>
        <w:ind w:left="156" w:right="0" w:firstLine="0"/>
        <w:jc w:val="left"/>
        <w:rPr>
          <w:sz w:val="16"/>
        </w:rPr>
      </w:pPr>
      <w:r>
        <w:rPr>
          <w:sz w:val="16"/>
        </w:rPr>
        <w:t>Source: Bank of England.</w:t>
      </w:r>
    </w:p>
    <w:p>
      <w:pPr>
        <w:spacing w:before="0"/>
        <w:ind w:left="515" w:right="90" w:hanging="360"/>
        <w:jc w:val="left"/>
        <w:rPr>
          <w:sz w:val="16"/>
        </w:rPr>
      </w:pPr>
      <w:r>
        <w:rPr>
          <w:color w:val="231F20"/>
          <w:sz w:val="16"/>
        </w:rPr>
        <w:t>(a) Sterling loans by UK-resident monetary financial institutions (MFIs) and related specialist mortgage lenders excluding the effects of securitisations and loan transfers. Non-seasonally adjusted.</w:t>
      </w:r>
    </w:p>
    <w:p>
      <w:pPr>
        <w:pStyle w:val="BodyText"/>
        <w:rPr>
          <w:sz w:val="18"/>
        </w:rPr>
      </w:pPr>
    </w:p>
    <w:p>
      <w:pPr>
        <w:pStyle w:val="BodyText"/>
        <w:rPr>
          <w:sz w:val="18"/>
        </w:rPr>
      </w:pPr>
    </w:p>
    <w:p>
      <w:pPr>
        <w:pStyle w:val="BodyText"/>
        <w:rPr>
          <w:sz w:val="18"/>
        </w:rPr>
      </w:pPr>
    </w:p>
    <w:p>
      <w:pPr>
        <w:pStyle w:val="Heading1"/>
        <w:spacing w:before="151"/>
      </w:pPr>
      <w:r>
        <w:rPr/>
        <w:pict>
          <v:group style="position:absolute;margin-left:304.5pt;margin-top:18.945810pt;width:250.75pt;height:223.15pt;mso-position-horizontal-relative:page;mso-position-vertical-relative:paragraph;z-index:251681792" coordorigin="6090,379" coordsize="5015,4463">
            <v:line style="position:absolute" from="6456,2655" to="6456,3951" stroked="true" strokeweight="2.16pt" strokecolor="#8091de">
              <v:stroke dashstyle="solid"/>
            </v:line>
            <v:shape style="position:absolute;left:6567;top:2684;width:773;height:1266" coordorigin="6567,2685" coordsize="773,1266" path="m6567,2789l6567,3951m6677,2748l6677,3951m6788,2685l6788,3951m6898,2746l6898,3951m7009,2743l7009,3951m7119,2844l7119,3951m7229,2833l7229,3951m7340,2831l7340,3951e" filled="false" stroked="true" strokeweight="2.220pt" strokecolor="#8091de">
              <v:path arrowok="t"/>
              <v:stroke dashstyle="solid"/>
            </v:shape>
            <v:line style="position:absolute" from="7451,2788" to="7451,3951" stroked="true" strokeweight="2.16pt" strokecolor="#8091de">
              <v:stroke dashstyle="solid"/>
            </v:line>
            <v:shape style="position:absolute;left:7561;top:2351;width:884;height:1600" coordorigin="7562,2351" coordsize="884,1600" path="m7562,2751l7562,3951m7672,2734l7672,3951m7783,2626l7783,3951m7893,2508l7893,3951m8003,2634l8003,3951m8114,2351l8114,3951m8224,2446l8224,3951m8335,2682l8335,3951m8445,2555l8445,3951e" filled="false" stroked="true" strokeweight="2.220pt" strokecolor="#8091de">
              <v:path arrowok="t"/>
              <v:stroke dashstyle="solid"/>
            </v:shape>
            <v:line style="position:absolute" from="8556,2554" to="8556,3951" stroked="true" strokeweight="2.16pt" strokecolor="#8091de">
              <v:stroke dashstyle="solid"/>
            </v:line>
            <v:shape style="position:absolute;left:8667;top:2455;width:773;height:1496" coordorigin="8667,2455" coordsize="773,1496" path="m8667,2455l8667,3951m8777,2482l8777,3951m8888,2513l8888,3951m8998,2641l8998,3951m9109,2836l9109,3951m9219,2887l9219,3951m9329,2859l9329,3951m9440,3083l9440,3951e" filled="false" stroked="true" strokeweight="2.220pt" strokecolor="#8091de">
              <v:path arrowok="t"/>
              <v:stroke dashstyle="solid"/>
            </v:shape>
            <v:shape style="position:absolute;left:9550;top:3033;width:111;height:917" coordorigin="9551,3034" coordsize="111,917" path="m9551,3034l9551,3951m9661,3094l9661,3951e" filled="false" stroked="true" strokeweight="2.16pt" strokecolor="#8091de">
              <v:path arrowok="t"/>
              <v:stroke dashstyle="solid"/>
            </v:shape>
            <v:shape style="position:absolute;left:9772;top:2979;width:773;height:971" coordorigin="9772,2980" coordsize="773,971" path="m9772,2980l9772,3951m9883,3075l9883,3951m9993,3051l9993,3951m10103,2986l10103,3951m10214,2999l10214,3951m10324,3114l10324,3951m10435,3123l10435,3951m10545,3136l10545,3951e" filled="false" stroked="true" strokeweight="2.220pt" strokecolor="#8091de">
              <v:path arrowok="t"/>
              <v:stroke dashstyle="solid"/>
            </v:shape>
            <v:line style="position:absolute" from="10656,3117" to="10656,3951" stroked="true" strokeweight="2.16pt" strokecolor="#8091de">
              <v:stroke dashstyle="solid"/>
            </v:line>
            <v:rect style="position:absolute;left:6434;top:3950;width:44;height:116" filled="true" fillcolor="#f0ab00" stroked="false">
              <v:fill type="solid"/>
            </v:rect>
            <v:line style="position:absolute" from="6567,3951" to="6567,4108" stroked="true" strokeweight="2.220pt" strokecolor="#f0ab00">
              <v:stroke dashstyle="solid"/>
            </v:line>
            <v:shape style="position:absolute;left:6655;top:2414;width:1371;height:1625" coordorigin="6655,2415" coordsize="1371,1625" path="m6700,3951l6655,3951,6655,4039,6700,4039,6700,3951m6810,3951l6766,3951,6766,4018,6810,4018,6810,3951m6920,3951l6876,3951,6876,3997,6920,3997,6920,3951m7031,3951l6986,3951,6986,4011,7031,4011,7031,3951m7141,3951l7097,3951,7097,3996,7141,3996,7141,3951m7252,3951l7207,3951,7207,4006,7252,4006,7252,3951m7362,3951l7318,3951,7318,4005,7362,4005,7362,3951m7472,3951l7429,3951,7429,4003,7472,4003,7472,3951m7584,3951l7540,3951,7540,4003,7584,4003,7584,3951m7694,2697l7650,2697,7650,2734,7694,2734,7694,2697m7805,2595l7760,2595,7760,2626,7805,2626,7805,2595m7915,2415l7871,2415,7871,2508,7915,2508,7915,2415m8026,2527l7981,2527,7981,2634,8026,2634,8026,2527e" filled="true" fillcolor="#f0ab00" stroked="false">
              <v:path arrowok="t"/>
              <v:fill type="solid"/>
            </v:shape>
            <v:shape style="position:absolute;left:8113;top:2207;width:332;height:476" coordorigin="8114,2207" coordsize="332,476" path="m8114,2207l8114,2351m8224,2309l8224,2446m8335,2539l8335,2682m8445,2413l8445,2555e" filled="false" stroked="true" strokeweight="2.220pt" strokecolor="#f0ab00">
              <v:path arrowok="t"/>
              <v:stroke dashstyle="solid"/>
            </v:shape>
            <v:line style="position:absolute" from="8556,2388" to="8556,2554" stroked="true" strokeweight="2.16pt" strokecolor="#f0ab00">
              <v:stroke dashstyle="solid"/>
            </v:line>
            <v:shape style="position:absolute;left:8667;top:2057;width:773;height:1026" coordorigin="8667,2057" coordsize="773,1026" path="m8667,2064l8667,2455m8777,2057l8777,2482m8888,2069l8888,2513m8998,2289l8998,2641m9109,2499l9109,2836m9219,2593l9219,2887m9329,2601l9329,2859m9440,2842l9440,3083e" filled="false" stroked="true" strokeweight="2.220pt" strokecolor="#f0ab00">
              <v:path arrowok="t"/>
              <v:stroke dashstyle="solid"/>
            </v:shape>
            <v:shape style="position:absolute;left:9550;top:2795;width:111;height:299" coordorigin="9551,2795" coordsize="111,299" path="m9551,2795l9551,3034m9661,2868l9661,3094e" filled="false" stroked="true" strokeweight="2.16pt" strokecolor="#f0ab00">
              <v:path arrowok="t"/>
              <v:stroke dashstyle="solid"/>
            </v:shape>
            <v:shape style="position:absolute;left:9772;top:2749;width:111;height:326" coordorigin="9772,2749" coordsize="111,326" path="m9772,2749l9772,2980m9883,2860l9883,3075e" filled="false" stroked="true" strokeweight="2.220pt" strokecolor="#f0ab00">
              <v:path arrowok="t"/>
              <v:stroke dashstyle="solid"/>
            </v:shape>
            <v:shape style="position:absolute;left:9970;top:2987;width:486;height:998" coordorigin="9971,2987" coordsize="486,998" path="m10015,3047l9971,3047,9971,3051,10015,3051,10015,3047m10126,3951l10081,3951,10081,3984,10126,3984,10126,3951m10236,3951l10192,3951,10192,3965,10236,3965,10236,3951m10346,2987l10302,2987,10302,3114,10346,3114,10346,2987m10457,2998l10412,2998,10412,3123,10457,3123,10457,2998e" filled="true" fillcolor="#f0ab00" stroked="false">
              <v:path arrowok="t"/>
              <v:fill type="solid"/>
            </v:shape>
            <v:line style="position:absolute" from="10545,2957" to="10545,3136" stroked="true" strokeweight="2.220pt" strokecolor="#f0ab00">
              <v:stroke dashstyle="solid"/>
            </v:line>
            <v:line style="position:absolute" from="10656,2925" to="10656,3117" stroked="true" strokeweight="2.16pt" strokecolor="#f0ab00">
              <v:stroke dashstyle="solid"/>
            </v:line>
            <v:line style="position:absolute" from="6456,2227" to="6456,2655" stroked="true" strokeweight="2.16pt" strokecolor="#c00000">
              <v:stroke dashstyle="solid"/>
            </v:line>
            <v:shape style="position:absolute;left:6567;top:2229;width:773;height:615" coordorigin="6567,2230" coordsize="773,615" path="m6567,2404l6567,2789m6677,2320l6677,2748m6788,2230l6788,2685m6898,2331l6898,2746m7009,2441l7009,2743m7119,2569l7119,2844m7229,2601l7229,2833m7340,2659l7340,2831e" filled="false" stroked="true" strokeweight="2.220pt" strokecolor="#c00000">
              <v:path arrowok="t"/>
              <v:stroke dashstyle="solid"/>
            </v:shape>
            <v:line style="position:absolute" from="7451,2566" to="7451,2788" stroked="true" strokeweight="2.16pt" strokecolor="#c00000">
              <v:stroke dashstyle="solid"/>
            </v:line>
            <v:shape style="position:absolute;left:7561;top:1940;width:884;height:810" coordorigin="7562,1941" coordsize="884,810" path="m7562,2548l7562,2751m7672,2440l7672,2697m7783,2285l7783,2595m7893,2093l7893,2415m8003,2202l8003,2527m8114,1941l8114,2207m8224,2022l8224,2309m8335,2227l8335,2539m8445,2103l8445,2413e" filled="false" stroked="true" strokeweight="2.220pt" strokecolor="#c00000">
              <v:path arrowok="t"/>
              <v:stroke dashstyle="solid"/>
            </v:shape>
            <v:line style="position:absolute" from="8556,2041" to="8556,2388" stroked="true" strokeweight="2.16pt" strokecolor="#c00000">
              <v:stroke dashstyle="solid"/>
            </v:line>
            <v:shape style="position:absolute;left:8667;top:1704;width:332;height:585" coordorigin="8667,1704" coordsize="332,585" path="m8667,1704l8667,2064m8777,1741l8777,2057m8888,1799l8888,2069m8998,2093l8998,2289e" filled="false" stroked="true" strokeweight="2.220pt" strokecolor="#c00000">
              <v:path arrowok="t"/>
              <v:stroke dashstyle="solid"/>
            </v:shape>
            <v:shape style="position:absolute;left:9086;top:2384;width:1592;height:1611" coordorigin="9086,2385" coordsize="1592,1611" path="m9131,2385l9086,2385,9086,2499,9131,2499,9131,2385m9241,2477l9197,2477,9197,2593,9241,2593,9241,2477m9352,2489l9307,2489,9307,2601,9352,2601,9352,2489m9462,2717l9418,2717,9418,2842,9462,2842,9462,2717m9572,2773l9529,2773,9529,2795,9572,2795,9572,2773m9683,3951l9640,3951,9640,3988,9683,3988,9683,3951m9794,3951l9750,3951,9750,3995,9794,3995,9794,3951m9905,3951l9860,3951,9860,3952,9905,3952,9905,3951m10015,2981l9971,2981,9971,3047,10015,3047,10015,2981m10126,2928l10081,2928,10081,2986,10126,2986,10126,2928m10236,2975l10192,2975,10192,2999,10236,2999,10236,2975m10346,3951l10302,3951,10302,3955,10346,3955,10346,3951m10457,3951l10412,3951,10412,3969,10457,3969,10457,3951m10567,2945l10523,2945,10523,2957,10567,2957,10567,2945m10678,3951l10634,3951,10634,3959,10678,3959,10678,3951e" filled="true" fillcolor="#c00000" stroked="false">
              <v:path arrowok="t"/>
              <v:fill type="solid"/>
            </v:shape>
            <v:shape style="position:absolute;left:6434;top:2102;width:597;height:339" coordorigin="6434,2103" coordsize="597,339" path="m6478,2154l6434,2154,6434,2227,6478,2227,6478,2154m6589,2359l6545,2359,6545,2404,6589,2404,6589,2359m6700,2230l6655,2230,6655,2320,6700,2320,6700,2230m6810,2103l6766,2103,6766,2230,6810,2230,6810,2103m6920,2271l6876,2271,6876,2331,6920,2331,6920,2271m7031,2357l6986,2357,6986,2441,7031,2441,7031,2357e" filled="true" fillcolor="#7ab800" stroked="false">
              <v:path arrowok="t"/>
              <v:fill type="solid"/>
            </v:shape>
            <v:shape style="position:absolute;left:7119;top:2411;width:221;height:249" coordorigin="7119,2411" coordsize="221,249" path="m7119,2421l7119,2569m7229,2411l7229,2601m7340,2423l7340,2659e" filled="false" stroked="true" strokeweight="2.220pt" strokecolor="#7ab800">
              <v:path arrowok="t"/>
              <v:stroke dashstyle="solid"/>
            </v:shape>
            <v:line style="position:absolute" from="7451,2361" to="7451,2566" stroked="true" strokeweight="2.16pt" strokecolor="#7ab800">
              <v:stroke dashstyle="solid"/>
            </v:line>
            <v:shape style="position:absolute;left:7561;top:1767;width:884;height:780" coordorigin="7562,1768" coordsize="884,780" path="m7562,2311l7562,2548m7672,2165l7672,2440m7783,2016l7783,2285m7893,1818l7893,2093m8003,2016l8003,2202m8114,1768l8114,1941m8224,1768l8224,2022m8335,1917l8335,2227m8445,1817l8445,2103e" filled="false" stroked="true" strokeweight="2.220pt" strokecolor="#7ab800">
              <v:path arrowok="t"/>
              <v:stroke dashstyle="solid"/>
            </v:shape>
            <v:line style="position:absolute" from="8556,1768" to="8556,2041" stroked="true" strokeweight="2.16pt" strokecolor="#7ab800">
              <v:stroke dashstyle="solid"/>
            </v:line>
            <v:shape style="position:absolute;left:8667;top:1413;width:773;height:1304" coordorigin="8667,1414" coordsize="773,1304" path="m8667,1414l8667,1704m8777,1517l8777,1741m8888,1615l8888,1799m8998,1913l8998,2093m9109,2211l9109,2385m9219,2309l9219,2477m9329,2260l9329,2489m9440,2507l9440,2717e" filled="false" stroked="true" strokeweight="2.220pt" strokecolor="#7ab800">
              <v:path arrowok="t"/>
              <v:stroke dashstyle="solid"/>
            </v:shape>
            <v:line style="position:absolute" from="9551,2607" to="9551,2773" stroked="true" strokeweight="2.16pt" strokecolor="#7ab800">
              <v:stroke dashstyle="solid"/>
            </v:line>
            <v:shape style="position:absolute;left:9639;top:2661;width:376;height:320" coordorigin="9640,2662" coordsize="376,320" path="m9683,2767l9640,2767,9640,2868,9683,2868,9683,2767m9794,2662l9750,2662,9750,2749,9794,2749,9794,2662m9905,2754l9860,2754,9860,2860,9905,2860,9905,2754m10015,2887l9971,2887,9971,2981,10015,2981,10015,2887e" filled="true" fillcolor="#7ab800" stroked="false">
              <v:path arrowok="t"/>
              <v:fill type="solid"/>
            </v:shape>
            <v:shape style="position:absolute;left:10103;top:2747;width:442;height:251" coordorigin="10103,2747" coordsize="442,251" path="m10103,2765l10103,2928m10214,2783l10214,2975m10324,2793l10324,2987m10435,2781l10435,2998m10545,2747l10545,2945e" filled="false" stroked="true" strokeweight="2.220pt" strokecolor="#7ab800">
              <v:path arrowok="t"/>
              <v:stroke dashstyle="solid"/>
            </v:shape>
            <v:line style="position:absolute" from="10656,2739" to="10656,2925" stroked="true" strokeweight="2.16pt" strokecolor="#7ab800">
              <v:stroke dashstyle="solid"/>
            </v:line>
            <v:shape style="position:absolute;left:6434;top:1371;width:3581;height:1516" coordorigin="6434,1372" coordsize="3581,1516" path="m6478,2099l6434,2099,6434,2154,6478,2154,6478,2099m6589,2305l6545,2305,6545,2359,6589,2359,6589,2305m6700,2176l6655,2176,6655,2230,6700,2230,6700,2176m6810,2049l6766,2049,6766,2103,6810,2103,6810,2049m6920,2218l6876,2218,6876,2271,6920,2271,6920,2218m7031,2304l6986,2304,6986,2357,7031,2357,7031,2304m7141,2368l7097,2368,7097,2421,7141,2421,7141,2368m7252,2358l7207,2358,7207,2411,7252,2411,7252,2358m7362,2359l7318,2359,7318,2423,7362,2423,7362,2359m7472,2310l7429,2310,7429,2361,7472,2361,7472,2310m7584,2261l7540,2261,7540,2311,7584,2311,7584,2261m7694,2116l7650,2116,7650,2165,7694,2165,7694,2116m7805,1967l7760,1967,7760,2016,7805,2016,7805,1967m7915,1768l7871,1768,7871,1818,7915,1818,7915,1768m8026,1967l7981,1967,7981,2016,8026,2016,8026,1967m8136,1719l8092,1719,8092,1768,8136,1768,8136,1719m8246,1719l8202,1719,8202,1768,8246,1768,8246,1719m8357,1867l8312,1867,8312,1917,8357,1917,8357,1867m8467,1768l8423,1768,8423,1817,8467,1817,8467,1768m8578,1719l8534,1719,8534,1768,8578,1768,8578,1719m8689,1372l8645,1372,8645,1414,8689,1414,8689,1372m8800,1470l8755,1470,8755,1517,8800,1517,8800,1470m8910,1570l8866,1570,8866,1615,8910,1615,8910,1570m9020,1867l8976,1867,8976,1913,9020,1913,9020,1867m9131,2165l9086,2165,9086,2211,9131,2211,9131,2165m9241,2265l9197,2265,9197,2309,9241,2309,9241,2265m9352,2214l9307,2214,9307,2260,9352,2260,9352,2214m9462,2463l9418,2463,9418,2507,9462,2507,9462,2463m9572,2562l9529,2562,9529,2607,9572,2607,9572,2562m9683,2723l9640,2723,9640,2767,9683,2767,9683,2723m9794,2617l9750,2617,9750,2662,9794,2662,9794,2617m9905,2710l9860,2710,9860,2754,9905,2754,9905,2710m10015,2860l9971,2860,9971,2887,10015,2887,10015,2860e" filled="true" fillcolor="#165788" stroked="false">
              <v:path arrowok="t"/>
              <v:fill type="solid"/>
            </v:shape>
            <v:shape style="position:absolute;left:10103;top:2562;width:442;height:231" coordorigin="10103,2562" coordsize="442,231" path="m10103,2578l10103,2765m10214,2598l10214,2783m10324,2608l10324,2793m10435,2595l10435,2781m10545,2562l10545,2747e" filled="false" stroked="true" strokeweight="2.220pt" strokecolor="#165788">
              <v:path arrowok="t"/>
              <v:stroke dashstyle="solid"/>
            </v:shape>
            <v:line style="position:absolute" from="10656,2554" to="10656,2739" stroked="true" strokeweight="2.16pt" strokecolor="#165788">
              <v:stroke dashstyle="solid"/>
            </v:line>
            <v:line style="position:absolute" from="10711,973" to="10711,4446" stroked="true" strokeweight=".23999pt" strokecolor="#000000">
              <v:stroke dashstyle="solid"/>
            </v:line>
            <v:shape style="position:absolute;left:10711;top:971;width:60;height:3478" coordorigin="10711,971" coordsize="60,3478" path="m10771,4444l10711,4444,10711,4449,10771,4449,10771,4444m10771,3947l10711,3947,10711,3952,10771,3952,10771,3947m10771,3451l10711,3451,10711,3456,10771,3456,10771,3451m10771,2956l10711,2956,10711,2961,10771,2961,10771,2956m10771,2459l10711,2459,10711,2464,10771,2464,10771,2459m10771,1963l10711,1963,10711,1968,10771,1968,10771,1963m10771,1467l10711,1467,10711,1471,10771,1471,10771,1467m10771,971l10711,971,10711,976,10771,976,10771,971e" filled="true" fillcolor="#000000" stroked="false">
              <v:path arrowok="t"/>
              <v:fill type="solid"/>
            </v:shape>
            <v:line style="position:absolute" from="6401,4446" to="10711,4446" stroked="true" strokeweight=".24001pt" strokecolor="#000000">
              <v:stroke dashstyle="solid"/>
            </v:line>
            <v:shape style="position:absolute;left:6398;top:1369;width:4258;height:3077" coordorigin="6398,1369" coordsize="4258,3077" path="m6403,4385l6398,4385,6398,4446,6403,4446,6403,4385m7729,4385l7724,4385,7724,4446,7729,4446,7729,4385m9055,4385l9050,4385,9050,4446,9055,4446,9055,4385m10382,4385l10378,4385,10378,4446,10382,4446,10382,4385m10656,2560l10544,2560,10434,2610,10103,2610,9993,2856,9883,2709,9775,2661,9773,2659,9772,2659,9662,2758,9551,2560,9440,2461,9331,2214,9330,2213,9329,2213,9219,2262,9109,2164,8888,1569,8669,1371,8668,1369,8666,1369,8556,1717,8444,1767,8335,1866,8226,1719,8225,1717,8113,1717,8003,1963,7894,1768,7894,1767,7892,1767,7782,1965,7672,2113,7561,2313,7339,2411,7120,2411,7009,2362,6899,2262,6789,2115,6788,2113,6787,2113,6677,2262,6566,2461,6566,2463,6568,2463,6678,2263,6788,2115,6898,2263,7008,2363,7118,2412,7340,2412,7343,2411,7562,2314,7673,2115,7783,1966,7893,1769,8003,1966,8004,1966,8005,1965,8114,1719,8224,1719,8334,1867,8335,1867,8337,1866,8446,1768,8557,1719,8667,1371,8887,1570,9108,2165,9218,2263,9220,2263,9222,2262,9329,2215,9439,2463,9550,2561,9661,2760,9662,2760,9664,2759,9772,2661,9882,2710,9992,2859,9994,2859,9994,2857,10104,2611,10435,2611,10546,2561,10655,2561,10656,2560e" filled="true" fillcolor="#000000" stroked="false">
              <v:path arrowok="t"/>
              <v:fill type="solid"/>
            </v:shape>
            <v:line style="position:absolute" from="6566,3950" to="10656,3950" stroked="true" strokeweight=".06pt" strokecolor="#000000">
              <v:stroke dashstyle="solid"/>
            </v:line>
            <v:shape style="position:absolute;left:6454;top:3948;width:112;height:2" coordorigin="6455,3948" coordsize="112,2" path="m6566,3948l6456,3948,6455,3949,6566,3949,6566,3948xe" filled="true" fillcolor="#000000" stroked="false">
              <v:path arrowok="t"/>
              <v:fill type="solid"/>
            </v:shape>
            <v:line style="position:absolute" from="6556,982" to="6941,982" stroked="true" strokeweight="4.08pt" strokecolor="#7ab800">
              <v:stroke dashstyle="solid"/>
            </v:line>
            <v:line style="position:absolute" from="6556,1152" to="6941,1152" stroked="true" strokeweight="4.08pt" strokecolor="#165788">
              <v:stroke dashstyle="solid"/>
            </v:line>
            <v:line style="position:absolute" from="6554,1323" to="6940,1323" stroked="true" strokeweight=".06pt" strokecolor="#000000">
              <v:stroke dashstyle="solid"/>
            </v:line>
            <v:line style="position:absolute" from="6556,468" to="6941,468" stroked="true" strokeweight="4.08pt" strokecolor="#8091de">
              <v:stroke dashstyle="solid"/>
            </v:line>
            <v:line style="position:absolute" from="6556,639" to="6941,639" stroked="true" strokeweight="4.08pt" strokecolor="#f0ab00">
              <v:stroke dashstyle="solid"/>
            </v:line>
            <v:line style="position:absolute" from="6556,810" to="6941,810" stroked="true" strokeweight="4.08pt" strokecolor="#c00000">
              <v:stroke dashstyle="solid"/>
            </v:line>
            <v:shape style="position:absolute;left:6090;top:380;width:5015;height:4461" coordorigin="6090,381" coordsize="5015,4461" path="m11102,381l6092,381,6090,383,6090,4839,6092,4841,11102,4841,11105,4839,6095,4839,6092,4836,6095,4836,6095,385,6092,385,6095,383,11105,383,11102,381xm6095,4836l6092,4836,6095,4839,6095,4836xm11100,4836l6095,4836,6095,4839,11100,4839,11100,4836xm11100,383l11100,4839,11102,4836,11105,4836,11105,385,11102,385,11100,383xm11105,4836l11102,4836,11100,4839,11105,4839,11105,4836xm6095,383l6092,385,6095,385,6095,383xm11100,383l6095,383,6095,385,11100,385,11100,383xm11105,383l11100,383,11102,385,11105,385,11105,383xe" filled="true" fillcolor="#ffffff" stroked="false">
              <v:path arrowok="t"/>
              <v:fill type="solid"/>
            </v:shape>
            <v:shape style="position:absolute;left:6979;top:378;width:2153;height:1034" type="#_x0000_t202" filled="false" stroked="false">
              <v:textbox inset="0,0,0,0">
                <w:txbxContent>
                  <w:p>
                    <w:pPr>
                      <w:spacing w:line="172" w:lineRule="exact" w:before="0"/>
                      <w:ind w:left="0" w:right="0" w:firstLine="0"/>
                      <w:jc w:val="left"/>
                      <w:rPr>
                        <w:sz w:val="16"/>
                      </w:rPr>
                    </w:pPr>
                    <w:r>
                      <w:rPr>
                        <w:sz w:val="16"/>
                      </w:rPr>
                      <w:t>Other</w:t>
                    </w:r>
                  </w:p>
                  <w:p>
                    <w:pPr>
                      <w:spacing w:line="223" w:lineRule="auto" w:before="4"/>
                      <w:ind w:left="0" w:right="-2" w:firstLine="0"/>
                      <w:jc w:val="left"/>
                      <w:rPr>
                        <w:sz w:val="16"/>
                      </w:rPr>
                    </w:pPr>
                    <w:r>
                      <w:rPr>
                        <w:sz w:val="16"/>
                      </w:rPr>
                      <w:t>Electricity, gas and other fuels Fuels and lubricants</w:t>
                    </w:r>
                  </w:p>
                  <w:p>
                    <w:pPr>
                      <w:spacing w:line="223" w:lineRule="auto" w:before="0"/>
                      <w:ind w:left="0" w:right="1421" w:firstLine="0"/>
                      <w:jc w:val="left"/>
                      <w:rPr>
                        <w:sz w:val="16"/>
                      </w:rPr>
                    </w:pPr>
                    <w:r>
                      <w:rPr>
                        <w:sz w:val="16"/>
                      </w:rPr>
                      <w:t>Food Education</w:t>
                    </w:r>
                  </w:p>
                  <w:p>
                    <w:pPr>
                      <w:spacing w:line="173" w:lineRule="exact" w:before="0"/>
                      <w:ind w:left="0" w:right="0" w:firstLine="0"/>
                      <w:jc w:val="left"/>
                      <w:rPr>
                        <w:sz w:val="16"/>
                      </w:rPr>
                    </w:pPr>
                    <w:r>
                      <w:rPr>
                        <w:sz w:val="16"/>
                      </w:rPr>
                      <w:t>CPI inflation (per cent)</w:t>
                    </w:r>
                  </w:p>
                </w:txbxContent>
              </v:textbox>
              <w10:wrap type="none"/>
            </v:shape>
            <v:shape style="position:absolute;left:9516;top:628;width:1566;height:3927" type="#_x0000_t202" filled="false" stroked="false">
              <v:textbox inset="0,0,0,0">
                <w:txbxContent>
                  <w:p>
                    <w:pPr>
                      <w:spacing w:line="201" w:lineRule="exact" w:before="0"/>
                      <w:ind w:left="0" w:right="116" w:firstLine="0"/>
                      <w:jc w:val="right"/>
                      <w:rPr>
                        <w:sz w:val="18"/>
                      </w:rPr>
                    </w:pPr>
                    <w:r>
                      <w:rPr>
                        <w:sz w:val="18"/>
                      </w:rPr>
                      <w:t>Percentage</w:t>
                    </w:r>
                    <w:r>
                      <w:rPr>
                        <w:spacing w:val="-15"/>
                        <w:sz w:val="18"/>
                      </w:rPr>
                      <w:t> </w:t>
                    </w:r>
                    <w:r>
                      <w:rPr>
                        <w:sz w:val="18"/>
                      </w:rPr>
                      <w:t>points</w:t>
                    </w:r>
                  </w:p>
                  <w:p>
                    <w:pPr>
                      <w:spacing w:before="24"/>
                      <w:ind w:left="0" w:right="85" w:firstLine="0"/>
                      <w:jc w:val="right"/>
                      <w:rPr>
                        <w:sz w:val="20"/>
                      </w:rPr>
                    </w:pPr>
                    <w:r>
                      <w:rPr>
                        <w:w w:val="100"/>
                        <w:sz w:val="20"/>
                      </w:rPr>
                      <w:t>6</w:t>
                    </w:r>
                  </w:p>
                  <w:p>
                    <w:pPr>
                      <w:spacing w:line="240" w:lineRule="auto" w:before="0"/>
                      <w:rPr>
                        <w:sz w:val="23"/>
                      </w:rPr>
                    </w:pPr>
                  </w:p>
                  <w:p>
                    <w:pPr>
                      <w:spacing w:before="1"/>
                      <w:ind w:left="0" w:right="85" w:firstLine="0"/>
                      <w:jc w:val="right"/>
                      <w:rPr>
                        <w:sz w:val="20"/>
                      </w:rPr>
                    </w:pPr>
                    <w:r>
                      <w:rPr>
                        <w:w w:val="100"/>
                        <w:sz w:val="20"/>
                      </w:rPr>
                      <w:t>5</w:t>
                    </w:r>
                  </w:p>
                  <w:p>
                    <w:pPr>
                      <w:spacing w:line="240" w:lineRule="auto" w:before="2"/>
                      <w:rPr>
                        <w:sz w:val="23"/>
                      </w:rPr>
                    </w:pPr>
                  </w:p>
                  <w:p>
                    <w:pPr>
                      <w:spacing w:before="0"/>
                      <w:ind w:left="0" w:right="85" w:firstLine="0"/>
                      <w:jc w:val="right"/>
                      <w:rPr>
                        <w:sz w:val="20"/>
                      </w:rPr>
                    </w:pPr>
                    <w:r>
                      <w:rPr>
                        <w:w w:val="100"/>
                        <w:sz w:val="20"/>
                      </w:rPr>
                      <w:t>4</w:t>
                    </w:r>
                  </w:p>
                  <w:p>
                    <w:pPr>
                      <w:spacing w:line="240" w:lineRule="auto" w:before="1"/>
                      <w:rPr>
                        <w:sz w:val="23"/>
                      </w:rPr>
                    </w:pPr>
                  </w:p>
                  <w:p>
                    <w:pPr>
                      <w:spacing w:before="0"/>
                      <w:ind w:left="0" w:right="85" w:firstLine="0"/>
                      <w:jc w:val="right"/>
                      <w:rPr>
                        <w:sz w:val="20"/>
                      </w:rPr>
                    </w:pPr>
                    <w:r>
                      <w:rPr>
                        <w:w w:val="100"/>
                        <w:sz w:val="20"/>
                      </w:rPr>
                      <w:t>3</w:t>
                    </w:r>
                  </w:p>
                  <w:p>
                    <w:pPr>
                      <w:spacing w:line="240" w:lineRule="auto" w:before="1"/>
                      <w:rPr>
                        <w:sz w:val="23"/>
                      </w:rPr>
                    </w:pPr>
                  </w:p>
                  <w:p>
                    <w:pPr>
                      <w:spacing w:before="0"/>
                      <w:ind w:left="0" w:right="85" w:firstLine="0"/>
                      <w:jc w:val="right"/>
                      <w:rPr>
                        <w:sz w:val="20"/>
                      </w:rPr>
                    </w:pPr>
                    <w:r>
                      <w:rPr>
                        <w:w w:val="100"/>
                        <w:sz w:val="20"/>
                      </w:rPr>
                      <w:t>2</w:t>
                    </w:r>
                  </w:p>
                  <w:p>
                    <w:pPr>
                      <w:spacing w:line="240" w:lineRule="auto" w:before="2"/>
                      <w:rPr>
                        <w:sz w:val="23"/>
                      </w:rPr>
                    </w:pPr>
                  </w:p>
                  <w:p>
                    <w:pPr>
                      <w:spacing w:before="1"/>
                      <w:ind w:left="0" w:right="85" w:firstLine="0"/>
                      <w:jc w:val="right"/>
                      <w:rPr>
                        <w:sz w:val="20"/>
                      </w:rPr>
                    </w:pPr>
                    <w:r>
                      <w:rPr>
                        <w:w w:val="100"/>
                        <w:sz w:val="20"/>
                      </w:rPr>
                      <w:t>1</w:t>
                    </w:r>
                  </w:p>
                  <w:p>
                    <w:pPr>
                      <w:spacing w:line="240" w:lineRule="auto" w:before="1"/>
                      <w:rPr>
                        <w:sz w:val="23"/>
                      </w:rPr>
                    </w:pPr>
                  </w:p>
                  <w:p>
                    <w:pPr>
                      <w:spacing w:before="0"/>
                      <w:ind w:left="0" w:right="85" w:firstLine="0"/>
                      <w:jc w:val="right"/>
                      <w:rPr>
                        <w:sz w:val="20"/>
                      </w:rPr>
                    </w:pPr>
                    <w:r>
                      <w:rPr>
                        <w:w w:val="100"/>
                        <w:sz w:val="20"/>
                      </w:rPr>
                      <w:t>0</w:t>
                    </w:r>
                  </w:p>
                  <w:p>
                    <w:pPr>
                      <w:spacing w:line="240" w:lineRule="auto" w:before="1"/>
                      <w:rPr>
                        <w:sz w:val="23"/>
                      </w:rPr>
                    </w:pPr>
                  </w:p>
                  <w:p>
                    <w:pPr>
                      <w:spacing w:before="0"/>
                      <w:ind w:left="0" w:right="18" w:firstLine="0"/>
                      <w:jc w:val="right"/>
                      <w:rPr>
                        <w:sz w:val="20"/>
                      </w:rPr>
                    </w:pPr>
                    <w:r>
                      <w:rPr>
                        <w:sz w:val="20"/>
                      </w:rPr>
                      <w:t>-1</w:t>
                    </w:r>
                  </w:p>
                </w:txbxContent>
              </v:textbox>
              <w10:wrap type="none"/>
            </v:shape>
            <v:shape style="position:absolute;left:6232;top:4573;width:4446;height:224" type="#_x0000_t202" filled="false" stroked="false">
              <v:textbox inset="0,0,0,0">
                <w:txbxContent>
                  <w:p>
                    <w:pPr>
                      <w:tabs>
                        <w:tab w:pos="1325" w:val="left" w:leader="none"/>
                        <w:tab w:pos="2651" w:val="left" w:leader="none"/>
                        <w:tab w:pos="3978" w:val="left" w:leader="none"/>
                      </w:tabs>
                      <w:spacing w:line="224" w:lineRule="exact" w:before="0"/>
                      <w:ind w:left="0" w:right="0" w:firstLine="0"/>
                      <w:jc w:val="left"/>
                      <w:rPr>
                        <w:sz w:val="20"/>
                      </w:rPr>
                    </w:pPr>
                    <w:r>
                      <w:rPr>
                        <w:sz w:val="20"/>
                      </w:rPr>
                      <w:t>2010</w:t>
                      <w:tab/>
                      <w:t>2011</w:t>
                      <w:tab/>
                      <w:t>2012</w:t>
                      <w:tab/>
                      <w:t>2013</w:t>
                    </w:r>
                  </w:p>
                </w:txbxContent>
              </v:textbox>
              <w10:wrap type="none"/>
            </v:shape>
            <w10:wrap type="none"/>
          </v:group>
        </w:pict>
      </w:r>
      <w:r>
        <w:rPr/>
        <w:t>Chart 10: Contributions to CPI inflation</w:t>
      </w:r>
      <w:r>
        <w:rPr>
          <w:vertAlign w:val="superscript"/>
        </w:rPr>
        <w:t>(a)</w:t>
      </w:r>
    </w:p>
    <w:p>
      <w:pPr>
        <w:spacing w:after="0"/>
        <w:sectPr>
          <w:type w:val="continuous"/>
          <w:pgSz w:w="11900" w:h="16840"/>
          <w:pgMar w:top="900" w:bottom="280" w:left="660" w:right="540"/>
          <w:cols w:num="2" w:equalWidth="0">
            <w:col w:w="5084" w:space="162"/>
            <w:col w:w="5454"/>
          </w:cols>
        </w:sectPr>
      </w:pPr>
    </w:p>
    <w:p>
      <w:pPr>
        <w:pStyle w:val="BodyText"/>
        <w:spacing w:before="81"/>
        <w:ind w:right="1260"/>
        <w:jc w:val="center"/>
      </w:pPr>
      <w:r>
        <w:rPr/>
        <w:pict>
          <v:group style="position:absolute;margin-left:54.540001pt;margin-top:9.949945pt;width:206.1pt;height:183.5pt;mso-position-horizontal-relative:page;mso-position-vertical-relative:paragraph;z-index:251677696" coordorigin="1091,199" coordsize="4122,3670">
            <v:line style="position:absolute" from="5153,201" to="5153,3866" stroked="true" strokeweight=".23999pt" strokecolor="#000000">
              <v:stroke dashstyle="solid"/>
            </v:line>
            <v:shape style="position:absolute;left:5152;top:199;width:60;height:3670" coordorigin="5153,199" coordsize="60,3670" path="m5213,3864l5153,3864,5153,3869,5213,3869,5213,3864m5213,3253l5153,3253,5153,3258,5213,3258,5213,3253m5213,2642l5153,2642,5153,2647,5213,2647,5213,2642m5213,2031l5153,2031,5153,2036,5213,2036,5213,2031m5213,1421l5153,1421,5153,1425,5213,1425,5213,1421m5213,810l5153,810,5153,815,5213,815,5213,810m5213,199l5153,199,5153,204,5213,204,5213,199e" filled="true" fillcolor="#000000" stroked="false">
              <v:path arrowok="t"/>
              <v:fill type="solid"/>
            </v:shape>
            <v:line style="position:absolute" from="1093,3866" to="5153,3866" stroked="true" strokeweight=".24001pt" strokecolor="#000000">
              <v:stroke dashstyle="solid"/>
            </v:line>
            <v:shape style="position:absolute;left:1090;top:3806;width:3870;height:60" coordorigin="1091,3806" coordsize="3870,60" path="m1096,3806l1091,3806,1091,3866,1096,3866,1096,3806m1870,3806l1865,3806,1865,3866,1870,3866,1870,3806m2642,3806l2638,3806,2638,3866,2642,3866,2642,3806m3415,3806l3410,3806,3410,3866,3415,3866,3415,3806m4188,3806l4183,3806,4183,3866,4188,3866,4188,3806m4961,3806l4956,3806,4956,3866,4961,3866,4961,3806e" filled="true" fillcolor="#000000" stroked="false">
              <v:path arrowok="t"/>
              <v:fill type="solid"/>
            </v:shape>
            <v:shape style="position:absolute;left:1102;top:674;width:4037;height:2541" coordorigin="1103,675" coordsize="4037,2541" path="m1265,2637l1258,2630,1195,2630,1194,2629,1117,2629,1110,2636,1110,2653,1117,2659,1181,2659,1182,2660,1258,2660,1259,2659,1265,2653,1265,2637m1385,2637l1378,2630,1302,2630,1295,2637,1295,2653,1302,2660,1378,2660,1385,2653,1385,2637m1505,2637l1498,2630,1422,2630,1415,2637,1415,2653,1422,2660,1498,2660,1505,2653,1505,2637m1625,2637l1618,2630,1542,2630,1535,2637,1535,2653,1542,2660,1618,2660,1625,2653,1625,2637m1745,2637l1738,2630,1662,2630,1655,2637,1655,2653,1662,2660,1738,2660,1745,2653,1745,2637m1865,2637l1858,2630,1782,2630,1775,2637,1775,2653,1782,2660,1858,2660,1865,2653,1865,2637m1985,2637l1978,2630,1902,2630,1895,2637,1895,2653,1902,2660,1978,2660,1985,2653,1985,2637m2105,2637l2098,2630,2022,2630,2015,2637,2015,2653,2022,2660,2098,2660,2105,2653,2105,2637m2345,2637l2338,2630,2262,2630,2255,2637,2255,2653,2262,2660,2338,2660,2345,2653,2345,2637m2465,2637l2458,2630,2382,2630,2375,2637,2375,2653,2382,2660,2458,2660,2465,2653,2465,2637m2705,2637l2698,2630,2622,2630,2615,2637,2615,2653,2622,2660,2698,2660,2705,2653,2705,2637m2825,2637l2818,2630,2742,2630,2735,2637,2735,2653,2742,2660,2818,2660,2825,2653,2825,2637m2945,2637l2938,2630,2862,2630,2855,2637,2855,2653,2862,2660,2938,2660,2945,2653,2945,2637m3065,2637l3058,2630,2982,2630,2975,2637,2975,2653,2982,2660,3058,2660,3065,2653,3065,2637m3185,2637l3178,2630,3102,2630,3095,2637,3095,2653,3102,2660,3178,2660,3185,2653,3185,2637m3305,2637l3298,2630,3222,2630,3215,2637,3215,2653,3222,2660,3298,2660,3305,2653,3305,2637m3425,2637l3418,2630,3342,2630,3335,2637,3335,2653,3342,2660,3418,2660,3425,2653,3425,2637m3545,2637l3538,2630,3462,2630,3455,2637,3455,2653,3462,2660,3538,2660,3545,2653,3545,2637m3665,2637l3658,2630,3582,2630,3575,2637,3575,2653,3582,2660,3658,2660,3665,2653,3665,2637m3785,2637l3778,2630,3702,2630,3695,2637,3695,2653,3702,2660,3778,2660,3785,2653,3785,2637m3905,2637l3898,2630,3822,2630,3815,2637,3815,2653,3822,2660,3898,2660,3905,2653,3905,2637m4025,2637l4018,2630,3942,2630,3935,2637,3935,2653,3942,2660,4018,2660,4025,2653,4025,2637m4145,2637l4138,2630,4062,2630,4055,2637,4055,2653,4062,2660,4138,2660,4145,2653,4145,2637m4265,2637l4258,2630,4182,2630,4175,2637,4175,2653,4182,2660,4258,2660,4265,2653,4265,2637m4385,2637l4378,2630,4302,2630,4295,2637,4295,2653,4302,2660,4378,2660,4385,2653,4385,2637m4505,2637l4498,2630,4422,2630,4415,2637,4415,2653,4422,2660,4498,2660,4505,2653,4505,2637m4625,2637l4618,2630,4542,2630,4535,2637,4535,2653,4542,2660,4618,2660,4625,2653,4625,2637m4745,2637l4738,2630,4662,2630,4655,2637,4655,2653,4662,2660,4738,2660,4745,2653,4745,2637m4865,2637l4858,2630,4782,2630,4775,2637,4775,2653,4782,2660,4858,2660,4865,2653,4865,2637m4985,2637l4978,2630,4902,2630,4895,2637,4895,2653,4902,2660,4978,2660,4985,2653,4985,2637m5105,2637l5098,2630,5022,2630,5015,2637,5015,2653,5022,2660,5098,2660,5105,2653,5105,2637m5140,2155l5042,2155,4978,2215,4778,2215,4728,2462,4687,2335,4682,2335,4640,2295,4619,2275,4588,2275,4544,2355,4494,2155,4493,2155,4429,2035,4432,2035,4367,1735,4364,1735,4360,1715,4333,1715,4282,1762,4236,1675,4238,1675,4174,1315,4109,935,4106,935,4043,815,3980,698,3980,695,3979,696,3978,695,3974,675,3949,675,3942,695,3941,695,3876,1115,3882,1115,3818,1175,3815,1175,3772,1255,3736,1155,3728,1135,3721,1115,3618,1115,3571,1349,3533,1195,3528,1175,3491,1175,3426,1435,3362,1615,3298,1855,3302,1855,3174,1975,3187,1955,3058,1955,3072,1975,3008,1915,3012,1915,2947,1795,2948,1795,2884,1615,2881,1595,2849,1595,2846,1615,2783,1795,2739,1956,2692,1735,2689,1715,2662,1715,2654,1735,2652,1735,2588,2095,2532,2630,2502,2630,2495,2637,2495,2653,2502,2660,2529,2660,2524,2715,2525,2715,2417,3115,2370,2895,2368,2895,2303,2775,2299,2755,2234,2755,2209,2660,2218,2660,2225,2653,2225,2637,2218,2630,2201,2630,2176,2535,2176,2515,2171,2515,2109,2457,2109,2455,2047,2095,2046,2095,1989,1935,1982,1915,1980,1915,1973,1895,1957,1895,1950,1915,1946,1915,1892,2015,1848,1975,1854,1975,1790,1375,1789,1375,1726,1115,1661,695,1660,695,1651,675,1632,675,1624,695,1621,695,1559,995,1494,1175,1493,1175,1493,1195,1428,1555,1366,1855,1300,2035,1239,2335,1207,2335,1171,2335,1170,2335,1170,2338,1106,2535,1103,2535,1109,2555,1140,2555,1145,2535,1202,2375,1264,2375,1272,2355,1274,2355,1279,2335,1339,2055,1403,1875,1468,1555,1532,1195,1531,1195,1596,1015,1638,808,1686,1135,1752,1375,1751,1375,1814,1995,1820,1995,1885,2055,1890,2055,1896,2075,1908,2055,1916,2055,1927,2035,1959,1975,2009,2115,2008,2115,2072,2475,2076,2475,2078,2495,2143,2555,2138,2535,2164,2630,2142,2630,2135,2637,2135,2653,2142,2660,2172,2660,2202,2775,2203,2795,2268,2795,2333,2915,2330,2895,2394,3215,2432,3215,2438,3195,2562,2715,2563,2715,2569,2660,2578,2660,2585,2653,2585,2637,2578,2630,2572,2630,2628,2115,2674,1842,2717,2055,2755,2055,2761,2035,2820,1815,2865,1673,2911,1815,2912,1815,2977,1935,2981,1935,3044,1995,3202,1995,3223,1975,3265,1935,3330,1875,3335,1875,3400,1615,3463,1435,3509,1263,3555,1432,3554,1435,3556,1435,3557,1455,3592,1455,3594,1435,3653,1155,3691,1155,3749,1315,3751,1335,3781,1335,3785,1315,3796,1295,3850,1195,3846,1195,3910,1135,3916,1135,3970,764,4008,835,4072,955,4069,955,4199,1675,4200,1675,4200,1695,4201,1695,4265,1815,4296,1815,4318,1795,4336,1778,4392,2055,4394,2055,4458,2175,4457,2175,4522,2415,4523,2415,4530,2435,4554,2435,4558,2415,4558,2414,4559,2415,4558,2413,4612,2314,4655,2355,4650,2355,4714,2532,4714,2535,4715,2535,4717,2555,4751,2555,4753,2535,4814,2255,4997,2255,5002,2235,5005,2235,5070,2175,5056,2195,5131,2195,5140,2175,5140,2155e" filled="true" fillcolor="#ff00ff" stroked="false">
              <v:path arrowok="t"/>
              <v:fill type="solid"/>
            </v:shape>
            <w10:wrap type="none"/>
          </v:group>
        </w:pict>
      </w:r>
      <w:r>
        <w:rPr>
          <w:w w:val="100"/>
        </w:rPr>
        <w:t>6</w:t>
      </w:r>
    </w:p>
    <w:p>
      <w:pPr>
        <w:pStyle w:val="BodyText"/>
        <w:spacing w:before="11"/>
        <w:rPr>
          <w:sz w:val="24"/>
        </w:rPr>
      </w:pPr>
    </w:p>
    <w:p>
      <w:pPr>
        <w:pStyle w:val="BodyText"/>
        <w:spacing w:before="94"/>
        <w:ind w:right="1260"/>
        <w:jc w:val="center"/>
      </w:pPr>
      <w:r>
        <w:rPr>
          <w:w w:val="100"/>
        </w:rPr>
        <w:t>5</w:t>
      </w:r>
    </w:p>
    <w:p>
      <w:pPr>
        <w:pStyle w:val="BodyText"/>
        <w:rPr>
          <w:sz w:val="22"/>
        </w:rPr>
      </w:pPr>
    </w:p>
    <w:p>
      <w:pPr>
        <w:pStyle w:val="BodyText"/>
        <w:spacing w:before="128"/>
        <w:ind w:right="1260"/>
        <w:jc w:val="center"/>
      </w:pPr>
      <w:r>
        <w:rPr>
          <w:w w:val="100"/>
        </w:rPr>
        <w:t>4</w:t>
      </w:r>
    </w:p>
    <w:p>
      <w:pPr>
        <w:pStyle w:val="BodyText"/>
        <w:spacing w:before="11"/>
        <w:rPr>
          <w:sz w:val="24"/>
        </w:rPr>
      </w:pPr>
    </w:p>
    <w:p>
      <w:pPr>
        <w:pStyle w:val="BodyText"/>
        <w:spacing w:before="94"/>
        <w:ind w:right="1260"/>
        <w:jc w:val="center"/>
      </w:pPr>
      <w:r>
        <w:rPr>
          <w:w w:val="100"/>
        </w:rPr>
        <w:t>3</w:t>
      </w:r>
    </w:p>
    <w:p>
      <w:pPr>
        <w:pStyle w:val="BodyText"/>
        <w:spacing w:before="11"/>
        <w:rPr>
          <w:sz w:val="24"/>
        </w:rPr>
      </w:pPr>
    </w:p>
    <w:p>
      <w:pPr>
        <w:pStyle w:val="BodyText"/>
        <w:spacing w:before="94"/>
        <w:ind w:right="1260"/>
        <w:jc w:val="center"/>
      </w:pPr>
      <w:r>
        <w:rPr>
          <w:w w:val="100"/>
        </w:rPr>
        <w:t>2</w:t>
      </w:r>
    </w:p>
    <w:p>
      <w:pPr>
        <w:pStyle w:val="BodyText"/>
        <w:spacing w:before="10"/>
        <w:rPr>
          <w:sz w:val="24"/>
        </w:rPr>
      </w:pPr>
    </w:p>
    <w:p>
      <w:pPr>
        <w:spacing w:after="0"/>
        <w:rPr>
          <w:sz w:val="24"/>
        </w:rPr>
        <w:sectPr>
          <w:type w:val="continuous"/>
          <w:pgSz w:w="11900" w:h="16840"/>
          <w:pgMar w:top="900" w:bottom="280" w:left="660" w:right="540"/>
        </w:sectPr>
      </w:pPr>
    </w:p>
    <w:p>
      <w:pPr>
        <w:pStyle w:val="BodyText"/>
        <w:spacing w:before="94"/>
        <w:ind w:left="4663"/>
      </w:pPr>
      <w:r>
        <w:rPr>
          <w:w w:val="100"/>
        </w:rPr>
        <w:t>1</w:t>
      </w:r>
    </w:p>
    <w:p>
      <w:pPr>
        <w:pStyle w:val="BodyText"/>
        <w:rPr>
          <w:sz w:val="22"/>
        </w:rPr>
      </w:pPr>
    </w:p>
    <w:p>
      <w:pPr>
        <w:pStyle w:val="BodyText"/>
        <w:spacing w:before="128"/>
        <w:ind w:left="4663"/>
      </w:pPr>
      <w:r>
        <w:rPr>
          <w:w w:val="100"/>
        </w:rPr>
        <w:t>0</w:t>
      </w:r>
    </w:p>
    <w:p>
      <w:pPr>
        <w:pStyle w:val="BodyText"/>
        <w:tabs>
          <w:tab w:pos="1016" w:val="left" w:leader="none"/>
          <w:tab w:pos="1788" w:val="left" w:leader="none"/>
          <w:tab w:pos="2561" w:val="left" w:leader="none"/>
          <w:tab w:pos="3334" w:val="left" w:leader="none"/>
          <w:tab w:pos="4108" w:val="left" w:leader="none"/>
        </w:tabs>
        <w:spacing w:before="11"/>
        <w:ind w:left="242"/>
      </w:pPr>
      <w:r>
        <w:rPr/>
        <w:t>2008</w:t>
        <w:tab/>
        <w:t>2009</w:t>
        <w:tab/>
        <w:t>2010</w:t>
        <w:tab/>
        <w:t>2011</w:t>
        <w:tab/>
        <w:t>2012</w:t>
        <w:tab/>
        <w:t>2013</w:t>
      </w:r>
    </w:p>
    <w:p>
      <w:pPr>
        <w:spacing w:before="59"/>
        <w:ind w:left="155" w:right="0" w:firstLine="0"/>
        <w:jc w:val="left"/>
        <w:rPr>
          <w:sz w:val="16"/>
        </w:rPr>
      </w:pPr>
      <w:r>
        <w:rPr>
          <w:sz w:val="16"/>
        </w:rPr>
        <w:t>Source: ONS.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0"/>
        <w:rPr>
          <w:sz w:val="25"/>
        </w:rPr>
      </w:pPr>
    </w:p>
    <w:p>
      <w:pPr>
        <w:spacing w:before="0"/>
        <w:ind w:left="156" w:right="0" w:firstLine="0"/>
        <w:jc w:val="left"/>
        <w:rPr>
          <w:sz w:val="16"/>
        </w:rPr>
      </w:pPr>
      <w:r>
        <w:rPr>
          <w:sz w:val="16"/>
        </w:rPr>
        <w:t>Source: ONS and Bank calculations.</w:t>
      </w:r>
    </w:p>
    <w:p>
      <w:pPr>
        <w:spacing w:line="235" w:lineRule="auto" w:before="4"/>
        <w:ind w:left="516" w:right="443" w:hanging="360"/>
        <w:jc w:val="left"/>
        <w:rPr>
          <w:sz w:val="16"/>
        </w:rPr>
      </w:pPr>
      <w:r>
        <w:rPr>
          <w:sz w:val="18"/>
        </w:rPr>
        <w:t>(a) </w:t>
      </w:r>
      <w:r>
        <w:rPr>
          <w:sz w:val="16"/>
        </w:rPr>
        <w:t>Contributions to annual CPI inflation. Data are non-seasonally adjusted. The “Other” contribution is calculated as a residual.</w:t>
      </w:r>
    </w:p>
    <w:p>
      <w:pPr>
        <w:spacing w:after="0" w:line="235" w:lineRule="auto"/>
        <w:jc w:val="left"/>
        <w:rPr>
          <w:sz w:val="16"/>
        </w:rPr>
        <w:sectPr>
          <w:type w:val="continuous"/>
          <w:pgSz w:w="11900" w:h="16840"/>
          <w:pgMar w:top="900" w:bottom="280" w:left="660" w:right="540"/>
          <w:cols w:num="2" w:equalWidth="0">
            <w:col w:w="4815" w:space="431"/>
            <w:col w:w="5454"/>
          </w:cols>
        </w:sectPr>
      </w:pPr>
    </w:p>
    <w:p>
      <w:pPr>
        <w:spacing w:before="119"/>
        <w:ind w:left="474" w:right="0" w:firstLine="0"/>
        <w:jc w:val="left"/>
        <w:rPr>
          <w:b/>
          <w:sz w:val="24"/>
        </w:rPr>
      </w:pPr>
      <w:r>
        <w:rPr>
          <w:b/>
          <w:sz w:val="24"/>
        </w:rPr>
        <w:t>References</w:t>
      </w:r>
    </w:p>
    <w:p>
      <w:pPr>
        <w:pStyle w:val="BodyText"/>
        <w:spacing w:before="10"/>
        <w:rPr>
          <w:b/>
          <w:sz w:val="31"/>
        </w:rPr>
      </w:pPr>
    </w:p>
    <w:p>
      <w:pPr>
        <w:spacing w:before="1"/>
        <w:ind w:left="474" w:right="709" w:firstLine="0"/>
        <w:jc w:val="left"/>
        <w:rPr>
          <w:sz w:val="20"/>
        </w:rPr>
      </w:pPr>
      <w:r>
        <w:rPr>
          <w:b/>
          <w:sz w:val="20"/>
        </w:rPr>
        <w:t>Abiad, A, Balakrishnan, R, Koeva Brooks, P, Leigh, D, and I Tytell (2009), </w:t>
      </w:r>
      <w:r>
        <w:rPr>
          <w:sz w:val="20"/>
        </w:rPr>
        <w:t>“What’s the Damage? Medium-term Output Dynamics After Banking Crises”, </w:t>
      </w:r>
      <w:r>
        <w:rPr>
          <w:i/>
          <w:sz w:val="20"/>
        </w:rPr>
        <w:t>IMF Working Paper </w:t>
      </w:r>
      <w:r>
        <w:rPr>
          <w:sz w:val="20"/>
        </w:rPr>
        <w:t>No. 09/245, November, available at </w:t>
      </w:r>
      <w:hyperlink r:id="rId13">
        <w:r>
          <w:rPr>
            <w:color w:val="0000FF"/>
            <w:sz w:val="20"/>
            <w:u w:val="single" w:color="0000FF"/>
          </w:rPr>
          <w:t>http://www.imf.org/external/pubs/ft/wp/2009/wp09245.pdf</w:t>
        </w:r>
      </w:hyperlink>
    </w:p>
    <w:p>
      <w:pPr>
        <w:pStyle w:val="BodyText"/>
        <w:spacing w:before="9"/>
        <w:rPr>
          <w:sz w:val="21"/>
        </w:rPr>
      </w:pPr>
    </w:p>
    <w:p>
      <w:pPr>
        <w:spacing w:before="94"/>
        <w:ind w:left="474" w:right="2423" w:firstLine="0"/>
        <w:jc w:val="left"/>
        <w:rPr>
          <w:sz w:val="20"/>
        </w:rPr>
      </w:pPr>
      <w:r>
        <w:rPr>
          <w:b/>
          <w:sz w:val="20"/>
        </w:rPr>
        <w:t>Bank of England (2012), </w:t>
      </w:r>
      <w:r>
        <w:rPr>
          <w:i/>
          <w:sz w:val="20"/>
        </w:rPr>
        <w:t>Inflation Report</w:t>
      </w:r>
      <w:r>
        <w:rPr>
          <w:sz w:val="20"/>
        </w:rPr>
        <w:t>, February 2013, available at </w:t>
      </w:r>
      <w:hyperlink r:id="rId14">
        <w:r>
          <w:rPr>
            <w:color w:val="0000FF"/>
            <w:sz w:val="20"/>
            <w:u w:val="single" w:color="0000FF"/>
          </w:rPr>
          <w:t>http://www.bankofengland.co.uk/publications/Documents/inflationreport/2013/ir13feb.pdf</w:t>
        </w:r>
      </w:hyperlink>
    </w:p>
    <w:p>
      <w:pPr>
        <w:pStyle w:val="BodyText"/>
        <w:spacing w:before="5"/>
        <w:rPr>
          <w:sz w:val="21"/>
        </w:rPr>
      </w:pPr>
    </w:p>
    <w:p>
      <w:pPr>
        <w:spacing w:before="94"/>
        <w:ind w:left="474" w:right="1024" w:firstLine="0"/>
        <w:jc w:val="left"/>
        <w:rPr>
          <w:sz w:val="20"/>
        </w:rPr>
      </w:pPr>
      <w:r>
        <w:rPr>
          <w:b/>
          <w:sz w:val="20"/>
        </w:rPr>
        <w:t>Office for Budget Responsibility (2010), </w:t>
      </w:r>
      <w:r>
        <w:rPr>
          <w:sz w:val="20"/>
        </w:rPr>
        <w:t>“Economic and fiscal outlook – November 2010”, available at </w:t>
      </w:r>
      <w:hyperlink r:id="rId15">
        <w:r>
          <w:rPr>
            <w:color w:val="0000FF"/>
            <w:sz w:val="20"/>
            <w:u w:val="single" w:color="0000FF"/>
          </w:rPr>
          <w:t>http://budgetresponsibility.independent.gov.uk/pubs/econ_fiscal_outlook_291110.pdf</w:t>
        </w:r>
      </w:hyperlink>
    </w:p>
    <w:p>
      <w:pPr>
        <w:pStyle w:val="BodyText"/>
        <w:spacing w:before="9"/>
        <w:rPr>
          <w:sz w:val="18"/>
        </w:rPr>
      </w:pPr>
    </w:p>
    <w:p>
      <w:pPr>
        <w:pStyle w:val="BodyText"/>
        <w:spacing w:before="94"/>
        <w:ind w:left="474" w:right="1369"/>
      </w:pPr>
      <w:r>
        <w:rPr>
          <w:b/>
        </w:rPr>
        <w:t>World Trade Organization</w:t>
      </w:r>
      <w:r>
        <w:rPr/>
        <w:t>, “World Trade 2012, Prospects for 2013”, Press Release, 10 April 2013, available at </w:t>
      </w:r>
      <w:hyperlink r:id="rId16">
        <w:r>
          <w:rPr>
            <w:color w:val="0000FF"/>
            <w:u w:val="single" w:color="0000FF"/>
          </w:rPr>
          <w:t>http://www.wto.org/english/news_e/pres13_e/pr688_e.pdf</w:t>
        </w:r>
      </w:hyperlink>
    </w:p>
    <w:sectPr>
      <w:pgSz w:w="11900" w:h="16840"/>
      <w:pgMar w:header="0" w:footer="1548" w:top="1600" w:bottom="1740" w:left="6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30688"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7.619995pt;margin-top:749.816345pt;width:2.6pt;height:3.15pt;mso-position-horizontal-relative:page;mso-position-vertical-relative:page;z-index:-25252966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61.528687pt;width:307.7pt;height:24.75pt;mso-position-horizontal-relative:page;mso-position-vertical-relative:page;z-index:-25252864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527616"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26592"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5255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61.528687pt;width:307.7pt;height:24.75pt;mso-position-horizontal-relative:page;mso-position-vertical-relative:page;z-index:-25252454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523520" type="#_x0000_t202" filled="false" stroked="false">
          <v:textbox inset="0,0,0,0">
            <w:txbxContent>
              <w:p>
                <w:pPr>
                  <w:pStyle w:val="BodyText"/>
                  <w:spacing w:before="14"/>
                  <w:ind w:left="20"/>
                </w:pPr>
                <w:r>
                  <w:rPr>
                    <w:w w:val="100"/>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2249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5214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687pt;width:307.7pt;height:24.75pt;mso-position-horizontal-relative:page;mso-position-vertical-relative:page;z-index:-25252044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519424"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94" w:hanging="361"/>
      </w:pPr>
      <w:rPr>
        <w:rFonts w:hint="default" w:ascii="Symbol" w:hAnsi="Symbol" w:eastAsia="Symbol" w:cs="Symbol"/>
        <w:w w:val="100"/>
        <w:sz w:val="20"/>
        <w:szCs w:val="20"/>
      </w:rPr>
    </w:lvl>
    <w:lvl w:ilvl="1">
      <w:start w:val="0"/>
      <w:numFmt w:val="bullet"/>
      <w:lvlText w:val="•"/>
      <w:lvlJc w:val="left"/>
      <w:pPr>
        <w:ind w:left="2150" w:hanging="361"/>
      </w:pPr>
      <w:rPr>
        <w:rFonts w:hint="default"/>
      </w:rPr>
    </w:lvl>
    <w:lvl w:ilvl="2">
      <w:start w:val="0"/>
      <w:numFmt w:val="bullet"/>
      <w:lvlText w:val="•"/>
      <w:lvlJc w:val="left"/>
      <w:pPr>
        <w:ind w:left="3100" w:hanging="361"/>
      </w:pPr>
      <w:rPr>
        <w:rFonts w:hint="default"/>
      </w:rPr>
    </w:lvl>
    <w:lvl w:ilvl="3">
      <w:start w:val="0"/>
      <w:numFmt w:val="bullet"/>
      <w:lvlText w:val="•"/>
      <w:lvlJc w:val="left"/>
      <w:pPr>
        <w:ind w:left="4050" w:hanging="361"/>
      </w:pPr>
      <w:rPr>
        <w:rFonts w:hint="default"/>
      </w:rPr>
    </w:lvl>
    <w:lvl w:ilvl="4">
      <w:start w:val="0"/>
      <w:numFmt w:val="bullet"/>
      <w:lvlText w:val="•"/>
      <w:lvlJc w:val="left"/>
      <w:pPr>
        <w:ind w:left="5000" w:hanging="361"/>
      </w:pPr>
      <w:rPr>
        <w:rFonts w:hint="default"/>
      </w:rPr>
    </w:lvl>
    <w:lvl w:ilvl="5">
      <w:start w:val="0"/>
      <w:numFmt w:val="bullet"/>
      <w:lvlText w:val="•"/>
      <w:lvlJc w:val="left"/>
      <w:pPr>
        <w:ind w:left="5950" w:hanging="361"/>
      </w:pPr>
      <w:rPr>
        <w:rFonts w:hint="default"/>
      </w:rPr>
    </w:lvl>
    <w:lvl w:ilvl="6">
      <w:start w:val="0"/>
      <w:numFmt w:val="bullet"/>
      <w:lvlText w:val="•"/>
      <w:lvlJc w:val="left"/>
      <w:pPr>
        <w:ind w:left="6900" w:hanging="361"/>
      </w:pPr>
      <w:rPr>
        <w:rFonts w:hint="default"/>
      </w:rPr>
    </w:lvl>
    <w:lvl w:ilvl="7">
      <w:start w:val="0"/>
      <w:numFmt w:val="bullet"/>
      <w:lvlText w:val="•"/>
      <w:lvlJc w:val="left"/>
      <w:pPr>
        <w:ind w:left="7850" w:hanging="361"/>
      </w:pPr>
      <w:rPr>
        <w:rFonts w:hint="default"/>
      </w:rPr>
    </w:lvl>
    <w:lvl w:ilvl="8">
      <w:start w:val="0"/>
      <w:numFmt w:val="bullet"/>
      <w:lvlText w:val="•"/>
      <w:lvlJc w:val="left"/>
      <w:pPr>
        <w:ind w:left="8800" w:hanging="361"/>
      </w:pPr>
      <w:rPr>
        <w:rFonts w:hint="default"/>
      </w:rPr>
    </w:lvl>
  </w:abstractNum>
  <w:abstractNum w:abstractNumId="1">
    <w:multiLevelType w:val="hybridMultilevel"/>
    <w:lvl w:ilvl="0">
      <w:start w:val="1"/>
      <w:numFmt w:val="lowerLetter"/>
      <w:lvlText w:val="(%1)"/>
      <w:lvlJc w:val="left"/>
      <w:pPr>
        <w:ind w:left="5762" w:hanging="361"/>
        <w:jc w:val="left"/>
      </w:pPr>
      <w:rPr>
        <w:rFonts w:hint="default" w:ascii="Arial" w:hAnsi="Arial" w:eastAsia="Arial" w:cs="Arial"/>
        <w:w w:val="99"/>
        <w:sz w:val="16"/>
        <w:szCs w:val="16"/>
      </w:rPr>
    </w:lvl>
    <w:lvl w:ilvl="1">
      <w:start w:val="1"/>
      <w:numFmt w:val="lowerLetter"/>
      <w:lvlText w:val="(%2)"/>
      <w:lvlJc w:val="left"/>
      <w:pPr>
        <w:ind w:left="5850" w:hanging="361"/>
        <w:jc w:val="left"/>
      </w:pPr>
      <w:rPr>
        <w:rFonts w:hint="default" w:ascii="Arial" w:hAnsi="Arial" w:eastAsia="Arial" w:cs="Arial"/>
        <w:w w:val="99"/>
        <w:sz w:val="16"/>
        <w:szCs w:val="16"/>
      </w:rPr>
    </w:lvl>
    <w:lvl w:ilvl="2">
      <w:start w:val="0"/>
      <w:numFmt w:val="bullet"/>
      <w:lvlText w:val="•"/>
      <w:lvlJc w:val="left"/>
      <w:pPr>
        <w:ind w:left="6380" w:hanging="361"/>
      </w:pPr>
      <w:rPr>
        <w:rFonts w:hint="default"/>
      </w:rPr>
    </w:lvl>
    <w:lvl w:ilvl="3">
      <w:start w:val="0"/>
      <w:numFmt w:val="bullet"/>
      <w:lvlText w:val="•"/>
      <w:lvlJc w:val="left"/>
      <w:pPr>
        <w:ind w:left="6920" w:hanging="361"/>
      </w:pPr>
      <w:rPr>
        <w:rFonts w:hint="default"/>
      </w:rPr>
    </w:lvl>
    <w:lvl w:ilvl="4">
      <w:start w:val="0"/>
      <w:numFmt w:val="bullet"/>
      <w:lvlText w:val="•"/>
      <w:lvlJc w:val="left"/>
      <w:pPr>
        <w:ind w:left="7460" w:hanging="361"/>
      </w:pPr>
      <w:rPr>
        <w:rFonts w:hint="default"/>
      </w:rPr>
    </w:lvl>
    <w:lvl w:ilvl="5">
      <w:start w:val="0"/>
      <w:numFmt w:val="bullet"/>
      <w:lvlText w:val="•"/>
      <w:lvlJc w:val="left"/>
      <w:pPr>
        <w:ind w:left="8000" w:hanging="361"/>
      </w:pPr>
      <w:rPr>
        <w:rFonts w:hint="default"/>
      </w:rPr>
    </w:lvl>
    <w:lvl w:ilvl="6">
      <w:start w:val="0"/>
      <w:numFmt w:val="bullet"/>
      <w:lvlText w:val="•"/>
      <w:lvlJc w:val="left"/>
      <w:pPr>
        <w:ind w:left="8540" w:hanging="361"/>
      </w:pPr>
      <w:rPr>
        <w:rFonts w:hint="default"/>
      </w:rPr>
    </w:lvl>
    <w:lvl w:ilvl="7">
      <w:start w:val="0"/>
      <w:numFmt w:val="bullet"/>
      <w:lvlText w:val="•"/>
      <w:lvlJc w:val="left"/>
      <w:pPr>
        <w:ind w:left="9080" w:hanging="361"/>
      </w:pPr>
      <w:rPr>
        <w:rFonts w:hint="default"/>
      </w:rPr>
    </w:lvl>
    <w:lvl w:ilvl="8">
      <w:start w:val="0"/>
      <w:numFmt w:val="bullet"/>
      <w:lvlText w:val="•"/>
      <w:lvlJc w:val="left"/>
      <w:pPr>
        <w:ind w:left="9620" w:hanging="361"/>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6"/>
      <w:outlineLvl w:val="1"/>
    </w:pPr>
    <w:rPr>
      <w:rFonts w:ascii="Arial" w:hAnsi="Arial" w:eastAsia="Arial" w:cs="Arial"/>
      <w:b/>
      <w:bCs/>
      <w:sz w:val="20"/>
      <w:szCs w:val="20"/>
    </w:rPr>
  </w:style>
  <w:style w:styleId="ListParagraph" w:type="paragraph">
    <w:name w:val="List Paragraph"/>
    <w:basedOn w:val="Normal"/>
    <w:uiPriority w:val="1"/>
    <w:qFormat/>
    <w:pPr>
      <w:ind w:left="1193"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imf.org/external/pubs/ft/wp/2009/wp09245.pdf" TargetMode="External"/><Relationship Id="rId14" Type="http://schemas.openxmlformats.org/officeDocument/2006/relationships/hyperlink" Target="http://www.bankofengland.co.uk/publications/Documents/inflationreport/2013/ir13feb.pdf" TargetMode="External"/><Relationship Id="rId15" Type="http://schemas.openxmlformats.org/officeDocument/2006/relationships/hyperlink" Target="http://budgetresponsibility.independent.gov.uk/pubs/econ_fiscal_outlook_291110.pdf" TargetMode="External"/><Relationship Id="rId16" Type="http://schemas.openxmlformats.org/officeDocument/2006/relationships/hyperlink" Target="http://www.wto.org/english/news_e/pres13_e/pr688_e.pdf" TargetMode="Externa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Ian McCafferty,  External Member of the Monetary Policy Committee, Bank of England</dc:subject>
  <dc:title>The UK economy: the road  ahead? </dc:title>
  <dcterms:created xsi:type="dcterms:W3CDTF">2020-06-02T18:55:24Z</dcterms:created>
  <dcterms:modified xsi:type="dcterms:W3CDTF">2020-06-02T18:55:24Z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PScript5.dll Version 5.2.2</vt:lpwstr>
  </property>
  <property fmtid="{D5CDD505-2E9C-101B-9397-08002B2CF9AE}" pid="4" name="LastSaved">
    <vt:filetime>2020-06-02T00:00:00Z</vt:filetime>
  </property>
</Properties>
</file>