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1"/>
        <w:rPr>
          <w:rFonts w:ascii="Times New Roman"/>
          <w:sz w:val="11"/>
        </w:rPr>
      </w:pPr>
      <w:r>
        <w:rPr/>
        <w:pict>
          <v:group style="position:absolute;margin-left:50.580002pt;margin-top:8.370pt;width:488.35pt;height:1.5pt;mso-position-horizontal-relative:page;mso-position-vertical-relative:paragraph;z-index:-251658240;mso-wrap-distance-left:0;mso-wrap-distance-right:0" coordorigin="1012,167" coordsize="9767,30">
            <v:line style="position:absolute" from="1012,182" to="8228,182" stroked="true" strokeweight="1.5pt" strokecolor="#000000">
              <v:stroke dashstyle="solid"/>
            </v:line>
            <v:line style="position:absolute" from="8214,182" to="10778,182" stroked="true" strokeweight="1.5pt" strokecolor="#000000">
              <v:stroke dashstyle="solid"/>
            </v:line>
            <w10:wrap type="topAndBottom"/>
          </v:group>
        </w:pict>
      </w:r>
    </w:p>
    <w:p>
      <w:pPr>
        <w:pStyle w:val="BodyText"/>
        <w:rPr>
          <w:rFonts w:ascii="Times New Roman"/>
        </w:rPr>
      </w:pPr>
    </w:p>
    <w:p>
      <w:pPr>
        <w:spacing w:before="246"/>
        <w:ind w:left="354" w:right="0" w:firstLine="0"/>
        <w:jc w:val="left"/>
        <w:rPr>
          <w:b/>
          <w:sz w:val="32"/>
        </w:rPr>
      </w:pPr>
      <w:r>
        <w:rPr>
          <w:b/>
          <w:color w:val="6A709F"/>
          <w:sz w:val="32"/>
        </w:rPr>
        <w:t>The Balance of Payments</w:t>
      </w:r>
    </w:p>
    <w:p>
      <w:pPr>
        <w:pStyle w:val="BodyText"/>
        <w:rPr>
          <w:b/>
          <w:sz w:val="36"/>
        </w:rPr>
      </w:pPr>
    </w:p>
    <w:p>
      <w:pPr>
        <w:spacing w:line="360" w:lineRule="auto" w:before="228"/>
        <w:ind w:left="354" w:right="8971" w:firstLine="0"/>
        <w:jc w:val="left"/>
        <w:rPr>
          <w:sz w:val="24"/>
        </w:rPr>
      </w:pPr>
      <w:r>
        <w:rPr>
          <w:sz w:val="24"/>
        </w:rPr>
        <w:t>Speech given by Dr Martin Weale</w:t>
      </w:r>
    </w:p>
    <w:p>
      <w:pPr>
        <w:pStyle w:val="BodyText"/>
        <w:rPr>
          <w:sz w:val="36"/>
        </w:rPr>
      </w:pPr>
    </w:p>
    <w:p>
      <w:pPr>
        <w:spacing w:line="360" w:lineRule="auto" w:before="0"/>
        <w:ind w:left="354" w:right="7118" w:firstLine="0"/>
        <w:jc w:val="left"/>
        <w:rPr>
          <w:sz w:val="24"/>
        </w:rPr>
      </w:pPr>
      <w:r>
        <w:rPr>
          <w:sz w:val="24"/>
        </w:rPr>
        <w:t>Warwick Economics Summit 2013 16 February 2013</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pPr>
    </w:p>
    <w:p>
      <w:pPr>
        <w:pStyle w:val="BodyText"/>
        <w:ind w:left="354" w:right="2130"/>
      </w:pPr>
      <w:r>
        <w:rPr/>
        <w:t>I am grateful to Tomas Key and Tomasz Wieladek for their help in preparing this, and also to their colleagues for their comments on an earlier draft.</w:t>
      </w:r>
    </w:p>
    <w:p>
      <w:pPr>
        <w:pStyle w:val="BodyText"/>
      </w:pPr>
    </w:p>
    <w:p>
      <w:pPr>
        <w:pStyle w:val="BodyText"/>
        <w:spacing w:before="10"/>
        <w:rPr>
          <w:sz w:val="16"/>
        </w:rPr>
      </w:pPr>
      <w:r>
        <w:rPr/>
        <w:pict>
          <v:shape style="position:absolute;margin-left:56.700001pt;margin-top:11.807271pt;width:482pt;height:.1pt;mso-position-horizontal-relative:page;mso-position-vertical-relative:paragraph;z-index:-251657216;mso-wrap-distance-left:0;mso-wrap-distance-right:0" coordorigin="1134,236" coordsize="9640,0" path="m1134,236l10774,236e" filled="false" stroked="true" strokeweight=".23999pt" strokecolor="#000000">
            <v:path arrowok="t"/>
            <v:stroke dashstyle="solid"/>
            <w10:wrap type="topAndBottom"/>
          </v:shape>
        </w:pict>
      </w:r>
    </w:p>
    <w:p>
      <w:pPr>
        <w:pStyle w:val="BodyText"/>
        <w:spacing w:before="10"/>
        <w:rPr>
          <w:sz w:val="14"/>
        </w:rPr>
      </w:pPr>
    </w:p>
    <w:p>
      <w:pPr>
        <w:pStyle w:val="BodyText"/>
        <w:spacing w:before="94"/>
        <w:ind w:left="354"/>
      </w:pPr>
      <w:r>
        <w:rPr/>
        <w:t>All speeches are available online at </w:t>
      </w:r>
      <w:hyperlink r:id="rId6">
        <w:r>
          <w:rPr/>
          <w:t>www.bankofengland.co.uk/publications/Pages/speeches/default.aspx</w:t>
        </w:r>
      </w:hyperlink>
    </w:p>
    <w:p>
      <w:pPr>
        <w:spacing w:after="0"/>
        <w:sectPr>
          <w:type w:val="continuous"/>
          <w:pgSz w:w="11900" w:h="16840"/>
          <w:pgMar w:top="1140" w:bottom="280" w:left="780" w:right="0"/>
        </w:sectPr>
      </w:pPr>
    </w:p>
    <w:p>
      <w:pPr>
        <w:pStyle w:val="Heading1"/>
        <w:spacing w:line="229" w:lineRule="exact" w:before="127"/>
        <w:ind w:left="354"/>
      </w:pPr>
      <w:r>
        <w:rPr/>
        <w:t>Introduction</w:t>
      </w:r>
    </w:p>
    <w:p>
      <w:pPr>
        <w:pStyle w:val="BodyText"/>
        <w:spacing w:line="360" w:lineRule="auto"/>
        <w:ind w:left="353" w:right="1252"/>
      </w:pPr>
      <w:r>
        <w:rPr/>
        <w:t>The disappointing performance of the UK economy over the last three years has been widely discussed. In 2010 I would have said that the UK economy was in a better position than our competitors because the sharp fall of the exchange rate in 2007 and 2008 had left us in a competitive international position. As Chart</w:t>
      </w:r>
    </w:p>
    <w:p>
      <w:pPr>
        <w:pStyle w:val="BodyText"/>
        <w:spacing w:line="360" w:lineRule="auto"/>
        <w:ind w:left="5168" w:right="1262"/>
      </w:pPr>
      <w:r>
        <w:rPr/>
        <w:pict>
          <v:group style="position:absolute;margin-left:56.744999pt;margin-top:6.784941pt;width:231.65pt;height:233.5pt;mso-position-horizontal-relative:page;mso-position-vertical-relative:paragraph;z-index:251665408" coordorigin="1135,136" coordsize="4633,4670">
            <v:rect style="position:absolute;left:1142;top:143;width:4618;height:4655" filled="false" stroked="true" strokeweight=".75pt" strokecolor="#000000">
              <v:stroke dashstyle="solid"/>
            </v:rect>
            <v:line style="position:absolute" from="2080,2888" to="4810,2888" stroked="true" strokeweight=".72003pt" strokecolor="#868686">
              <v:stroke dashstyle="solid"/>
            </v:line>
            <v:line style="position:absolute" from="2080,2632" to="4810,2632" stroked="true" strokeweight=".71997pt" strokecolor="#868686">
              <v:stroke dashstyle="solid"/>
            </v:line>
            <v:line style="position:absolute" from="2080,2376" to="4810,2376" stroked="true" strokeweight=".72003pt" strokecolor="#868686">
              <v:stroke dashstyle="solid"/>
            </v:line>
            <v:shape style="position:absolute;left:2079;top:1609;width:2730;height:512" coordorigin="2080,1610" coordsize="2730,512" path="m2080,2121l4810,2121m2080,1865l4810,1865m2080,1610l4810,1610e" filled="false" stroked="true" strokeweight=".71997pt" strokecolor="#868686">
              <v:path arrowok="t"/>
              <v:stroke dashstyle="solid"/>
            </v:shape>
            <v:shape style="position:absolute;left:2079;top:841;width:2730;height:513" coordorigin="2080,842" coordsize="2730,513" path="m2080,1354l4810,1354m2080,1098l4810,1098m2080,842l4810,842e" filled="false" stroked="true" strokeweight=".72003pt" strokecolor="#868686">
              <v:path arrowok="t"/>
              <v:stroke dashstyle="solid"/>
            </v:shape>
            <v:line style="position:absolute" from="4810,842" to="4810,3143" stroked="true" strokeweight=".72pt" strokecolor="#868686">
              <v:stroke dashstyle="solid"/>
            </v:line>
            <v:shape style="position:absolute;left:4809;top:834;width:64;height:2316" coordorigin="4810,834" coordsize="64,2316" path="m4873,3136l4810,3136,4810,3150,4873,3150,4873,3136m4873,2880l4810,2880,4810,2895,4873,2895,4873,2880m4873,2625l4810,2625,4810,2639,4873,2639,4873,2625m4873,2369l4810,2369,4810,2384,4873,2384,4873,2369m4873,2114l4810,2114,4810,2128,4873,2128,4873,2114m4873,1858l4810,1858,4810,1872,4873,1872,4873,1858m4873,1602l4810,1602,4810,1617,4873,1617,4873,1602m4873,1347l4810,1347,4810,1361,4873,1361,4873,1347m4873,1091l4810,1091,4810,1106,4873,1106,4873,1091m4873,834l4810,834,4810,849,4873,849,4873,834e" filled="true" fillcolor="#868686" stroked="false">
              <v:path arrowok="t"/>
              <v:fill type="solid"/>
            </v:shape>
            <v:line style="position:absolute" from="2080,842" to="2080,3207" stroked="true" strokeweight=".72pt" strokecolor="#868686">
              <v:stroke dashstyle="solid"/>
            </v:line>
            <v:shape style="position:absolute;left:2016;top:834;width:64;height:2316" coordorigin="2016,834" coordsize="64,2316" path="m2080,3136l2016,3136,2016,3150,2080,3150,2080,3136m2080,2880l2016,2880,2016,2895,2080,2895,2080,2880m2080,2625l2016,2625,2016,2639,2080,2639,2080,2625m2080,2369l2016,2369,2016,2384,2080,2384,2080,2369m2080,2114l2016,2114,2016,2128,2080,2128,2080,2114m2080,1858l2016,1858,2016,1872,2080,1872,2080,1858m2080,1602l2016,1602,2016,1617,2080,1617,2080,1602m2080,1347l2016,1347,2016,1361,2080,1361,2080,1347m2080,1091l2016,1091,2016,1106,2080,1106,2080,1091m2080,834l2016,834,2016,849,2080,849,2080,834e" filled="true" fillcolor="#868686" stroked="false">
              <v:path arrowok="t"/>
              <v:fill type="solid"/>
            </v:shape>
            <v:line style="position:absolute" from="2080,3143" to="4810,3143" stroked="true" strokeweight=".71997pt" strokecolor="#868686">
              <v:stroke dashstyle="solid"/>
            </v:line>
            <v:shape style="position:absolute;left:2521;top:3143;width:2259;height:64" coordorigin="2521,3143" coordsize="2259,64" path="m2536,3143l2521,3143,2521,3207,2536,3207,2536,3143m2984,3143l2970,3143,2970,3207,2984,3207,2984,3143m3433,3143l3419,3143,3419,3207,3433,3207,3433,3143m3882,3143l3868,3143,3868,3207,3882,3207,3882,3143m4331,3143l4316,3143,4316,3207,4331,3207,4331,3143m4780,3143l4765,3143,4765,3207,4780,3207,4780,3143e" filled="true" fillcolor="#868686" stroked="false">
              <v:path arrowok="t"/>
              <v:fill type="solid"/>
            </v:shape>
            <v:shape style="position:absolute;left:2079;top:1073;width:2738;height:1424" coordorigin="2080,1074" coordsize="2738,1424" path="m2863,1898l2899,2168,2936,2424,2939,2432,2940,2434,2977,2488,2982,2496,2990,2498,2999,2498,3006,2496,3013,2492,3017,2484,3023,2468,2975,2468,2991,2428,2984,2418,2981,2418,2977,2408,2979,2408,2944,2164,2909,1904,2874,1904,2863,1898xm3060,2388l3054,2388,3033,2441,3049,2482,3053,2490,3061,2496,3079,2496,3088,2492,3090,2484,3098,2466,3049,2466,3071,2415,3060,2388xm3463,2344l3498,2474,3500,2484,3508,2490,3517,2492,3527,2492,3535,2488,3539,2478,3545,2464,3540,2464,3498,2460,3523,2402,3509,2348,3467,2348,3463,2344xm2991,2428l2975,2468,3014,2464,2991,2428xm3042,2358l3024,2358,3016,2364,3012,2374,2991,2428,3014,2464,2975,2468,3023,2468,3033,2441,3012,2388,3060,2388,3054,2374,3050,2364,3042,2358xm3071,2415l3049,2466,3091,2466,3071,2415xm3171,2302l3126,2302,3088,2376,3071,2415,3091,2466,3098,2466,3128,2394,3166,2322,3167,2318,3168,2316,3171,2302xm3523,2402l3498,2460,3540,2464,3523,2402xm3560,2358l3551,2358,3541,2362,3536,2372,3523,2402,3540,2464,3545,2464,3570,2405,3554,2404,3577,2390,3617,2390,3622,2378,3574,2378,3581,2361,3560,2358xm3054,2388l3012,2388,3033,2441,3054,2388xm4085,2378l4026,2378,4046,2386,4034,2387,4063,2422,4067,2426,4072,2428,4075,2430,4112,2438,4121,2438,4129,2436,4135,2430,4158,2402,4100,2402,4109,2392,4097,2392,4086,2384,4090,2384,4085,2378xm2977,2408l2981,2418,2980,2412,2977,2408xm2980,2412l2981,2418,2984,2418,2980,2412xm2979,2408l2977,2408,2980,2412,2979,2408xm3617,2390l3577,2390,3570,2405,3592,2408,3601,2410,3611,2406,3614,2396,3617,2390xm4247,2384l4172,2384,4162,2397,4184,2406,4200,2406,4238,2390,4246,2386,4247,2384xm3577,2390l3554,2404,3570,2405,3577,2390xm4110,2390l4100,2402,4123,2394,4110,2390xm4153,2346l4144,2350,4138,2358,4110,2390,4123,2394,4100,2402,4158,2402,4162,2397,4147,2392,4172,2384,4247,2384,4248,2382,4263,2364,4184,2364,4192,2361,4163,2350,4153,2346xm3736,2232l3686,2232,3725,2234,3704,2266,3724,2304,3762,2384,3766,2394,3773,2398,3790,2398,3797,2394,3802,2386,3811,2368,3802,2368,3762,2366,3783,2326,3763,2284,3736,2232xm4172,2384l4147,2392,4162,2397,4172,2384xm4086,2384l4097,2392,4091,2385,4086,2384xm4091,2385l4097,2392,4109,2392,4110,2390,4091,2385xm3964,2292l3912,2292,3947,2294,3927,2315,3949,2350,3952,2354,3954,2356,3992,2386,3997,2390,4009,2390,4034,2387,4026,2378,4085,2378,4063,2352,4020,2352,4003,2346,4011,2345,3989,2328,3986,2328,3982,2322,3983,2322,3964,2292xm3241,2187l3274,2286,3317,2382,3324,2388,3341,2388,3349,2382,3353,2376,3363,2356,3353,2356,3313,2354,3334,2313,3316,2274,3288,2190,3254,2190,3241,2187xm4026,2378l4034,2387,4046,2386,4026,2378xm4090,2384l4086,2384,4091,2385,4090,2384xm3581,2361l3574,2378,3598,2364,3581,2361xm3654,2261l3622,2280,3617,2282,3613,2286,3611,2290,3581,2361,3598,2364,3574,2378,3622,2378,3647,2318,3642,2318,3652,2308,3661,2308,3679,2298,3683,2296,3688,2292,3704,2266,3704,2266,3650,2266,3654,2261xm3783,2326l3762,2366,3802,2368,3783,2326xm3827,2284l3814,2284,3808,2286,3803,2290,3799,2296,3783,2326,3802,2368,3811,2368,3827,2339,3806,2324,3839,2316,3926,2316,3927,2315,3926,2314,3869,2314,3848,2312,3860,2307,3832,2288,3827,2284xm4192,2361l4184,2364,4200,2364,4192,2361xm4216,2351l4192,2361,4200,2364,4263,2364,4271,2354,4213,2354,4216,2351xm3334,2313l3313,2354,3353,2356,3334,2313xm3372,2266l3366,2268,3359,2270,3353,2274,3350,2280,3334,2313,3353,2356,3363,2356,3378,2324,3356,2306,3390,2300,3398,2300,3409,2293,3384,2272,3379,2268,3372,2266xm3926,2316l3839,2316,3827,2339,3844,2352,3850,2354,3857,2356,3864,2354,3901,2340,3904,2340,3907,2336,3910,2334,3926,2316xm4223,2348l4216,2351,4213,2354,4223,2348xm4275,2348l4223,2348,4213,2354,4271,2354,4275,2348xm4011,2345l4003,2346,4020,2352,4011,2345xm4048,2340l4040,2342,4011,2345,4020,2352,4063,2352,4060,2348,4055,2344,4048,2340xm4400,2265l4376,2279,4385,2282,4368,2284,4295,2284,4258,2304,4255,2304,4250,2310,4216,2351,4223,2348,4275,2348,4279,2344,4278,2344,4285,2336,4293,2336,4315,2324,4312,2324,4343,2315,4337,2314,4404,2314,4428,2300,4435,2294,4453,2268,4398,2268,4400,2265xm3461,2336l3463,2344,3467,2348,3461,2336xm3505,2336l3461,2336,3467,2348,3509,2348,3505,2336xm3495,2314l3430,2314,3456,2316,3442,2325,3463,2344,3461,2336,3505,2336,3503,2326,3500,2318,3497,2316,3495,2314xm3398,2300l3390,2300,3378,2324,3394,2338,3401,2344,3412,2344,3419,2340,3442,2325,3430,2314,3495,2314,3484,2304,3421,2304,3395,2302,3398,2300xm4285,2336l4278,2344,4279,2343,4285,2336xm4279,2343l4278,2344,4279,2344,4279,2343xm4293,2336l4285,2336,4279,2343,4293,2336xm3839,2316l3806,2324,3827,2339,3839,2316xm3982,2322l3986,2328,3984,2323,3982,2322xm3984,2323l3986,2328,3989,2328,3984,2323xm4404,2314l4349,2314,4343,2315,4374,2324,4380,2326,4386,2324,4391,2322,4404,2314xm3430,2314l3442,2325,3456,2316,3430,2314xm3390,2300l3356,2306,3378,2324,3390,2300xm3983,2322l3982,2322,3984,2323,3983,2322xm3652,2308l3642,2318,3649,2314,3652,2308xm3649,2314l3642,2318,3647,2318,3649,2314xm4349,2314l4337,2314,4343,2315,4349,2314xm3912,2292l3927,2315,3947,2294,3912,2292xm3661,2308l3652,2308,3649,2314,3661,2308xm3860,2307l3848,2312,3869,2314,3860,2307xm3881,2299l3860,2307,3869,2314,3926,2314,3920,2304,3877,2304,3881,2299xm3188,2118l3180,2118,3174,2120,3168,2124,3163,2130,3161,2136,3124,2306,3126,2302,3171,2302,3199,2174,3172,2160,3205,2144,3260,2144,3242,2142,3232,2142,3223,2140,3228,2140,3194,2120,3188,2118xm3409,2293l3395,2302,3421,2304,3409,2293xm3442,2272l3432,2278,3409,2293,3421,2304,3484,2304,3460,2280,3452,2274,3442,2272xm3886,2298l3881,2299,3877,2304,3886,2298xm3916,2298l3886,2298,3877,2304,3920,2304,3916,2298xm3940,2258l3926,2258,3919,2260,3914,2264,3881,2299,3886,2298,3916,2298,3912,2292,3964,2292,3949,2268,3946,2262,3940,2258xm4348,2272l4336,2272,4298,2284,4368,2284,4376,2279,4348,2272xm4376,2279l4368,2284,4385,2282,4376,2279xm4405,2262l4400,2265,4398,2268,4405,2262xm4457,2262l4405,2262,4398,2268,4453,2268,4457,2262xm4740,2194l4771,2252,4777,2262,4790,2268,4812,2256,4817,2242,4811,2232,4791,2196,4752,2196,4740,2194xm3686,2232l3704,2266,3725,2234,3686,2232xm3659,2258l3654,2261,3650,2266,3659,2258xm3700,2258l3659,2258,3650,2266,3704,2266,3700,2258xm4495,2142l4489,2142,4482,2144,4477,2148,4474,2154,4436,2212,4400,2265,4405,2262,4457,2262,4474,2238,4497,2198,4477,2180,4511,2176,4521,2176,4529,2167,4507,2148,4502,2144,4495,2142xm3715,2200l3700,2200,3692,2204,3688,2210,3654,2261,3659,2258,3700,2258,3686,2232,3736,2232,3726,2212,3722,2204,3715,2200xm4521,2176l4511,2176,4497,2198,4514,2214,4524,2224,4537,2222,4546,2214,4574,2184,4513,2184,4521,2176xm4511,2176l4477,2180,4497,2198,4511,2176xm4734,2184l4740,2194,4752,2196,4734,2184xm4785,2184l4734,2184,4752,2196,4791,2196,4785,2184xm4738,2192l4717,2192,4740,2194,4738,2192xm4771,2158l4627,2158,4648,2162,4637,2165,4666,2188,4669,2192,4675,2194,4680,2194,4717,2192,4738,2192,4734,2184,4785,2184,4774,2164,4771,2158xm3236,2174l3241,2187,3254,2190,3236,2174xm3283,2174l3236,2174,3254,2190,3288,2190,3283,2174xm3260,2144l3205,2144,3199,2174,3209,2180,3211,2184,3217,2184,3241,2187,3236,2174,3283,2174,3278,2160,3276,2152,3269,2146,3260,2144xm4529,2167l4513,2184,4544,2182,4529,2167xm4601,2130l4564,2136,4558,2138,4554,2140,4550,2144,4529,2167,4544,2182,4513,2184,4574,2184,4577,2180,4570,2180,4583,2174,4610,2174,4637,2165,4627,2158,4771,2158,4770,2156,4766,2154,4693,2154,4679,2148,4686,2148,4665,2132,4597,2132,4601,2130xm4583,2174l4570,2180,4579,2178,4583,2174xm4579,2178l4570,2180,4577,2180,4579,2178xm4607,2174l4583,2174,4579,2178,4607,2174xm3205,2144l3172,2160,3199,2174,3205,2144xm4627,2158l4637,2165,4648,2162,4627,2158xm4686,2148l4679,2148,4693,2154,4686,2148xm4716,2148l4686,2148,4693,2154,4766,2154,4763,2152,4756,2150,4716,2148xm3223,2140l3232,2142,3229,2140,3223,2140xm3229,2140l3232,2142,3242,2142,3229,2140xm3228,2140l3223,2140,3229,2140,3228,2140xm4649,2118l4642,2118,4634,2120,4597,2132,4665,2132,4655,2124,4649,2118xm2862,1888l2863,1898,2874,1904,2862,1888xm2907,1888l2862,1888,2874,1904,2909,1904,2907,1888xm2801,1720l2752,1720,2774,1732,2758,1733,2789,1794,2826,1874,2827,1878,2831,1882,2836,1884,2863,1898,2862,1888,2907,1888,2906,1882,2905,1874,2900,1868,2894,1866,2877,1856,2866,1856,2856,1844,2860,1844,2828,1774,2801,1720xm2856,1844l2866,1856,2862,1847,2856,1844xm2862,1847l2866,1856,2877,1856,2862,1847xm2860,1844l2856,1844,2862,1847,2860,1844xm2567,1579l2602,1640,2640,1726,2642,1734,2651,1740,2696,1740,2758,1733,2752,1720,2801,1720,2795,1708,2680,1708,2660,1694,2673,1694,2641,1620,2620,1582,2572,1582,2567,1579xm2752,1720l2758,1733,2774,1732,2752,1720xm2660,1694l2680,1708,2674,1694,2660,1694xm2674,1694l2680,1708,2795,1708,2791,1700,2789,1696,2698,1696,2674,1694xm2778,1686l2768,1688,2698,1696,2789,1696,2786,1692,2778,1686xm2673,1694l2660,1694,2674,1694,2673,1694xm2564,1574l2567,1579,2572,1582,2564,1574xm2615,1574l2564,1574,2572,1582,2620,1582,2615,1574xm2453,1293l2489,1388,2525,1544,2530,1554,2534,1558,2567,1579,2564,1574,2615,1574,2604,1554,2602,1550,2599,1548,2596,1544,2580,1534,2568,1534,2558,1520,2565,1520,2531,1372,2502,1296,2455,1296,2453,1293xm2558,1520l2568,1534,2566,1524,2558,1520xm2566,1524l2568,1534,2580,1534,2566,1524xm2565,1520l2558,1520,2566,1524,2565,1520xm2452,1290l2453,1293,2455,1296,2452,1290xm2500,1290l2452,1290,2455,1296,2502,1296,2500,1290xm2419,1251l2453,1293,2452,1290,2500,1290,2494,1274,2491,1268,2490,1268,2479,1254,2423,1254,2419,1251xm2418,1250l2419,1251,2423,1254,2418,1250xm2475,1250l2418,1250,2423,1254,2479,1254,2475,1250xm2344,1164l2378,1220,2380,1224,2384,1228,2419,1251,2418,1250,2475,1250,2453,1222,2452,1220,2449,1218,2448,1218,2421,1198,2416,1198,2410,1190,2411,1190,2396,1166,2346,1166,2344,1164xm2116,1136l2153,1208,2156,1214,2161,1218,2168,1220,2174,1220,2182,1218,2214,1190,2209,1188,2192,1188,2159,1180,2179,1162,2173,1150,2134,1150,2124,1142,2116,1136xm2284,1182l2225,1182,2214,1190,2246,1206,2256,1206,2262,1200,2284,1182xm2410,1190l2416,1198,2411,1191,2410,1190xm2411,1191l2416,1198,2421,1198,2411,1191xm2411,1190l2410,1190,2411,1191,2411,1190xm2225,1182l2201,1184,2214,1190,2225,1182xm2179,1162l2159,1180,2192,1188,2179,1162xm2213,1142l2203,1142,2197,1148,2179,1162,2192,1188,2209,1188,2201,1184,2225,1182,2284,1182,2299,1170,2303,1166,2234,1166,2245,1157,2213,1142xm2245,1157l2234,1166,2258,1164,2245,1157xm2328,1094l2316,1094,2308,1102,2272,1134,2245,1157,2258,1164,2234,1166,2303,1166,2323,1147,2309,1136,2338,1134,2375,1134,2374,1132,2336,1100,2328,1094xm2341,1160l2344,1164,2346,1166,2341,1160xm2392,1160l2341,1160,2346,1166,2396,1166,2392,1160xm2375,1134l2338,1134,2323,1147,2344,1164,2341,1160,2392,1160,2378,1138,2377,1136,2375,1134xm2136,1100l2114,1112,2110,1124,2116,1136,2124,1142,2134,1150,2148,1148,2154,1136,2161,1128,2161,1127,2155,1116,2151,1107,2148,1106,2141,1101,2136,1100xm2161,1127l2161,1128,2154,1136,2148,1148,2134,1150,2173,1150,2161,1127xm2338,1134l2309,1136,2323,1147,2338,1134xm2101,1074l2087,1076,2081,1088,2080,1090,2080,1114,2087,1118,2116,1136,2110,1124,2114,1112,2136,1100,2139,1100,2111,1082,2101,1074xm2151,1107l2155,1116,2161,1127,2159,1112,2151,1107xm2141,1101l2148,1106,2151,1107,2149,1104,2141,1101xm2139,1100l2136,1100,2141,1101,2139,1100xe" filled="true" fillcolor="#be4b48" stroked="false">
              <v:path arrowok="t"/>
              <v:fill type="solid"/>
            </v:shape>
            <v:shape style="position:absolute;left:2079;top:1053;width:2738;height:1124" coordorigin="2080,1053" coordsize="2738,1124" path="m3060,2061l3012,2061,3054,2063,3032,2116,3049,2163,3053,2173,3060,2177,3078,2177,3086,2173,3090,2165,3099,2147,3091,2147,3050,2145,3074,2100,3060,2061xm2909,1687l2862,1687,2902,1695,2872,1732,2899,1859,2936,2113,2938,2119,2940,2123,2944,2127,2981,2159,2987,2163,2994,2165,3001,2163,3007,2163,3013,2157,3017,2151,3024,2133,2975,2133,2986,2107,2981,2107,2974,2093,2979,2093,2944,1851,2909,1687xm3241,1989l3274,2075,3313,2151,3317,2157,3324,2161,3331,2163,3338,2163,3347,2161,3350,2153,3367,2131,3353,2131,3316,2127,3336,2099,3316,2059,3290,1991,3254,1991,3241,1989xm3074,2100l3050,2145,3091,2147,3074,2100xm3126,2035l3094,2065,3091,2067,3089,2071,3074,2100,3091,2147,3099,2147,3125,2097,3124,2097,3128,2091,3130,2091,3161,2063,3166,2057,3167,2055,3173,2039,3125,2039,3126,2035xm2987,2105l2975,2133,3011,2127,2987,2105xm3043,2031l3024,2031,3016,2037,3012,2045,2987,2105,3011,2127,2975,2133,3024,2133,3032,2116,3012,2061,3060,2061,3054,2045,3050,2037,3043,2031xm3336,2099l3316,2127,3353,2131,3336,2099xm3396,2067l3362,2067,3356,2071,3353,2075,3336,2099,3353,2131,3367,2131,3380,2113,3371,2113,3388,2103,3424,2103,3425,2101,3444,2075,3390,2075,3396,2067xm3510,2025l3462,2025,3493,2033,3472,2047,3499,2107,3503,2115,3510,2121,3528,2121,3536,2115,3539,2107,3547,2089,3498,2089,3518,2043,3510,2025xm3012,2061l3032,2116,3054,2063,3012,2061xm3388,2103l3371,2113,3381,2113,3388,2103xm3381,2113l3371,2113,3380,2113,3381,2113xm3424,2103l3388,2103,3381,2113,3408,2111,3415,2111,3421,2107,3424,2103xm2974,2093l2981,2107,2980,2099,2974,2093xm2980,2099l2981,2107,2986,2107,2987,2105,2980,2099xm2979,2093l2974,2093,2980,2099,2979,2093xm3128,2091l3124,2097,3127,2094,3128,2091xm3127,2094l3124,2097,3125,2097,3127,2094xm3130,2091l3128,2091,3127,2094,3130,2091xm3518,2043l3498,2089,3539,2089,3518,2043xm3622,1935l3575,1935,3536,2001,3518,2043,3539,2089,3547,2089,3577,2019,3613,1957,3616,1953,3622,1935xm4081,2035l4028,2035,4054,2039,4040,2046,4066,2071,4072,2077,4080,2079,4087,2075,4124,2063,4132,2061,4159,2039,4096,2039,4081,2035xm3482,1993l3475,1993,3470,1997,3433,2019,3431,2021,3427,2025,3390,2075,3407,2067,3450,2067,3458,2057,3456,2057,3462,2051,3465,2051,3472,2047,3462,2025,3510,2025,3502,2007,3499,2001,3494,1995,3488,1995,3482,1993xm3450,2067l3407,2067,3390,2075,3444,2075,3450,2067xm3911,1923l3948,1997,3950,2001,3989,2051,3995,2059,4007,2061,4016,2057,4040,2046,4028,2035,4081,2035,4074,2033,4086,2030,4079,2023,4024,2023,3996,2017,4013,2009,3988,1977,3988,1977,3985,1973,3986,1973,3966,1935,3930,1935,3911,1923xm3462,2051l3456,2057,3459,2055,3462,2051xm3459,2055l3456,2057,3458,2057,3459,2055xm3465,2051l3462,2051,3459,2055,3465,2051xm3462,2025l3472,2047,3493,2033,3462,2025xm4028,2035l4040,2046,4054,2039,4028,2035xm3724,1901l3761,2025,3763,2031,3770,2037,3780,2039,3788,2041,3798,2035,3802,2027,3810,2011,3803,2011,3762,2007,3787,1958,3770,1903,3725,1903,3724,1901xm3131,2031l3126,2035,3125,2039,3131,2031xm3176,2031l3131,2031,3125,2039,3173,2039,3176,2031xm4086,2030l4074,2033,4096,2039,4086,2030xm4104,2025l4086,2030,4096,2039,4159,2039,4166,2033,4162,2033,4169,2031,4169,2031,4191,2025,4104,2025,4104,2025xm3186,1923l3180,1923,3174,1925,3164,1933,3162,1939,3126,2035,3131,2031,3176,2031,3196,1977,3174,1967,3204,1955,3276,1955,3275,1953,3269,1947,3260,1947,3223,1941,3229,1941,3192,1925,3186,1923xm4169,2031l4162,2033,4169,2031,4169,2031xm4169,2031l4162,2033,4166,2033,4169,2031xm4169,2031l4169,2031,4169,2031,4169,2031xm4111,2023l4104,2025,4104,2025,4111,2023xm4199,2023l4111,2023,4104,2025,4191,2025,4199,2023xm4219,1976l4190,1979,4187,1979,4186,1981,4148,1993,4141,1995,4104,2025,4111,2023,4194,2023,4232,2019,4238,2019,4244,2015,4248,2011,4272,1983,4213,1983,4219,1976xm4013,2009l3996,2017,4024,2023,4013,2009xm4042,1995l4013,2009,4024,2023,4079,2023,4058,2003,4052,1997,4042,1995xm3787,1958l3762,2007,3803,2011,3787,1958xm3894,1889l3890,1889,3853,1895,3850,1895,3846,1897,3844,1899,3806,1923,3803,1925,3800,1929,3799,1933,3787,1958,3803,2011,3810,2011,3835,1961,3832,1961,3839,1953,3843,1953,3863,1939,3859,1939,3869,1935,3917,1935,3911,1923,3960,1923,3950,1903,3947,1895,3940,1891,3931,1891,3894,1889xm3236,1977l3241,1989,3254,1991,3236,1977xm3284,1977l3236,1977,3254,1991,3290,1991,3284,1977xm3276,1955l3204,1955,3196,1977,3211,1983,3215,1983,3217,1985,3241,1989,3236,1977,3284,1977,3278,1961,3276,1955xm4229,1975l4219,1976,4213,1983,4229,1975xm4278,1975l4229,1975,4213,1983,4272,1983,4278,1975xm3985,1973l3988,1977,3986,1975,3985,1973xm3986,1975l3988,1977,3988,1977,3986,1975xm3204,1955l3174,1967,3196,1977,3204,1955xm4344,1833l4332,1835,4325,1843,4288,1893,4250,1939,4219,1976,4229,1975,4278,1975,4285,1967,4348,1887,4330,1875,4360,1871,4444,1871,4451,1863,4391,1863,4373,1859,4381,1857,4354,1839,4344,1833xm3986,1973l3985,1973,3986,1975,3986,1973xm3839,1953l3832,1961,3836,1958,3839,1953xm3836,1958l3832,1961,3835,1961,3836,1958xm3843,1953l3839,1953,3836,1958,3843,1953xm3869,1935l3859,1939,3864,1939,3869,1935xm3864,1939l3859,1939,3863,1939,3864,1939xm3896,1935l3869,1935,3864,1939,3896,1935xm3634,1821l3619,1825,3613,1829,3611,1837,3574,1937,3575,1935,3622,1935,3642,1882,3618,1863,3653,1853,3660,1853,3666,1845,3646,1827,3641,1823,3634,1821xm3960,1923l3911,1923,3930,1935,3966,1935,3960,1923xm4444,1871l4360,1871,4348,1887,4367,1899,4373,1903,4379,1905,4386,1903,4423,1891,4430,1887,4434,1883,4444,1871xm3722,1897l3724,1901,3725,1903,3722,1897xm3769,1897l3722,1897,3725,1903,3770,1903,3769,1897xm3739,1843l3688,1843,3724,1845,3704,1869,3724,1901,3722,1897,3769,1897,3764,1883,3764,1881,3762,1879,3739,1843xm3660,1853l3653,1853,3642,1882,3655,1893,3664,1901,3678,1899,3704,1869,3700,1863,3652,1863,3660,1853xm4737,1801l4771,1875,4776,1887,4789,1891,4800,1885,4812,1881,4817,1867,4811,1857,4786,1803,4739,1803,4737,1801xm4360,1871l4330,1875,4348,1887,4360,1871xm3653,1853l3618,1863,3642,1882,3653,1853xm3688,1843l3704,1869,3724,1845,3688,1843xm3666,1845l3652,1863,3683,1859,3666,1845xm3715,1809l3701,1809,3694,1813,3689,1817,3666,1845,3683,1859,3652,1863,3700,1863,3688,1843,3739,1843,3725,1821,3721,1815,3715,1809xm4381,1857l4373,1859,4391,1863,4381,1857xm4405,1851l4381,1857,4391,1863,4451,1863,4457,1857,4399,1857,4405,1851xm4410,1849l4405,1851,4399,1857,4410,1849xm4464,1849l4410,1849,4399,1857,4457,1857,4464,1849xm4437,1812l4405,1851,4410,1849,4464,1849,4472,1839,4472,1837,4475,1835,4485,1815,4435,1815,4437,1812xm4438,1811l4437,1812,4435,1815,4438,1811xm4487,1811l4438,1811,4435,1815,4485,1815,4487,1811xm4495,1731l4487,1731,4477,1735,4472,1743,4437,1812,4438,1811,4487,1811,4504,1778,4489,1775,4512,1763,4552,1763,4560,1749,4510,1749,4517,1735,4495,1731xm4734,1795l4737,1801,4739,1803,4734,1795xm4782,1795l4734,1795,4739,1803,4786,1803,4782,1795xm4769,1769l4702,1769,4723,1775,4712,1779,4737,1801,4734,1795,4782,1795,4774,1777,4772,1773,4771,1771,4769,1769xm4595,1715l4625,1747,4664,1783,4670,1787,4679,1789,4686,1787,4712,1779,4702,1769,4769,1769,4746,1749,4694,1749,4673,1745,4685,1741,4657,1717,4655,1715,4602,1715,4595,1715xm4552,1763l4512,1763,4504,1778,4526,1783,4535,1783,4544,1779,4549,1769,4552,1763xm4702,1769l4712,1779,4723,1775,4702,1769xm4512,1763l4489,1775,4504,1778,4512,1763xm2797,1727l2834,1749,2844,1755,2856,1753,2863,1743,2872,1732,2872,1731,2808,1731,2797,1727xm4517,1735l4510,1749,4532,1737,4517,1735xm4568,1667l4559,1667,4552,1671,4547,1679,4517,1735,4532,1737,4510,1749,4560,1749,4579,1714,4565,1713,4586,1701,4642,1701,4620,1677,4616,1673,4610,1671,4606,1671,4568,1667xm4685,1741l4673,1745,4694,1749,4685,1741xm4726,1731l4717,1731,4710,1733,4685,1741,4694,1749,4746,1749,4732,1737,4726,1731xm2566,1545l2600,1643,2640,1727,2645,1737,2657,1743,2705,1725,2870,1725,2868,1715,2828,1715,2833,1709,2680,1709,2652,1697,2671,1690,2642,1629,2615,1549,2575,1549,2566,1545xm2862,1687l2872,1732,2902,1695,2862,1687xm2870,1725l2734,1725,2768,1731,2804,1731,2797,1727,2871,1727,2870,1725xm2871,1727l2797,1727,2808,1731,2872,1731,2871,1727xm2840,1700l2828,1715,2857,1709,2840,1700xm2890,1659l2881,1659,2872,1661,2840,1700,2857,1709,2828,1715,2868,1715,2862,1687,2909,1687,2906,1677,2904,1669,2898,1661,2890,1659xm4588,1707l4595,1715,4602,1715,4588,1707xm4648,1707l4588,1707,4602,1715,4655,1715,4648,1707xm4642,1701l4586,1701,4579,1714,4595,1715,4588,1707,4648,1707,4642,1701xm4586,1701l4565,1713,4579,1714,4586,1701xm2671,1690l2652,1697,2680,1709,2671,1690xm2734,1681l2692,1681,2689,1683,2671,1690,2680,1709,2833,1709,2840,1700,2820,1689,2813,1687,2774,1687,2734,1681xm2563,1537l2566,1545,2575,1549,2563,1537xm2611,1537l2563,1537,2575,1549,2615,1549,2611,1537xm2490,1399l2526,1519,2527,1525,2532,1529,2538,1533,2566,1545,2563,1537,2611,1537,2605,1521,2599,1511,2593,1509,2589,1507,2568,1507,2556,1493,2564,1493,2536,1401,2491,1401,2490,1399xm2556,1493l2568,1507,2565,1497,2556,1493xm2565,1497l2568,1507,2589,1507,2565,1497xm2564,1493l2556,1493,2565,1497,2564,1493xm2489,1395l2490,1399,2491,1401,2489,1395xm2534,1395l2489,1395,2491,1401,2536,1401,2534,1395xm2417,1272l2453,1337,2490,1399,2489,1395,2534,1395,2531,1383,2531,1381,2492,1317,2469,1275,2420,1275,2417,1272xm2416,1269l2417,1272,2420,1275,2416,1269xm2466,1269l2416,1269,2420,1275,2469,1275,2466,1269xm2346,1179l2378,1233,2378,1235,2380,1237,2382,1239,2417,1272,2416,1269,2466,1269,2455,1249,2453,1245,2450,1243,2418,1211,2416,1211,2398,1181,2351,1181,2346,1179xm2412,1205l2416,1211,2418,1211,2412,1205xm2268,1193l2213,1193,2208,1194,2250,1205,2257,1203,2263,1197,2268,1193xm2117,1121l2153,1185,2158,1193,2165,1197,2174,1197,2208,1194,2206,1193,2268,1193,2293,1171,2288,1171,2300,1165,2233,1165,2236,1163,2192,1163,2171,1151,2185,1150,2174,1131,2132,1131,2123,1125,2117,1121xm2213,1193l2206,1193,2208,1194,2213,1193xm2341,1171l2346,1179,2351,1181,2341,1171xm2392,1171l2341,1171,2351,1181,2398,1181,2392,1171xm2328,1121l2320,1121,2282,1127,2278,1127,2274,1129,2270,1133,2242,1158,2254,1161,2233,1165,2314,1165,2326,1167,2320,1168,2346,1179,2341,1171,2392,1171,2376,1145,2372,1141,2369,1139,2332,1123,2328,1121xm2300,1165l2288,1171,2294,1171,2300,1165xm2294,1171l2288,1171,2293,1171,2294,1171xm2314,1165l2300,1165,2294,1171,2320,1168,2314,1165xm2314,1165l2320,1168,2326,1167,2314,1165xm2242,1158l2233,1165,2254,1161,2242,1158xm2185,1150l2171,1151,2192,1163,2185,1150xm2214,1149l2209,1149,2185,1150,2192,1163,2236,1163,2242,1158,2216,1151,2214,1149xm2135,1081l2125,1087,2114,1093,2110,1107,2117,1121,2123,1125,2132,1131,2147,1129,2161,1109,2161,1107,2155,1097,2152,1091,2149,1089,2141,1083,2135,1081xm2161,1107l2161,1109,2147,1129,2132,1131,2174,1131,2161,1107xm2102,1053l2088,1055,2080,1067,2080,1093,2086,1097,2117,1121,2110,1107,2114,1093,2125,1087,2135,1081,2139,1081,2112,1061,2102,1053xm2152,1091l2155,1097,2161,1107,2159,1095,2152,1091xm2141,1083l2149,1089,2152,1091,2149,1085,2141,1083xm2139,1081l2135,1081,2141,1083,2139,1081xe" filled="true" fillcolor="#4a7ebb" stroked="false">
              <v:path arrowok="t"/>
              <v:fill type="solid"/>
            </v:shape>
            <v:line style="position:absolute" from="2063,4340" to="2491,4340" stroked="true" strokeweight="2.220pt" strokecolor="#be4b48">
              <v:stroke dashstyle="solid"/>
            </v:line>
            <v:line style="position:absolute" from="4368,4340" to="4796,4340" stroked="true" strokeweight="2.220pt" strokecolor="#4a7ebb">
              <v:stroke dashstyle="solid"/>
            </v:line>
            <v:shape style="position:absolute;left:4814;top:4248;width:399;height:201" type="#_x0000_t202" filled="false" stroked="false">
              <v:textbox inset="0,0,0,0">
                <w:txbxContent>
                  <w:p>
                    <w:pPr>
                      <w:spacing w:line="200" w:lineRule="exact" w:before="0"/>
                      <w:ind w:left="0" w:right="0" w:firstLine="0"/>
                      <w:jc w:val="left"/>
                      <w:rPr>
                        <w:rFonts w:ascii="Calibri"/>
                        <w:sz w:val="20"/>
                      </w:rPr>
                    </w:pPr>
                    <w:r>
                      <w:rPr>
                        <w:rFonts w:ascii="Calibri"/>
                        <w:sz w:val="20"/>
                      </w:rPr>
                      <w:t>Euro</w:t>
                    </w:r>
                  </w:p>
                </w:txbxContent>
              </v:textbox>
              <w10:wrap type="none"/>
            </v:shape>
            <v:shape style="position:absolute;left:1296;top:3676;width:2824;height:772" type="#_x0000_t202" filled="false" stroked="false">
              <v:textbox inset="0,0,0,0">
                <w:txbxContent>
                  <w:p>
                    <w:pPr>
                      <w:spacing w:line="178" w:lineRule="exact" w:before="0"/>
                      <w:ind w:left="0" w:right="0" w:firstLine="0"/>
                      <w:jc w:val="left"/>
                      <w:rPr>
                        <w:sz w:val="16"/>
                      </w:rPr>
                    </w:pPr>
                    <w:r>
                      <w:rPr>
                        <w:sz w:val="16"/>
                      </w:rPr>
                      <w:t>Source: Bank of England</w:t>
                    </w:r>
                  </w:p>
                  <w:p>
                    <w:pPr>
                      <w:spacing w:line="240" w:lineRule="auto" w:before="0"/>
                      <w:rPr>
                        <w:sz w:val="18"/>
                      </w:rPr>
                    </w:pPr>
                  </w:p>
                  <w:p>
                    <w:pPr>
                      <w:spacing w:line="241" w:lineRule="exact" w:before="146"/>
                      <w:ind w:left="1214" w:right="0" w:firstLine="0"/>
                      <w:jc w:val="left"/>
                      <w:rPr>
                        <w:rFonts w:ascii="Calibri"/>
                        <w:sz w:val="20"/>
                      </w:rPr>
                    </w:pPr>
                    <w:r>
                      <w:rPr>
                        <w:rFonts w:ascii="Calibri"/>
                        <w:sz w:val="20"/>
                      </w:rPr>
                      <w:t>Effective Rate (LHS)</w:t>
                    </w:r>
                  </w:p>
                </w:txbxContent>
              </v:textbox>
              <w10:wrap type="none"/>
            </v:shape>
            <v:shape style="position:absolute;left:4994;top:750;width:275;height:2502" type="#_x0000_t202" filled="false" stroked="false">
              <v:textbox inset="0,0,0,0">
                <w:txbxContent>
                  <w:p>
                    <w:pPr>
                      <w:spacing w:line="204" w:lineRule="exact" w:before="0"/>
                      <w:ind w:left="0" w:right="0" w:firstLine="0"/>
                      <w:jc w:val="left"/>
                      <w:rPr>
                        <w:rFonts w:ascii="Calibri"/>
                        <w:sz w:val="20"/>
                      </w:rPr>
                    </w:pPr>
                    <w:r>
                      <w:rPr>
                        <w:rFonts w:ascii="Calibri"/>
                        <w:sz w:val="20"/>
                      </w:rPr>
                      <w:t>1.6</w:t>
                    </w:r>
                  </w:p>
                  <w:p>
                    <w:pPr>
                      <w:spacing w:before="11"/>
                      <w:ind w:left="0" w:right="0" w:firstLine="0"/>
                      <w:jc w:val="left"/>
                      <w:rPr>
                        <w:rFonts w:ascii="Calibri"/>
                        <w:sz w:val="20"/>
                      </w:rPr>
                    </w:pPr>
                    <w:r>
                      <w:rPr>
                        <w:rFonts w:ascii="Calibri"/>
                        <w:sz w:val="20"/>
                      </w:rPr>
                      <w:t>1.5</w:t>
                    </w:r>
                  </w:p>
                  <w:p>
                    <w:pPr>
                      <w:spacing w:before="12"/>
                      <w:ind w:left="0" w:right="0" w:firstLine="0"/>
                      <w:jc w:val="left"/>
                      <w:rPr>
                        <w:rFonts w:ascii="Calibri"/>
                        <w:sz w:val="20"/>
                      </w:rPr>
                    </w:pPr>
                    <w:r>
                      <w:rPr>
                        <w:rFonts w:ascii="Calibri"/>
                        <w:sz w:val="20"/>
                      </w:rPr>
                      <w:t>1.4</w:t>
                    </w:r>
                  </w:p>
                  <w:p>
                    <w:pPr>
                      <w:spacing w:before="11"/>
                      <w:ind w:left="0" w:right="0" w:firstLine="0"/>
                      <w:jc w:val="left"/>
                      <w:rPr>
                        <w:rFonts w:ascii="Calibri"/>
                        <w:sz w:val="20"/>
                      </w:rPr>
                    </w:pPr>
                    <w:r>
                      <w:rPr>
                        <w:rFonts w:ascii="Calibri"/>
                        <w:sz w:val="20"/>
                      </w:rPr>
                      <w:t>1.3</w:t>
                    </w:r>
                  </w:p>
                  <w:p>
                    <w:pPr>
                      <w:spacing w:before="11"/>
                      <w:ind w:left="0" w:right="0" w:firstLine="0"/>
                      <w:jc w:val="left"/>
                      <w:rPr>
                        <w:rFonts w:ascii="Calibri"/>
                        <w:sz w:val="20"/>
                      </w:rPr>
                    </w:pPr>
                    <w:r>
                      <w:rPr>
                        <w:rFonts w:ascii="Calibri"/>
                        <w:sz w:val="20"/>
                      </w:rPr>
                      <w:t>1.2</w:t>
                    </w:r>
                  </w:p>
                  <w:p>
                    <w:pPr>
                      <w:spacing w:before="12"/>
                      <w:ind w:left="0" w:right="0" w:firstLine="0"/>
                      <w:jc w:val="left"/>
                      <w:rPr>
                        <w:rFonts w:ascii="Calibri"/>
                        <w:sz w:val="20"/>
                      </w:rPr>
                    </w:pPr>
                    <w:r>
                      <w:rPr>
                        <w:rFonts w:ascii="Calibri"/>
                        <w:sz w:val="20"/>
                      </w:rPr>
                      <w:t>1.1</w:t>
                    </w:r>
                  </w:p>
                  <w:p>
                    <w:pPr>
                      <w:spacing w:before="11"/>
                      <w:ind w:left="1" w:right="0" w:firstLine="0"/>
                      <w:jc w:val="left"/>
                      <w:rPr>
                        <w:rFonts w:ascii="Calibri"/>
                        <w:sz w:val="20"/>
                      </w:rPr>
                    </w:pPr>
                    <w:r>
                      <w:rPr>
                        <w:rFonts w:ascii="Calibri"/>
                        <w:w w:val="100"/>
                        <w:sz w:val="20"/>
                      </w:rPr>
                      <w:t>1</w:t>
                    </w:r>
                  </w:p>
                  <w:p>
                    <w:pPr>
                      <w:spacing w:before="13"/>
                      <w:ind w:left="0" w:right="0" w:firstLine="0"/>
                      <w:jc w:val="left"/>
                      <w:rPr>
                        <w:rFonts w:ascii="Calibri"/>
                        <w:sz w:val="20"/>
                      </w:rPr>
                    </w:pPr>
                    <w:r>
                      <w:rPr>
                        <w:rFonts w:ascii="Calibri"/>
                        <w:sz w:val="20"/>
                      </w:rPr>
                      <w:t>0.9</w:t>
                    </w:r>
                  </w:p>
                  <w:p>
                    <w:pPr>
                      <w:spacing w:before="12"/>
                      <w:ind w:left="0" w:right="0" w:firstLine="0"/>
                      <w:jc w:val="left"/>
                      <w:rPr>
                        <w:rFonts w:ascii="Calibri"/>
                        <w:sz w:val="20"/>
                      </w:rPr>
                    </w:pPr>
                    <w:r>
                      <w:rPr>
                        <w:rFonts w:ascii="Calibri"/>
                        <w:sz w:val="20"/>
                      </w:rPr>
                      <w:t>0.8</w:t>
                    </w:r>
                  </w:p>
                  <w:p>
                    <w:pPr>
                      <w:spacing w:line="241" w:lineRule="exact" w:before="11"/>
                      <w:ind w:left="0" w:right="0" w:firstLine="0"/>
                      <w:jc w:val="left"/>
                      <w:rPr>
                        <w:rFonts w:ascii="Calibri"/>
                        <w:sz w:val="20"/>
                      </w:rPr>
                    </w:pPr>
                    <w:r>
                      <w:rPr>
                        <w:rFonts w:ascii="Calibri"/>
                        <w:sz w:val="20"/>
                      </w:rPr>
                      <w:t>0.7</w:t>
                    </w:r>
                  </w:p>
                </w:txbxContent>
              </v:textbox>
              <w10:wrap type="none"/>
            </v:shape>
            <v:shape style="position:absolute;left:1590;top:750;width:327;height:2502" type="#_x0000_t202" filled="false" stroked="false">
              <v:textbox inset="0,0,0,0">
                <w:txbxContent>
                  <w:p>
                    <w:pPr>
                      <w:spacing w:line="204" w:lineRule="exact" w:before="0"/>
                      <w:ind w:left="0" w:right="18" w:firstLine="0"/>
                      <w:jc w:val="right"/>
                      <w:rPr>
                        <w:rFonts w:ascii="Calibri"/>
                        <w:sz w:val="20"/>
                      </w:rPr>
                    </w:pPr>
                    <w:r>
                      <w:rPr>
                        <w:rFonts w:ascii="Calibri"/>
                        <w:sz w:val="20"/>
                      </w:rPr>
                      <w:t>105</w:t>
                    </w:r>
                  </w:p>
                  <w:p>
                    <w:pPr>
                      <w:spacing w:before="11"/>
                      <w:ind w:left="0" w:right="18" w:firstLine="0"/>
                      <w:jc w:val="right"/>
                      <w:rPr>
                        <w:rFonts w:ascii="Calibri"/>
                        <w:sz w:val="20"/>
                      </w:rPr>
                    </w:pPr>
                    <w:r>
                      <w:rPr>
                        <w:rFonts w:ascii="Calibri"/>
                        <w:sz w:val="20"/>
                      </w:rPr>
                      <w:t>100</w:t>
                    </w:r>
                  </w:p>
                  <w:p>
                    <w:pPr>
                      <w:spacing w:before="12"/>
                      <w:ind w:left="0" w:right="19" w:firstLine="0"/>
                      <w:jc w:val="right"/>
                      <w:rPr>
                        <w:rFonts w:ascii="Calibri"/>
                        <w:sz w:val="20"/>
                      </w:rPr>
                    </w:pPr>
                    <w:r>
                      <w:rPr>
                        <w:rFonts w:ascii="Calibri"/>
                        <w:sz w:val="20"/>
                      </w:rPr>
                      <w:t>95</w:t>
                    </w:r>
                  </w:p>
                  <w:p>
                    <w:pPr>
                      <w:spacing w:before="11"/>
                      <w:ind w:left="0" w:right="19" w:firstLine="0"/>
                      <w:jc w:val="right"/>
                      <w:rPr>
                        <w:rFonts w:ascii="Calibri"/>
                        <w:sz w:val="20"/>
                      </w:rPr>
                    </w:pPr>
                    <w:r>
                      <w:rPr>
                        <w:rFonts w:ascii="Calibri"/>
                        <w:sz w:val="20"/>
                      </w:rPr>
                      <w:t>90</w:t>
                    </w:r>
                  </w:p>
                  <w:p>
                    <w:pPr>
                      <w:spacing w:before="11"/>
                      <w:ind w:left="0" w:right="19" w:firstLine="0"/>
                      <w:jc w:val="right"/>
                      <w:rPr>
                        <w:rFonts w:ascii="Calibri"/>
                        <w:sz w:val="20"/>
                      </w:rPr>
                    </w:pPr>
                    <w:r>
                      <w:rPr>
                        <w:rFonts w:ascii="Calibri"/>
                        <w:sz w:val="20"/>
                      </w:rPr>
                      <w:t>85</w:t>
                    </w:r>
                  </w:p>
                  <w:p>
                    <w:pPr>
                      <w:spacing w:before="12"/>
                      <w:ind w:left="0" w:right="19" w:firstLine="0"/>
                      <w:jc w:val="right"/>
                      <w:rPr>
                        <w:rFonts w:ascii="Calibri"/>
                        <w:sz w:val="20"/>
                      </w:rPr>
                    </w:pPr>
                    <w:r>
                      <w:rPr>
                        <w:rFonts w:ascii="Calibri"/>
                        <w:sz w:val="20"/>
                      </w:rPr>
                      <w:t>80</w:t>
                    </w:r>
                  </w:p>
                  <w:p>
                    <w:pPr>
                      <w:spacing w:before="11"/>
                      <w:ind w:left="0" w:right="19" w:firstLine="0"/>
                      <w:jc w:val="right"/>
                      <w:rPr>
                        <w:rFonts w:ascii="Calibri"/>
                        <w:sz w:val="20"/>
                      </w:rPr>
                    </w:pPr>
                    <w:r>
                      <w:rPr>
                        <w:rFonts w:ascii="Calibri"/>
                        <w:sz w:val="20"/>
                      </w:rPr>
                      <w:t>75</w:t>
                    </w:r>
                  </w:p>
                  <w:p>
                    <w:pPr>
                      <w:spacing w:before="13"/>
                      <w:ind w:left="0" w:right="19" w:firstLine="0"/>
                      <w:jc w:val="right"/>
                      <w:rPr>
                        <w:rFonts w:ascii="Calibri"/>
                        <w:sz w:val="20"/>
                      </w:rPr>
                    </w:pPr>
                    <w:r>
                      <w:rPr>
                        <w:rFonts w:ascii="Calibri"/>
                        <w:sz w:val="20"/>
                      </w:rPr>
                      <w:t>70</w:t>
                    </w:r>
                  </w:p>
                  <w:p>
                    <w:pPr>
                      <w:spacing w:before="12"/>
                      <w:ind w:left="0" w:right="19" w:firstLine="0"/>
                      <w:jc w:val="right"/>
                      <w:rPr>
                        <w:rFonts w:ascii="Calibri"/>
                        <w:sz w:val="20"/>
                      </w:rPr>
                    </w:pPr>
                    <w:r>
                      <w:rPr>
                        <w:rFonts w:ascii="Calibri"/>
                        <w:sz w:val="20"/>
                      </w:rPr>
                      <w:t>65</w:t>
                    </w:r>
                  </w:p>
                  <w:p>
                    <w:pPr>
                      <w:spacing w:line="241" w:lineRule="exact" w:before="11"/>
                      <w:ind w:left="0" w:right="19" w:firstLine="0"/>
                      <w:jc w:val="right"/>
                      <w:rPr>
                        <w:rFonts w:ascii="Calibri"/>
                        <w:sz w:val="20"/>
                      </w:rPr>
                    </w:pPr>
                    <w:r>
                      <w:rPr>
                        <w:rFonts w:ascii="Calibri"/>
                        <w:sz w:val="20"/>
                      </w:rPr>
                      <w:t>60</w:t>
                    </w:r>
                  </w:p>
                </w:txbxContent>
              </v:textbox>
              <w10:wrap type="none"/>
            </v:shape>
            <v:shape style="position:absolute;left:1293;top:226;width:4032;height:202" type="#_x0000_t202" filled="false" stroked="false">
              <v:textbox inset="0,0,0,0">
                <w:txbxContent>
                  <w:p>
                    <w:pPr>
                      <w:spacing w:line="201" w:lineRule="exact" w:before="0"/>
                      <w:ind w:left="0" w:right="0" w:firstLine="0"/>
                      <w:jc w:val="left"/>
                      <w:rPr>
                        <w:b/>
                        <w:sz w:val="18"/>
                      </w:rPr>
                    </w:pPr>
                    <w:r>
                      <w:rPr>
                        <w:b/>
                        <w:color w:val="4F82BD"/>
                        <w:sz w:val="18"/>
                      </w:rPr>
                      <w:t>Chart 1: The Exchange Rate (Monthly Average)</w:t>
                    </w:r>
                  </w:p>
                </w:txbxContent>
              </v:textbox>
              <w10:wrap type="none"/>
            </v:shape>
            <w10:wrap type="none"/>
          </v:group>
        </w:pict>
      </w:r>
      <w:r>
        <w:rPr/>
        <w:pict>
          <v:shape style="position:absolute;margin-left:67.20385pt;margin-top:70.410179pt;width:12.05pt;height:58.55pt;mso-position-horizontal-relative:page;mso-position-vertical-relative:paragraph;z-index:251666432" type="#_x0000_t202" filled="false" stroked="false">
            <v:textbox inset="0,0,0,0" style="layout-flow:vertical;mso-layout-flow-alt:bottom-to-top">
              <w:txbxContent>
                <w:p>
                  <w:pPr>
                    <w:spacing w:line="224" w:lineRule="exact" w:before="0"/>
                    <w:ind w:left="20" w:right="0" w:firstLine="0"/>
                    <w:jc w:val="left"/>
                    <w:rPr>
                      <w:rFonts w:ascii="Calibri"/>
                      <w:b/>
                      <w:sz w:val="20"/>
                    </w:rPr>
                  </w:pPr>
                  <w:r>
                    <w:rPr>
                      <w:rFonts w:ascii="Calibri"/>
                      <w:b/>
                      <w:sz w:val="20"/>
                    </w:rPr>
                    <w:t>Jan 2007=100</w:t>
                  </w:r>
                </w:p>
              </w:txbxContent>
            </v:textbox>
            <w10:wrap type="none"/>
          </v:shape>
        </w:pict>
      </w:r>
      <w:r>
        <w:rPr/>
        <w:pict>
          <v:shape style="position:absolute;margin-left:266.463562pt;margin-top:91.418709pt;width:12.05pt;height:16.55pt;mso-position-horizontal-relative:page;mso-position-vertical-relative:paragraph;z-index:251674624" type="#_x0000_t202" filled="false" stroked="false">
            <v:textbox inset="0,0,0,0" style="layout-flow:vertical;mso-layout-flow-alt:bottom-to-top">
              <w:txbxContent>
                <w:p>
                  <w:pPr>
                    <w:spacing w:line="224" w:lineRule="exact" w:before="0"/>
                    <w:ind w:left="20" w:right="0" w:firstLine="0"/>
                    <w:jc w:val="left"/>
                    <w:rPr>
                      <w:rFonts w:ascii="Calibri" w:hAnsi="Calibri"/>
                      <w:b/>
                      <w:sz w:val="20"/>
                    </w:rPr>
                  </w:pPr>
                  <w:r>
                    <w:rPr>
                      <w:rFonts w:ascii="Calibri" w:hAnsi="Calibri"/>
                      <w:b/>
                      <w:sz w:val="20"/>
                    </w:rPr>
                    <w:t>€/£</w:t>
                  </w:r>
                </w:p>
              </w:txbxContent>
            </v:textbox>
            <w10:wrap type="none"/>
          </v:shape>
        </w:pict>
      </w:r>
      <w:r>
        <w:rPr/>
        <w:t>1 shows, the sterling effective rate fell by over 25 per cent between early 2007 and late in 2008. It recovered somewhat in the last quarter of 2012 but was still 20 per cent below its value of six years ago and it has slipped again this year.</w:t>
      </w:r>
    </w:p>
    <w:p>
      <w:pPr>
        <w:pStyle w:val="BodyText"/>
        <w:rPr>
          <w:sz w:val="30"/>
        </w:rPr>
      </w:pPr>
    </w:p>
    <w:p>
      <w:pPr>
        <w:pStyle w:val="BodyText"/>
        <w:spacing w:line="360" w:lineRule="auto"/>
        <w:ind w:left="5168" w:right="1173"/>
      </w:pPr>
      <w:r>
        <w:rPr/>
        <w:pict>
          <v:shape style="position:absolute;margin-left:99.845001pt;margin-top:59.012508pt;width:12.05pt;height:37.85pt;mso-position-horizontal-relative:page;mso-position-vertical-relative:paragraph;z-index:251667456" type="#_x0000_t202" filled="false" stroked="false">
            <v:textbox inset="0,0,0,0" style="layout-flow:vertical;mso-layout-flow-alt:bottom-to-top">
              <w:txbxContent>
                <w:p>
                  <w:pPr>
                    <w:pStyle w:val="BodyText"/>
                    <w:spacing w:line="224" w:lineRule="exact"/>
                    <w:ind w:left="20"/>
                    <w:rPr>
                      <w:rFonts w:ascii="Calibri"/>
                    </w:rPr>
                  </w:pPr>
                  <w:r>
                    <w:rPr>
                      <w:rFonts w:ascii="Calibri"/>
                    </w:rPr>
                    <w:t>Jan 2007</w:t>
                  </w:r>
                </w:p>
              </w:txbxContent>
            </v:textbox>
            <w10:wrap type="none"/>
          </v:shape>
        </w:pict>
      </w:r>
      <w:r>
        <w:rPr/>
        <w:pict>
          <v:shape style="position:absolute;margin-left:122.28479pt;margin-top:59.012508pt;width:12.05pt;height:37.85pt;mso-position-horizontal-relative:page;mso-position-vertical-relative:paragraph;z-index:251668480" type="#_x0000_t202" filled="false" stroked="false">
            <v:textbox inset="0,0,0,0" style="layout-flow:vertical;mso-layout-flow-alt:bottom-to-top">
              <w:txbxContent>
                <w:p>
                  <w:pPr>
                    <w:pStyle w:val="BodyText"/>
                    <w:spacing w:line="224" w:lineRule="exact"/>
                    <w:ind w:left="20"/>
                    <w:rPr>
                      <w:rFonts w:ascii="Calibri"/>
                    </w:rPr>
                  </w:pPr>
                  <w:r>
                    <w:rPr>
                      <w:rFonts w:ascii="Calibri"/>
                    </w:rPr>
                    <w:t>Jan 2008</w:t>
                  </w:r>
                </w:p>
              </w:txbxContent>
            </v:textbox>
            <w10:wrap type="none"/>
          </v:shape>
        </w:pict>
      </w:r>
      <w:r>
        <w:rPr/>
        <w:pict>
          <v:shape style="position:absolute;margin-left:144.724579pt;margin-top:59.012508pt;width:12.05pt;height:37.85pt;mso-position-horizontal-relative:page;mso-position-vertical-relative:paragraph;z-index:251669504" type="#_x0000_t202" filled="false" stroked="false">
            <v:textbox inset="0,0,0,0" style="layout-flow:vertical;mso-layout-flow-alt:bottom-to-top">
              <w:txbxContent>
                <w:p>
                  <w:pPr>
                    <w:pStyle w:val="BodyText"/>
                    <w:spacing w:line="224" w:lineRule="exact"/>
                    <w:ind w:left="20"/>
                    <w:rPr>
                      <w:rFonts w:ascii="Calibri"/>
                    </w:rPr>
                  </w:pPr>
                  <w:r>
                    <w:rPr>
                      <w:rFonts w:ascii="Calibri"/>
                    </w:rPr>
                    <w:t>Jan 2009</w:t>
                  </w:r>
                </w:p>
              </w:txbxContent>
            </v:textbox>
            <w10:wrap type="none"/>
          </v:shape>
        </w:pict>
      </w:r>
      <w:r>
        <w:rPr/>
        <w:pict>
          <v:shape style="position:absolute;margin-left:167.164368pt;margin-top:59.012508pt;width:12.05pt;height:37.85pt;mso-position-horizontal-relative:page;mso-position-vertical-relative:paragraph;z-index:251670528" type="#_x0000_t202" filled="false" stroked="false">
            <v:textbox inset="0,0,0,0" style="layout-flow:vertical;mso-layout-flow-alt:bottom-to-top">
              <w:txbxContent>
                <w:p>
                  <w:pPr>
                    <w:pStyle w:val="BodyText"/>
                    <w:spacing w:line="224" w:lineRule="exact"/>
                    <w:ind w:left="20"/>
                    <w:rPr>
                      <w:rFonts w:ascii="Calibri"/>
                    </w:rPr>
                  </w:pPr>
                  <w:r>
                    <w:rPr>
                      <w:rFonts w:ascii="Calibri"/>
                    </w:rPr>
                    <w:t>Jan 2010</w:t>
                  </w:r>
                </w:p>
              </w:txbxContent>
            </v:textbox>
            <w10:wrap type="none"/>
          </v:shape>
        </w:pict>
      </w:r>
      <w:r>
        <w:rPr/>
        <w:pict>
          <v:shape style="position:absolute;margin-left:189.604156pt;margin-top:59.012508pt;width:12.05pt;height:37.85pt;mso-position-horizontal-relative:page;mso-position-vertical-relative:paragraph;z-index:251671552" type="#_x0000_t202" filled="false" stroked="false">
            <v:textbox inset="0,0,0,0" style="layout-flow:vertical;mso-layout-flow-alt:bottom-to-top">
              <w:txbxContent>
                <w:p>
                  <w:pPr>
                    <w:pStyle w:val="BodyText"/>
                    <w:spacing w:line="224" w:lineRule="exact"/>
                    <w:ind w:left="20"/>
                    <w:rPr>
                      <w:rFonts w:ascii="Calibri"/>
                    </w:rPr>
                  </w:pPr>
                  <w:r>
                    <w:rPr>
                      <w:rFonts w:ascii="Calibri"/>
                    </w:rPr>
                    <w:t>Jan 2011</w:t>
                  </w:r>
                </w:p>
              </w:txbxContent>
            </v:textbox>
            <w10:wrap type="none"/>
          </v:shape>
        </w:pict>
      </w:r>
      <w:r>
        <w:rPr/>
        <w:pict>
          <v:shape style="position:absolute;margin-left:212.043945pt;margin-top:59.012508pt;width:12.05pt;height:37.85pt;mso-position-horizontal-relative:page;mso-position-vertical-relative:paragraph;z-index:251672576" type="#_x0000_t202" filled="false" stroked="false">
            <v:textbox inset="0,0,0,0" style="layout-flow:vertical;mso-layout-flow-alt:bottom-to-top">
              <w:txbxContent>
                <w:p>
                  <w:pPr>
                    <w:pStyle w:val="BodyText"/>
                    <w:spacing w:line="224" w:lineRule="exact"/>
                    <w:ind w:left="20"/>
                    <w:rPr>
                      <w:rFonts w:ascii="Calibri"/>
                    </w:rPr>
                  </w:pPr>
                  <w:r>
                    <w:rPr>
                      <w:rFonts w:ascii="Calibri"/>
                    </w:rPr>
                    <w:t>Jan 2012</w:t>
                  </w:r>
                </w:p>
              </w:txbxContent>
            </v:textbox>
            <w10:wrap type="none"/>
          </v:shape>
        </w:pict>
      </w:r>
      <w:r>
        <w:rPr/>
        <w:pict>
          <v:shape style="position:absolute;margin-left:234.483734pt;margin-top:59.012508pt;width:12.05pt;height:37.85pt;mso-position-horizontal-relative:page;mso-position-vertical-relative:paragraph;z-index:251673600" type="#_x0000_t202" filled="false" stroked="false">
            <v:textbox inset="0,0,0,0" style="layout-flow:vertical;mso-layout-flow-alt:bottom-to-top">
              <w:txbxContent>
                <w:p>
                  <w:pPr>
                    <w:pStyle w:val="BodyText"/>
                    <w:spacing w:line="224" w:lineRule="exact"/>
                    <w:ind w:left="20"/>
                    <w:rPr>
                      <w:rFonts w:ascii="Calibri"/>
                    </w:rPr>
                  </w:pPr>
                  <w:r>
                    <w:rPr>
                      <w:rFonts w:ascii="Calibri"/>
                    </w:rPr>
                    <w:t>Jan 2013</w:t>
                  </w:r>
                </w:p>
              </w:txbxContent>
            </v:textbox>
            <w10:wrap type="none"/>
          </v:shape>
        </w:pict>
      </w:r>
      <w:r>
        <w:rPr/>
        <w:t>In the face of such a change I might have expected that United Kingdom exporters would reduce their foreign currency prices currency and be able to sell more abroad. Or they would leave foreign currency prices unchanged- the rational thing to do if they were small suppliers in global markets- and raise prices in pounds, so that exporting, if not more fun, would become at least more profitable. Higher margins on</w:t>
      </w:r>
    </w:p>
    <w:p>
      <w:pPr>
        <w:pStyle w:val="BodyText"/>
        <w:spacing w:line="360" w:lineRule="auto" w:before="1"/>
        <w:ind w:left="353" w:right="1153"/>
      </w:pPr>
      <w:r>
        <w:rPr/>
        <w:t>exports and a bigger return on capital in export production would, over time, draw more resources into exporting. At the same time the prices of imports would be expected to rise in sterling terms; demand for and supply of domestic alternatives would be expected to rise. So upward pressure on export volumes and downward pressure on import volumes should be expected to lead to a rebalancing of the economy.</w:t>
      </w:r>
    </w:p>
    <w:p>
      <w:pPr>
        <w:pStyle w:val="BodyText"/>
        <w:spacing w:before="10"/>
        <w:rPr>
          <w:sz w:val="29"/>
        </w:rPr>
      </w:pPr>
    </w:p>
    <w:p>
      <w:pPr>
        <w:pStyle w:val="BodyText"/>
        <w:spacing w:line="360" w:lineRule="auto" w:before="1"/>
        <w:ind w:left="353" w:right="1275"/>
      </w:pPr>
      <w:r>
        <w:rPr/>
        <w:t>Growth of exports and a shrinkage of imports would together be a helpful source of demand for UK output. The multiplier effect of this on national income would be offset, to some extent, by the fact that in sterling terms import prices would probably rise more than sterling export prices. But, overall, the volume effects should more than offset the price effects so the current account of the balance of payments would be expected to improve and real income would be expected to rise. It was recognised that this process might take some time to work. After all the phenomenon known as the J-curve, that the trade balance can worsen in the immediate aftermath of a depreciation, because import prices rise ahead of any increase in exports and reduction in imports, was discussed after the 1967 devaluation. But by now, more than four years after the depreciation has been completed, I would have expected the long-term consequences to be clear to everyone.</w:t>
      </w:r>
    </w:p>
    <w:p>
      <w:pPr>
        <w:pStyle w:val="BodyText"/>
        <w:spacing w:before="11"/>
        <w:rPr>
          <w:sz w:val="29"/>
        </w:rPr>
      </w:pPr>
    </w:p>
    <w:p>
      <w:pPr>
        <w:pStyle w:val="BodyText"/>
        <w:spacing w:line="360" w:lineRule="auto"/>
        <w:ind w:left="353" w:right="1763"/>
      </w:pPr>
      <w:r>
        <w:rPr/>
        <w:t>Today I would like to review two issues. First of all, what has happened to exports and imports in the aftermath of the 2007/08 depreciation? And secondly, what has happened to other components of the balance</w:t>
      </w:r>
    </w:p>
    <w:p>
      <w:pPr>
        <w:spacing w:after="0" w:line="360" w:lineRule="auto"/>
        <w:sectPr>
          <w:footerReference w:type="default" r:id="rId7"/>
          <w:pgSz w:w="11900" w:h="16840"/>
          <w:pgMar w:footer="1548" w:header="0" w:top="1600" w:bottom="1740" w:left="780" w:right="0"/>
          <w:pgNumType w:start="2"/>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27"/>
        </w:rPr>
      </w:pPr>
    </w:p>
    <w:p>
      <w:pPr>
        <w:pStyle w:val="BodyText"/>
        <w:spacing w:line="360" w:lineRule="auto" w:before="94"/>
        <w:ind w:left="353" w:right="1386"/>
      </w:pPr>
      <w:r>
        <w:rPr/>
        <w:pict>
          <v:group style="position:absolute;margin-left:36.044998pt;margin-top:-233.974991pt;width:518.65pt;height:238.15pt;mso-position-horizontal-relative:page;mso-position-vertical-relative:paragraph;z-index:-253126656" coordorigin="721,-4679" coordsize="10373,4763">
            <v:rect style="position:absolute;left:728;top:-4672;width:5142;height:4748" filled="false" stroked="true" strokeweight=".75pt" strokecolor="#000000">
              <v:stroke dashstyle="solid"/>
            </v:rect>
            <v:shape style="position:absolute;left:1250;top:-3248;width:3908;height:1421" coordorigin="1250,-3248" coordsize="3908,1421" path="m1250,-1827l5158,-1827m1250,-2537l5158,-2537m1250,-3248l5158,-3248e" filled="false" stroked="true" strokeweight=".72003pt" strokecolor="#868686">
              <v:path arrowok="t"/>
              <v:stroke dashstyle="solid"/>
            </v:shape>
            <v:shape style="position:absolute;left:1250;top:-3958;width:3908;height:2842" coordorigin="1250,-3958" coordsize="3908,2842" path="m1250,-3958l5158,-3958m1250,-1116l5158,-1116e" filled="false" stroked="true" strokeweight=".71997pt" strokecolor="#868686">
              <v:path arrowok="t"/>
              <v:stroke dashstyle="solid"/>
            </v:shape>
            <v:shape style="position:absolute;left:1243;top:-1117;width:3716;height:71" coordorigin="1243,-1116" coordsize="3716,71" path="m1258,-1116l1243,-1116,1243,-1046,1258,-1046,1258,-1116m1464,-1116l1450,-1116,1450,-1046,1464,-1046,1464,-1116m1669,-1116l1655,-1116,1655,-1046,1669,-1046,1669,-1116m1874,-1116l1860,-1116,1860,-1046,1874,-1046,1874,-1116m2081,-1116l2066,-1116,2066,-1046,2081,-1046,2081,-1116m2286,-1116l2272,-1116,2272,-1046,2286,-1046,2286,-1116m2491,-1116l2477,-1116,2477,-1046,2491,-1046,2491,-1116m2698,-1116l2683,-1116,2683,-1046,2698,-1046,2698,-1116m2903,-1116l2888,-1116,2888,-1046,2903,-1046,2903,-1116m3108,-1116l3094,-1116,3094,-1046,3108,-1046,3108,-1116m3314,-1116l3300,-1116,3300,-1046,3314,-1046,3314,-1116m3520,-1116l3505,-1116,3505,-1046,3520,-1046,3520,-1116m3725,-1116l3710,-1116,3710,-1046,3725,-1046,3725,-1116m3931,-1116l3917,-1116,3917,-1046,3931,-1046,3931,-1116m4136,-1116l4122,-1116,4122,-1046,4136,-1046,4136,-1116m4342,-1116l4327,-1116,4327,-1046,4342,-1046,4342,-1116m4548,-1116l4534,-1116,4534,-1046,4548,-1046,4548,-1116m4753,-1116l4739,-1116,4739,-1046,4753,-1046,4753,-1116m4958,-1116l4944,-1116,4944,-1046,4958,-1046,4958,-1116e" filled="true" fillcolor="#868686" stroked="false">
              <v:path arrowok="t"/>
              <v:fill type="solid"/>
            </v:shape>
            <v:line style="position:absolute" from="5158,-3958" to="5158,-1046" stroked="true" strokeweight=".72pt" strokecolor="#868686">
              <v:stroke dashstyle="solid"/>
            </v:line>
            <v:shape style="position:absolute;left:5157;top:-3966;width:70;height:2856" coordorigin="5158,-3965" coordsize="70,2856" path="m5227,-1124l5158,-1124,5158,-1109,5227,-1109,5227,-1124m5227,-1834l5158,-1834,5158,-1820,5227,-1820,5227,-1834m5227,-2544l5158,-2544,5158,-2530,5227,-2530,5227,-2544m5227,-3255l5158,-3255,5158,-3240,5227,-3240,5227,-3255m5227,-3965l5158,-3965,5158,-3951,5227,-3951,5227,-3965e" filled="true" fillcolor="#868686" stroked="false">
              <v:path arrowok="t"/>
              <v:fill type="solid"/>
            </v:shape>
            <v:shape style="position:absolute;left:1329;top:-3752;width:3749;height:1959" coordorigin="1330,-3752" coordsize="3749,1959" path="m1995,-2776l1950,-2776,2156,-1943,2159,-1938,2164,-1935,2369,-1799,2377,-1793,2388,-1794,2396,-1802,2433,-1834,2366,-1834,2380,-1846,2209,-1959,2197,-1959,2189,-1972,2194,-1972,1995,-2776xm2380,-1846l2366,-1834,2394,-1836,2380,-1846xm2571,-2014l2380,-1846,2394,-1836,2366,-1834,2433,-1834,2603,-1983,2605,-1985,2606,-1988,2620,-2010,2569,-2010,2571,-2014xm2189,-1972l2197,-1959,2195,-1968,2189,-1972xm2195,-1968l2197,-1959,2209,-1959,2195,-1968xm2194,-1972l2189,-1972,2195,-1968,2194,-1972xm2573,-2015l2571,-2014,2569,-2010,2573,-2015xm2623,-2015l2573,-2015,2569,-2010,2620,-2010,2623,-2015xm2789,-2369l2779,-2364,2774,-2356,2571,-2014,2573,-2015,2623,-2015,2803,-2319,2786,-2324,2812,-2333,2913,-2333,2800,-2366,2789,-2369xm2913,-2333l2812,-2333,2803,-2319,2992,-2265,3004,-2261,3014,-2267,3019,-2278,3025,-2294,2977,-2294,2985,-2313,2913,-2333xm2985,-2313l2977,-2294,3005,-2307,2985,-2313xm3393,-2953l3193,-2831,3188,-2829,3186,-2825,3184,-2820,2985,-2313,3005,-2307,2977,-2294,3025,-2294,3221,-2794,3216,-2794,3226,-2805,3234,-2805,3421,-2919,3425,-2921,3428,-2925,3430,-2928,3438,-2946,3390,-2946,3393,-2953xm2812,-2333l2786,-2324,2803,-2319,2812,-2333xm1746,-3262l1950,-2772,1950,-2776,1995,-2776,1992,-2787,1992,-2790,1797,-3258,1750,-3258,1746,-3262xm3226,-2805l3216,-2794,3223,-2798,3226,-2805xm3223,-2798l3216,-2794,3221,-2794,3223,-2798xm3234,-2805l3226,-2805,3223,-2798,3234,-2805xm3398,-2956l3393,-2953,3390,-2946,3398,-2956xm3442,-2956l3398,-2956,3390,-2946,3438,-2946,3442,-2956xm3829,-3617l3817,-3617,3810,-3616,3806,-3611,3600,-3411,3598,-3408,3595,-3404,3393,-2953,3398,-2956,3442,-2956,3632,-3378,3630,-3378,3635,-3386,3637,-3386,3819,-3562,3804,-3582,3858,-3582,3839,-3609,3835,-3614,3829,-3617xm1543,-3467l1412,-3336,1330,-3255,1330,-3240,1346,-3224,1361,-3224,1559,-3421,1544,-3434,1536,-3442,1535,-3456,1542,-3466,1543,-3467xm1744,-3267l1746,-3262,1750,-3258,1744,-3267xm1793,-3267l1744,-3267,1750,-3258,1797,-3258,1793,-3267xm1573,-3468l1583,-3459,1583,-3444,1559,-3421,1746,-3262,1744,-3267,1793,-3267,1786,-3285,1783,-3287,1782,-3291,1778,-3293,1573,-3468xm3858,-3582l3804,-3582,3836,-3579,3819,-3562,4009,-3304,4013,-3298,4019,-3294,4026,-3294,4231,-3292,4240,-3292,4248,-3297,4252,-3304,4262,-3324,4212,-3324,4215,-3330,4044,-3330,4027,-3339,4038,-3339,3858,-3582xm4476,-3718l4457,-3718,4442,-3688,4626,-3472,4630,-3468,4835,-3303,4843,-3297,4855,-3297,4902,-3338,4834,-3338,4847,-3350,4657,-3503,4659,-3503,4476,-3718xm4218,-3337l4212,-3324,4232,-3336,4218,-3337xm4441,-3752l4427,-3749,4421,-3744,4417,-3738,4218,-3337,4232,-3336,4212,-3324,4262,-3324,4442,-3688,4420,-3714,4457,-3718,4476,-3718,4454,-3743,4450,-3748,4441,-3752xm4027,-3339l4044,-3330,4038,-3339,4027,-3339xm4038,-3339l4044,-3330,4215,-3330,4218,-3337,4038,-3339xm4847,-3350l4834,-3338,4862,-3338,4847,-3350xm5048,-3522l5039,-3515,4847,-3350,4862,-3338,4902,-3338,5077,-3489,5078,-3503,5070,-3513,5063,-3521,5048,-3522xm4038,-3339l4027,-3339,4038,-3339,4038,-3339xm3635,-3386l3630,-3378,3633,-3381,3635,-3386xm3633,-3381l3630,-3378,3632,-3378,3633,-3381xm3637,-3386l3635,-3386,3633,-3381,3637,-3386xm1565,-3476l1550,-3474,1542,-3466,1535,-3456,1536,-3442,1544,-3434,1559,-3421,1583,-3444,1583,-3459,1573,-3468,1565,-3476xm1566,-3476l1565,-3476,1573,-3468,1566,-3476xm1565,-3476l1552,-3476,1550,-3474,1565,-3476xm4659,-3503l4657,-3503,4661,-3501,4659,-3503xm3804,-3582l3819,-3562,3836,-3579,3804,-3582xm4457,-3718l4420,-3714,4442,-3688,4457,-3718xe" filled="true" fillcolor="#4a7ebb" stroked="false">
              <v:path arrowok="t"/>
              <v:fill type="solid"/>
            </v:shape>
            <v:shape style="position:absolute;left:1330;top:-3280;width:3748;height:2086" coordorigin="1331,-3280" coordsize="3748,2086" path="m1580,-3262l1580,-3255,1582,-3242,1572,-3232,1560,-3232,1546,-3232,1745,-2824,1950,-2238,2154,-1368,2159,-1359,2164,-1355,2369,-1221,2372,-1218,2376,-1217,2380,-1217,2586,-1196,2594,-1194,2604,-1199,2608,-1208,2618,-1228,2568,-1228,2575,-1242,2418,-1258,2394,-1258,2383,-1262,2389,-1262,2209,-1379,2197,-1379,2189,-1392,2194,-1392,1992,-2254,1784,-2844,1580,-3262xm2575,-1242l2568,-1228,2590,-1240,2575,-1242xm3031,-1896l2981,-1896,2776,-1649,2774,-1648,2774,-1647,2773,-1646,2575,-1242,2590,-1240,2568,-1228,2618,-1228,2811,-1622,2810,-1622,2813,-1625,2813,-1625,3016,-1869,3016,-1870,3018,-1872,3031,-1896xm2383,-1262l2394,-1258,2390,-1261,2383,-1262xm2390,-1261l2394,-1258,2418,-1258,2390,-1261xm2389,-1262l2383,-1262,2390,-1261,2389,-1262xm2189,-1392l2197,-1379,2195,-1388,2189,-1392xm2195,-1388l2197,-1379,2209,-1379,2195,-1388xm2194,-1392l2189,-1392,2195,-1388,2194,-1392xm2813,-1625l2810,-1622,2812,-1623,2813,-1625xm2812,-1623l2810,-1622,2811,-1622,2812,-1623xm2813,-1625l2813,-1625,2812,-1623,2813,-1625xm3611,-2754l3604,-2752,3394,-2543,3394,-2542,3392,-2541,3185,-2266,2978,-1894,2981,-1896,3031,-1896,3224,-2244,3427,-2513,3428,-2513,3610,-2694,3595,-2720,3647,-2720,3634,-2742,3631,-2748,3625,-2752,3611,-2754xm3647,-2720l3595,-2720,3631,-2715,3610,-2694,3802,-2366,3805,-2360,3811,-2356,3818,-2355,4024,-2328,4027,-2328,4232,-2338,4238,-2338,4243,-2340,4248,-2345,4275,-2373,4026,-2373,4029,-2373,3908,-2388,3840,-2388,3824,-2399,3834,-2399,3647,-2720xm4029,-2373l4026,-2373,4030,-2373,4029,-2373xm4222,-2382l4029,-2373,4030,-2373,4275,-2373,4277,-2375,4216,-2375,4222,-2382xm4231,-2382l4222,-2382,4216,-2375,4231,-2382xm4284,-2382l4231,-2382,4216,-2375,4277,-2375,4284,-2382xm4439,-2595l4432,-2595,4426,-2592,4421,-2588,4222,-2382,4231,-2382,4284,-2382,4446,-2550,4435,-2550,4453,-2558,4672,-2558,4687,-2574,4627,-2574,4634,-2582,4439,-2595xm3824,-2399l3840,-2388,3834,-2398,3824,-2399xm3834,-2398l3840,-2388,3908,-2388,3834,-2398xm3834,-2399l3824,-2399,3834,-2398,3834,-2399xm3428,-2513l3427,-2513,3426,-2511,3428,-2513xm4672,-2558l4453,-2558,4446,-2550,4642,-2537,4649,-2537,4655,-2540,4660,-2544,4672,-2558xm4453,-2558l4435,-2550,4446,-2550,4453,-2558xm4634,-2582l4627,-2574,4645,-2582,4634,-2582xm4847,-2808l4837,-2806,4832,-2800,4634,-2582,4645,-2582,4627,-2574,4687,-2574,4856,-2760,4843,-2764,4865,-2770,4985,-2770,4854,-2806,4847,-2808xm3595,-2720l3610,-2694,3631,-2715,3595,-2720xm4985,-2770l4865,-2770,4856,-2760,5048,-2708,5059,-2704,5072,-2711,5075,-2723,5078,-2734,5071,-2747,5059,-2750,4985,-2770xm4865,-2770l4843,-2764,4856,-2760,4865,-2770xm1554,-3276l1352,-3270,1340,-3269,1331,-3260,1331,-3246,1332,-3234,1342,-3225,1355,-3226,1546,-3232,1540,-3244,1534,-3256,1538,-3269,1549,-3274,1554,-3276xm1571,-3276l1558,-3276,1554,-3276,1549,-3274,1538,-3269,1534,-3256,1540,-3244,1546,-3232,1560,-3232,1572,-3232,1582,-3242,1580,-3255,1580,-3262,1579,-3264,1576,-3271,1571,-3276xm1576,-3271l1579,-3264,1580,-3262,1580,-3267,1576,-3271xm1571,-3276l1571,-3276,1576,-3271,1574,-3275,1571,-3276xm1561,-3280l1554,-3276,1558,-3276,1571,-3276,1561,-3280xe" filled="true" fillcolor="#be4b48" stroked="false">
              <v:path arrowok="t"/>
              <v:fill type="solid"/>
            </v:shape>
            <v:line style="position:absolute" from="2071,-485" to="2500,-485" stroked="true" strokeweight="2.220pt" strokecolor="#4a7ebb">
              <v:stroke dashstyle="solid"/>
            </v:line>
            <v:line style="position:absolute" from="3427,-485" to="3856,-485" stroked="true" strokeweight="2.220pt" strokecolor="#be4b48">
              <v:stroke dashstyle="solid"/>
            </v:line>
            <v:rect style="position:absolute;left:5870;top:-4672;width:5216;height:4748" filled="false" stroked="true" strokeweight=".75pt" strokecolor="#000000">
              <v:stroke dashstyle="solid"/>
            </v:rect>
            <v:line style="position:absolute" from="6023,-1108" to="9830,-1108" stroked="true" strokeweight=".71997pt" strokecolor="#868686">
              <v:stroke dashstyle="solid"/>
            </v:line>
            <v:shape style="position:absolute;left:6022;top:-1527;width:3808;height:2" coordorigin="6023,-1527" coordsize="3808,0" path="m6832,-1527l9830,-1527m6023,-1527l6642,-1527e" filled="false" stroked="true" strokeweight=".72003pt" strokecolor="#868686">
              <v:path arrowok="t"/>
              <v:stroke dashstyle="solid"/>
            </v:shape>
            <v:shape style="position:absolute;left:6022;top:-2786;width:3808;height:420" coordorigin="6023,-2786" coordsize="3808,420" path="m9689,-2366l9830,-2366m9212,-2366l9497,-2366m8260,-2366l9020,-2366m7783,-2366l8069,-2366m7308,-2366l7594,-2366m6356,-2366l7117,-2366m6023,-2366l6166,-2366m9689,-2786l9830,-2786m7783,-2786l9497,-2786m7308,-2786l7594,-2786m6023,-2786l7117,-2786e" filled="false" stroked="true" strokeweight=".71997pt" strokecolor="#868686">
              <v:path arrowok="t"/>
              <v:stroke dashstyle="solid"/>
            </v:shape>
            <v:shape style="position:absolute;left:6022;top:-3625;width:3808;height:420" coordorigin="6023,-3624" coordsize="3808,420" path="m7783,-3204l9830,-3204m7308,-3204l7594,-3204m6023,-3204l7117,-3204m6023,-3624l9830,-3624e" filled="false" stroked="true" strokeweight=".72003pt" strokecolor="#868686">
              <v:path arrowok="t"/>
              <v:stroke dashstyle="solid"/>
            </v:shape>
            <v:line style="position:absolute" from="6023,-4043" to="9830,-4043" stroked="true" strokeweight=".71997pt" strokecolor="#868686">
              <v:stroke dashstyle="solid"/>
            </v:line>
            <v:rect style="position:absolute;left:9020;top:-2437;width:192;height:491" filled="true" fillcolor="#ffc000" stroked="false">
              <v:fill type="solid"/>
            </v:rect>
            <v:shape style="position:absolute;left:9001;top:-2456;width:231;height:530" coordorigin="9001,-2456" coordsize="231,530" path="m9223,-2456l9010,-2456,9001,-2447,9001,-1935,9010,-1926,9223,-1926,9232,-1935,9232,-1947,9041,-1947,9020,-1966,9041,-1966,9041,-2416,9020,-2416,9041,-2436,9232,-2436,9232,-2447,9223,-2456xm9041,-1966l9020,-1966,9041,-1947,9041,-1966xm9192,-1966l9041,-1966,9041,-1947,9192,-1947,9192,-1966xm9192,-2436l9192,-1947,9211,-1966,9232,-1966,9232,-2416,9211,-2416,9192,-2436xm9232,-1966l9211,-1966,9192,-1947,9232,-1947,9232,-1966xm9041,-2436l9020,-2416,9041,-2416,9041,-2436xm9192,-2436l9041,-2436,9041,-2416,9192,-2416,9192,-2436xm9232,-2436l9192,-2436,9211,-2416,9232,-2416,9232,-2436xe" filled="true" fillcolor="#9bbb59" stroked="false">
              <v:path arrowok="t"/>
              <v:fill type="solid"/>
            </v:shape>
            <v:rect style="position:absolute;left:9496;top:-3000;width:192;height:1054" filled="true" fillcolor="#0070c0" stroked="false">
              <v:fill type="solid"/>
            </v:rect>
            <v:shape style="position:absolute;left:6165;top:-3579;width:2571;height:2170" coordorigin="6166,-3579" coordsize="2571,2170" path="m6356,-2600l6166,-2600,6166,-1947,6356,-1947,6356,-2600m6832,-1947l6642,-1947,6642,-1409,6832,-1409,6832,-1947m7308,-3359l7117,-3359,7117,-1947,7308,-1947,7308,-3359m7783,-3579l7594,-3579,7594,-1947,7783,-1947,7783,-3579m8260,-2606l8069,-2606,8069,-1947,8260,-1947,8260,-2606m8736,-2136l8545,-2136,8545,-1947,8736,-1947,8736,-2136e" filled="true" fillcolor="#c0504d" stroked="false">
              <v:path arrowok="t"/>
              <v:fill type="solid"/>
            </v:shape>
            <v:line style="position:absolute" from="9830,-4043" to="9830,-1108" stroked="true" strokeweight=".71997pt" strokecolor="#868686">
              <v:stroke dashstyle="solid"/>
            </v:line>
            <v:shape style="position:absolute;left:9830;top:-4051;width:70;height:2950" coordorigin="9830,-4050" coordsize="70,2950" path="m9900,-1115l9830,-1115,9830,-1101,9900,-1101,9900,-1115m9900,-1534l9830,-1534,9830,-1520,9900,-1520,9900,-1534m9900,-1954l9830,-1954,9830,-1940,9900,-1940,9900,-1954m9900,-2373l9830,-2373,9830,-2358,9900,-2358,9900,-2373m9900,-2793l9830,-2793,9830,-2778,9900,-2778,9900,-2793m9900,-3212l9830,-3212,9830,-3197,9900,-3197,9900,-3212m9900,-3632l9830,-3632,9830,-3617,9900,-3617,9900,-3632m9900,-4050l9830,-4050,9830,-4036,9900,-4036,9900,-4050e" filled="true" fillcolor="#868686" stroked="false">
              <v:path arrowok="t"/>
              <v:fill type="solid"/>
            </v:shape>
            <v:line style="position:absolute" from="6023,-1947" to="9830,-1947" stroked="true" strokeweight=".72003pt" strokecolor="#868686">
              <v:stroke dashstyle="solid"/>
            </v:line>
            <v:shape style="position:absolute;left:6022;top:-1947;width:3339;height:70" coordorigin="6023,-1947" coordsize="3339,70" path="m6030,-1947l6023,-1947,6023,-1877,6030,-1877,6030,-1947m6506,-1947l6492,-1947,6492,-1877,6506,-1877,6506,-1947m6982,-1947l6967,-1947,6967,-1877,6982,-1877,6982,-1947m7458,-1947l7444,-1947,7444,-1877,7458,-1877,7458,-1947m7933,-1947l7919,-1947,7919,-1877,7933,-1877,7933,-1947m8410,-1947l8395,-1947,8395,-1877,8410,-1877,8410,-1947m8885,-1947l8870,-1947,8870,-1877,8885,-1877,8885,-1947m9361,-1947l9347,-1947,9347,-1877,9361,-1877,9361,-1947e" filled="true" fillcolor="#868686" stroked="false">
              <v:path arrowok="t"/>
              <v:fill type="solid"/>
            </v:shape>
            <v:shape style="position:absolute;left:6296;top:-156;width:2830;height:179" type="#_x0000_t202" filled="false" stroked="false">
              <v:textbox inset="0,0,0,0">
                <w:txbxContent>
                  <w:p>
                    <w:pPr>
                      <w:spacing w:line="178" w:lineRule="exact" w:before="0"/>
                      <w:ind w:left="0" w:right="0" w:firstLine="0"/>
                      <w:jc w:val="left"/>
                      <w:rPr>
                        <w:sz w:val="16"/>
                      </w:rPr>
                    </w:pPr>
                    <w:r>
                      <w:rPr>
                        <w:sz w:val="16"/>
                      </w:rPr>
                      <w:t>Source: UK Balance of Payments, ONS</w:t>
                    </w:r>
                  </w:p>
                </w:txbxContent>
              </v:textbox>
              <w10:wrap type="none"/>
            </v:shape>
            <v:shape style="position:absolute;left:6022;top:-4589;width:4815;height:3600" type="#_x0000_t202" filled="false" stroked="false">
              <v:textbox inset="0,0,0,0">
                <w:txbxContent>
                  <w:p>
                    <w:pPr>
                      <w:spacing w:line="240" w:lineRule="auto" w:before="0"/>
                      <w:ind w:left="0" w:right="3" w:firstLine="0"/>
                      <w:jc w:val="left"/>
                      <w:rPr>
                        <w:b/>
                        <w:sz w:val="18"/>
                      </w:rPr>
                    </w:pPr>
                    <w:r>
                      <w:rPr>
                        <w:b/>
                        <w:color w:val="4F82BD"/>
                        <w:sz w:val="18"/>
                      </w:rPr>
                      <w:t>Chart 3: Growth in the Value of Service Exports, 2008Q1 to 2012Q3</w:t>
                    </w:r>
                  </w:p>
                  <w:p>
                    <w:pPr>
                      <w:spacing w:line="260" w:lineRule="exact" w:before="0"/>
                      <w:ind w:left="4011" w:right="0" w:firstLine="0"/>
                      <w:jc w:val="left"/>
                      <w:rPr>
                        <w:rFonts w:ascii="Calibri"/>
                        <w:sz w:val="22"/>
                      </w:rPr>
                    </w:pPr>
                    <w:r>
                      <w:rPr>
                        <w:rFonts w:ascii="Calibri"/>
                        <w:sz w:val="22"/>
                      </w:rPr>
                      <w:t>50%</w:t>
                    </w:r>
                  </w:p>
                  <w:p>
                    <w:pPr>
                      <w:spacing w:before="144"/>
                      <w:ind w:left="4011" w:right="0" w:firstLine="0"/>
                      <w:jc w:val="left"/>
                      <w:rPr>
                        <w:rFonts w:ascii="Calibri"/>
                        <w:sz w:val="22"/>
                      </w:rPr>
                    </w:pPr>
                    <w:r>
                      <w:rPr>
                        <w:rFonts w:ascii="Calibri"/>
                        <w:sz w:val="22"/>
                      </w:rPr>
                      <w:t>40%</w:t>
                    </w:r>
                  </w:p>
                  <w:p>
                    <w:pPr>
                      <w:spacing w:before="150"/>
                      <w:ind w:left="4011" w:right="0" w:firstLine="0"/>
                      <w:jc w:val="left"/>
                      <w:rPr>
                        <w:rFonts w:ascii="Calibri"/>
                        <w:sz w:val="22"/>
                      </w:rPr>
                    </w:pPr>
                    <w:r>
                      <w:rPr>
                        <w:rFonts w:ascii="Calibri"/>
                        <w:sz w:val="22"/>
                      </w:rPr>
                      <w:t>30%</w:t>
                    </w:r>
                  </w:p>
                  <w:p>
                    <w:pPr>
                      <w:spacing w:before="152"/>
                      <w:ind w:left="4011" w:right="0" w:firstLine="0"/>
                      <w:jc w:val="left"/>
                      <w:rPr>
                        <w:rFonts w:ascii="Calibri"/>
                        <w:sz w:val="22"/>
                      </w:rPr>
                    </w:pPr>
                    <w:r>
                      <w:rPr>
                        <w:rFonts w:ascii="Calibri"/>
                        <w:sz w:val="22"/>
                      </w:rPr>
                      <w:t>20%</w:t>
                    </w:r>
                  </w:p>
                  <w:p>
                    <w:pPr>
                      <w:spacing w:before="150"/>
                      <w:ind w:left="4011" w:right="0" w:firstLine="0"/>
                      <w:jc w:val="left"/>
                      <w:rPr>
                        <w:rFonts w:ascii="Calibri"/>
                        <w:sz w:val="22"/>
                      </w:rPr>
                    </w:pPr>
                    <w:r>
                      <w:rPr>
                        <w:rFonts w:ascii="Calibri"/>
                        <w:sz w:val="22"/>
                      </w:rPr>
                      <w:t>10%</w:t>
                    </w:r>
                  </w:p>
                  <w:p>
                    <w:pPr>
                      <w:spacing w:before="151"/>
                      <w:ind w:left="4010" w:right="0" w:firstLine="0"/>
                      <w:jc w:val="left"/>
                      <w:rPr>
                        <w:rFonts w:ascii="Calibri"/>
                        <w:sz w:val="22"/>
                      </w:rPr>
                    </w:pPr>
                    <w:r>
                      <w:rPr>
                        <w:rFonts w:ascii="Calibri"/>
                        <w:sz w:val="22"/>
                      </w:rPr>
                      <w:t>0%</w:t>
                    </w:r>
                  </w:p>
                  <w:p>
                    <w:pPr>
                      <w:spacing w:before="151"/>
                      <w:ind w:left="4011" w:right="0" w:firstLine="0"/>
                      <w:jc w:val="left"/>
                      <w:rPr>
                        <w:rFonts w:ascii="Calibri" w:hAnsi="Calibri"/>
                        <w:sz w:val="22"/>
                      </w:rPr>
                    </w:pPr>
                    <w:r>
                      <w:rPr>
                        <w:rFonts w:ascii="Calibri" w:hAnsi="Calibri"/>
                        <w:sz w:val="22"/>
                      </w:rPr>
                      <w:t>‐10%</w:t>
                    </w:r>
                  </w:p>
                  <w:p>
                    <w:pPr>
                      <w:spacing w:line="264" w:lineRule="exact" w:before="151"/>
                      <w:ind w:left="4011" w:right="0" w:firstLine="0"/>
                      <w:jc w:val="left"/>
                      <w:rPr>
                        <w:rFonts w:ascii="Calibri" w:hAnsi="Calibri"/>
                        <w:sz w:val="22"/>
                      </w:rPr>
                    </w:pPr>
                    <w:r>
                      <w:rPr>
                        <w:rFonts w:ascii="Calibri" w:hAnsi="Calibri"/>
                        <w:sz w:val="22"/>
                      </w:rPr>
                      <w:t>‐20%</w:t>
                    </w:r>
                  </w:p>
                </w:txbxContent>
              </v:textbox>
              <w10:wrap type="none"/>
            </v:shape>
            <v:shape style="position:absolute;left:976;top:-931;width:4063;height:954" type="#_x0000_t202" filled="false" stroked="false">
              <v:textbox inset="0,0,0,0">
                <w:txbxContent>
                  <w:p>
                    <w:pPr>
                      <w:spacing w:line="224" w:lineRule="exact" w:before="0"/>
                      <w:ind w:left="0" w:right="0" w:firstLine="0"/>
                      <w:jc w:val="left"/>
                      <w:rPr>
                        <w:rFonts w:ascii="Calibri"/>
                        <w:sz w:val="22"/>
                      </w:rPr>
                    </w:pPr>
                    <w:r>
                      <w:rPr>
                        <w:rFonts w:ascii="Calibri"/>
                        <w:sz w:val="22"/>
                      </w:rPr>
                      <w:t>2008 Q1 2009 Q1 2010 Q1 2011 Q1 2012 Q1</w:t>
                    </w:r>
                  </w:p>
                  <w:p>
                    <w:pPr>
                      <w:tabs>
                        <w:tab w:pos="2897" w:val="left" w:leader="none"/>
                      </w:tabs>
                      <w:spacing w:before="76"/>
                      <w:ind w:left="1542" w:right="0" w:firstLine="0"/>
                      <w:jc w:val="left"/>
                      <w:rPr>
                        <w:rFonts w:ascii="Calibri"/>
                        <w:sz w:val="22"/>
                      </w:rPr>
                    </w:pPr>
                    <w:r>
                      <w:rPr>
                        <w:rFonts w:ascii="Calibri"/>
                        <w:sz w:val="22"/>
                      </w:rPr>
                      <w:t>Exports</w:t>
                      <w:tab/>
                      <w:t>Imports</w:t>
                    </w:r>
                  </w:p>
                  <w:p>
                    <w:pPr>
                      <w:spacing w:line="240" w:lineRule="auto" w:before="5"/>
                      <w:rPr>
                        <w:rFonts w:ascii="Calibri"/>
                        <w:sz w:val="16"/>
                      </w:rPr>
                    </w:pPr>
                  </w:p>
                  <w:p>
                    <w:pPr>
                      <w:spacing w:before="0"/>
                      <w:ind w:left="310" w:right="0" w:firstLine="0"/>
                      <w:jc w:val="left"/>
                      <w:rPr>
                        <w:sz w:val="16"/>
                      </w:rPr>
                    </w:pPr>
                    <w:r>
                      <w:rPr>
                        <w:sz w:val="16"/>
                      </w:rPr>
                      <w:t>Source: UK National Accounts, ONS</w:t>
                    </w:r>
                  </w:p>
                </w:txbxContent>
              </v:textbox>
              <w10:wrap type="none"/>
            </v:shape>
            <v:shape style="position:absolute;left:5361;top:-1218;width:244;height:220" type="#_x0000_t202" filled="false" stroked="false">
              <v:textbox inset="0,0,0,0">
                <w:txbxContent>
                  <w:p>
                    <w:pPr>
                      <w:spacing w:line="220" w:lineRule="exact" w:before="0"/>
                      <w:ind w:left="0" w:right="0" w:firstLine="0"/>
                      <w:jc w:val="left"/>
                      <w:rPr>
                        <w:rFonts w:ascii="Calibri"/>
                        <w:sz w:val="22"/>
                      </w:rPr>
                    </w:pPr>
                    <w:r>
                      <w:rPr>
                        <w:rFonts w:ascii="Calibri"/>
                        <w:sz w:val="22"/>
                      </w:rPr>
                      <w:t>85</w:t>
                    </w:r>
                  </w:p>
                </w:txbxContent>
              </v:textbox>
              <w10:wrap type="none"/>
            </v:shape>
            <v:shape style="position:absolute;left:5361;top:-1928;width:244;height:220" type="#_x0000_t202" filled="false" stroked="false">
              <v:textbox inset="0,0,0,0">
                <w:txbxContent>
                  <w:p>
                    <w:pPr>
                      <w:spacing w:line="220" w:lineRule="exact" w:before="0"/>
                      <w:ind w:left="0" w:right="0" w:firstLine="0"/>
                      <w:jc w:val="left"/>
                      <w:rPr>
                        <w:rFonts w:ascii="Calibri"/>
                        <w:sz w:val="22"/>
                      </w:rPr>
                    </w:pPr>
                    <w:r>
                      <w:rPr>
                        <w:rFonts w:ascii="Calibri"/>
                        <w:sz w:val="22"/>
                      </w:rPr>
                      <w:t>90</w:t>
                    </w:r>
                  </w:p>
                </w:txbxContent>
              </v:textbox>
              <w10:wrap type="none"/>
            </v:shape>
            <v:shape style="position:absolute;left:5361;top:-2639;width:244;height:220" type="#_x0000_t202" filled="false" stroked="false">
              <v:textbox inset="0,0,0,0">
                <w:txbxContent>
                  <w:p>
                    <w:pPr>
                      <w:spacing w:line="220" w:lineRule="exact" w:before="0"/>
                      <w:ind w:left="0" w:right="0" w:firstLine="0"/>
                      <w:jc w:val="left"/>
                      <w:rPr>
                        <w:rFonts w:ascii="Calibri"/>
                        <w:sz w:val="22"/>
                      </w:rPr>
                    </w:pPr>
                    <w:r>
                      <w:rPr>
                        <w:rFonts w:ascii="Calibri"/>
                        <w:sz w:val="22"/>
                      </w:rPr>
                      <w:t>95</w:t>
                    </w:r>
                  </w:p>
                </w:txbxContent>
              </v:textbox>
              <w10:wrap type="none"/>
            </v:shape>
            <v:shape style="position:absolute;left:5361;top:-3349;width:355;height:220" type="#_x0000_t202" filled="false" stroked="false">
              <v:textbox inset="0,0,0,0">
                <w:txbxContent>
                  <w:p>
                    <w:pPr>
                      <w:spacing w:line="220" w:lineRule="exact" w:before="0"/>
                      <w:ind w:left="0" w:right="0" w:firstLine="0"/>
                      <w:jc w:val="left"/>
                      <w:rPr>
                        <w:rFonts w:ascii="Calibri"/>
                        <w:sz w:val="22"/>
                      </w:rPr>
                    </w:pPr>
                    <w:r>
                      <w:rPr>
                        <w:rFonts w:ascii="Calibri"/>
                        <w:sz w:val="22"/>
                      </w:rPr>
                      <w:t>100</w:t>
                    </w:r>
                  </w:p>
                </w:txbxContent>
              </v:textbox>
              <w10:wrap type="none"/>
            </v:shape>
            <v:shape style="position:absolute;left:880;top:-4589;width:4836;height:750" type="#_x0000_t202" filled="false" stroked="false">
              <v:textbox inset="0,0,0,0">
                <w:txbxContent>
                  <w:p>
                    <w:pPr>
                      <w:spacing w:line="201" w:lineRule="exact" w:before="0"/>
                      <w:ind w:left="0" w:right="0" w:firstLine="0"/>
                      <w:jc w:val="left"/>
                      <w:rPr>
                        <w:b/>
                        <w:sz w:val="18"/>
                      </w:rPr>
                    </w:pPr>
                    <w:r>
                      <w:rPr>
                        <w:b/>
                        <w:color w:val="4F82BD"/>
                        <w:sz w:val="18"/>
                      </w:rPr>
                      <w:t>Chart 2: UK Import and Export Volumes (2008Q1=100)</w:t>
                    </w:r>
                  </w:p>
                  <w:p>
                    <w:pPr>
                      <w:spacing w:line="240" w:lineRule="auto" w:before="7"/>
                      <w:rPr>
                        <w:b/>
                        <w:sz w:val="24"/>
                      </w:rPr>
                    </w:pPr>
                  </w:p>
                  <w:p>
                    <w:pPr>
                      <w:spacing w:line="264" w:lineRule="exact" w:before="1"/>
                      <w:ind w:left="0" w:right="18" w:firstLine="0"/>
                      <w:jc w:val="right"/>
                      <w:rPr>
                        <w:rFonts w:ascii="Calibri"/>
                        <w:sz w:val="22"/>
                      </w:rPr>
                    </w:pPr>
                    <w:r>
                      <w:rPr>
                        <w:rFonts w:ascii="Calibri"/>
                        <w:w w:val="95"/>
                        <w:sz w:val="22"/>
                      </w:rPr>
                      <w:t>105</w:t>
                    </w:r>
                  </w:p>
                </w:txbxContent>
              </v:textbox>
              <w10:wrap type="none"/>
            </v:shape>
            <w10:wrap type="none"/>
          </v:group>
        </w:pict>
      </w:r>
      <w:r>
        <w:rPr/>
        <w:pict>
          <v:shape style="position:absolute;margin-left:472.053925pt;margin-top:-91.381386pt;width:13pt;height:30.6pt;mso-position-horizontal-relative:page;mso-position-vertical-relative:paragraph;z-index:251685888" type="#_x0000_t202" filled="false" stroked="false">
            <v:textbox inset="0,0,0,0" style="layout-flow:vertical">
              <w:txbxContent>
                <w:p>
                  <w:pPr>
                    <w:spacing w:line="244" w:lineRule="exact" w:before="0"/>
                    <w:ind w:left="20" w:right="0" w:firstLine="0"/>
                    <w:jc w:val="left"/>
                    <w:rPr>
                      <w:rFonts w:ascii="Calibri"/>
                      <w:sz w:val="22"/>
                    </w:rPr>
                  </w:pPr>
                  <w:r>
                    <w:rPr>
                      <w:rFonts w:ascii="Calibri"/>
                      <w:sz w:val="22"/>
                    </w:rPr>
                    <w:t>Goods</w:t>
                  </w:r>
                </w:p>
              </w:txbxContent>
            </v:textbox>
            <w10:wrap type="none"/>
          </v:shape>
        </w:pict>
      </w:r>
      <w:r>
        <w:rPr/>
        <w:pict>
          <v:shape style="position:absolute;margin-left:448.294281pt;margin-top:-91.381386pt;width:13pt;height:13.45pt;mso-position-horizontal-relative:page;mso-position-vertical-relative:paragraph;z-index:251686912" type="#_x0000_t202" filled="false" stroked="false">
            <v:textbox inset="0,0,0,0" style="layout-flow:vertical">
              <w:txbxContent>
                <w:p>
                  <w:pPr>
                    <w:spacing w:line="244" w:lineRule="exact" w:before="0"/>
                    <w:ind w:left="20" w:right="0" w:firstLine="0"/>
                    <w:jc w:val="left"/>
                    <w:rPr>
                      <w:rFonts w:ascii="Calibri"/>
                      <w:sz w:val="22"/>
                    </w:rPr>
                  </w:pPr>
                  <w:r>
                    <w:rPr>
                      <w:rFonts w:ascii="Calibri"/>
                      <w:sz w:val="22"/>
                    </w:rPr>
                    <w:t>All</w:t>
                  </w:r>
                </w:p>
              </w:txbxContent>
            </v:textbox>
            <w10:wrap type="none"/>
          </v:shape>
        </w:pict>
      </w:r>
      <w:r>
        <w:rPr/>
        <w:pict>
          <v:shape style="position:absolute;margin-left:424.474274pt;margin-top:-91.381386pt;width:13pt;height:28pt;mso-position-horizontal-relative:page;mso-position-vertical-relative:paragraph;z-index:251687936" type="#_x0000_t202" filled="false" stroked="false">
            <v:textbox inset="0,0,0,0" style="layout-flow:vertical">
              <w:txbxContent>
                <w:p>
                  <w:pPr>
                    <w:spacing w:line="244" w:lineRule="exact" w:before="0"/>
                    <w:ind w:left="20" w:right="0" w:firstLine="0"/>
                    <w:jc w:val="left"/>
                    <w:rPr>
                      <w:rFonts w:ascii="Calibri"/>
                      <w:sz w:val="22"/>
                    </w:rPr>
                  </w:pPr>
                  <w:r>
                    <w:rPr>
                      <w:rFonts w:ascii="Calibri"/>
                      <w:sz w:val="22"/>
                    </w:rPr>
                    <w:t>Other</w:t>
                  </w:r>
                </w:p>
              </w:txbxContent>
            </v:textbox>
            <w10:wrap type="none"/>
          </v:shape>
        </w:pict>
      </w:r>
      <w:r>
        <w:rPr/>
        <w:pict>
          <v:shape style="position:absolute;margin-left:400.714661pt;margin-top:-91.381386pt;width:13pt;height:45.65pt;mso-position-horizontal-relative:page;mso-position-vertical-relative:paragraph;z-index:251688960" type="#_x0000_t202" filled="false" stroked="false">
            <v:textbox inset="0,0,0,0" style="layout-flow:vertical">
              <w:txbxContent>
                <w:p>
                  <w:pPr>
                    <w:spacing w:line="244" w:lineRule="exact" w:before="0"/>
                    <w:ind w:left="20" w:right="0" w:firstLine="0"/>
                    <w:jc w:val="left"/>
                    <w:rPr>
                      <w:rFonts w:ascii="Calibri"/>
                      <w:sz w:val="22"/>
                    </w:rPr>
                  </w:pPr>
                  <w:r>
                    <w:rPr>
                      <w:rFonts w:ascii="Calibri"/>
                      <w:sz w:val="22"/>
                    </w:rPr>
                    <w:t>Transport</w:t>
                  </w:r>
                </w:p>
              </w:txbxContent>
            </v:textbox>
            <w10:wrap type="none"/>
          </v:shape>
        </w:pict>
      </w:r>
      <w:r>
        <w:rPr/>
        <w:pict>
          <v:shape style="position:absolute;margin-left:376.894653pt;margin-top:-91.320999pt;width:13pt;height:79.05pt;mso-position-horizontal-relative:page;mso-position-vertical-relative:paragraph;z-index:251689984" type="#_x0000_t202" filled="false" stroked="false">
            <v:textbox inset="0,0,0,0" style="layout-flow:vertical">
              <w:txbxContent>
                <w:p>
                  <w:pPr>
                    <w:spacing w:line="244" w:lineRule="exact" w:before="0"/>
                    <w:ind w:left="20" w:right="0" w:firstLine="0"/>
                    <w:jc w:val="left"/>
                    <w:rPr>
                      <w:rFonts w:ascii="Calibri"/>
                      <w:sz w:val="22"/>
                    </w:rPr>
                  </w:pPr>
                  <w:r>
                    <w:rPr>
                      <w:rFonts w:ascii="Calibri"/>
                      <w:sz w:val="22"/>
                    </w:rPr>
                    <w:t>Business Services</w:t>
                  </w:r>
                </w:p>
              </w:txbxContent>
            </v:textbox>
            <w10:wrap type="none"/>
          </v:shape>
        </w:pict>
      </w:r>
      <w:r>
        <w:rPr/>
        <w:pict>
          <v:shape style="position:absolute;margin-left:353.13501pt;margin-top:-91.381386pt;width:13pt;height:16.05pt;mso-position-horizontal-relative:page;mso-position-vertical-relative:paragraph;z-index:251691008" type="#_x0000_t202" filled="false" stroked="false">
            <v:textbox inset="0,0,0,0" style="layout-flow:vertical">
              <w:txbxContent>
                <w:p>
                  <w:pPr>
                    <w:spacing w:line="244" w:lineRule="exact" w:before="0"/>
                    <w:ind w:left="20" w:right="0" w:firstLine="0"/>
                    <w:jc w:val="left"/>
                    <w:rPr>
                      <w:rFonts w:ascii="Calibri"/>
                      <w:sz w:val="22"/>
                    </w:rPr>
                  </w:pPr>
                  <w:r>
                    <w:rPr>
                      <w:rFonts w:ascii="Calibri"/>
                      <w:sz w:val="22"/>
                    </w:rPr>
                    <w:t>ICT</w:t>
                  </w:r>
                </w:p>
              </w:txbxContent>
            </v:textbox>
            <w10:wrap type="none"/>
          </v:shape>
        </w:pict>
      </w:r>
      <w:r>
        <w:rPr/>
        <w:pict>
          <v:shape style="position:absolute;margin-left:329.315002pt;margin-top:-91.380287pt;width:13pt;height:80pt;mso-position-horizontal-relative:page;mso-position-vertical-relative:paragraph;z-index:251692032" type="#_x0000_t202" filled="false" stroked="false">
            <v:textbox inset="0,0,0,0" style="layout-flow:vertical">
              <w:txbxContent>
                <w:p>
                  <w:pPr>
                    <w:spacing w:line="244" w:lineRule="exact" w:before="0"/>
                    <w:ind w:left="20" w:right="0" w:firstLine="0"/>
                    <w:jc w:val="left"/>
                    <w:rPr>
                      <w:rFonts w:ascii="Calibri"/>
                      <w:sz w:val="22"/>
                    </w:rPr>
                  </w:pPr>
                  <w:r>
                    <w:rPr>
                      <w:rFonts w:ascii="Calibri"/>
                      <w:sz w:val="22"/>
                    </w:rPr>
                    <w:t>Financial Services</w:t>
                  </w:r>
                </w:p>
              </w:txbxContent>
            </v:textbox>
            <w10:wrap type="none"/>
          </v:shape>
        </w:pict>
      </w:r>
      <w:r>
        <w:rPr/>
        <w:pict>
          <v:shape style="position:absolute;margin-left:305.494995pt;margin-top:-91.380287pt;width:13pt;height:29.45pt;mso-position-horizontal-relative:page;mso-position-vertical-relative:paragraph;z-index:251693056" type="#_x0000_t202" filled="false" stroked="false">
            <v:textbox inset="0,0,0,0" style="layout-flow:vertical">
              <w:txbxContent>
                <w:p>
                  <w:pPr>
                    <w:spacing w:line="244" w:lineRule="exact" w:before="0"/>
                    <w:ind w:left="20" w:right="0" w:firstLine="0"/>
                    <w:jc w:val="left"/>
                    <w:rPr>
                      <w:rFonts w:ascii="Calibri"/>
                      <w:sz w:val="22"/>
                    </w:rPr>
                  </w:pPr>
                  <w:r>
                    <w:rPr>
                      <w:rFonts w:ascii="Calibri"/>
                      <w:sz w:val="22"/>
                    </w:rPr>
                    <w:t>Travel</w:t>
                  </w:r>
                </w:p>
              </w:txbxContent>
            </v:textbox>
            <w10:wrap type="none"/>
          </v:shape>
        </w:pict>
      </w:r>
      <w:r>
        <w:rPr/>
        <w:pict>
          <v:shape style="position:absolute;margin-left:525.304993pt;margin-top:-173.910294pt;width:13pt;height:90.35pt;mso-position-horizontal-relative:page;mso-position-vertical-relative:paragraph;z-index:251694080" type="#_x0000_t202" filled="false" stroked="false">
            <v:textbox inset="0,0,0,0" style="layout-flow:vertical;mso-layout-flow-alt:bottom-to-top">
              <w:txbxContent>
                <w:p>
                  <w:pPr>
                    <w:spacing w:line="244" w:lineRule="exact" w:before="0"/>
                    <w:ind w:left="20" w:right="0" w:firstLine="0"/>
                    <w:jc w:val="left"/>
                    <w:rPr>
                      <w:rFonts w:ascii="Calibri"/>
                      <w:b/>
                      <w:sz w:val="22"/>
                    </w:rPr>
                  </w:pPr>
                  <w:r>
                    <w:rPr>
                      <w:rFonts w:ascii="Calibri"/>
                      <w:b/>
                      <w:sz w:val="22"/>
                    </w:rPr>
                    <w:t>Percentage Growth</w:t>
                  </w:r>
                </w:p>
              </w:txbxContent>
            </v:textbox>
            <w10:wrap type="none"/>
          </v:shape>
        </w:pict>
      </w:r>
      <w:r>
        <w:rPr/>
        <w:t>of payments, and in particular investment income? I would then like to reach some conclusions on how far the current account of the balance of payments is, in its present condition, sustainable.</w:t>
      </w:r>
    </w:p>
    <w:p>
      <w:pPr>
        <w:pStyle w:val="BodyText"/>
        <w:spacing w:before="1"/>
        <w:rPr>
          <w:sz w:val="30"/>
        </w:rPr>
      </w:pPr>
    </w:p>
    <w:p>
      <w:pPr>
        <w:pStyle w:val="Heading1"/>
        <w:spacing w:line="240" w:lineRule="auto"/>
        <w:ind w:left="353"/>
      </w:pPr>
      <w:r>
        <w:rPr/>
        <w:t>Export and Import Flows</w:t>
      </w:r>
    </w:p>
    <w:p>
      <w:pPr>
        <w:pStyle w:val="BodyText"/>
        <w:spacing w:line="360" w:lineRule="auto" w:before="114"/>
        <w:ind w:left="353" w:right="1117"/>
      </w:pPr>
      <w:r>
        <w:rPr/>
        <w:t>Chart 2 shows the volume indices of exports and imports relative to the first quarter of 2008 which marks the start of the global recession. Although both exports and imports fell during the global recession, export volumes, unlike import volumes are higher than at the start of the recession. But at the same time, the impact on export volumes has been disappointing. The gain compared with 2008Q1 is small. This pattern is similar to the growth of the GDP of our major trading partners. But the depreciation should have been expected to lead to an increase in market share, allowing our exports to rise appreciably faster than their GDP.</w:t>
      </w:r>
    </w:p>
    <w:p>
      <w:pPr>
        <w:pStyle w:val="BodyText"/>
        <w:spacing w:before="11"/>
        <w:rPr>
          <w:sz w:val="29"/>
        </w:rPr>
      </w:pPr>
    </w:p>
    <w:p>
      <w:pPr>
        <w:pStyle w:val="BodyText"/>
        <w:ind w:left="353"/>
      </w:pPr>
      <w:r>
        <w:rPr/>
        <w:t>In fact exports of goods have performed better than exports of services. The volume of the former rose by</w:t>
      </w:r>
    </w:p>
    <w:p>
      <w:pPr>
        <w:pStyle w:val="BodyText"/>
        <w:spacing w:line="360" w:lineRule="auto" w:before="115"/>
        <w:ind w:left="353" w:right="1285"/>
      </w:pPr>
      <w:r>
        <w:rPr/>
        <w:t>6.3 per cent between 2008Q1 and 2012Q3, a performance which was worse than that of the United States and Germany but better than that of the other G-7 countries. Nevertheless, measured as a share of goods exports, the UK has done no more than hold its own, after several years in which its share was declining. The volume of services exported has fallen by 4 per cent in the same period and only Japan among the G7 economies has performed worse in terms of service exports. Measurement of service volumes is, however, imprecise and an alternative indication of the underperformance can be gained by looking at the movement in the values of different types of service exports. Chart 3 shows the growth in the value of exports of each type of service and compares it with growth in the value of goods exports since 2008Q1. While business services have performed well, a striking aspect of the chart is the weakness in financial services</w:t>
      </w:r>
      <w:r>
        <w:rPr>
          <w:vertAlign w:val="superscript"/>
        </w:rPr>
        <w:t>1</w:t>
      </w:r>
      <w:r>
        <w:rPr>
          <w:vertAlign w:val="baseline"/>
        </w:rPr>
        <w:t>- a term which in the trade statistics includes banking and fund management but excludes insurance. Exports of these have declined in money terms since 2008Q1. I address subsequently the possibility that they may be</w:t>
      </w:r>
    </w:p>
    <w:p>
      <w:pPr>
        <w:pStyle w:val="BodyText"/>
      </w:pPr>
    </w:p>
    <w:p>
      <w:pPr>
        <w:pStyle w:val="BodyText"/>
      </w:pPr>
    </w:p>
    <w:p>
      <w:pPr>
        <w:pStyle w:val="BodyText"/>
        <w:spacing w:before="4"/>
        <w:rPr>
          <w:sz w:val="16"/>
        </w:rPr>
      </w:pPr>
      <w:r>
        <w:rPr/>
        <w:pict>
          <v:shape style="position:absolute;margin-left:56.700001pt;margin-top:11.604487pt;width:144pt;height:.1pt;mso-position-horizontal-relative:page;mso-position-vertical-relative:paragraph;z-index:-251640832;mso-wrap-distance-left:0;mso-wrap-distance-right:0" coordorigin="1134,232" coordsize="2880,0" path="m1134,232l4014,232e" filled="false" stroked="true" strokeweight=".48001pt" strokecolor="#000000">
            <v:path arrowok="t"/>
            <v:stroke dashstyle="solid"/>
            <w10:wrap type="topAndBottom"/>
          </v:shape>
        </w:pict>
      </w:r>
    </w:p>
    <w:p>
      <w:pPr>
        <w:spacing w:before="32"/>
        <w:ind w:left="353" w:right="1253" w:firstLine="0"/>
        <w:jc w:val="left"/>
        <w:rPr>
          <w:sz w:val="16"/>
        </w:rPr>
      </w:pPr>
      <w:r>
        <w:rPr>
          <w:position w:val="8"/>
          <w:sz w:val="10"/>
        </w:rPr>
        <w:t>1 </w:t>
      </w:r>
      <w:r>
        <w:rPr>
          <w:sz w:val="16"/>
        </w:rPr>
        <w:t>In 2008Q1 financial and business services each accounted for about a quarter of UK exports of services. Growth in the exports of the two added together has been broadly in line with the exports of the service sector as a whole.</w:t>
      </w:r>
    </w:p>
    <w:p>
      <w:pPr>
        <w:spacing w:after="0"/>
        <w:jc w:val="left"/>
        <w:rPr>
          <w:sz w:val="16"/>
        </w:rPr>
        <w:sectPr>
          <w:pgSz w:w="11900" w:h="16840"/>
          <w:pgMar w:header="0" w:footer="1548" w:top="920" w:bottom="1740" w:left="780" w:right="0"/>
        </w:sectPr>
      </w:pPr>
    </w:p>
    <w:p>
      <w:pPr>
        <w:pStyle w:val="BodyText"/>
        <w:spacing w:line="360" w:lineRule="auto" w:before="76"/>
        <w:ind w:left="353" w:right="1141"/>
      </w:pPr>
      <w:r>
        <w:rPr/>
        <w:t>mismeasured and examine whether in fact this sector may have performed better than Chart 3 suggests. Further discussion of recent export performance is provided on pages 24-25 of the February </w:t>
      </w:r>
      <w:r>
        <w:rPr>
          <w:i/>
        </w:rPr>
        <w:t>Inflation Report. </w:t>
      </w:r>
      <w:r>
        <w:rPr/>
        <w:t>The import side also matters. Import volumes remain below those of 2008Q1; so too does our GDP. Indeed both were in 2012Q3 just over 3 per cent below their values of 2008Q1. It does not seem that import penetration has declined.</w:t>
      </w:r>
    </w:p>
    <w:p>
      <w:pPr>
        <w:pStyle w:val="BodyText"/>
        <w:spacing w:before="1"/>
        <w:rPr>
          <w:sz w:val="30"/>
        </w:rPr>
      </w:pPr>
    </w:p>
    <w:p>
      <w:pPr>
        <w:pStyle w:val="Heading1"/>
        <w:spacing w:line="240" w:lineRule="auto"/>
        <w:ind w:left="354"/>
      </w:pPr>
      <w:r>
        <w:rPr/>
        <w:t>Unit Values and Relative Costs</w:t>
      </w:r>
    </w:p>
    <w:p>
      <w:pPr>
        <w:pStyle w:val="BodyText"/>
        <w:spacing w:line="360" w:lineRule="auto" w:before="113"/>
        <w:ind w:left="353" w:right="1142"/>
      </w:pPr>
      <w:r>
        <w:rPr/>
        <w:t>Traditionally a fall in the exchange rate was assumed to make exports cheaper in foreign markets and imports more expensive in domestic markets. As a consequence the depreciation led to a worsening of the terms of trade which needed to be offset by an increase in the volume of exports and a fall in the volume of imports. Chart 4 shows that, since 2007Q1, there has been some cheapening of UK exports relative to the export prices of our international competitors. However the gain is by now only under 6 per cent and the movement in goods export volumes is probably commensurate with this, on the assumption that export sales are influenced by relative prices and other demand factors.</w:t>
      </w:r>
    </w:p>
    <w:p>
      <w:pPr>
        <w:pStyle w:val="BodyText"/>
        <w:rPr>
          <w:sz w:val="30"/>
        </w:rPr>
      </w:pPr>
    </w:p>
    <w:p>
      <w:pPr>
        <w:pStyle w:val="BodyText"/>
        <w:spacing w:line="360" w:lineRule="auto" w:before="1"/>
        <w:ind w:left="354" w:right="1129"/>
      </w:pPr>
      <w:r>
        <w:rPr/>
        <w:t>But if there has been a favourable movement in costs relative to export prices, then supply-side effects should also be present. Such a shift may occur if export prices are set with reference to foreign prices while costs are determined domestically. Chart 5 shows unit labour costs in manufacturing measured in euros for the United Kingdom, France and Germany. Costs are measured relative to 2007Q1 so the chart shows changes in unit costs relative to that date; it does not indicate competitiveness in absolute terms. The chart also</w:t>
      </w:r>
      <w:r>
        <w:rPr>
          <w:spacing w:val="-4"/>
        </w:rPr>
        <w:t> </w:t>
      </w:r>
      <w:r>
        <w:rPr/>
        <w:t>shows,</w:t>
      </w:r>
      <w:r>
        <w:rPr>
          <w:spacing w:val="-3"/>
        </w:rPr>
        <w:t> </w:t>
      </w:r>
      <w:r>
        <w:rPr/>
        <w:t>once</w:t>
      </w:r>
      <w:r>
        <w:rPr>
          <w:spacing w:val="-3"/>
        </w:rPr>
        <w:t> </w:t>
      </w:r>
      <w:r>
        <w:rPr/>
        <w:t>more,</w:t>
      </w:r>
      <w:r>
        <w:rPr>
          <w:spacing w:val="-3"/>
        </w:rPr>
        <w:t> </w:t>
      </w:r>
      <w:r>
        <w:rPr/>
        <w:t>movements</w:t>
      </w:r>
      <w:r>
        <w:rPr>
          <w:spacing w:val="-3"/>
        </w:rPr>
        <w:t> </w:t>
      </w:r>
      <w:r>
        <w:rPr/>
        <w:t>in</w:t>
      </w:r>
      <w:r>
        <w:rPr>
          <w:spacing w:val="-3"/>
        </w:rPr>
        <w:t> </w:t>
      </w:r>
      <w:r>
        <w:rPr/>
        <w:t>the</w:t>
      </w:r>
      <w:r>
        <w:rPr>
          <w:spacing w:val="-3"/>
        </w:rPr>
        <w:t> </w:t>
      </w:r>
      <w:r>
        <w:rPr/>
        <w:t>sterling</w:t>
      </w:r>
      <w:r>
        <w:rPr>
          <w:spacing w:val="-3"/>
        </w:rPr>
        <w:t> </w:t>
      </w:r>
      <w:r>
        <w:rPr/>
        <w:t>effective</w:t>
      </w:r>
      <w:r>
        <w:rPr>
          <w:spacing w:val="-3"/>
        </w:rPr>
        <w:t> </w:t>
      </w:r>
      <w:r>
        <w:rPr/>
        <w:t>exchange</w:t>
      </w:r>
      <w:r>
        <w:rPr>
          <w:spacing w:val="-3"/>
        </w:rPr>
        <w:t> </w:t>
      </w:r>
      <w:r>
        <w:rPr/>
        <w:t>rate</w:t>
      </w:r>
      <w:r>
        <w:rPr>
          <w:spacing w:val="-3"/>
        </w:rPr>
        <w:t> </w:t>
      </w:r>
      <w:r>
        <w:rPr/>
        <w:t>and</w:t>
      </w:r>
      <w:r>
        <w:rPr>
          <w:spacing w:val="-3"/>
        </w:rPr>
        <w:t> </w:t>
      </w:r>
      <w:r>
        <w:rPr/>
        <w:t>the</w:t>
      </w:r>
      <w:r>
        <w:rPr>
          <w:spacing w:val="-3"/>
        </w:rPr>
        <w:t> </w:t>
      </w:r>
      <w:r>
        <w:rPr/>
        <w:t>exchange</w:t>
      </w:r>
      <w:r>
        <w:rPr>
          <w:spacing w:val="-3"/>
        </w:rPr>
        <w:t> </w:t>
      </w:r>
      <w:r>
        <w:rPr/>
        <w:t>rate</w:t>
      </w:r>
      <w:r>
        <w:rPr>
          <w:spacing w:val="-3"/>
        </w:rPr>
        <w:t> </w:t>
      </w:r>
      <w:r>
        <w:rPr/>
        <w:t>against</w:t>
      </w:r>
      <w:r>
        <w:rPr>
          <w:spacing w:val="-2"/>
        </w:rPr>
        <w:t> </w:t>
      </w:r>
      <w:r>
        <w:rPr/>
        <w:t>the euro. It is clear from the chart that there was a substantial gain in competitiveness resulting from the fall of the exchange rate. But between 2011Q4 and 2012Q3 a considerable amount of this gain was eroded away. In part this was because the exchange rate rose, a rise which has been reduced in the last few</w:t>
      </w:r>
      <w:r>
        <w:rPr>
          <w:spacing w:val="-23"/>
        </w:rPr>
        <w:t> </w:t>
      </w:r>
      <w:r>
        <w:rPr/>
        <w:t>weeks.</w:t>
      </w:r>
    </w:p>
    <w:p>
      <w:pPr>
        <w:pStyle w:val="BodyText"/>
        <w:spacing w:before="4"/>
        <w:rPr>
          <w:sz w:val="9"/>
        </w:rPr>
      </w:pPr>
      <w:r>
        <w:rPr/>
        <w:pict>
          <v:group style="position:absolute;margin-left:54.345001pt;margin-top:7.359668pt;width:478.05pt;height:247.5pt;mso-position-horizontal-relative:page;mso-position-vertical-relative:paragraph;z-index:-251608064;mso-wrap-distance-left:0;mso-wrap-distance-right:0" coordorigin="1087,147" coordsize="9561,4950">
            <v:rect style="position:absolute;left:5854;top:154;width:4786;height:4935" filled="false" stroked="true" strokeweight=".75pt" strokecolor="#000000">
              <v:stroke dashstyle="solid"/>
            </v:rect>
            <v:line style="position:absolute" from="6413,2729" to="9854,2729" stroked="true" strokeweight=".72pt" strokecolor="#868686">
              <v:stroke dashstyle="solid"/>
            </v:line>
            <v:line style="position:absolute" from="6413,2291" to="9854,2291" stroked="true" strokeweight=".72pt" strokecolor="#868686">
              <v:stroke dashstyle="solid"/>
            </v:line>
            <v:line style="position:absolute" from="6413,1854" to="9854,1854" stroked="true" strokeweight=".72pt" strokecolor="#868686">
              <v:stroke dashstyle="solid"/>
            </v:line>
            <v:line style="position:absolute" from="6413,1416" to="9854,1416" stroked="true" strokeweight=".72pt" strokecolor="#868686">
              <v:stroke dashstyle="solid"/>
            </v:line>
            <v:line style="position:absolute" from="6413,978" to="9854,978" stroked="true" strokeweight=".72pt" strokecolor="#868686">
              <v:stroke dashstyle="solid"/>
            </v:line>
            <v:line style="position:absolute" from="6413,3165" to="9854,3165" stroked="true" strokeweight=".72pt" strokecolor="#868686">
              <v:stroke dashstyle="solid"/>
            </v:line>
            <v:rect style="position:absolute;left:6405;top:3165;width:15;height:64" filled="true" fillcolor="#868686" stroked="false">
              <v:fill type="solid"/>
            </v:rect>
            <v:rect style="position:absolute;left:6555;top:3165;width:15;height:64" filled="true" fillcolor="#868686" stroked="false">
              <v:fill type="solid"/>
            </v:rect>
            <v:rect style="position:absolute;left:6705;top:3165;width:15;height:64" filled="true" fillcolor="#868686" stroked="false">
              <v:fill type="solid"/>
            </v:rect>
            <v:rect style="position:absolute;left:6854;top:3165;width:15;height:64" filled="true" fillcolor="#868686" stroked="false">
              <v:fill type="solid"/>
            </v:rect>
            <v:rect style="position:absolute;left:7004;top:3165;width:15;height:64" filled="true" fillcolor="#868686" stroked="false">
              <v:fill type="solid"/>
            </v:rect>
            <v:rect style="position:absolute;left:7154;top:3165;width:15;height:64" filled="true" fillcolor="#868686" stroked="false">
              <v:fill type="solid"/>
            </v:rect>
            <v:rect style="position:absolute;left:7303;top:3165;width:15;height:64" filled="true" fillcolor="#868686" stroked="false">
              <v:fill type="solid"/>
            </v:rect>
            <v:rect style="position:absolute;left:7453;top:3165;width:15;height:64" filled="true" fillcolor="#868686" stroked="false">
              <v:fill type="solid"/>
            </v:rect>
            <v:rect style="position:absolute;left:7603;top:3165;width:15;height:64" filled="true" fillcolor="#868686" stroked="false">
              <v:fill type="solid"/>
            </v:rect>
            <v:rect style="position:absolute;left:7753;top:3165;width:15;height:64" filled="true" fillcolor="#868686" stroked="false">
              <v:fill type="solid"/>
            </v:rect>
            <v:rect style="position:absolute;left:7902;top:3165;width:15;height:64" filled="true" fillcolor="#868686" stroked="false">
              <v:fill type="solid"/>
            </v:rect>
            <v:rect style="position:absolute;left:8052;top:3165;width:15;height:64" filled="true" fillcolor="#868686" stroked="false">
              <v:fill type="solid"/>
            </v:rect>
            <v:rect style="position:absolute;left:8202;top:3165;width:15;height:64" filled="true" fillcolor="#868686" stroked="false">
              <v:fill type="solid"/>
            </v:rect>
            <v:rect style="position:absolute;left:8350;top:3165;width:15;height:64" filled="true" fillcolor="#868686" stroked="false">
              <v:fill type="solid"/>
            </v:rect>
            <v:rect style="position:absolute;left:8500;top:3165;width:15;height:64" filled="true" fillcolor="#868686" stroked="false">
              <v:fill type="solid"/>
            </v:rect>
            <v:rect style="position:absolute;left:8650;top:3165;width:15;height:64" filled="true" fillcolor="#868686" stroked="false">
              <v:fill type="solid"/>
            </v:rect>
            <v:rect style="position:absolute;left:8799;top:3165;width:15;height:64" filled="true" fillcolor="#868686" stroked="false">
              <v:fill type="solid"/>
            </v:rect>
            <v:rect style="position:absolute;left:8949;top:3165;width:15;height:64" filled="true" fillcolor="#868686" stroked="false">
              <v:fill type="solid"/>
            </v:rect>
            <v:rect style="position:absolute;left:9099;top:3165;width:15;height:64" filled="true" fillcolor="#868686" stroked="false">
              <v:fill type="solid"/>
            </v:rect>
            <v:rect style="position:absolute;left:9249;top:3165;width:15;height:64" filled="true" fillcolor="#868686" stroked="false">
              <v:fill type="solid"/>
            </v:rect>
            <v:rect style="position:absolute;left:9398;top:3165;width:15;height:64" filled="true" fillcolor="#868686" stroked="false">
              <v:fill type="solid"/>
            </v:rect>
            <v:rect style="position:absolute;left:9548;top:3165;width:15;height:64" filled="true" fillcolor="#868686" stroked="false">
              <v:fill type="solid"/>
            </v:rect>
            <v:rect style="position:absolute;left:9698;top:3165;width:15;height:64" filled="true" fillcolor="#868686" stroked="false">
              <v:fill type="solid"/>
            </v:rect>
            <v:line style="position:absolute" from="9854,978" to="9854,3229" stroked="true" strokeweight=".72pt" strokecolor="#868686">
              <v:stroke dashstyle="solid"/>
            </v:line>
            <v:rect style="position:absolute;left:9854;top:3158;width:64;height:15" filled="true" fillcolor="#868686" stroked="false">
              <v:fill type="solid"/>
            </v:rect>
            <v:rect style="position:absolute;left:9854;top:2721;width:64;height:15" filled="true" fillcolor="#868686" stroked="false">
              <v:fill type="solid"/>
            </v:rect>
            <v:rect style="position:absolute;left:9854;top:2283;width:64;height:15" filled="true" fillcolor="#868686" stroked="false">
              <v:fill type="solid"/>
            </v:rect>
            <v:rect style="position:absolute;left:9854;top:1846;width:64;height:15" filled="true" fillcolor="#868686" stroked="false">
              <v:fill type="solid"/>
            </v:rect>
            <v:rect style="position:absolute;left:9854;top:1408;width:64;height:15" filled="true" fillcolor="#868686" stroked="false">
              <v:fill type="solid"/>
            </v:rect>
            <v:rect style="position:absolute;left:9854;top:970;width:64;height:15" filled="true" fillcolor="#868686" stroked="false">
              <v:fill type="solid"/>
            </v:rect>
            <v:shape style="position:absolute;left:6463;top:1447;width:3342;height:1576" type="#_x0000_t75" stroked="false">
              <v:imagedata r:id="rId9" o:title=""/>
            </v:shape>
            <v:line style="position:absolute" from="6233,3928" to="6661,3928" stroked="true" strokeweight="2.220pt" strokecolor="#4a7ebb">
              <v:stroke dashstyle="solid"/>
            </v:line>
            <v:line style="position:absolute" from="8323,3928" to="8752,3928" stroked="true" strokeweight="2.220pt" strokecolor="#be4b48">
              <v:stroke dashstyle="solid"/>
            </v:line>
            <v:line style="position:absolute" from="6233,4172" to="6661,4172" stroked="true" strokeweight="2.220pt" strokecolor="#98b954">
              <v:stroke dashstyle="solid"/>
            </v:line>
            <v:line style="position:absolute" from="8323,4172" to="8752,4172" stroked="true" strokeweight="2.220pt" strokecolor="#7d60a0">
              <v:stroke dashstyle="solid"/>
            </v:line>
            <v:line style="position:absolute" from="6233,4416" to="6661,4416" stroked="true" strokeweight="2.220pt" strokecolor="#46aac5">
              <v:stroke dashstyle="solid"/>
            </v:line>
            <v:rect style="position:absolute;left:1094;top:154;width:4761;height:4935" filled="false" stroked="true" strokeweight=".75pt" strokecolor="#000000">
              <v:stroke dashstyle="solid"/>
            </v:rect>
            <v:line style="position:absolute" from="1577,2918" to="5084,2918" stroked="true" strokeweight=".72pt" strokecolor="#868686">
              <v:stroke dashstyle="solid"/>
            </v:line>
            <v:line style="position:absolute" from="1577,2454" to="5084,2454" stroked="true" strokeweight=".72pt" strokecolor="#868686">
              <v:stroke dashstyle="solid"/>
            </v:line>
            <v:line style="position:absolute" from="1577,1991" to="5084,1991" stroked="true" strokeweight=".72pt" strokecolor="#868686">
              <v:stroke dashstyle="solid"/>
            </v:line>
            <v:line style="position:absolute" from="1577,1526" to="5084,1526" stroked="true" strokeweight=".71997pt" strokecolor="#868686">
              <v:stroke dashstyle="solid"/>
            </v:line>
            <v:line style="position:absolute" from="1577,1063" to="5084,1063" stroked="true" strokeweight=".72pt" strokecolor="#868686">
              <v:stroke dashstyle="solid"/>
            </v:line>
            <v:line style="position:absolute" from="5084,1063" to="5084,3445" stroked="true" strokeweight=".72pt" strokecolor="#868686">
              <v:stroke dashstyle="solid"/>
            </v:line>
            <v:rect style="position:absolute;left:5084;top:3375;width:64;height:15" filled="true" fillcolor="#868686" stroked="false">
              <v:fill type="solid"/>
            </v:rect>
            <v:rect style="position:absolute;left:5084;top:2911;width:64;height:15" filled="true" fillcolor="#868686" stroked="false">
              <v:fill type="solid"/>
            </v:rect>
            <v:rect style="position:absolute;left:5084;top:2446;width:64;height:15" filled="true" fillcolor="#868686" stroked="false">
              <v:fill type="solid"/>
            </v:rect>
            <v:rect style="position:absolute;left:5084;top:1983;width:64;height:15" filled="true" fillcolor="#868686" stroked="false">
              <v:fill type="solid"/>
            </v:rect>
            <v:rect style="position:absolute;left:5084;top:1519;width:64;height:15" filled="true" fillcolor="#868686" stroked="false">
              <v:fill type="solid"/>
            </v:rect>
            <v:rect style="position:absolute;left:5084;top:1055;width:64;height:15" filled="true" fillcolor="#868686" stroked="false">
              <v:fill type="solid"/>
            </v:rect>
            <v:line style="position:absolute" from="1577,3383" to="5084,3383" stroked="true" strokeweight=".72pt" strokecolor="#868686">
              <v:stroke dashstyle="solid"/>
            </v:line>
            <v:rect style="position:absolute;left:1569;top:3382;width:15;height:63" filled="true" fillcolor="#868686" stroked="false">
              <v:fill type="solid"/>
            </v:rect>
            <v:rect style="position:absolute;left:1722;top:3382;width:15;height:63" filled="true" fillcolor="#868686" stroked="false">
              <v:fill type="solid"/>
            </v:rect>
            <v:rect style="position:absolute;left:1874;top:3382;width:15;height:63" filled="true" fillcolor="#868686" stroked="false">
              <v:fill type="solid"/>
            </v:rect>
            <v:rect style="position:absolute;left:2026;top:3382;width:15;height:63" filled="true" fillcolor="#868686" stroked="false">
              <v:fill type="solid"/>
            </v:rect>
            <v:rect style="position:absolute;left:2179;top:3382;width:15;height:63" filled="true" fillcolor="#868686" stroked="false">
              <v:fill type="solid"/>
            </v:rect>
            <v:rect style="position:absolute;left:2332;top:3382;width:15;height:63" filled="true" fillcolor="#868686" stroked="false">
              <v:fill type="solid"/>
            </v:rect>
            <v:rect style="position:absolute;left:2485;top:3382;width:15;height:63" filled="true" fillcolor="#868686" stroked="false">
              <v:fill type="solid"/>
            </v:rect>
            <v:rect style="position:absolute;left:2637;top:3382;width:15;height:63" filled="true" fillcolor="#868686" stroked="false">
              <v:fill type="solid"/>
            </v:rect>
            <v:rect style="position:absolute;left:2790;top:3382;width:15;height:63" filled="true" fillcolor="#868686" stroked="false">
              <v:fill type="solid"/>
            </v:rect>
            <v:rect style="position:absolute;left:2942;top:3382;width:15;height:63" filled="true" fillcolor="#868686" stroked="false">
              <v:fill type="solid"/>
            </v:rect>
            <v:rect style="position:absolute;left:3094;top:3382;width:15;height:63" filled="true" fillcolor="#868686" stroked="false">
              <v:fill type="solid"/>
            </v:rect>
            <v:rect style="position:absolute;left:3247;top:3382;width:15;height:63" filled="true" fillcolor="#868686" stroked="false">
              <v:fill type="solid"/>
            </v:rect>
            <v:rect style="position:absolute;left:3399;top:3382;width:15;height:63" filled="true" fillcolor="#868686" stroked="false">
              <v:fill type="solid"/>
            </v:rect>
            <v:rect style="position:absolute;left:3552;top:3382;width:15;height:63" filled="true" fillcolor="#868686" stroked="false">
              <v:fill type="solid"/>
            </v:rect>
            <v:rect style="position:absolute;left:3704;top:3382;width:15;height:63" filled="true" fillcolor="#868686" stroked="false">
              <v:fill type="solid"/>
            </v:rect>
            <v:rect style="position:absolute;left:3856;top:3382;width:15;height:63" filled="true" fillcolor="#868686" stroked="false">
              <v:fill type="solid"/>
            </v:rect>
            <v:rect style="position:absolute;left:4009;top:3382;width:15;height:63" filled="true" fillcolor="#868686" stroked="false">
              <v:fill type="solid"/>
            </v:rect>
            <v:rect style="position:absolute;left:4161;top:3382;width:15;height:63" filled="true" fillcolor="#868686" stroked="false">
              <v:fill type="solid"/>
            </v:rect>
            <v:rect style="position:absolute;left:4314;top:3382;width:15;height:63" filled="true" fillcolor="#868686" stroked="false">
              <v:fill type="solid"/>
            </v:rect>
            <v:rect style="position:absolute;left:4466;top:3382;width:15;height:63" filled="true" fillcolor="#868686" stroked="false">
              <v:fill type="solid"/>
            </v:rect>
            <v:rect style="position:absolute;left:4620;top:3382;width:15;height:63" filled="true" fillcolor="#868686" stroked="false">
              <v:fill type="solid"/>
            </v:rect>
            <v:rect style="position:absolute;left:4772;top:3382;width:15;height:63" filled="true" fillcolor="#868686" stroked="false">
              <v:fill type="solid"/>
            </v:rect>
            <v:rect style="position:absolute;left:4924;top:3382;width:15;height:63" filled="true" fillcolor="#868686" stroked="false">
              <v:fill type="solid"/>
            </v:rect>
            <v:shape style="position:absolute;left:1628;top:1803;width:3404;height:1599" coordorigin="1628,1803" coordsize="3404,1599" path="m1788,3318l1636,3365,1628,3378,1632,3389,1636,3401,1638,3402,1667,3402,1800,3361,1799,3361,1787,3354,1784,3342,1781,3330,1788,3318xm1813,3312l1800,3315,1789,3318,1788,3318,1781,3330,1784,3342,1787,3354,1799,3361,1811,3357,1822,3355,1824,3354,1831,3341,1828,3330,1824,3318,1813,3312xm1822,3355l1811,3357,1799,3361,1800,3361,1822,3355xm1946,3276l1813,3312,1824,3318,1828,3330,1831,3341,1824,3354,1822,3355,1963,3317,1970,3314,1974,3311,2003,3281,1942,3281,1946,3276xm1789,3318l1788,3318,1788,3318,1789,3318xm1811,3311l1800,3314,1789,3318,1800,3315,1813,3312,1811,3311xm1952,3275l1946,3276,1942,3281,1952,3275xm2009,3275l1952,3275,1942,3281,2003,3281,2009,3275xm2244,2920l2094,3123,1946,3276,1952,3275,2009,3275,2126,3153,2281,2942,2284,2940,2284,2939,2292,2921,2244,2921,2244,2920xm2246,2917l2244,2920,2244,2921,2246,2917xm2294,2917l2246,2917,2244,2921,2292,2921,2294,2917xm2567,2468l2561,2471,2556,2473,2404,2583,2400,2586,2398,2589,2396,2593,2244,2920,2246,2917,2294,2917,2432,2619,2429,2619,2436,2611,2440,2611,2563,2523,2550,2504,2605,2504,2587,2479,2584,2474,2579,2471,2567,2468xm2605,2504l2550,2504,2581,2509,2563,2523,2702,2725,2707,2731,2713,2735,2722,2735,2878,2733,3030,2705,3031,2703,3034,2703,3035,2702,3040,2700,2740,2700,2720,2690,2733,2690,2605,2504xm2733,2690l2720,2690,2740,2700,2733,2690xm3022,2660l2869,2689,2733,2690,2740,2700,3040,2700,3122,2663,3017,2663,3022,2660xm3165,2595l3017,2663,3122,2663,3187,2633,3192,2630,3193,2629,3227,2597,3163,2597,3165,2595xm2436,2611l2429,2619,2434,2616,2436,2611xm2434,2616l2429,2619,2432,2619,2434,2616xm2440,2611l2436,2611,2434,2616,2440,2611xm3169,2593l3165,2595,3163,2597,3169,2593xm3231,2593l3169,2593,3163,2597,3227,2597,3231,2593xm3637,2231l3630,2232,3624,2235,3469,2330,3316,2453,3165,2595,3169,2593,3231,2593,3346,2485,3497,2365,3637,2279,3628,2275,3647,2273,3742,2273,3637,2231xm2550,2504l2563,2523,2581,2509,2550,2504xm3742,2273l3647,2273,3637,2279,3780,2336,3787,2339,3794,2337,3802,2333,3848,2298,3774,2298,3785,2290,3742,2273xm3785,2290l3774,2298,3796,2294,3785,2290xm4131,2037l4078,2037,4074,2041,4074,2041,3926,2183,3785,2290,3796,2294,3774,2298,3848,2298,3954,2217,4108,2070,4111,2066,4131,2037xm3647,2273l3628,2275,3637,2279,3647,2273xm4074,2041l4074,2041,4074,2041,4074,2041xm4078,2037l4074,2041,4074,2041,4078,2037xm4240,1803l4231,1807,4226,1814,4074,2041,4078,2037,4131,2037,4256,1850,4243,1849,4264,1839,4545,1839,4399,1820,4247,1805,4240,1803xm4545,1839l4264,1839,4256,1850,4396,1865,4548,1885,4703,1889,4853,1907,5006,1920,5018,1921,5029,1911,5032,1887,5022,1877,5010,1875,4859,1862,4704,1844,4554,1841,4545,1839xm4264,1839l4243,1849,4256,1850,4264,1839xe" filled="true" fillcolor="#4a7ebb" stroked="false">
              <v:path arrowok="t"/>
              <v:fill type="solid"/>
            </v:shape>
            <v:shape style="position:absolute;left:1630;top:1187;width:3401;height:2218" coordorigin="1631,1188" coordsize="3401,2218" path="m1792,3348l1639,3362,1631,3373,1633,3397,1644,3405,1796,3391,1794,3391,1783,3381,1783,3357,1792,3348xm1816,3345l1792,3348,1783,3357,1783,3381,1794,3391,1796,3391,1820,3389,1829,3378,1826,3354,1817,3347,1805,3347,1817,3346,1816,3345xm1950,3343l1817,3346,1826,3354,1829,3378,1820,3389,1796,3391,1806,3391,1958,3387,1963,3387,1968,3385,1972,3383,2014,3348,1944,3348,1950,3343xm1957,3343l1950,3343,1944,3348,1957,3343xm2019,3343l1957,3343,1944,3348,2014,3348,2019,3343xm1804,3347l1793,3347,1792,3348,1804,3347xm1817,3346l1805,3347,1817,3347,1817,3346xm2091,3226l1950,3343,1957,3343,2019,3343,2124,3257,2128,3254,2130,3251,2131,3246,2136,3233,2089,3233,2091,3226xm2096,3222l2091,3226,2089,3233,2096,3222xm2139,3222l2096,3222,2089,3233,2136,3233,2139,3222xm2547,2166l2398,2390,2396,2391,2396,2393,2395,2394,2243,2769,2091,3226,2096,3222,2139,3222,2285,2783,2435,2415,2435,2415,2437,2411,2438,2411,2587,2187,2590,2183,2591,2179,2593,2171,2546,2171,2547,2166xm2437,2411l2435,2415,2436,2414,2437,2411xm2436,2414l2435,2415,2435,2415,2436,2414xm2438,2411l2437,2411,2436,2414,2438,2411xm2550,2162l2547,2166,2546,2171,2550,2162xm2594,2162l2550,2162,2546,2171,2593,2171,2594,2162xm2868,1188l2860,1191,2855,1200,2702,1440,2701,1441,2700,1443,2699,1447,2547,2166,2550,2162,2594,2162,2742,1463,2740,1463,2743,1455,2744,1455,2865,1265,2852,1217,2897,1217,2894,1206,2892,1197,2886,1190,2876,1189,2868,1188xm2897,1217l2852,1217,2892,1223,2865,1265,3005,1797,3005,1802,3007,1806,3011,1808,3163,1952,3168,1957,3174,1959,3188,1957,3194,1953,3197,1947,3210,1925,3160,1925,3173,1901,3052,1787,3047,1787,3041,1776,3044,1776,2897,1217xm3173,1901l3160,1925,3193,1920,3173,1901xm3638,1489l3630,1491,3478,1530,3474,1530,3472,1531,3469,1533,3317,1659,3313,1663,3312,1665,3173,1901,3193,1920,3160,1925,3210,1925,3346,1694,3344,1694,3349,1688,3352,1688,3492,1572,3488,1572,3497,1568,3503,1568,3626,1537,3618,1526,3674,1526,3653,1499,3648,1491,3638,1489xm3041,1776l3047,1787,3045,1780,3041,1776xm3045,1780l3047,1787,3052,1787,3045,1780xm3044,1776l3041,1776,3045,1780,3044,1776xm3674,1526l3618,1526,3641,1533,3626,1537,3770,1722,3774,1727,3781,1730,3794,1730,3802,1727,3805,1722,3827,1694,3770,1694,3788,1672,3674,1526xm3349,1688l3344,1694,3347,1692,3349,1688xm3347,1692l3344,1694,3346,1694,3347,1692xm3788,1672l3770,1694,3805,1694,3788,1672xm4248,1313l4238,1313,4234,1316,4081,1405,3929,1491,3926,1494,3924,1495,3923,1497,3788,1672,3805,1694,3827,1694,3953,1531,3952,1531,3958,1525,3962,1525,4104,1445,4249,1358,4242,1357,4256,1353,4436,1353,4409,1337,4406,1334,4404,1333,4400,1333,4248,1313xm3352,1688l3349,1688,3347,1692,3352,1688xm4697,1508l4846,1590,4849,1592,4859,1592,5011,1567,5024,1565,5032,1554,5031,1550,4866,1550,4852,1548,4859,1547,4790,1508,4698,1508,4697,1508xm3497,1568l3488,1572,3494,1570,3497,1568xm3494,1570l3488,1572,3492,1572,3494,1570xm3503,1568l3497,1568,3494,1570,3503,1568xm4859,1547l4852,1548,4866,1550,4859,1547xm5017,1521l5004,1523,4859,1547,4866,1550,5031,1550,5030,1541,5028,1529,5017,1521xm3618,1526l3626,1537,3641,1533,3618,1526xm3958,1525l3952,1531,3954,1530,3958,1525xm3954,1530l3952,1531,3953,1531,3954,1530xm3962,1525l3958,1525,3954,1530,3962,1525xm4693,1506l4697,1508,4698,1508,4693,1506xm4785,1506l4693,1506,4698,1508,4790,1508,4785,1506xm4391,1377l4540,1470,4541,1471,4546,1473,4697,1508,4693,1506,4785,1506,4714,1466,4712,1465,4710,1465,4709,1464,4572,1433,4562,1433,4556,1429,4557,1429,4474,1377,4394,1377,4391,1377xm2743,1455l2740,1463,2743,1458,2743,1455xm2743,1458l2740,1463,2742,1463,2743,1458xm2744,1455l2743,1455,2743,1458,2744,1455xm4556,1429l4562,1433,4557,1429,4556,1429xm4557,1429l4562,1433,4572,1433,4557,1429xm4557,1429l4556,1429,4557,1429,4557,1429xm4386,1374l4391,1377,4394,1377,4386,1374xm4468,1374l4386,1374,4394,1377,4474,1377,4468,1374xm4436,1353l4256,1353,4249,1358,4391,1377,4386,1374,4468,1374,4436,1353xm4256,1353l4242,1357,4249,1358,4256,1353xm2852,1217l2865,1265,2892,1223,2852,1217xe" filled="true" fillcolor="#be4b48" stroked="false">
              <v:path arrowok="t"/>
              <v:fill type="solid"/>
            </v:shape>
            <v:line style="position:absolute" from="1484,4131" to="1913,4131" stroked="true" strokeweight="2.220pt" strokecolor="#4a7ebb">
              <v:stroke dashstyle="solid"/>
            </v:line>
            <v:line style="position:absolute" from="3426,4131" to="3854,4131" stroked="true" strokeweight="2.220pt" strokecolor="#be4b48">
              <v:stroke dashstyle="solid"/>
            </v:line>
            <v:shape style="position:absolute;left:6007;top:4324;width:3221;height:551" type="#_x0000_t202" filled="false" stroked="false">
              <v:textbox inset="0,0,0,0">
                <w:txbxContent>
                  <w:p>
                    <w:pPr>
                      <w:spacing w:line="204" w:lineRule="exact" w:before="0"/>
                      <w:ind w:left="671" w:right="0" w:firstLine="0"/>
                      <w:jc w:val="left"/>
                      <w:rPr>
                        <w:rFonts w:ascii="Calibri" w:hAnsi="Calibri"/>
                        <w:sz w:val="20"/>
                      </w:rPr>
                    </w:pPr>
                    <w:r>
                      <w:rPr>
                        <w:rFonts w:ascii="Calibri" w:hAnsi="Calibri"/>
                        <w:sz w:val="20"/>
                      </w:rPr>
                      <w:t>£ Effective Rate</w:t>
                    </w:r>
                  </w:p>
                  <w:p>
                    <w:pPr>
                      <w:spacing w:before="162"/>
                      <w:ind w:left="0" w:right="0" w:firstLine="0"/>
                      <w:jc w:val="left"/>
                      <w:rPr>
                        <w:sz w:val="16"/>
                      </w:rPr>
                    </w:pPr>
                    <w:r>
                      <w:rPr>
                        <w:sz w:val="16"/>
                      </w:rPr>
                      <w:t>Source: Eurostat, ONS and Bank of England</w:t>
                    </w:r>
                  </w:p>
                </w:txbxContent>
              </v:textbox>
              <w10:wrap type="none"/>
            </v:shape>
            <v:shape style="position:absolute;left:9362;top:3576;width:256;height:201" type="#_x0000_t202" filled="false" stroked="false">
              <v:textbox inset="0,0,0,0">
                <w:txbxContent>
                  <w:p>
                    <w:pPr>
                      <w:spacing w:line="200" w:lineRule="exact" w:before="0"/>
                      <w:ind w:left="0" w:right="0" w:firstLine="0"/>
                      <w:jc w:val="left"/>
                      <w:rPr>
                        <w:rFonts w:ascii="Calibri"/>
                        <w:sz w:val="20"/>
                      </w:rPr>
                    </w:pPr>
                    <w:r>
                      <w:rPr>
                        <w:rFonts w:ascii="Calibri"/>
                        <w:sz w:val="20"/>
                      </w:rPr>
                      <w:t>Q1</w:t>
                    </w:r>
                  </w:p>
                </w:txbxContent>
              </v:textbox>
              <w10:wrap type="none"/>
            </v:shape>
            <v:shape style="position:absolute;left:8763;top:3576;width:586;height:704" type="#_x0000_t202" filled="false" stroked="false">
              <v:textbox inset="0,0,0,0">
                <w:txbxContent>
                  <w:p>
                    <w:pPr>
                      <w:spacing w:line="204" w:lineRule="exact" w:before="0"/>
                      <w:ind w:left="0" w:right="0" w:firstLine="0"/>
                      <w:jc w:val="left"/>
                      <w:rPr>
                        <w:rFonts w:ascii="Calibri"/>
                        <w:sz w:val="20"/>
                      </w:rPr>
                    </w:pPr>
                    <w:r>
                      <w:rPr>
                        <w:rFonts w:ascii="Calibri"/>
                        <w:sz w:val="20"/>
                      </w:rPr>
                      <w:t>Q1</w:t>
                    </w:r>
                  </w:p>
                  <w:p>
                    <w:pPr>
                      <w:spacing w:before="15"/>
                      <w:ind w:left="6" w:right="3" w:firstLine="0"/>
                      <w:jc w:val="left"/>
                      <w:rPr>
                        <w:rFonts w:ascii="Calibri" w:hAnsi="Calibri"/>
                        <w:sz w:val="20"/>
                      </w:rPr>
                    </w:pPr>
                    <w:r>
                      <w:rPr>
                        <w:rFonts w:ascii="Calibri" w:hAnsi="Calibri"/>
                        <w:sz w:val="20"/>
                      </w:rPr>
                      <w:t>France Euro/£</w:t>
                    </w:r>
                  </w:p>
                </w:txbxContent>
              </v:textbox>
              <w10:wrap type="none"/>
            </v:shape>
            <v:shape style="position:absolute;left:8678;top:3333;width:1027;height:201" type="#_x0000_t202" filled="false" stroked="false">
              <v:textbox inset="0,0,0,0">
                <w:txbxContent>
                  <w:p>
                    <w:pPr>
                      <w:spacing w:line="200" w:lineRule="exact" w:before="0"/>
                      <w:ind w:left="0" w:right="0" w:firstLine="0"/>
                      <w:jc w:val="left"/>
                      <w:rPr>
                        <w:rFonts w:ascii="Calibri"/>
                        <w:sz w:val="20"/>
                      </w:rPr>
                    </w:pPr>
                    <w:r>
                      <w:rPr>
                        <w:rFonts w:ascii="Calibri"/>
                        <w:sz w:val="20"/>
                      </w:rPr>
                      <w:t>2011 2012</w:t>
                    </w:r>
                  </w:p>
                </w:txbxContent>
              </v:textbox>
              <w10:wrap type="none"/>
            </v:shape>
            <v:shape style="position:absolute;left:8079;top:3333;width:429;height:444" type="#_x0000_t202" filled="false" stroked="false">
              <v:textbox inset="0,0,0,0">
                <w:txbxContent>
                  <w:p>
                    <w:pPr>
                      <w:spacing w:line="204" w:lineRule="exact" w:before="0"/>
                      <w:ind w:left="0" w:right="0" w:firstLine="0"/>
                      <w:jc w:val="left"/>
                      <w:rPr>
                        <w:rFonts w:ascii="Calibri"/>
                        <w:sz w:val="20"/>
                      </w:rPr>
                    </w:pPr>
                    <w:r>
                      <w:rPr>
                        <w:rFonts w:ascii="Calibri"/>
                        <w:sz w:val="20"/>
                      </w:rPr>
                      <w:t>2010</w:t>
                    </w:r>
                  </w:p>
                  <w:p>
                    <w:pPr>
                      <w:spacing w:line="240" w:lineRule="exact" w:before="0"/>
                      <w:ind w:left="85" w:right="0" w:firstLine="0"/>
                      <w:jc w:val="left"/>
                      <w:rPr>
                        <w:rFonts w:ascii="Calibri"/>
                        <w:sz w:val="20"/>
                      </w:rPr>
                    </w:pPr>
                    <w:r>
                      <w:rPr>
                        <w:rFonts w:ascii="Calibri"/>
                        <w:sz w:val="20"/>
                      </w:rPr>
                      <w:t>Q1</w:t>
                    </w:r>
                  </w:p>
                </w:txbxContent>
              </v:textbox>
              <w10:wrap type="none"/>
            </v:shape>
            <v:shape style="position:absolute;left:7565;top:3576;width:256;height:201" type="#_x0000_t202" filled="false" stroked="false">
              <v:textbox inset="0,0,0,0">
                <w:txbxContent>
                  <w:p>
                    <w:pPr>
                      <w:spacing w:line="200" w:lineRule="exact" w:before="0"/>
                      <w:ind w:left="0" w:right="0" w:firstLine="0"/>
                      <w:jc w:val="left"/>
                      <w:rPr>
                        <w:rFonts w:ascii="Calibri"/>
                        <w:sz w:val="20"/>
                      </w:rPr>
                    </w:pPr>
                    <w:r>
                      <w:rPr>
                        <w:rFonts w:ascii="Calibri"/>
                        <w:sz w:val="20"/>
                      </w:rPr>
                      <w:t>Q1</w:t>
                    </w:r>
                  </w:p>
                </w:txbxContent>
              </v:textbox>
              <w10:wrap type="none"/>
            </v:shape>
            <v:shape style="position:absolute;left:6679;top:3576;width:768;height:704" type="#_x0000_t202" filled="false" stroked="false">
              <v:textbox inset="0,0,0,0">
                <w:txbxContent>
                  <w:p>
                    <w:pPr>
                      <w:spacing w:line="204" w:lineRule="exact" w:before="0"/>
                      <w:ind w:left="289" w:right="0" w:firstLine="0"/>
                      <w:jc w:val="left"/>
                      <w:rPr>
                        <w:rFonts w:ascii="Calibri"/>
                        <w:sz w:val="20"/>
                      </w:rPr>
                    </w:pPr>
                    <w:r>
                      <w:rPr>
                        <w:rFonts w:ascii="Calibri"/>
                        <w:sz w:val="20"/>
                      </w:rPr>
                      <w:t>Q1</w:t>
                    </w:r>
                  </w:p>
                  <w:p>
                    <w:pPr>
                      <w:spacing w:before="15"/>
                      <w:ind w:left="0" w:right="1" w:firstLine="0"/>
                      <w:jc w:val="left"/>
                      <w:rPr>
                        <w:rFonts w:ascii="Calibri"/>
                        <w:sz w:val="20"/>
                      </w:rPr>
                    </w:pPr>
                    <w:r>
                      <w:rPr>
                        <w:rFonts w:ascii="Calibri"/>
                        <w:sz w:val="20"/>
                      </w:rPr>
                      <w:t>Germany UK</w:t>
                    </w:r>
                  </w:p>
                </w:txbxContent>
              </v:textbox>
              <w10:wrap type="none"/>
            </v:shape>
            <v:shape style="position:absolute;left:6369;top:3576;width:256;height:201" type="#_x0000_t202" filled="false" stroked="false">
              <v:textbox inset="0,0,0,0">
                <w:txbxContent>
                  <w:p>
                    <w:pPr>
                      <w:spacing w:line="200" w:lineRule="exact" w:before="0"/>
                      <w:ind w:left="0" w:right="0" w:firstLine="0"/>
                      <w:jc w:val="left"/>
                      <w:rPr>
                        <w:rFonts w:ascii="Calibri"/>
                        <w:sz w:val="20"/>
                      </w:rPr>
                    </w:pPr>
                    <w:r>
                      <w:rPr>
                        <w:rFonts w:ascii="Calibri"/>
                        <w:sz w:val="20"/>
                      </w:rPr>
                      <w:t>Q1</w:t>
                    </w:r>
                  </w:p>
                </w:txbxContent>
              </v:textbox>
              <w10:wrap type="none"/>
            </v:shape>
            <v:shape style="position:absolute;left:6284;top:3333;width:1625;height:201" type="#_x0000_t202" filled="false" stroked="false">
              <v:textbox inset="0,0,0,0">
                <w:txbxContent>
                  <w:p>
                    <w:pPr>
                      <w:spacing w:line="200" w:lineRule="exact" w:before="0"/>
                      <w:ind w:left="0" w:right="0" w:firstLine="0"/>
                      <w:jc w:val="left"/>
                      <w:rPr>
                        <w:rFonts w:ascii="Calibri"/>
                        <w:sz w:val="20"/>
                      </w:rPr>
                    </w:pPr>
                    <w:r>
                      <w:rPr>
                        <w:rFonts w:ascii="Calibri"/>
                        <w:sz w:val="20"/>
                      </w:rPr>
                      <w:t>2007 2008 2009</w:t>
                    </w:r>
                  </w:p>
                </w:txbxContent>
              </v:textbox>
              <w10:wrap type="none"/>
            </v:shape>
            <v:shape style="position:absolute;left:10039;top:886;width:327;height:2388" type="#_x0000_t202" filled="false" stroked="false">
              <v:textbox inset="0,0,0,0">
                <w:txbxContent>
                  <w:p>
                    <w:pPr>
                      <w:spacing w:line="204" w:lineRule="exact" w:before="0"/>
                      <w:ind w:left="0" w:right="0" w:firstLine="0"/>
                      <w:jc w:val="left"/>
                      <w:rPr>
                        <w:rFonts w:ascii="Calibri"/>
                        <w:sz w:val="20"/>
                      </w:rPr>
                    </w:pPr>
                    <w:r>
                      <w:rPr>
                        <w:rFonts w:ascii="Calibri"/>
                        <w:sz w:val="20"/>
                      </w:rPr>
                      <w:t>120</w:t>
                    </w:r>
                  </w:p>
                  <w:p>
                    <w:pPr>
                      <w:spacing w:line="240" w:lineRule="auto" w:before="9"/>
                      <w:rPr>
                        <w:rFonts w:ascii="Calibri"/>
                        <w:sz w:val="15"/>
                      </w:rPr>
                    </w:pPr>
                  </w:p>
                  <w:p>
                    <w:pPr>
                      <w:spacing w:before="0"/>
                      <w:ind w:left="0" w:right="0" w:firstLine="0"/>
                      <w:jc w:val="left"/>
                      <w:rPr>
                        <w:rFonts w:ascii="Calibri"/>
                        <w:sz w:val="20"/>
                      </w:rPr>
                    </w:pPr>
                    <w:r>
                      <w:rPr>
                        <w:rFonts w:ascii="Calibri"/>
                        <w:sz w:val="20"/>
                      </w:rPr>
                      <w:t>110</w:t>
                    </w:r>
                  </w:p>
                  <w:p>
                    <w:pPr>
                      <w:spacing w:line="240" w:lineRule="auto" w:before="11"/>
                      <w:rPr>
                        <w:rFonts w:ascii="Calibri"/>
                        <w:sz w:val="15"/>
                      </w:rPr>
                    </w:pPr>
                  </w:p>
                  <w:p>
                    <w:pPr>
                      <w:spacing w:before="0"/>
                      <w:ind w:left="0" w:right="0" w:firstLine="0"/>
                      <w:jc w:val="left"/>
                      <w:rPr>
                        <w:rFonts w:ascii="Calibri"/>
                        <w:sz w:val="20"/>
                      </w:rPr>
                    </w:pPr>
                    <w:r>
                      <w:rPr>
                        <w:rFonts w:ascii="Calibri"/>
                        <w:sz w:val="20"/>
                      </w:rPr>
                      <w:t>100</w:t>
                    </w:r>
                  </w:p>
                  <w:p>
                    <w:pPr>
                      <w:spacing w:line="240" w:lineRule="auto" w:before="11"/>
                      <w:rPr>
                        <w:rFonts w:ascii="Calibri"/>
                        <w:sz w:val="15"/>
                      </w:rPr>
                    </w:pPr>
                  </w:p>
                  <w:p>
                    <w:pPr>
                      <w:spacing w:before="0"/>
                      <w:ind w:left="0" w:right="0" w:firstLine="0"/>
                      <w:jc w:val="left"/>
                      <w:rPr>
                        <w:rFonts w:ascii="Calibri"/>
                        <w:sz w:val="20"/>
                      </w:rPr>
                    </w:pPr>
                    <w:r>
                      <w:rPr>
                        <w:rFonts w:ascii="Calibri"/>
                        <w:sz w:val="20"/>
                      </w:rPr>
                      <w:t>90</w:t>
                    </w:r>
                  </w:p>
                  <w:p>
                    <w:pPr>
                      <w:spacing w:line="240" w:lineRule="auto" w:before="9"/>
                      <w:rPr>
                        <w:rFonts w:ascii="Calibri"/>
                        <w:sz w:val="15"/>
                      </w:rPr>
                    </w:pPr>
                  </w:p>
                  <w:p>
                    <w:pPr>
                      <w:spacing w:before="0"/>
                      <w:ind w:left="0" w:right="0" w:firstLine="0"/>
                      <w:jc w:val="left"/>
                      <w:rPr>
                        <w:rFonts w:ascii="Calibri"/>
                        <w:sz w:val="20"/>
                      </w:rPr>
                    </w:pPr>
                    <w:r>
                      <w:rPr>
                        <w:rFonts w:ascii="Calibri"/>
                        <w:sz w:val="20"/>
                      </w:rPr>
                      <w:t>80</w:t>
                    </w:r>
                  </w:p>
                  <w:p>
                    <w:pPr>
                      <w:spacing w:line="240" w:lineRule="auto" w:before="11"/>
                      <w:rPr>
                        <w:rFonts w:ascii="Calibri"/>
                        <w:sz w:val="15"/>
                      </w:rPr>
                    </w:pPr>
                  </w:p>
                  <w:p>
                    <w:pPr>
                      <w:spacing w:line="241" w:lineRule="exact" w:before="0"/>
                      <w:ind w:left="0" w:right="0" w:firstLine="0"/>
                      <w:jc w:val="left"/>
                      <w:rPr>
                        <w:rFonts w:ascii="Calibri"/>
                        <w:sz w:val="20"/>
                      </w:rPr>
                    </w:pPr>
                    <w:r>
                      <w:rPr>
                        <w:rFonts w:ascii="Calibri"/>
                        <w:sz w:val="20"/>
                      </w:rPr>
                      <w:t>70</w:t>
                    </w:r>
                  </w:p>
                </w:txbxContent>
              </v:textbox>
              <w10:wrap type="none"/>
            </v:shape>
            <v:shape style="position:absolute;left:6007;top:237;width:3722;height:408" type="#_x0000_t202" filled="false" stroked="false">
              <v:textbox inset="0,0,0,0">
                <w:txbxContent>
                  <w:p>
                    <w:pPr>
                      <w:spacing w:line="240" w:lineRule="auto" w:before="0"/>
                      <w:ind w:left="0" w:right="1" w:firstLine="0"/>
                      <w:jc w:val="left"/>
                      <w:rPr>
                        <w:b/>
                        <w:sz w:val="18"/>
                      </w:rPr>
                    </w:pPr>
                    <w:r>
                      <w:rPr>
                        <w:b/>
                        <w:color w:val="4F82BD"/>
                        <w:sz w:val="18"/>
                      </w:rPr>
                      <w:t>Chart 5: Relative Euro Unit Labour Costs in Manufacturing (2007Q1=100)</w:t>
                    </w:r>
                  </w:p>
                </w:txbxContent>
              </v:textbox>
              <w10:wrap type="none"/>
            </v:shape>
            <v:shape style="position:absolute;left:1246;top:4741;width:1790;height:179" type="#_x0000_t202" filled="false" stroked="false">
              <v:textbox inset="0,0,0,0">
                <w:txbxContent>
                  <w:p>
                    <w:pPr>
                      <w:spacing w:line="178" w:lineRule="exact" w:before="0"/>
                      <w:ind w:left="0" w:right="0" w:firstLine="0"/>
                      <w:jc w:val="left"/>
                      <w:rPr>
                        <w:sz w:val="16"/>
                      </w:rPr>
                    </w:pPr>
                    <w:r>
                      <w:rPr>
                        <w:sz w:val="16"/>
                      </w:rPr>
                      <w:t>Source: Bank of England</w:t>
                    </w:r>
                  </w:p>
                </w:txbxContent>
              </v:textbox>
              <w10:wrap type="none"/>
            </v:shape>
            <v:shape style="position:absolute;left:1246;top:237;width:4479;height:4002" type="#_x0000_t202" filled="false" stroked="false">
              <v:textbox inset="0,0,0,0">
                <w:txbxContent>
                  <w:p>
                    <w:pPr>
                      <w:spacing w:line="240" w:lineRule="auto" w:before="0"/>
                      <w:ind w:left="0" w:right="288" w:firstLine="0"/>
                      <w:jc w:val="left"/>
                      <w:rPr>
                        <w:b/>
                        <w:sz w:val="18"/>
                      </w:rPr>
                    </w:pPr>
                    <w:r>
                      <w:rPr>
                        <w:b/>
                        <w:color w:val="4F82BD"/>
                        <w:sz w:val="18"/>
                      </w:rPr>
                      <w:t>Chart 4: Price Indices of UK and Foreign Exports (2007Q1=100)</w:t>
                    </w:r>
                  </w:p>
                  <w:p>
                    <w:pPr>
                      <w:spacing w:line="240" w:lineRule="auto" w:before="2"/>
                      <w:rPr>
                        <w:b/>
                        <w:sz w:val="24"/>
                      </w:rPr>
                    </w:pPr>
                  </w:p>
                  <w:p>
                    <w:pPr>
                      <w:spacing w:before="0"/>
                      <w:ind w:left="4021" w:right="0" w:firstLine="0"/>
                      <w:jc w:val="left"/>
                      <w:rPr>
                        <w:rFonts w:ascii="Calibri"/>
                        <w:sz w:val="20"/>
                      </w:rPr>
                    </w:pPr>
                    <w:r>
                      <w:rPr>
                        <w:rFonts w:ascii="Calibri"/>
                        <w:sz w:val="20"/>
                      </w:rPr>
                      <w:t>150</w:t>
                    </w:r>
                  </w:p>
                  <w:p>
                    <w:pPr>
                      <w:spacing w:line="240" w:lineRule="auto" w:before="1"/>
                      <w:rPr>
                        <w:rFonts w:ascii="Calibri"/>
                        <w:sz w:val="18"/>
                      </w:rPr>
                    </w:pPr>
                  </w:p>
                  <w:p>
                    <w:pPr>
                      <w:spacing w:before="0"/>
                      <w:ind w:left="4021" w:right="0" w:firstLine="0"/>
                      <w:jc w:val="left"/>
                      <w:rPr>
                        <w:rFonts w:ascii="Calibri"/>
                        <w:sz w:val="20"/>
                      </w:rPr>
                    </w:pPr>
                    <w:r>
                      <w:rPr>
                        <w:rFonts w:ascii="Calibri"/>
                        <w:sz w:val="20"/>
                      </w:rPr>
                      <w:t>140</w:t>
                    </w:r>
                  </w:p>
                  <w:p>
                    <w:pPr>
                      <w:spacing w:line="240" w:lineRule="auto" w:before="11"/>
                      <w:rPr>
                        <w:rFonts w:ascii="Calibri"/>
                        <w:sz w:val="17"/>
                      </w:rPr>
                    </w:pPr>
                  </w:p>
                  <w:p>
                    <w:pPr>
                      <w:spacing w:before="0"/>
                      <w:ind w:left="4021" w:right="0" w:firstLine="0"/>
                      <w:jc w:val="left"/>
                      <w:rPr>
                        <w:rFonts w:ascii="Calibri"/>
                        <w:sz w:val="20"/>
                      </w:rPr>
                    </w:pPr>
                    <w:r>
                      <w:rPr>
                        <w:rFonts w:ascii="Calibri"/>
                        <w:sz w:val="20"/>
                      </w:rPr>
                      <w:t>130</w:t>
                    </w:r>
                  </w:p>
                  <w:p>
                    <w:pPr>
                      <w:spacing w:line="240" w:lineRule="auto" w:before="1"/>
                      <w:rPr>
                        <w:rFonts w:ascii="Calibri"/>
                        <w:sz w:val="18"/>
                      </w:rPr>
                    </w:pPr>
                  </w:p>
                  <w:p>
                    <w:pPr>
                      <w:spacing w:before="0"/>
                      <w:ind w:left="4021" w:right="0" w:firstLine="0"/>
                      <w:jc w:val="left"/>
                      <w:rPr>
                        <w:rFonts w:ascii="Calibri"/>
                        <w:sz w:val="20"/>
                      </w:rPr>
                    </w:pPr>
                    <w:r>
                      <w:rPr>
                        <w:rFonts w:ascii="Calibri"/>
                        <w:sz w:val="20"/>
                      </w:rPr>
                      <w:t>120</w:t>
                    </w:r>
                  </w:p>
                  <w:p>
                    <w:pPr>
                      <w:spacing w:line="240" w:lineRule="auto" w:before="11"/>
                      <w:rPr>
                        <w:rFonts w:ascii="Calibri"/>
                        <w:sz w:val="17"/>
                      </w:rPr>
                    </w:pPr>
                  </w:p>
                  <w:p>
                    <w:pPr>
                      <w:spacing w:before="0"/>
                      <w:ind w:left="4021" w:right="0" w:firstLine="0"/>
                      <w:jc w:val="left"/>
                      <w:rPr>
                        <w:rFonts w:ascii="Calibri"/>
                        <w:sz w:val="20"/>
                      </w:rPr>
                    </w:pPr>
                    <w:r>
                      <w:rPr>
                        <w:rFonts w:ascii="Calibri"/>
                        <w:sz w:val="20"/>
                      </w:rPr>
                      <w:t>110</w:t>
                    </w:r>
                  </w:p>
                  <w:p>
                    <w:pPr>
                      <w:spacing w:line="240" w:lineRule="auto" w:before="1"/>
                      <w:rPr>
                        <w:rFonts w:ascii="Calibri"/>
                        <w:sz w:val="18"/>
                      </w:rPr>
                    </w:pPr>
                  </w:p>
                  <w:p>
                    <w:pPr>
                      <w:spacing w:before="0"/>
                      <w:ind w:left="4021" w:right="0" w:firstLine="0"/>
                      <w:jc w:val="left"/>
                      <w:rPr>
                        <w:rFonts w:ascii="Calibri"/>
                        <w:sz w:val="20"/>
                      </w:rPr>
                    </w:pPr>
                    <w:r>
                      <w:rPr>
                        <w:rFonts w:ascii="Calibri"/>
                        <w:sz w:val="20"/>
                      </w:rPr>
                      <w:t>100</w:t>
                    </w:r>
                  </w:p>
                  <w:p>
                    <w:pPr>
                      <w:tabs>
                        <w:tab w:pos="812" w:val="left" w:leader="none"/>
                        <w:tab w:pos="1421" w:val="left" w:leader="none"/>
                        <w:tab w:pos="2031" w:val="left" w:leader="none"/>
                        <w:tab w:pos="2642" w:val="left" w:leader="none"/>
                        <w:tab w:pos="3251" w:val="left" w:leader="none"/>
                      </w:tabs>
                      <w:spacing w:line="244" w:lineRule="exact" w:before="16"/>
                      <w:ind w:left="202" w:right="0" w:firstLine="0"/>
                      <w:jc w:val="left"/>
                      <w:rPr>
                        <w:rFonts w:ascii="Calibri"/>
                        <w:sz w:val="20"/>
                      </w:rPr>
                    </w:pPr>
                    <w:r>
                      <w:rPr>
                        <w:rFonts w:ascii="Calibri"/>
                        <w:sz w:val="20"/>
                      </w:rPr>
                      <w:t>2007</w:t>
                      <w:tab/>
                      <w:t>2008</w:t>
                      <w:tab/>
                      <w:t>2009</w:t>
                      <w:tab/>
                      <w:t>2010</w:t>
                      <w:tab/>
                      <w:t>2011</w:t>
                      <w:tab/>
                      <w:t>2012</w:t>
                    </w:r>
                  </w:p>
                  <w:p>
                    <w:pPr>
                      <w:tabs>
                        <w:tab w:pos="898" w:val="left" w:leader="none"/>
                        <w:tab w:pos="1508" w:val="left" w:leader="none"/>
                        <w:tab w:pos="2117" w:val="left" w:leader="none"/>
                        <w:tab w:pos="2728" w:val="left" w:leader="none"/>
                        <w:tab w:pos="3338" w:val="left" w:leader="none"/>
                      </w:tabs>
                      <w:spacing w:line="244" w:lineRule="exact" w:before="0"/>
                      <w:ind w:left="289" w:right="0" w:firstLine="0"/>
                      <w:jc w:val="left"/>
                      <w:rPr>
                        <w:rFonts w:ascii="Calibri"/>
                        <w:sz w:val="20"/>
                      </w:rPr>
                    </w:pPr>
                    <w:r>
                      <w:rPr>
                        <w:rFonts w:ascii="Calibri"/>
                        <w:sz w:val="20"/>
                      </w:rPr>
                      <w:t>Q1</w:t>
                      <w:tab/>
                      <w:t>Q1</w:t>
                      <w:tab/>
                      <w:t>Q1</w:t>
                      <w:tab/>
                      <w:t>Q1</w:t>
                      <w:tab/>
                      <w:t>Q1</w:t>
                      <w:tab/>
                      <w:t>Q1</w:t>
                    </w:r>
                  </w:p>
                  <w:p>
                    <w:pPr>
                      <w:tabs>
                        <w:tab w:pos="2625" w:val="left" w:leader="none"/>
                      </w:tabs>
                      <w:spacing w:line="241" w:lineRule="exact" w:before="1"/>
                      <w:ind w:left="684" w:right="0" w:firstLine="0"/>
                      <w:jc w:val="left"/>
                      <w:rPr>
                        <w:rFonts w:ascii="Calibri"/>
                        <w:sz w:val="20"/>
                      </w:rPr>
                    </w:pPr>
                    <w:r>
                      <w:rPr>
                        <w:rFonts w:ascii="Calibri"/>
                        <w:sz w:val="20"/>
                      </w:rPr>
                      <w:t>UK</w:t>
                    </w:r>
                    <w:r>
                      <w:rPr>
                        <w:rFonts w:ascii="Calibri"/>
                        <w:spacing w:val="-4"/>
                        <w:sz w:val="20"/>
                      </w:rPr>
                      <w:t> </w:t>
                    </w:r>
                    <w:r>
                      <w:rPr>
                        <w:rFonts w:ascii="Calibri"/>
                        <w:sz w:val="20"/>
                      </w:rPr>
                      <w:t>Goods</w:t>
                    </w:r>
                    <w:r>
                      <w:rPr>
                        <w:rFonts w:ascii="Calibri"/>
                        <w:spacing w:val="-3"/>
                        <w:sz w:val="20"/>
                      </w:rPr>
                      <w:t> </w:t>
                    </w:r>
                    <w:r>
                      <w:rPr>
                        <w:rFonts w:ascii="Calibri"/>
                        <w:sz w:val="20"/>
                      </w:rPr>
                      <w:t>Exports</w:t>
                      <w:tab/>
                      <w:t>Foreign Goods</w:t>
                    </w:r>
                    <w:r>
                      <w:rPr>
                        <w:rFonts w:ascii="Calibri"/>
                        <w:spacing w:val="-13"/>
                        <w:sz w:val="20"/>
                      </w:rPr>
                      <w:t> </w:t>
                    </w:r>
                    <w:r>
                      <w:rPr>
                        <w:rFonts w:ascii="Calibri"/>
                        <w:sz w:val="20"/>
                      </w:rPr>
                      <w:t>Exports</w:t>
                    </w:r>
                  </w:p>
                </w:txbxContent>
              </v:textbox>
              <w10:wrap type="none"/>
            </v:shape>
            <w10:wrap type="topAndBottom"/>
          </v:group>
        </w:pict>
      </w:r>
    </w:p>
    <w:p>
      <w:pPr>
        <w:spacing w:after="0"/>
        <w:rPr>
          <w:sz w:val="9"/>
        </w:rPr>
        <w:sectPr>
          <w:footerReference w:type="default" r:id="rId8"/>
          <w:pgSz w:w="11900" w:h="16840"/>
          <w:pgMar w:footer="1548" w:header="0" w:top="1540" w:bottom="1740" w:left="780" w:right="0"/>
          <w:pgNumType w:start="4"/>
        </w:sectPr>
      </w:pPr>
    </w:p>
    <w:p>
      <w:pPr>
        <w:pStyle w:val="BodyText"/>
        <w:spacing w:line="360" w:lineRule="auto" w:before="76"/>
        <w:ind w:left="353" w:right="1297"/>
      </w:pPr>
      <w:r>
        <w:rPr/>
        <w:t>Competitiveness was also lost because of the United Kingdom’s particularly poor productivity performance. Data on unit costs are available up to 2012Q3 but the fall in sterling since then, shown in Chart 1, has restored some of the gain in competitiveness relative to our neighbours.</w:t>
      </w:r>
    </w:p>
    <w:p>
      <w:pPr>
        <w:pStyle w:val="BodyText"/>
        <w:rPr>
          <w:sz w:val="30"/>
        </w:rPr>
      </w:pPr>
    </w:p>
    <w:p>
      <w:pPr>
        <w:pStyle w:val="BodyText"/>
        <w:spacing w:line="360" w:lineRule="auto"/>
        <w:ind w:left="353" w:right="1186"/>
      </w:pPr>
      <w:r>
        <w:rPr/>
        <w:t>Had United Kingdom industry maintained its international competitiveness at the position of two years ago, it is perfectly possible that further impacts on exports and imports would have flowed from the depreciation.</w:t>
      </w:r>
    </w:p>
    <w:p>
      <w:pPr>
        <w:pStyle w:val="BodyText"/>
        <w:spacing w:line="360" w:lineRule="auto"/>
        <w:ind w:left="353" w:right="1286"/>
      </w:pPr>
      <w:r>
        <w:rPr/>
        <w:t>But seen in the round, a reasonable conclusion is that the growth in net exports following from the depreciation has been weaker than I would have expected. It would, however, be wrong to put too much blame for this on the fact that our export prices in sterling have risen and in foreign currency have not fallen very much in the aftermath of the depreciation.</w:t>
      </w:r>
    </w:p>
    <w:p>
      <w:pPr>
        <w:pStyle w:val="BodyText"/>
        <w:spacing w:before="11"/>
        <w:rPr>
          <w:sz w:val="29"/>
        </w:rPr>
      </w:pPr>
    </w:p>
    <w:p>
      <w:pPr>
        <w:pStyle w:val="BodyText"/>
        <w:spacing w:line="360" w:lineRule="auto"/>
        <w:ind w:left="353" w:right="1129" w:firstLine="55"/>
      </w:pPr>
      <w:r>
        <w:rPr/>
        <w:t>The conventional analysis of the effects of a depreciation has its roots in the theory of imperfectly competitive firms, developed by Chamberlin (1933). Each firm is assumed to produce a product which is differentiated, to some extent, from those produced by its competitors. This means that a modest increase in price leads to some, but not a complete loss of sales. Firms choose prices to maximise their profits and simple assumptions lead to the conclusions that profit-maximising prices will be set as a mark-up on costs. To the extent that domestic wage and other costs are fixed in pounds, a depreciation leads to a fall in costs measured in foreign currency. As a consequence export prices are reduced and export sales increase. The magnitude of the reduction depends on the extent to which export volumes are price sensitive and also on the extent to which production costs depend on the amount produced. If exports sales are very sensitive to foreign currency prices so that exporters essentially price to market, then there will be little change in foreign currency prices. But, unless costs rise steeply in terms of the amount produced, export volumes will nevertheless be increased sharply. From this perspective then, a modest movement in export prices would be expected to lead to little change in volumes only if producing extra goods for export led to sharp increases in costs of production, perhaps because of capacity constraints.</w:t>
      </w:r>
    </w:p>
    <w:p>
      <w:pPr>
        <w:pStyle w:val="BodyText"/>
        <w:spacing w:before="1"/>
        <w:rPr>
          <w:sz w:val="30"/>
        </w:rPr>
      </w:pPr>
    </w:p>
    <w:p>
      <w:pPr>
        <w:pStyle w:val="BodyText"/>
        <w:spacing w:line="360" w:lineRule="auto"/>
        <w:ind w:left="354" w:right="1126"/>
        <w:jc w:val="both"/>
      </w:pPr>
      <w:r>
        <w:rPr/>
        <w:t>In practice it seems rather unlikely that increasing export volumes will be associated with sharply rising costs. Compared with the pattern of domestic expenditure, export sales are disproportionately manufactures.</w:t>
      </w:r>
    </w:p>
    <w:p>
      <w:pPr>
        <w:pStyle w:val="BodyText"/>
        <w:spacing w:line="360" w:lineRule="auto"/>
        <w:ind w:left="354" w:right="1459"/>
        <w:jc w:val="both"/>
      </w:pPr>
      <w:r>
        <w:rPr/>
        <w:t>Exports make up 36 per cent of manufacturing sales to final demand, but only 16 per cent of the output of the rest of the economy is exported. Even though capacity may be much-reduced after the crisis, the CBI survey shows more manufacturing firms reporting below-capacity than above-capacity working.</w:t>
      </w:r>
    </w:p>
    <w:p>
      <w:pPr>
        <w:spacing w:after="0" w:line="360" w:lineRule="auto"/>
        <w:jc w:val="both"/>
        <w:sectPr>
          <w:pgSz w:w="11900" w:h="16840"/>
          <w:pgMar w:header="0" w:footer="1548" w:top="1540" w:bottom="1740" w:left="780" w:right="0"/>
        </w:sectPr>
      </w:pPr>
    </w:p>
    <w:p>
      <w:pPr>
        <w:pStyle w:val="BodyText"/>
        <w:spacing w:line="360" w:lineRule="auto" w:before="76"/>
        <w:ind w:left="353" w:right="1130"/>
      </w:pPr>
      <w:r>
        <w:rPr/>
        <w:t>As Chart 6 shows, the weakness in manufacturing output and therefore probably spare capacity is fairly evenly spread across manufacturing. The only component which has performed well is transport equipment; this is in large part because exports have done well. What might be limiting exports from the other manufacturing sectors? One explanation is that exporters who want to increase their sales have to break into new markets (and that international branding means this is much less of an issue for the motor vehicle industry). Rodriguez-Lopez (2011) sets out a structure in which firms which wish to increase their exports face entry costs and, in his framework, an increase in exports following a depreciation comes not so much because existing exports increase their sales (the intensive margin) as because new exporters enter the market (the extensive margin). He shows that this can happen with measured export prices not changing by very much. But his analysis also suggests that the effect of the depreciation on export volumes should be observed fairly quickly. So what might hold it up?</w:t>
      </w:r>
    </w:p>
    <w:p>
      <w:pPr>
        <w:pStyle w:val="BodyText"/>
        <w:rPr>
          <w:sz w:val="30"/>
        </w:rPr>
      </w:pPr>
    </w:p>
    <w:p>
      <w:pPr>
        <w:pStyle w:val="BodyText"/>
        <w:spacing w:line="360" w:lineRule="auto"/>
        <w:ind w:left="6068" w:right="1135"/>
      </w:pPr>
      <w:r>
        <w:rPr/>
        <w:pict>
          <v:group style="position:absolute;margin-left:57.044998pt;margin-top:1.440984pt;width:276.350pt;height:241.55pt;mso-position-horizontal-relative:page;mso-position-vertical-relative:paragraph;z-index:251710464" coordorigin="1141,29" coordsize="5527,4831">
            <v:shape style="position:absolute;left:1624;top:936;width:611;height:3102" coordorigin="1625,936" coordsize="611,3102" path="m1625,936l1625,4038m2236,936l2236,2409m2236,2502l2236,2643m2236,2736l2236,2877m2236,2970l2236,3111m2236,3204l2236,3344m2236,3437l2236,4038e" filled="false" stroked="true" strokeweight=".72pt" strokecolor="#868686">
              <v:path arrowok="t"/>
              <v:stroke dashstyle="solid"/>
            </v:shape>
            <v:shape style="position:absolute;left:2022;top:1520;width:971;height:1870" coordorigin="2022,1521" coordsize="971,1870" path="m2092,3390l2848,3390m2022,3158l2848,3158m2120,2924l2848,2924m2225,2690l2848,2690m2132,2456l2848,2456m2305,2223l2848,2223m2470,1989l2848,1989m2471,1755l2848,1755m2848,1521l2993,1521e" filled="false" stroked="true" strokeweight="4.68pt" strokecolor="#4f81bd">
              <v:path arrowok="t"/>
              <v:stroke dashstyle="solid"/>
            </v:shape>
            <v:shape style="position:absolute;left:3459;top:936;width:2;height:3102" coordorigin="3460,936" coordsize="0,3102" path="m3460,936l3460,1241m3460,1334l3460,4038e" filled="false" stroked="true" strokeweight=".72pt" strokecolor="#868686">
              <v:path arrowok="t"/>
              <v:stroke dashstyle="solid"/>
            </v:shape>
            <v:line style="position:absolute" from="2848,1287" to="3499,1287" stroked="true" strokeweight="4.62pt" strokecolor="#4f81bd">
              <v:stroke dashstyle="solid"/>
            </v:line>
            <v:line style="position:absolute" from="2561,1054" to="2848,1054" stroked="true" strokeweight="4.68pt" strokecolor="#4f81bd">
              <v:stroke dashstyle="solid"/>
            </v:line>
            <v:line style="position:absolute" from="4072,936" to="4072,4038" stroked="true" strokeweight=".72pt" strokecolor="#868686">
              <v:stroke dashstyle="solid"/>
            </v:line>
            <v:rect style="position:absolute;left:2847;top:3811;width:69;height:94" filled="true" fillcolor="#4f81bd" stroked="false">
              <v:fill type="solid"/>
            </v:rect>
            <v:line style="position:absolute" from="1625,3975" to="4072,3975" stroked="true" strokeweight=".72pt" strokecolor="#868686">
              <v:stroke dashstyle="solid"/>
            </v:line>
            <v:line style="position:absolute" from="2462,3624" to="2848,3624" stroked="true" strokeweight="4.68pt" strokecolor="#4f81bd">
              <v:stroke dashstyle="solid"/>
            </v:line>
            <v:line style="position:absolute" from="2848,936" to="2848,4038" stroked="true" strokeweight=".72pt" strokecolor="#868686">
              <v:stroke dashstyle="solid"/>
            </v:line>
            <v:shape style="position:absolute;left:2784;top:929;width:64;height:3053" coordorigin="2784,929" coordsize="64,3053" path="m2848,3968l2784,3968,2784,3982,2848,3982,2848,3968m2848,3735l2784,3735,2784,3749,2848,3749,2848,3735m2848,3501l2784,3501,2784,3515,2848,3515,2848,3501m2848,3267l2784,3267,2784,3281,2848,3281,2848,3267m2848,3033l2784,3033,2784,3047,2848,3047,2848,3033m2848,2799l2784,2799,2784,2813,2848,2813,2848,2799m2848,2566l2784,2566,2784,2580,2848,2580,2848,2566m2848,2332l2784,2332,2784,2346,2848,2346,2848,2332m2848,2098l2784,2098,2784,2112,2848,2112,2848,2098m2848,1864l2784,1864,2784,1878,2848,1878,2848,1864m2848,1631l2784,1631,2784,1646,2848,1646,2848,1631m2848,1397l2784,1397,2784,1412,2848,1412,2848,1397m2848,1163l2784,1163,2784,1178,2848,1178,2848,1163m2848,929l2784,929,2784,944,2848,944,2848,929e" filled="true" fillcolor="#868686" stroked="false">
              <v:path arrowok="t"/>
              <v:fill type="solid"/>
            </v:shape>
            <v:shape style="position:absolute;left:1148;top:36;width:5512;height:4816" type="#_x0000_t202" filled="false" stroked="true" strokeweight=".75pt" strokecolor="#000000">
              <v:textbox inset="0,0,0,0">
                <w:txbxContent>
                  <w:p>
                    <w:pPr>
                      <w:spacing w:before="69"/>
                      <w:ind w:left="144" w:right="832" w:firstLine="0"/>
                      <w:jc w:val="left"/>
                      <w:rPr>
                        <w:b/>
                        <w:sz w:val="18"/>
                      </w:rPr>
                    </w:pPr>
                    <w:r>
                      <w:rPr>
                        <w:b/>
                        <w:color w:val="4F82BD"/>
                        <w:sz w:val="18"/>
                      </w:rPr>
                      <w:t>Chart 6: Change in Manufacturing Output (2008Q1 to 2012Q4)</w:t>
                    </w:r>
                  </w:p>
                  <w:p>
                    <w:pPr>
                      <w:spacing w:line="240" w:lineRule="auto" w:before="0"/>
                      <w:rPr>
                        <w:b/>
                        <w:sz w:val="20"/>
                      </w:rPr>
                    </w:pPr>
                  </w:p>
                  <w:p>
                    <w:pPr>
                      <w:spacing w:line="238" w:lineRule="exact" w:before="164"/>
                      <w:ind w:left="3100" w:right="0" w:firstLine="0"/>
                      <w:jc w:val="left"/>
                      <w:rPr>
                        <w:rFonts w:ascii="Calibri"/>
                        <w:sz w:val="20"/>
                      </w:rPr>
                    </w:pPr>
                    <w:r>
                      <w:rPr>
                        <w:rFonts w:ascii="Calibri"/>
                        <w:sz w:val="20"/>
                      </w:rPr>
                      <w:t>Other</w:t>
                    </w:r>
                  </w:p>
                  <w:p>
                    <w:pPr>
                      <w:spacing w:line="230" w:lineRule="auto" w:before="2"/>
                      <w:ind w:left="3100" w:right="223" w:firstLine="0"/>
                      <w:jc w:val="left"/>
                      <w:rPr>
                        <w:rFonts w:ascii="Calibri"/>
                        <w:sz w:val="20"/>
                      </w:rPr>
                    </w:pPr>
                    <w:r>
                      <w:rPr>
                        <w:rFonts w:ascii="Calibri"/>
                        <w:sz w:val="20"/>
                      </w:rPr>
                      <w:t>Transport Equipment Machinery and Equipment Electrical equipment Computers etc</w:t>
                    </w:r>
                  </w:p>
                  <w:p>
                    <w:pPr>
                      <w:spacing w:line="230" w:lineRule="auto" w:before="0"/>
                      <w:ind w:left="3100" w:right="865" w:firstLine="0"/>
                      <w:jc w:val="left"/>
                      <w:rPr>
                        <w:rFonts w:ascii="Calibri"/>
                        <w:sz w:val="20"/>
                      </w:rPr>
                    </w:pPr>
                    <w:r>
                      <w:rPr>
                        <w:rFonts w:ascii="Calibri"/>
                        <w:sz w:val="20"/>
                      </w:rPr>
                      <w:t>Metal products Rubber and plastic Pharamceuticals Chemicals</w:t>
                    </w:r>
                  </w:p>
                  <w:p>
                    <w:pPr>
                      <w:spacing w:line="229" w:lineRule="exact" w:before="0"/>
                      <w:ind w:left="3100" w:right="0" w:firstLine="0"/>
                      <w:jc w:val="left"/>
                      <w:rPr>
                        <w:rFonts w:ascii="Calibri"/>
                        <w:sz w:val="20"/>
                      </w:rPr>
                    </w:pPr>
                    <w:r>
                      <w:rPr>
                        <w:rFonts w:ascii="Calibri"/>
                        <w:sz w:val="20"/>
                      </w:rPr>
                      <w:t>Oil refining</w:t>
                    </w:r>
                  </w:p>
                  <w:p>
                    <w:pPr>
                      <w:spacing w:line="230" w:lineRule="auto" w:before="0"/>
                      <w:ind w:left="3101" w:right="277" w:firstLine="0"/>
                      <w:jc w:val="left"/>
                      <w:rPr>
                        <w:rFonts w:ascii="Calibri"/>
                        <w:sz w:val="20"/>
                      </w:rPr>
                    </w:pPr>
                    <w:r>
                      <w:rPr>
                        <w:rFonts w:ascii="Calibri"/>
                        <w:sz w:val="20"/>
                      </w:rPr>
                      <w:t>Wood, paper and printing Textiles etc.</w:t>
                    </w:r>
                  </w:p>
                  <w:p>
                    <w:pPr>
                      <w:spacing w:line="236" w:lineRule="exact" w:before="0"/>
                      <w:ind w:left="3100" w:right="0" w:firstLine="0"/>
                      <w:jc w:val="left"/>
                      <w:rPr>
                        <w:rFonts w:ascii="Calibri"/>
                        <w:sz w:val="20"/>
                      </w:rPr>
                    </w:pPr>
                    <w:r>
                      <w:rPr>
                        <w:rFonts w:ascii="Calibri"/>
                        <w:sz w:val="20"/>
                      </w:rPr>
                      <w:t>Food Processing</w:t>
                    </w:r>
                  </w:p>
                  <w:p>
                    <w:pPr>
                      <w:tabs>
                        <w:tab w:pos="876" w:val="left" w:leader="none"/>
                        <w:tab w:pos="1569" w:val="left" w:leader="none"/>
                        <w:tab w:pos="2129" w:val="left" w:leader="none"/>
                        <w:tab w:pos="2741" w:val="left" w:leader="none"/>
                      </w:tabs>
                      <w:spacing w:before="132"/>
                      <w:ind w:left="264" w:right="0" w:firstLine="0"/>
                      <w:jc w:val="left"/>
                      <w:rPr>
                        <w:rFonts w:ascii="Calibri" w:hAnsi="Calibri"/>
                        <w:sz w:val="20"/>
                      </w:rPr>
                    </w:pPr>
                    <w:r>
                      <w:rPr>
                        <w:rFonts w:ascii="Calibri" w:hAnsi="Calibri"/>
                        <w:sz w:val="20"/>
                      </w:rPr>
                      <w:t>‐40%</w:t>
                      <w:tab/>
                      <w:t>‐20%</w:t>
                      <w:tab/>
                      <w:t>0%</w:t>
                      <w:tab/>
                      <w:t>20%</w:t>
                      <w:tab/>
                      <w:t>40%</w:t>
                    </w:r>
                  </w:p>
                  <w:p>
                    <w:pPr>
                      <w:spacing w:line="240" w:lineRule="auto" w:before="11"/>
                      <w:rPr>
                        <w:rFonts w:ascii="Calibri"/>
                        <w:sz w:val="14"/>
                      </w:rPr>
                    </w:pPr>
                  </w:p>
                  <w:p>
                    <w:pPr>
                      <w:spacing w:before="1"/>
                      <w:ind w:left="144" w:right="0" w:firstLine="0"/>
                      <w:jc w:val="left"/>
                      <w:rPr>
                        <w:sz w:val="16"/>
                      </w:rPr>
                    </w:pPr>
                    <w:r>
                      <w:rPr>
                        <w:sz w:val="16"/>
                      </w:rPr>
                      <w:t>Source: Index of Production, ONS</w:t>
                    </w:r>
                  </w:p>
                </w:txbxContent>
              </v:textbox>
              <v:stroke dashstyle="solid"/>
              <w10:wrap type="none"/>
            </v:shape>
            <w10:wrap type="none"/>
          </v:group>
        </w:pict>
      </w:r>
      <w:r>
        <w:rPr/>
        <w:t>One possibility is that the costs which need to be incurred in entering new markets are a deterrent, not because businesses expect new sales not to be worthwhile but because they see the whole exercise as risky. In normal market conditions that might not matter- businesses would be prepared to take risks. But, at a time of heightened uncertainty, the risks involved may be putting them off. This is, of course, the same explanation as that often given for low domestic investment. In technical terms, if the IS curve, which shows the relationship between the rate of interest and investment has steepened, as Bean (2012) has</w:t>
      </w:r>
      <w:r>
        <w:rPr>
          <w:spacing w:val="-13"/>
        </w:rPr>
        <w:t> </w:t>
      </w:r>
      <w:r>
        <w:rPr/>
        <w:t>argued,</w:t>
      </w:r>
    </w:p>
    <w:p>
      <w:pPr>
        <w:pStyle w:val="BodyText"/>
        <w:spacing w:line="360" w:lineRule="auto"/>
        <w:ind w:left="354" w:right="1196"/>
      </w:pPr>
      <w:r>
        <w:rPr/>
        <w:t>then perhaps we should not be too surprised if export performance disappoints. One obvious source of uncertainty is whether the competitive exchange rate will persist; episodes like the weak euro in the summer of last year reinforce that concern even if they prove to be temporary. Similar arguments probably apply to imports. Indeed several of the businesses I have visited have told me that they are reluctant to devote substantial resources to competing against imports because they are concerned that the competitive advantage gained by the United Kingdom after 2008 might not last.</w:t>
      </w:r>
    </w:p>
    <w:p>
      <w:pPr>
        <w:pStyle w:val="BodyText"/>
        <w:rPr>
          <w:sz w:val="22"/>
        </w:rPr>
      </w:pPr>
    </w:p>
    <w:p>
      <w:pPr>
        <w:pStyle w:val="BodyText"/>
        <w:rPr>
          <w:sz w:val="22"/>
        </w:rPr>
      </w:pPr>
    </w:p>
    <w:p>
      <w:pPr>
        <w:pStyle w:val="Heading1"/>
        <w:spacing w:line="240" w:lineRule="auto" w:before="186"/>
        <w:ind w:left="354"/>
      </w:pPr>
      <w:r>
        <w:rPr/>
        <w:t>The Current Account of the Balance of Payments</w:t>
      </w:r>
    </w:p>
    <w:p>
      <w:pPr>
        <w:pStyle w:val="BodyText"/>
        <w:spacing w:line="360" w:lineRule="auto" w:before="113"/>
        <w:ind w:left="354" w:right="891"/>
      </w:pPr>
      <w:r>
        <w:rPr/>
        <w:t>Anyway, to note that there has been a modest improvement in net trade volumes, as Chart implied, is only a part of the story. Imports have to be paid for at their current prices and not on the sort of volume basis shown</w:t>
      </w:r>
    </w:p>
    <w:p>
      <w:pPr>
        <w:spacing w:after="0" w:line="360" w:lineRule="auto"/>
        <w:sectPr>
          <w:pgSz w:w="11900" w:h="16840"/>
          <w:pgMar w:header="0" w:footer="1548" w:top="1540" w:bottom="1740" w:left="780" w:right="0"/>
        </w:sectPr>
      </w:pPr>
    </w:p>
    <w:p>
      <w:pPr>
        <w:pStyle w:val="BodyText"/>
        <w:spacing w:line="360" w:lineRule="auto" w:before="76"/>
        <w:ind w:left="353" w:right="1153"/>
      </w:pPr>
      <w:r>
        <w:rPr/>
        <w:t>in Chart ; similarly export earnings are measured with references to the prices people actually pay for them, and not those implied by volume measures. And import prices have risen more than export prices, at least in part because of increases in prices of agricultural and industrial raw materials. Chart 7 shows the balance of trade both in volume terms and in current prices. This indicates that, while there was an improvement in the months after the start of the recession, the balance of trade measured in current prices is now not much better than it was in 2008.</w:t>
      </w:r>
    </w:p>
    <w:p>
      <w:pPr>
        <w:pStyle w:val="BodyText"/>
      </w:pPr>
    </w:p>
    <w:p>
      <w:pPr>
        <w:pStyle w:val="BodyText"/>
        <w:spacing w:line="355" w:lineRule="auto"/>
        <w:ind w:left="353" w:right="1352"/>
      </w:pPr>
      <w:r>
        <w:rPr/>
        <w:pict>
          <v:group style="position:absolute;margin-left:57.345001pt;margin-top:79.02359pt;width:490.85pt;height:239.25pt;mso-position-horizontal-relative:page;mso-position-vertical-relative:paragraph;z-index:251718656" coordorigin="1147,1580" coordsize="9817,4785">
            <v:rect style="position:absolute;left:1154;top:1587;width:4920;height:4770" filled="false" stroked="true" strokeweight=".75pt" strokecolor="#000000">
              <v:stroke dashstyle="solid"/>
            </v:rect>
            <v:shape style="position:absolute;left:1611;top:4055;width:3116;height:1163" coordorigin="1612,4055" coordsize="3116,1163" path="m1612,5218l4727,5218m1612,4830l4727,4830m1612,4443l4727,4443m1612,4055l4727,4055e" filled="false" stroked="true" strokeweight=".72pt" strokecolor="#868686">
              <v:path arrowok="t"/>
              <v:stroke dashstyle="solid"/>
            </v:shape>
            <v:line style="position:absolute" from="1612,3668" to="4727,3668" stroked="true" strokeweight=".72003pt" strokecolor="#868686">
              <v:stroke dashstyle="solid"/>
            </v:line>
            <v:shape style="position:absolute;left:1611;top:2892;width:3116;height:388" coordorigin="1612,2892" coordsize="3116,388" path="m1612,3280l4727,3280m1612,2892l4727,2892e" filled="false" stroked="true" strokeweight=".72pt" strokecolor="#868686">
              <v:path arrowok="t"/>
              <v:stroke dashstyle="solid"/>
            </v:shape>
            <v:line style="position:absolute" from="1612,2505" to="4727,2505" stroked="true" strokeweight=".71997pt" strokecolor="#868686">
              <v:stroke dashstyle="solid"/>
            </v:line>
            <v:shape style="position:absolute;left:1604;top:2504;width:2966;height:64" coordorigin="1604,2505" coordsize="2966,64" path="m1619,2505l1604,2505,1604,2568,1619,2568,1619,2505m1783,2505l1769,2505,1769,2568,1783,2568,1783,2505m1948,2505l1933,2505,1933,2568,1948,2568,1948,2505m2111,2505l2096,2505,2096,2568,2111,2568,2111,2505m2275,2505l2261,2505,2261,2568,2275,2568,2275,2505m2438,2505l2424,2505,2424,2568,2438,2568,2438,2505m2603,2505l2588,2505,2588,2568,2603,2568,2603,2505m2767,2505l2753,2505,2753,2568,2767,2568,2767,2505m2930,2505l2916,2505,2916,2568,2930,2568,2930,2505m3095,2505l3080,2505,3080,2568,3095,2568,3095,2505m3258,2505l3244,2505,3244,2568,3258,2568,3258,2505m3422,2505l3408,2505,3408,2568,3422,2568,3422,2505m3587,2505l3572,2505,3572,2568,3587,2568,3587,2505m3750,2505l3736,2505,3736,2568,3750,2568,3750,2505m3914,2505l3900,2505,3900,2568,3914,2568,3914,2505m4078,2505l4063,2505,4063,2568,4078,2568,4078,2505m4242,2505l4228,2505,4228,2568,4242,2568,4242,2505m4406,2505l4392,2505,4392,2568,4406,2568,4406,2505m4570,2505l4555,2505,4555,2568,4570,2568,4570,2505e" filled="true" fillcolor="#868686" stroked="false">
              <v:path arrowok="t"/>
              <v:fill type="solid"/>
            </v:shape>
            <v:line style="position:absolute" from="4727,2505" to="4727,5218" stroked="true" strokeweight=".72pt" strokecolor="#868686">
              <v:stroke dashstyle="solid"/>
            </v:line>
            <v:shape style="position:absolute;left:4726;top:2497;width:64;height:2728" coordorigin="4727,2498" coordsize="64,2728" path="m4790,5211l4727,5211,4727,5225,4790,5225,4790,5211m4790,4823l4727,4823,4727,4838,4790,4838,4790,4823m4790,4436l4727,4436,4727,4450,4790,4450,4790,4436m4790,4048l4727,4048,4727,4062,4790,4062,4790,4048m4790,3660l4727,3660,4727,3675,4790,3675,4790,3660m4790,3273l4727,3273,4727,3287,4790,3287,4790,3273m4790,2885l4727,2885,4727,2900,4790,2900,4790,2885m4790,2498l4727,2498,4727,2512,4790,2512,4790,2498e" filled="true" fillcolor="#868686" stroked="false">
              <v:path arrowok="t"/>
              <v:fill type="solid"/>
            </v:shape>
            <v:shape style="position:absolute;left:1669;top:2841;width:3000;height:2158" coordorigin="1669,2842" coordsize="3000,2158" path="m1837,4667l1675,4964,1669,4974,1673,4988,1694,5000,1708,4996,1714,4985,1870,4700,1862,4700,1850,4696,1838,4691,1834,4679,1837,4667,1837,4667xm1858,4650l1844,4654,1837,4667,1837,4667,1834,4679,1838,4691,1850,4696,1862,4700,1872,4695,1877,4686,1880,4681,1882,4674,1879,4662,1858,4650xm1872,4695l1862,4700,1870,4700,1872,4695xm1880,4681l1877,4686,1872,4695,1874,4694,1879,4683,1880,4681xm1882,4674l1880,4681,1883,4676,1882,4674xm1891,4650l1858,4650,1879,4662,1882,4674,1891,4650xm2499,3748l2347,3767,2341,3768,2336,3771,2333,3776,2167,3990,2003,4222,2002,4223,2002,4226,2000,4227,1837,4667,1844,4654,1858,4650,1891,4650,2041,4247,2040,4247,2042,4242,2043,4242,2204,4016,2361,3812,2353,3812,2368,3803,2420,3803,2516,3791,2524,3790,2531,3785,2533,3778,2541,3760,2494,3760,2499,3748xm3202,3972l3150,3972,3187,3975,3166,4001,3313,4263,3318,4270,3325,4274,3343,4274,3350,4268,3353,4260,3360,4242,3312,4242,3330,4200,3202,3972xm2042,4242l2040,4247,2041,4245,2042,4242xm2041,4245l2040,4247,2041,4247,2041,4245xm2043,4242l2042,4242,2041,4245,2043,4242xm3330,4200l3312,4242,3353,4240,3330,4200xm3476,3859l3330,4200,3353,4240,3312,4242,3360,4242,3517,3875,3518,3873,3518,3872,3520,3869,3521,3862,3475,3862,3476,3859xm2821,3618l2984,4174,2987,4181,2993,4187,3001,4190,3010,4191,3018,4187,3039,4161,3026,4161,2988,4154,3015,4120,2868,3621,2824,3621,2821,3618xm3015,4120l2988,4154,3026,4161,3015,4120xm3172,3939l3164,3939,3157,3941,3015,4120,3026,4161,3039,4161,3166,4001,3150,3972,3202,3972,3190,3950,3186,3944,3179,3940,3172,3939xm4295,3396l4458,4095,4460,4104,4469,4110,4488,4113,4498,4107,4501,4097,4506,4084,4501,4084,4459,4082,4485,4016,4341,3398,4296,3398,4295,3396xm4485,4016l4459,4082,4501,4084,4485,4016xm4642,3650l4628,3654,4624,3666,4485,4016,4501,4084,4506,4084,4666,3682,4669,3671,4664,3658,4652,3653,4642,3650xm3150,3972l3166,4001,3187,3975,3150,3972xm3476,3857l3476,3859,3475,3862,3476,3857xm3522,3857l3476,3857,3475,3862,3521,3862,3522,3857xm3668,2842l3658,2843,3648,2844,3641,2852,3638,2861,3476,3859,3476,3857,3522,3857,3670,2949,3640,2873,3683,2868,3686,2868,3682,2858,3678,2848,3668,2842xm2368,3803l2353,3812,2362,3810,2368,3803xm2362,3810l2353,3812,2361,3812,2362,3810xm2420,3803l2368,3803,2362,3810,2420,3803xm2510,3747l2499,3748,2494,3760,2510,3747xm2548,3747l2510,3747,2494,3760,2541,3760,2548,3747xm2682,3388l2668,3390,2660,3395,2658,3402,2499,3748,2510,3747,2548,3747,2683,3452,2660,3425,2698,3420,2714,3420,2695,3398,2690,3392,2682,3388xm2820,3614l2821,3618,2824,3621,2820,3614xm2866,3614l2820,3614,2824,3621,2868,3621,2866,3614xm2714,3420l2698,3420,2683,3452,2821,3618,2820,3614,2866,3614,2862,3600,2862,3598,2860,3596,2858,3593,2714,3420xm2698,3420l2660,3425,2683,3452,2698,3420xm4295,3394l4295,3396,4296,3398,4295,3394xm4341,3394l4295,3394,4296,3398,4341,3398,4341,3394xm4180,3012l4132,3012,4172,3014,4150,3055,4295,3396,4295,3394,4341,3394,4338,3383,4338,3381,4337,3380,4180,3012xm3686,2868l3683,2868,3670,2949,3804,3291,3808,3299,3815,3304,3823,3305,3988,3321,3996,3322,4004,3317,4009,3309,4020,3288,3970,3288,3977,3275,3846,3275,3827,3261,3840,3261,3686,2868xm3977,3275l3970,3288,3991,3276,3977,3275xm4162,2981l4145,2981,4138,2985,4133,2993,3977,3275,3991,3276,3970,3288,4020,3288,4150,3055,4132,3012,4180,3012,4172,2994,4170,2987,4162,2981xm3827,3261l3846,3275,3841,3262,3827,3261xm3841,3262l3846,3275,3977,3275,3977,3275,3841,3262xm3840,3261l3827,3261,3841,3262,3840,3261xm4132,3012l4150,3055,4172,3014,4132,3012xm3683,2868l3640,2873,3670,2949,3683,2868xe" filled="true" fillcolor="#4a7ebb" stroked="false">
              <v:path arrowok="t"/>
              <v:fill type="solid"/>
            </v:shape>
            <v:shape style="position:absolute;left:1669;top:3224;width:3000;height:1583" coordorigin="1669,3225" coordsize="3000,1583" path="m1834,4456l1674,4773,1669,4784,1674,4797,1685,4802,1696,4808,1709,4803,1714,4792,1870,4484,1862,4484,1848,4482,1834,4463,1834,4456xm4180,3705l4132,3705,4172,3706,4151,3753,4296,4120,4459,4749,4462,4758,4470,4766,4490,4766,4499,4760,4501,4750,4505,4738,4501,4738,4459,4737,4481,4660,4338,4104,4180,3705xm4481,4660l4459,4737,4501,4738,4481,4660xm4639,4140l4626,4148,4624,4158,4481,4660,4501,4738,4505,4738,4666,4172,4669,4160,4662,4146,4651,4144,4639,4140xm1856,4434l1851,4436,1844,4442,1840,4445,1837,4450,1834,4456,1834,4463,1848,4482,1862,4484,1872,4476,1874,4475,1877,4469,1883,4458,1878,4445,1867,4439,1856,4434xm1874,4475l1872,4476,1862,4484,1870,4484,1874,4475xm1926,4434l1856,4434,1867,4439,1878,4445,1883,4458,1877,4469,1874,4475,1926,4434xm1840,4445l1835,4449,1834,4456,1837,4450,1840,4445xm3196,3984l3149,3984,3184,3994,3159,4013,3312,4438,3314,4445,3322,4451,3331,4452,3340,4454,3347,4449,3352,4442,3363,4422,3354,4422,3314,4419,3339,4380,3196,3984xm1851,4436l1843,4439,1840,4445,1844,4442,1851,4436xm2001,4320l1851,4436,1856,4434,1926,4434,2035,4349,2042,4342,2044,4336,2045,4328,1999,4328,2001,4320xm3339,4380l3314,4419,3354,4422,3339,4380xm3476,4158l3339,4380,3354,4422,3363,4422,3516,4175,3520,4168,3521,4160,3475,4160,3476,4158xm2008,4314l2001,4320,1999,4328,2008,4314xm2048,4314l2008,4314,1999,4328,2045,4328,2048,4314xm2192,3522l2173,3525,2166,3532,2164,3542,2001,4320,2008,4314,2048,4314,2195,3612,2166,3556,2208,3550,2213,3550,2206,3536,2201,3527,2192,3522xm3479,4152l3476,4158,3475,4160,3479,4152xm3522,4152l3479,4152,3475,4160,3521,4160,3522,4152xm3670,3225l3649,3225,3641,3233,3638,3243,3476,4158,3479,4152,3522,4152,3666,3348,3640,3252,3683,3251,3684,3251,3682,3242,3679,3231,3670,3225xm2823,3457l2984,4112,2986,4119,2992,4125,2998,4127,3005,4130,3013,4128,3019,4124,3048,4101,3026,4101,2992,4089,3018,4068,2868,3461,2832,3461,2823,3457xm3018,4068l2992,4089,3026,4101,3018,4068xm3169,3953l3162,3954,3156,3959,3018,4068,3026,4101,3048,4101,3159,4013,3149,3984,3196,3984,3191,3969,3188,3963,3182,3957,3176,3956,3169,3953xm3684,3251l3683,3251,3666,3348,3804,3854,3804,3857,3806,3860,3808,3862,3972,4061,3977,4067,3985,4071,4000,4068,4007,4064,4009,4056,4018,4038,3970,4038,3984,4006,3849,3843,3846,3843,3842,3834,3844,3834,3684,3251xm3984,4006l3970,4038,4007,4034,3984,4006xm4162,3675l4145,3675,4136,3680,4133,3688,3984,4006,4007,4034,3970,4038,4018,4038,4151,3753,4132,3705,4180,3705,4174,3689,4170,3681,4162,3675xm3149,3984l3159,4013,3184,3994,3149,3984xm2213,3550l2208,3550,2195,3612,2330,3876,2333,3882,2339,3886,2345,3887,2508,3929,2519,3933,2531,3926,2534,3915,2538,3902,2492,3902,2498,3882,2398,3856,2370,3856,2356,3845,2364,3845,2213,3550xm2498,3882l2492,3902,2519,3887,2498,3882xm2681,3346l2675,3346,2669,3350,2663,3352,2658,3357,2657,3363,2498,3882,2519,3887,2492,3902,2538,3902,2692,3399,2669,3389,2699,3376,2747,3376,2687,3350,2681,3346xm2356,3845l2370,3856,2366,3848,2356,3845xm2366,3848l2370,3856,2398,3856,2366,3848xm2364,3845l2356,3845,2366,3848,2364,3845xm3842,3834l3846,3843,3844,3837,3842,3834xm3844,3837l3846,3843,3849,3843,3844,3837xm3844,3834l3842,3834,3844,3837,3844,3834xm4132,3705l4151,3753,4172,3706,4132,3705xm2208,3550l2166,3556,2195,3612,2208,3550xm2820,3447l2823,3457,2832,3461,2820,3447xm2865,3447l2820,3447,2832,3461,2868,3461,2865,3447xm2747,3376l2699,3376,2692,3399,2823,3457,2820,3447,2865,3447,2862,3436,2861,3429,2856,3424,2850,3422,2747,3376xm2699,3376l2669,3389,2692,3399,2699,3376xm3683,3251l3640,3252,3666,3348,3683,3251xe" filled="true" fillcolor="#be4b48" stroked="false">
              <v:path arrowok="t"/>
              <v:fill type="solid"/>
            </v:shape>
            <v:line style="position:absolute" from="1964,5646" to="2393,5646" stroked="true" strokeweight="2.220pt" strokecolor="#4a7ebb">
              <v:stroke dashstyle="solid"/>
            </v:line>
            <v:line style="position:absolute" from="3260,5646" to="3689,5646" stroked="true" strokeweight="2.220pt" strokecolor="#be4b48">
              <v:stroke dashstyle="solid"/>
            </v:line>
            <v:rect style="position:absolute;left:6074;top:1587;width:4882;height:4770" filled="false" stroked="true" strokeweight=".75pt" strokecolor="#000000">
              <v:stroke dashstyle="solid"/>
            </v:rect>
            <v:shape style="position:absolute;left:6495;top:3117;width:3365;height:1594" coordorigin="6496,3118" coordsize="3365,1594" path="m6496,4712l9860,4712m6496,4512l9860,4512m6496,4313l9860,4313m6496,4114l9860,4114m6496,3915l9860,3915m6496,3716l9860,3716m6496,3516l9860,3516m6496,3317l9860,3317m6496,3118l9860,3118e" filled="false" stroked="true" strokeweight=".72pt" strokecolor="#868686">
              <v:path arrowok="t"/>
              <v:stroke dashstyle="solid"/>
            </v:shape>
            <v:line style="position:absolute" from="6496,2920" to="9860,2920" stroked="true" strokeweight=".72003pt" strokecolor="#868686">
              <v:stroke dashstyle="solid"/>
            </v:line>
            <v:line style="position:absolute" from="6496,2721" to="9860,2721" stroked="true" strokeweight=".72pt" strokecolor="#868686">
              <v:stroke dashstyle="solid"/>
            </v:line>
            <v:shape style="position:absolute;left:6488;top:2657;width:3233;height:64" coordorigin="6488,2657" coordsize="3233,64" path="m6503,2657l6488,2657,6488,2721,6503,2721,6503,2657m6649,2657l6635,2657,6635,2721,6649,2721,6649,2657m6796,2657l6781,2657,6781,2721,6796,2721,6796,2657m6941,2657l6926,2657,6926,2721,6941,2721,6941,2657m7087,2657l7073,2657,7073,2721,7087,2721,7087,2657m7234,2657l7219,2657,7219,2721,7234,2721,7234,2657m7380,2657l7366,2657,7366,2721,7380,2721,7380,2657m7526,2657l7512,2657,7512,2721,7526,2721,7526,2657m7673,2657l7658,2657,7658,2721,7673,2721,7673,2657m7819,2657l7805,2657,7805,2721,7819,2721,7819,2657m7966,2657l7951,2657,7951,2721,7966,2721,7966,2657m8112,2657l8098,2657,8098,2721,8112,2721,8112,2657m8258,2657l8244,2657,8244,2721,8258,2721,8258,2657m8405,2657l8390,2657,8390,2721,8405,2721,8405,2657m8550,2657l8536,2657,8536,2721,8550,2721,8550,2657m8696,2657l8682,2657,8682,2721,8696,2721,8696,2657m8843,2657l8828,2657,8828,2721,8843,2721,8843,2657m8989,2657l8975,2657,8975,2721,8989,2721,8989,2657m9136,2657l9121,2657,9121,2721,9136,2721,9136,2657m9282,2657l9268,2657,9268,2721,9282,2721,9282,2657m9428,2657l9414,2657,9414,2721,9428,2721,9428,2657m9575,2657l9560,2657,9560,2721,9575,2721,9575,2657m9721,2657l9707,2657,9707,2721,9721,2721,9721,2657e" filled="true" fillcolor="#868686" stroked="false">
              <v:path arrowok="t"/>
              <v:fill type="solid"/>
            </v:shape>
            <v:line style="position:absolute" from="9860,2657" to="9860,4712" stroked="true" strokeweight=".71997pt" strokecolor="#868686">
              <v:stroke dashstyle="solid"/>
            </v:line>
            <v:shape style="position:absolute;left:9860;top:2713;width:64;height:2006" coordorigin="9860,2714" coordsize="64,2006" path="m9924,4704l9860,4704,9860,4719,9924,4719,9924,4704m9924,4505l9860,4505,9860,4520,9924,4520,9924,4505m9924,4306l9860,4306,9860,4320,9924,4320,9924,4306m9924,4107l9860,4107,9860,4121,9924,4121,9924,4107m9924,3908l9860,3908,9860,3922,9924,3922,9924,3908m9924,3708l9860,3708,9860,3723,9924,3723,9924,3708m9924,3509l9860,3509,9860,3524,9924,3524,9924,3509m9924,3310l9860,3310,9860,3324,9924,3324,9924,3310m9924,3111l9860,3111,9860,3125,9924,3125,9924,3111m9924,2913l9860,2913,9860,2927,9924,2927,9924,2913m9924,2714l9860,2714,9860,2728,9924,2728,9924,2714e" filled="true" fillcolor="#868686" stroked="false">
              <v:path arrowok="t"/>
              <v:fill type="solid"/>
            </v:shape>
            <v:shape style="position:absolute;left:6546;top:3834;width:3264;height:243" coordorigin="6546,3834" coordsize="3264,243" path="m8610,4003l8758,4076,8764,4077,8768,4074,8915,4034,8773,4034,8758,4032,8766,4030,8712,4004,8615,4004,8610,4003xm9166,3986l9062,3986,9054,3988,9193,4046,9197,4047,9204,4047,9349,4037,9496,4014,9493,4014,9809,4014,9810,4004,9210,4004,9200,4002,9206,4002,9166,3986xm8766,4030l8758,4032,8773,4034,8766,4030xm9059,3942l9054,3942,9049,3944,8904,3992,8766,4030,8773,4034,8915,4034,9054,3988,9047,3986,9166,3986,9064,3944,9059,3942xm9809,4014l9497,4014,9496,4014,9640,4020,9785,4032,9797,4034,9808,4024,9809,4014xm9497,4014l9493,4014,9496,4014,9497,4014xm8606,4001l8610,4003,8615,4004,8606,4001xm8707,4001l8606,4001,8615,4004,8712,4004,8707,4001xm9206,4002l9200,4002,9210,4004,9206,4002xm9494,3970l9491,3970,9346,3993,9206,4002,9210,4004,9810,4004,9810,4000,9800,3989,9788,3988,9641,3976,9494,3970xm8273,3918l8168,3918,8180,3921,8175,3921,8315,3986,8317,3987,8321,3988,8323,3988,8470,3990,8610,4003,8606,4001,8707,4001,8624,3960,8621,3959,8618,3959,8471,3946,8333,3946,8324,3944,8328,3944,8273,3918xm7682,3878l7583,3878,7600,3879,7591,3882,7728,3951,7729,3951,7730,3952,7732,3952,7878,3996,7883,3998,7888,3998,7892,3996,8001,3954,7877,3954,7883,3952,7749,3911,7748,3911,7745,3910,7746,3910,7682,3878xm9062,3986l9047,3986,9054,3988,9062,3986xm6956,3909l6852,3909,6862,3911,6858,3911,6998,3976,7002,3978,7010,3978,7157,3958,7382,3936,7016,3936,7004,3934,7010,3933,6956,3909xm7883,3952l7877,3954,7891,3954,7883,3952xm8183,3876l8174,3876,8028,3897,8027,3897,8024,3898,8023,3898,7883,3952,7891,3954,8001,3954,8036,3941,8034,3941,8039,3940,8043,3940,8175,3921,8168,3918,8273,3918,8186,3879,8183,3876xm8324,3944l8333,3946,8328,3944,8324,3944xm8328,3944l8333,3946,8471,3946,8328,3944xm8328,3944l8324,3944,8328,3944,8328,3944xm8039,3940l8034,3941,8037,3941,8039,3940xm8037,3941l8034,3941,8036,3941,8037,3941xm8043,3940l8039,3940,8037,3941,8043,3940xm7010,3933l7004,3934,7016,3936,7010,3933xm7441,3886l7151,3914,7010,3933,7016,3936,7382,3936,7448,3930,7451,3930,7452,3929,7453,3929,7575,3887,7439,3887,7441,3886xm8168,3918l8175,3921,8180,3921,8168,3918xm6715,3872l6714,3872,6702,3872,6692,3882,6692,3906,6703,3915,6714,3916,6726,3917,6727,3916,6715,3916,6728,3916,6737,3908,6737,3896,6738,3884,6728,3873,6716,3872,6715,3872xm6703,3915l6703,3916,6714,3916,6703,3915xm6728,3916l6715,3916,6727,3916,6728,3916xm6868,3867l6860,3867,6715,3872,6716,3872,6728,3873,6738,3884,6737,3896,6737,3908,6728,3916,6858,3911,6852,3909,6956,3909,6870,3869,6868,3867xm6570,3864l6558,3864,6547,3874,6546,3886,6546,3898,6556,3909,6568,3909,6703,3915,6692,3906,6692,3882,6702,3872,6714,3872,6715,3872,6570,3864xm6852,3909l6858,3911,6862,3911,6852,3909xm7745,3910l7748,3911,7748,3911,7745,3910xm7748,3911l7748,3911,7749,3911,7748,3911xm7746,3910l7745,3910,7748,3911,7746,3910xm7445,3886l7441,3886,7439,3887,7445,3886xm7579,3886l7445,3886,7439,3887,7575,3887,7579,3886xm7591,3834l7585,3837,7441,3886,7445,3886,7579,3886,7591,3882,7583,3878,7682,3878,7603,3838,7597,3836,7591,3834xm7583,3878l7591,3882,7600,3879,7583,3878xe" filled="true" fillcolor="#a8423f" stroked="false">
              <v:path arrowok="t"/>
              <v:fill type="solid"/>
            </v:shape>
            <v:shape style="position:absolute;left:6541;top:2907;width:3272;height:887" coordorigin="6542,2908" coordsize="3272,887" path="m9388,3416l9324,3416,9359,3426,9337,3436,9470,3652,9473,3654,9474,3657,9476,3658,9623,3785,9632,3795,9647,3795,9656,3786,9709,3744,9623,3744,9641,3730,9519,3624,9517,3624,9511,3617,9513,3617,9388,3416xm9641,3730l9623,3744,9658,3744,9641,3730xm9789,3622l9779,3623,9769,3628,9641,3730,9658,3744,9709,3744,9803,3670,9810,3662,9813,3652,9813,3641,9808,3632,9799,3625,9789,3622xm7776,3419l7714,3419,7759,3424,7733,3457,7860,3706,7865,3714,7874,3720,7895,3720,7904,3714,7908,3706,7921,3681,7860,3681,7885,3633,7776,3419xm7885,3633l7860,3681,7909,3681,7885,3633xm8174,3297l8164,3300,8017,3384,8012,3387,8009,3390,8006,3395,7885,3633,7909,3681,7921,3681,8049,3431,8045,3431,8054,3420,8064,3420,8167,3361,8154,3338,8217,3338,8201,3310,8194,3302,8184,3298,8174,3297xm6688,3516l6557,3578,6548,3584,6543,3592,6542,3602,6545,3612,6551,3622,6559,3627,6569,3629,6580,3626,6721,3560,6714,3560,6698,3560,6688,3546,6688,3516xm9511,3617l9517,3624,9515,3620,9511,3617xm9515,3620l9517,3624,9519,3624,9515,3620xm9513,3617l9511,3617,9515,3620,9513,3617xm7429,3288l7568,3598,7572,3606,7580,3612,7590,3614,7598,3615,7608,3611,7614,3604,7637,3575,7618,3575,7572,3569,7600,3535,7488,3288,7446,3288,7429,3288xm8217,3338l8154,3338,8191,3347,8167,3361,8300,3593,8306,3604,8318,3609,8330,3605,8477,3566,8347,3566,8317,3554,8337,3548,8217,3338xm7600,3535l7572,3569,7618,3575,7600,3535xm7732,3378l7723,3382,7717,3389,7600,3535,7618,3575,7637,3575,7733,3457,7714,3419,7776,3419,7763,3394,7758,3386,7750,3381,7741,3380,7732,3378xm8337,3548l8317,3554,8347,3566,8337,3548xm8458,3516l8337,3548,8347,3566,8479,3566,8484,3563,8564,3516,8456,3516,8458,3516xm6739,3506l6714,3506,6724,3508,6733,3513,6739,3521,6742,3532,6741,3542,6735,3551,6726,3557,6721,3560,6860,3563,6872,3563,6883,3556,6887,3544,6892,3527,6835,3527,6841,3509,6739,3506xm6714,3506l6703,3509,6688,3516,6688,3546,6698,3560,6714,3560,6721,3560,6726,3557,6735,3551,6741,3542,6742,3532,6739,3521,6733,3513,6724,3508,6714,3506xm6841,3509l6835,3527,6862,3509,6841,3509xm7150,2908l7140,2912,7134,2918,6988,3071,6985,3074,6983,3077,6841,3509,6862,3509,6835,3527,6892,3527,7030,3108,7027,3108,7033,3098,7037,3098,7146,2984,7129,2948,7189,2948,7178,2925,7175,2916,7168,2912,7158,2909,7150,2908xm6715,3506l6701,3506,6688,3516,6688,3516,6703,3509,6714,3506,6739,3506,6715,3506xm8464,3514l8458,3516,8456,3516,8464,3514xm8569,3514l8464,3514,8456,3516,8564,3516,8569,3514xm8615,3426l8609,3428,8603,3431,8458,3516,8464,3514,8569,3514,8622,3483,8612,3482,8630,3478,8890,3478,8915,3473,8922,3471,8928,3467,8932,3461,8940,3448,8758,3448,8762,3447,8621,3428,8615,3426xm8890,3478l8630,3478,8622,3483,8759,3502,8768,3502,8890,3478xm9095,3232l9032,3232,9078,3233,9055,3270,9179,3480,9185,3488,9194,3493,9204,3494,9214,3491,9300,3453,9226,3453,9191,3442,9213,3432,9095,3232xm8630,3478l8612,3482,8622,3483,8630,3478xm7714,3419l7733,3457,7759,3424,7714,3419xm9213,3432l9191,3442,9226,3453,9213,3432xm9346,3375l9336,3377,9213,3432,9226,3453,9300,3453,9337,3436,9324,3416,9388,3416,9371,3388,9364,3380,9356,3376,9346,3375xm8762,3447l8758,3448,8767,3448,8762,3447xm8894,3421l8762,3447,8767,3448,8940,3448,8951,3431,8887,3431,8894,3421xm9324,3416l9337,3436,9359,3426,9324,3416xm8054,3420l8045,3431,8051,3428,8054,3420xm8051,3428l8045,3431,8049,3431,8051,3428xm8904,3419l8894,3421,8887,3431,8904,3419xm8959,3419l8904,3419,8887,3431,8951,3431,8959,3419xm8064,3420l8054,3420,8051,3428,8064,3420xm9066,3191l9047,3191,9038,3196,9034,3203,8894,3421,8904,3419,8959,3419,9055,3270,9032,3232,9095,3232,9079,3204,9074,3196,9066,3191xm8154,3338l8167,3361,8191,3347,8154,3338xm7422,3273l7429,3288,7446,3288,7422,3273xm7481,3273l7422,3273,7446,3288,7488,3288,7481,3273xm7189,2948l7129,2948,7174,2955,7146,2984,7276,3267,7280,3276,7289,3282,7300,3282,7429,3288,7422,3273,7481,3273,7471,3250,7468,3244,7325,3244,7301,3228,7318,3228,7189,2948xm9032,3232l9055,3270,9078,3233,9032,3232xm7301,3228l7325,3244,7318,3229,7301,3228xm7318,3229l7325,3244,7468,3244,7466,3240,7458,3234,7447,3234,7318,3229xm7318,3228l7301,3228,7318,3229,7318,3228xm7033,3098l7027,3108,7031,3104,7033,3098xm7031,3104l7027,3108,7030,3108,7031,3104xm7037,3098l7033,3098,7031,3104,7037,3098xm7129,2948l7146,2984,7174,2955,7129,2948xe" filled="true" fillcolor="#86a44a" stroked="false">
              <v:path arrowok="t"/>
              <v:fill type="solid"/>
            </v:shape>
            <v:shape style="position:absolute;left:6546;top:3693;width:3263;height:57" coordorigin="6546,3694" coordsize="3263,57" path="m7642,3747l7447,3747,7592,3750,7642,3747xm6703,3702l6569,3704,6557,3705,6546,3714,6546,3726,6547,3738,6557,3749,6569,3748,6714,3747,6714,3747,6702,3747,6692,3736,6692,3712,6703,3702xm6727,3703l6737,3713,6737,3726,6738,3737,6727,3747,6714,3747,6860,3749,7154,3746,7658,3746,7740,3740,9129,3740,9203,3738,9802,3738,9809,3731,9809,3706,7594,3706,7544,3705,6862,3705,6727,3703xm7658,3746l7154,3746,7300,3749,7447,3747,7642,3747,7658,3746xm6715,3702l6703,3702,6692,3712,6692,3736,6702,3747,6727,3747,6738,3737,6737,3726,6737,3713,6727,3703,6715,3702xm8880,3742l8617,3742,8762,3747,8880,3742xm9129,3740l7740,3740,8030,3743,8177,3743,8324,3741,9055,3741,9129,3740xm8910,3741l8324,3741,8470,3743,8880,3742,8910,3741xm9494,3738l9203,3738,9347,3741,9494,3738xm9802,3738l9494,3738,9786,3741,9799,3741,9802,3738xm7736,3695l7594,3706,9809,3706,9805,3702,8764,3702,8653,3699,8032,3699,7736,3695xm7153,3701l6862,3705,7301,3705,7153,3701xm7446,3702l7301,3705,7544,3705,7446,3702xm6727,3702l6715,3702,6727,3703,6727,3702xm6715,3702l6703,3702,6703,3702,6715,3702xm9799,3696l8909,3696,8764,3702,9805,3702,9799,3696xm8323,3696l8177,3699,8471,3699,8323,3696xm8616,3698l8471,3699,8653,3699,8616,3698xm9202,3694l9055,3696,9348,3696,9202,3694xm9493,3694l9348,3696,9787,3696,9493,3694xe" filled="true" fillcolor="#6e548d" stroked="false">
              <v:path arrowok="t"/>
              <v:fill type="solid"/>
            </v:shape>
            <v:shape style="position:absolute;left:6529;top:3708;width:3297;height:956" coordorigin="6530,3708" coordsize="3297,956" path="m9399,4026l9312,4026,9378,4036,9337,4081,9458,4346,9605,4642,9611,4651,9619,4658,9629,4662,9640,4664,9654,4664,9667,4656,9674,4644,9697,4606,9677,4606,9606,4604,9644,4539,9530,4312,9399,4026xm9644,4539l9606,4604,9677,4606,9644,4539xm9793,4334l9777,4335,9763,4341,9752,4353,9644,4539,9677,4606,9697,4606,9821,4394,9826,4379,9825,4363,9819,4349,9808,4338,9793,4334xm6708,4130l6695,4135,6684,4144,6538,4323,6531,4337,6530,4349,6530,4353,6534,4367,6544,4379,6557,4386,6573,4387,6587,4383,6600,4373,6725,4221,6695,4203,6746,4194,6833,4194,6736,4136,6722,4130,6708,4130xm7788,3988l7703,3988,7748,4011,7716,4019,7849,4331,7855,4342,7864,4349,7875,4354,7888,4355,7899,4353,7910,4347,7918,4338,7924,4328,7931,4304,7847,4304,7879,4200,7788,3988xm7879,4200l7847,4304,7921,4300,7879,4200xm8182,3712l8168,3712,8158,3718,8011,3803,8003,3809,7997,3816,7993,3826,7879,4199,7879,4200,7921,4300,7847,4304,7931,4304,8063,3872,8052,3872,8070,3850,8089,3850,8154,3812,8140,3764,8223,3764,8213,3730,8204,3720,8192,3716,8182,3712xm6833,4194l6746,4194,6725,4221,6841,4292,6851,4298,6863,4299,6884,4292,6894,4284,6898,4274,6911,4242,6826,4242,6843,4201,6833,4194xm8735,4212l8488,4212,8474,4219,8605,4258,8755,4287,8768,4287,8780,4284,8790,4276,8798,4265,8814,4232,8726,4232,8735,4212xm8223,3764l8140,3764,8198,3786,8154,3812,8290,4266,8298,4275,8308,4280,8318,4284,8330,4284,8341,4280,8443,4233,8363,4233,8308,4208,8350,4188,8223,3764xm6843,4201l6826,4242,6882,4224,6843,4201xm7144,3708l7132,3713,7124,3723,6978,3884,6974,3887,6972,3891,6971,3894,6843,4201,6882,4224,6826,4242,6911,4242,7038,3936,7036,3936,7043,3926,7045,3926,7147,3813,7120,3771,7215,3771,7187,3728,7180,3717,7169,3711,7144,3708xm8350,4188l8308,4208,8363,4233,8350,4188xm8473,4136l8462,4137,8454,4140,8350,4188,8363,4233,8443,4233,8474,4219,8460,4215,8488,4212,8735,4212,8739,4204,8627,4181,8482,4138,8473,4136xm8739,4204l8726,4232,8770,4210,8739,4204xm9053,3773l9040,3777,9030,3785,8884,3906,8879,3910,8875,3915,8873,3920,8739,4204,8770,4210,8726,4232,8814,4232,8939,3966,8934,3966,8945,3953,8950,3953,9039,3880,9018,3830,9105,3830,9092,3800,9088,3789,9077,3780,9053,3773xm6746,4194l6695,4203,6725,4221,6746,4194xm8488,4212l8460,4215,8474,4219,8488,4212xm9105,3830l9018,3830,9080,3845,9039,3880,9164,4187,9170,4200,9181,4210,9194,4211,9205,4212,9215,4210,9224,4205,9232,4199,9269,4157,9239,4157,9172,4146,9215,4098,9105,3830xm9215,4098l9172,4146,9239,4157,9215,4098xm9341,3969l9328,3974,9318,3983,9215,4098,9239,4157,9269,4157,9337,4081,9312,4026,9399,4026,9384,3993,9378,3981,9367,3972,9354,3970,9341,3969xm9312,4026l9337,4081,9378,4036,9312,4026xm7593,3966l7428,3966,7457,3970,7443,3974,7574,4042,7583,4047,7592,4048,7602,4046,7716,4019,7703,3988,7788,3988,7781,3972,7610,3972,7583,3969,7593,3966xm7703,3988l7716,4019,7748,4011,7703,3988xm7215,3771l7120,3771,7182,3776,7147,3813,7266,3995,7275,4005,7285,4011,7298,4013,7310,4012,7443,3974,7428,3966,7593,3966,7597,3965,7571,3952,7333,3952,7289,3935,7317,3927,7215,3771xm7428,3966l7443,3974,7457,3970,7428,3966xm7597,3965l7583,3969,7610,3972,7597,3965xm7743,3933l7729,3934,7597,3965,7610,3972,7781,3972,7775,3957,7767,3945,7756,3937,7743,3933xm8945,3953l8934,3966,8942,3960,8945,3953xm8942,3960l8934,3966,8939,3966,8942,3960xm8950,3953l8945,3953,8942,3960,8950,3953xm7317,3927l7289,3935,7333,3952,7317,3927xm7445,3891l7435,3893,7317,3927,7333,3952,7571,3952,7464,3897,7456,3892,7445,3891xm7043,3926l7036,3936,7041,3931,7043,3926xm7041,3931l7036,3936,7038,3936,7041,3931xm7045,3926l7043,3926,7041,3931,7045,3926xm9018,3830l9039,3880,9080,3845,9018,3830xm8070,3850l8052,3872,8066,3864,8070,3850xm8066,3864l8052,3872,8063,3872,8066,3864xm8089,3850l8070,3850,8066,3864,8089,3850xm7120,3771l7147,3813,7182,3776,7120,3771xm8140,3764l8154,3812,8198,3786,8140,3764xe" filled="true" fillcolor="#da8137" stroked="false">
              <v:path arrowok="t"/>
              <v:fill type="solid"/>
            </v:shape>
            <v:shape style="position:absolute;left:6543;top:3882;width:3268;height:441" coordorigin="6544,3882" coordsize="3268,441" path="m6732,4150l6740,4160,6738,4174,6728,4181,6716,4191,6850,4271,6852,4272,6853,4274,6856,4274,7002,4307,7152,4323,7156,4323,7165,4320,7235,4281,7142,4281,7148,4278,7013,4264,6882,4234,6872,4234,6732,4150xm9478,4144l9624,4306,9628,4311,9634,4313,9646,4313,9652,4311,9656,4306,9686,4276,9656,4276,9624,4275,9640,4258,9539,4146,9481,4146,9478,4144xm6699,4148l6554,4263,6545,4271,6544,4284,6551,4294,6559,4304,6572,4306,6582,4298,6716,4191,6703,4184,6692,4178,6689,4164,6696,4154,6699,4148xm7148,4278l7142,4281,7156,4278,7148,4278xm7434,4164l7295,4196,7294,4197,7291,4197,7289,4198,7148,4278,7156,4278,7142,4281,7235,4281,7309,4239,7306,4239,7452,4205,7457,4204,7462,4202,7464,4197,7482,4172,7428,4172,7434,4164xm9640,4258l9624,4275,9656,4276,9640,4258xm9793,4118l9779,4118,9770,4126,9640,4258,9656,4276,9686,4276,9803,4157,9811,4149,9811,4134,9802,4126,9793,4118xm7312,4238l7306,4239,7309,4239,7312,4238xm6866,4230l6872,4234,6882,4234,6866,4230xm8528,4110l8456,4110,8476,4114,8464,4117,8609,4232,8618,4233,8626,4229,8707,4192,8630,4192,8608,4190,8620,4184,8528,4110xm8620,4184l8608,4190,8630,4192,8620,4184xm8748,4125l8620,4184,8630,4192,8707,4192,8772,4162,8776,4161,8779,4157,8782,4154,8796,4131,8744,4131,8748,4125xm6714,4139l6708,4141,6701,4146,6699,4148,6696,4154,6689,4164,6692,4178,6703,4184,6716,4191,6728,4181,6738,4174,6740,4160,6732,4150,6726,4146,6716,4140,6714,4139xm7441,4162l7434,4164,7428,4172,7441,4162xm7489,4162l7441,4162,7428,4172,7482,4172,7489,4162xm7594,3958l7582,3960,7574,3970,7434,4164,7441,4162,7489,4162,7598,4012,7582,4002,7610,3995,7661,3995,7604,3963,7594,3958xm8165,3977l8306,4142,8312,4148,8321,4150,8329,4148,8464,4117,8458,4112,8341,4112,8318,4104,8332,4101,8227,3978,8174,3978,8165,3977xm6716,4140l6726,4146,6732,4150,6725,4140,6716,4140xm6708,4141l6702,4143,6699,4148,6701,4146,6708,4141xm9408,4040l9335,4040,9359,4041,9347,4048,9481,4146,9539,4146,9510,4114,9508,4112,9506,4112,9408,4040xm6710,4139l6708,4141,6714,4139,6710,4139xm6715,4139l6714,4139,6716,4140,6715,4139xm8951,3917l8928,3917,8913,3942,9040,4076,9042,4078,9046,4080,9048,4082,9194,4133,9202,4136,9208,4134,9214,4131,9274,4094,9191,4094,9200,4088,9081,4046,9072,4046,9064,4040,9066,4040,8951,3917xm8754,4122l8748,4125,8744,4131,8754,4122xm8801,4122l8754,4122,8744,4131,8796,4131,8801,4122xm8914,3882l8908,3884,8900,3885,8894,3888,8891,3894,8748,4125,8754,4122,8801,4122,8913,3942,8893,3921,8928,3917,8951,3917,8926,3891,8921,3886,8914,3882xm8456,4110l8464,4117,8476,4114,8456,4110xm8332,4101l8318,4104,8341,4112,8332,4101xm8472,4070l8465,4071,8332,4101,8341,4112,8458,4112,8456,4110,8528,4110,8484,4076,8479,4071,8472,4070xm7661,3995l7610,3995,7598,4012,7727,4085,7730,4086,7733,4088,7736,4088,7883,4098,7889,4098,7895,4096,7900,4092,7934,4060,7870,4060,7877,4053,7773,4046,7750,4046,7740,4043,7745,4043,7661,3995xm9200,4088l9191,4094,9210,4091,9200,4088xm9353,3999l9343,3999,9336,4004,9200,4088,9210,4091,9191,4094,9274,4094,9347,4048,9335,4040,9408,4040,9360,4005,9353,3999xm7877,4053l7870,4060,7886,4054,7877,4053xm8027,3915l8021,3917,8016,3922,7877,4053,7886,4054,7870,4060,7934,4060,8038,3962,8028,3960,8046,3954,8206,3954,8195,3941,8190,3938,8185,3935,8180,3934,8034,3916,8027,3915xm9335,4040l9347,4048,9359,4041,9335,4040xm7740,4043l7750,4046,7746,4044,7740,4043xm7746,4044l7750,4046,7773,4046,7746,4044xm9064,4040l9072,4046,9068,4041,9064,4040xm9068,4041l9072,4046,9081,4046,9068,4041xm7745,4043l7740,4043,7746,4044,7745,4043xm9066,4040l9064,4040,9068,4041,9066,4040xm7610,3995l7582,4002,7598,4012,7610,3995xm8160,3971l8165,3977,8174,3978,8160,3971xm8221,3971l8160,3971,8174,3978,8227,3978,8221,3971xm8206,3954l8046,3954,8038,3962,8165,3977,8160,3971,8221,3971,8206,3954xm8046,3954l8028,3960,8038,3962,8046,3954xm8928,3917l8893,3921,8913,3942,8928,3917xe" filled="true" fillcolor="#8ea5cb" stroked="false">
              <v:path arrowok="t"/>
              <v:fill type="solid"/>
            </v:shape>
            <v:line style="position:absolute" from="7356,4848" to="7784,4848" stroked="true" strokeweight="2.220pt" strokecolor="#a8423f">
              <v:stroke dashstyle="solid"/>
            </v:line>
            <v:line style="position:absolute" from="7351,5087" to="7789,5087" stroked="true" strokeweight="2.7pt" strokecolor="#86a44a">
              <v:stroke dashstyle="solid"/>
            </v:line>
            <v:line style="position:absolute" from="7356,5325" to="7784,5325" stroked="true" strokeweight="2.220pt" strokecolor="#6e548d">
              <v:stroke dashstyle="solid"/>
            </v:line>
            <v:shape style="position:absolute;left:7339;top:5525;width:464;height:80" coordorigin="7339,5525" coordsize="464,80" path="m7763,5525l7379,5525,7363,5528,7351,5537,7342,5549,7339,5565,7342,5580,7351,5593,7363,5601,7379,5604,7763,5604,7778,5601,7791,5593,7799,5580,7802,5565,7799,5549,7791,5537,7778,5528,7763,5525xe" filled="true" fillcolor="#da8137" stroked="false">
              <v:path arrowok="t"/>
              <v:fill type="solid"/>
            </v:shape>
            <v:line style="position:absolute" from="7356,5803" to="7784,5803" stroked="true" strokeweight="2.220pt" strokecolor="#8ea5cb">
              <v:stroke dashstyle="solid"/>
            </v:line>
            <v:shape style="position:absolute;left:10045;top:2628;width:329;height:2192" type="#_x0000_t202" filled="false" stroked="false">
              <v:textbox inset="0,0,0,0">
                <w:txbxContent>
                  <w:p>
                    <w:pPr>
                      <w:spacing w:line="182" w:lineRule="exact" w:before="0"/>
                      <w:ind w:left="0" w:right="0" w:firstLine="0"/>
                      <w:jc w:val="left"/>
                      <w:rPr>
                        <w:rFonts w:ascii="Calibri"/>
                        <w:sz w:val="20"/>
                      </w:rPr>
                    </w:pPr>
                    <w:r>
                      <w:rPr>
                        <w:rFonts w:ascii="Calibri"/>
                        <w:sz w:val="20"/>
                      </w:rPr>
                      <w:t>5%</w:t>
                    </w:r>
                  </w:p>
                  <w:p>
                    <w:pPr>
                      <w:spacing w:line="199" w:lineRule="exact" w:before="0"/>
                      <w:ind w:left="0" w:right="0" w:firstLine="0"/>
                      <w:jc w:val="left"/>
                      <w:rPr>
                        <w:rFonts w:ascii="Calibri"/>
                        <w:sz w:val="20"/>
                      </w:rPr>
                    </w:pPr>
                    <w:r>
                      <w:rPr>
                        <w:rFonts w:ascii="Calibri"/>
                        <w:sz w:val="20"/>
                      </w:rPr>
                      <w:t>4%</w:t>
                    </w:r>
                  </w:p>
                  <w:p>
                    <w:pPr>
                      <w:spacing w:line="199" w:lineRule="exact" w:before="0"/>
                      <w:ind w:left="0" w:right="0" w:firstLine="0"/>
                      <w:jc w:val="left"/>
                      <w:rPr>
                        <w:rFonts w:ascii="Calibri"/>
                        <w:sz w:val="20"/>
                      </w:rPr>
                    </w:pPr>
                    <w:r>
                      <w:rPr>
                        <w:rFonts w:ascii="Calibri"/>
                        <w:sz w:val="20"/>
                      </w:rPr>
                      <w:t>3%</w:t>
                    </w:r>
                  </w:p>
                  <w:p>
                    <w:pPr>
                      <w:spacing w:line="199" w:lineRule="exact" w:before="0"/>
                      <w:ind w:left="0" w:right="0" w:firstLine="0"/>
                      <w:jc w:val="left"/>
                      <w:rPr>
                        <w:rFonts w:ascii="Calibri"/>
                        <w:sz w:val="20"/>
                      </w:rPr>
                    </w:pPr>
                    <w:r>
                      <w:rPr>
                        <w:rFonts w:ascii="Calibri"/>
                        <w:sz w:val="20"/>
                      </w:rPr>
                      <w:t>2%</w:t>
                    </w:r>
                  </w:p>
                  <w:p>
                    <w:pPr>
                      <w:spacing w:line="199" w:lineRule="exact" w:before="0"/>
                      <w:ind w:left="0" w:right="0" w:firstLine="0"/>
                      <w:jc w:val="left"/>
                      <w:rPr>
                        <w:rFonts w:ascii="Calibri"/>
                        <w:sz w:val="20"/>
                      </w:rPr>
                    </w:pPr>
                    <w:r>
                      <w:rPr>
                        <w:rFonts w:ascii="Calibri"/>
                        <w:sz w:val="20"/>
                      </w:rPr>
                      <w:t>1%</w:t>
                    </w:r>
                  </w:p>
                  <w:p>
                    <w:pPr>
                      <w:spacing w:line="199" w:lineRule="exact" w:before="0"/>
                      <w:ind w:left="0" w:right="0" w:firstLine="0"/>
                      <w:jc w:val="left"/>
                      <w:rPr>
                        <w:rFonts w:ascii="Calibri"/>
                        <w:sz w:val="20"/>
                      </w:rPr>
                    </w:pPr>
                    <w:r>
                      <w:rPr>
                        <w:rFonts w:ascii="Calibri"/>
                        <w:sz w:val="20"/>
                      </w:rPr>
                      <w:t>0%</w:t>
                    </w:r>
                  </w:p>
                  <w:p>
                    <w:pPr>
                      <w:spacing w:line="199" w:lineRule="exact" w:before="0"/>
                      <w:ind w:left="1" w:right="0" w:firstLine="0"/>
                      <w:jc w:val="left"/>
                      <w:rPr>
                        <w:rFonts w:ascii="Calibri" w:hAnsi="Calibri"/>
                        <w:sz w:val="20"/>
                      </w:rPr>
                    </w:pPr>
                    <w:r>
                      <w:rPr>
                        <w:rFonts w:ascii="Calibri" w:hAnsi="Calibri"/>
                        <w:sz w:val="20"/>
                      </w:rPr>
                      <w:t>‐1%</w:t>
                    </w:r>
                  </w:p>
                  <w:p>
                    <w:pPr>
                      <w:spacing w:line="199" w:lineRule="exact" w:before="0"/>
                      <w:ind w:left="1" w:right="0" w:firstLine="0"/>
                      <w:jc w:val="left"/>
                      <w:rPr>
                        <w:rFonts w:ascii="Calibri" w:hAnsi="Calibri"/>
                        <w:sz w:val="20"/>
                      </w:rPr>
                    </w:pPr>
                    <w:r>
                      <w:rPr>
                        <w:rFonts w:ascii="Calibri" w:hAnsi="Calibri"/>
                        <w:sz w:val="20"/>
                      </w:rPr>
                      <w:t>‐2%</w:t>
                    </w:r>
                  </w:p>
                  <w:p>
                    <w:pPr>
                      <w:spacing w:line="199" w:lineRule="exact" w:before="0"/>
                      <w:ind w:left="1" w:right="0" w:firstLine="0"/>
                      <w:jc w:val="left"/>
                      <w:rPr>
                        <w:rFonts w:ascii="Calibri" w:hAnsi="Calibri"/>
                        <w:sz w:val="20"/>
                      </w:rPr>
                    </w:pPr>
                    <w:r>
                      <w:rPr>
                        <w:rFonts w:ascii="Calibri" w:hAnsi="Calibri"/>
                        <w:sz w:val="20"/>
                      </w:rPr>
                      <w:t>‐3%</w:t>
                    </w:r>
                  </w:p>
                  <w:p>
                    <w:pPr>
                      <w:spacing w:line="199" w:lineRule="exact" w:before="0"/>
                      <w:ind w:left="1" w:right="0" w:firstLine="0"/>
                      <w:jc w:val="left"/>
                      <w:rPr>
                        <w:rFonts w:ascii="Calibri" w:hAnsi="Calibri"/>
                        <w:sz w:val="20"/>
                      </w:rPr>
                    </w:pPr>
                    <w:r>
                      <w:rPr>
                        <w:rFonts w:ascii="Calibri" w:hAnsi="Calibri"/>
                        <w:sz w:val="20"/>
                      </w:rPr>
                      <w:t>‐4%</w:t>
                    </w:r>
                  </w:p>
                  <w:p>
                    <w:pPr>
                      <w:spacing w:line="218" w:lineRule="exact" w:before="0"/>
                      <w:ind w:left="1" w:right="0" w:firstLine="0"/>
                      <w:jc w:val="left"/>
                      <w:rPr>
                        <w:rFonts w:ascii="Calibri" w:hAnsi="Calibri"/>
                        <w:sz w:val="20"/>
                      </w:rPr>
                    </w:pPr>
                    <w:r>
                      <w:rPr>
                        <w:rFonts w:ascii="Calibri" w:hAnsi="Calibri"/>
                        <w:sz w:val="20"/>
                      </w:rPr>
                      <w:t>‐5%</w:t>
                    </w:r>
                  </w:p>
                </w:txbxContent>
              </v:textbox>
              <w10:wrap type="none"/>
            </v:shape>
            <v:shape style="position:absolute;left:6226;top:4755;width:3486;height:1513" type="#_x0000_t202" filled="false" stroked="false">
              <v:textbox inset="0,0,0,0">
                <w:txbxContent>
                  <w:p>
                    <w:pPr>
                      <w:spacing w:line="201" w:lineRule="exact" w:before="0"/>
                      <w:ind w:left="1576" w:right="0" w:firstLine="0"/>
                      <w:jc w:val="left"/>
                      <w:rPr>
                        <w:rFonts w:ascii="Calibri"/>
                        <w:sz w:val="20"/>
                      </w:rPr>
                    </w:pPr>
                    <w:r>
                      <w:rPr>
                        <w:rFonts w:ascii="Calibri"/>
                        <w:sz w:val="20"/>
                      </w:rPr>
                      <w:t>Transfers balance</w:t>
                    </w:r>
                  </w:p>
                  <w:p>
                    <w:pPr>
                      <w:spacing w:line="235" w:lineRule="auto" w:before="1"/>
                      <w:ind w:left="1576" w:right="2" w:firstLine="0"/>
                      <w:jc w:val="left"/>
                      <w:rPr>
                        <w:rFonts w:ascii="Calibri"/>
                        <w:sz w:val="20"/>
                      </w:rPr>
                    </w:pPr>
                    <w:r>
                      <w:rPr>
                        <w:rFonts w:ascii="Calibri"/>
                        <w:sz w:val="20"/>
                      </w:rPr>
                      <w:t>Investment balance Labour income balance Current balance</w:t>
                    </w:r>
                  </w:p>
                  <w:p>
                    <w:pPr>
                      <w:spacing w:line="239" w:lineRule="exact" w:before="0"/>
                      <w:ind w:left="1576" w:right="0" w:firstLine="0"/>
                      <w:jc w:val="left"/>
                      <w:rPr>
                        <w:rFonts w:ascii="Calibri"/>
                        <w:sz w:val="20"/>
                      </w:rPr>
                    </w:pPr>
                    <w:r>
                      <w:rPr>
                        <w:rFonts w:ascii="Calibri"/>
                        <w:sz w:val="20"/>
                      </w:rPr>
                      <w:t>Trade balance</w:t>
                    </w:r>
                  </w:p>
                  <w:p>
                    <w:pPr>
                      <w:spacing w:before="169"/>
                      <w:ind w:left="0" w:right="0" w:firstLine="0"/>
                      <w:jc w:val="left"/>
                      <w:rPr>
                        <w:sz w:val="16"/>
                      </w:rPr>
                    </w:pPr>
                    <w:r>
                      <w:rPr>
                        <w:sz w:val="16"/>
                      </w:rPr>
                      <w:t>Source: Balance of Payments, ONS</w:t>
                    </w:r>
                  </w:p>
                </w:txbxContent>
              </v:textbox>
              <w10:wrap type="none"/>
            </v:shape>
            <v:shape style="position:absolute;left:6226;top:1671;width:4141;height:898" type="#_x0000_t202" filled="false" stroked="false">
              <v:textbox inset="0,0,0,0">
                <w:txbxContent>
                  <w:p>
                    <w:pPr>
                      <w:spacing w:line="201" w:lineRule="exact" w:before="0"/>
                      <w:ind w:left="0" w:right="0" w:firstLine="0"/>
                      <w:jc w:val="left"/>
                      <w:rPr>
                        <w:b/>
                        <w:sz w:val="18"/>
                      </w:rPr>
                    </w:pPr>
                    <w:r>
                      <w:rPr>
                        <w:b/>
                        <w:color w:val="4F82BD"/>
                        <w:sz w:val="18"/>
                      </w:rPr>
                      <w:t>Chart 8: Components of the UK Current Balance</w:t>
                    </w:r>
                  </w:p>
                  <w:p>
                    <w:pPr>
                      <w:spacing w:line="240" w:lineRule="auto" w:before="4"/>
                      <w:rPr>
                        <w:b/>
                        <w:sz w:val="18"/>
                      </w:rPr>
                    </w:pPr>
                  </w:p>
                  <w:p>
                    <w:pPr>
                      <w:spacing w:line="244" w:lineRule="exact" w:before="1"/>
                      <w:ind w:left="136" w:right="0" w:firstLine="0"/>
                      <w:jc w:val="left"/>
                      <w:rPr>
                        <w:rFonts w:ascii="Calibri"/>
                        <w:sz w:val="20"/>
                      </w:rPr>
                    </w:pPr>
                    <w:r>
                      <w:rPr>
                        <w:rFonts w:ascii="Calibri"/>
                        <w:sz w:val="20"/>
                      </w:rPr>
                      <w:t>2007 2008 2009 2010 2011 2012</w:t>
                    </w:r>
                  </w:p>
                  <w:p>
                    <w:pPr>
                      <w:tabs>
                        <w:tab w:pos="808" w:val="left" w:leader="none"/>
                        <w:tab w:pos="1394" w:val="left" w:leader="none"/>
                        <w:tab w:pos="1978" w:val="left" w:leader="none"/>
                        <w:tab w:pos="2564" w:val="left" w:leader="none"/>
                        <w:tab w:pos="3148" w:val="left" w:leader="none"/>
                      </w:tabs>
                      <w:spacing w:line="240" w:lineRule="exact" w:before="0"/>
                      <w:ind w:left="223" w:right="0" w:firstLine="0"/>
                      <w:jc w:val="left"/>
                      <w:rPr>
                        <w:rFonts w:ascii="Calibri"/>
                        <w:sz w:val="20"/>
                      </w:rPr>
                    </w:pPr>
                    <w:r>
                      <w:rPr>
                        <w:rFonts w:ascii="Calibri"/>
                        <w:sz w:val="20"/>
                      </w:rPr>
                      <w:t>Q1</w:t>
                      <w:tab/>
                      <w:t>Q1</w:t>
                      <w:tab/>
                      <w:t>Q1</w:t>
                      <w:tab/>
                      <w:t>Q1</w:t>
                      <w:tab/>
                      <w:t>Q1</w:t>
                      <w:tab/>
                      <w:t>Q1</w:t>
                    </w:r>
                  </w:p>
                </w:txbxContent>
              </v:textbox>
              <w10:wrap type="none"/>
            </v:shape>
            <v:shape style="position:absolute;left:1305;top:6079;width:1790;height:179" type="#_x0000_t202" filled="false" stroked="false">
              <v:textbox inset="0,0,0,0">
                <w:txbxContent>
                  <w:p>
                    <w:pPr>
                      <w:spacing w:line="178" w:lineRule="exact" w:before="0"/>
                      <w:ind w:left="0" w:right="0" w:firstLine="0"/>
                      <w:jc w:val="left"/>
                      <w:rPr>
                        <w:sz w:val="16"/>
                      </w:rPr>
                    </w:pPr>
                    <w:r>
                      <w:rPr>
                        <w:sz w:val="16"/>
                      </w:rPr>
                      <w:t>Source: Bank of England</w:t>
                    </w:r>
                  </w:p>
                </w:txbxContent>
              </v:textbox>
              <w10:wrap type="none"/>
            </v:shape>
            <v:shape style="position:absolute;left:3708;top:5552;width:1171;height:201" type="#_x0000_t202" filled="false" stroked="false">
              <v:textbox inset="0,0,0,0">
                <w:txbxContent>
                  <w:p>
                    <w:pPr>
                      <w:spacing w:line="200" w:lineRule="exact" w:before="0"/>
                      <w:ind w:left="0" w:right="0" w:firstLine="0"/>
                      <w:jc w:val="left"/>
                      <w:rPr>
                        <w:rFonts w:ascii="Calibri"/>
                        <w:sz w:val="20"/>
                      </w:rPr>
                    </w:pPr>
                    <w:r>
                      <w:rPr>
                        <w:rFonts w:ascii="Calibri"/>
                        <w:sz w:val="20"/>
                      </w:rPr>
                      <w:t>Current prices</w:t>
                    </w:r>
                  </w:p>
                </w:txbxContent>
              </v:textbox>
              <w10:wrap type="none"/>
            </v:shape>
            <v:shape style="position:absolute;left:2410;top:5552;width:650;height:201" type="#_x0000_t202" filled="false" stroked="false">
              <v:textbox inset="0,0,0,0">
                <w:txbxContent>
                  <w:p>
                    <w:pPr>
                      <w:spacing w:line="200" w:lineRule="exact" w:before="0"/>
                      <w:ind w:left="0" w:right="0" w:firstLine="0"/>
                      <w:jc w:val="left"/>
                      <w:rPr>
                        <w:rFonts w:ascii="Calibri"/>
                        <w:sz w:val="20"/>
                      </w:rPr>
                    </w:pPr>
                    <w:r>
                      <w:rPr>
                        <w:rFonts w:ascii="Calibri"/>
                        <w:sz w:val="20"/>
                      </w:rPr>
                      <w:t>Volume</w:t>
                    </w:r>
                  </w:p>
                </w:txbxContent>
              </v:textbox>
              <w10:wrap type="none"/>
            </v:shape>
            <v:shape style="position:absolute;left:1305;top:1671;width:4086;height:3655" type="#_x0000_t202" filled="false" stroked="false">
              <v:textbox inset="0,0,0,0">
                <w:txbxContent>
                  <w:p>
                    <w:pPr>
                      <w:spacing w:line="240" w:lineRule="auto" w:before="0"/>
                      <w:ind w:left="0" w:right="45" w:firstLine="0"/>
                      <w:jc w:val="left"/>
                      <w:rPr>
                        <w:b/>
                        <w:sz w:val="18"/>
                      </w:rPr>
                    </w:pPr>
                    <w:r>
                      <w:rPr>
                        <w:b/>
                        <w:color w:val="4F82BD"/>
                        <w:sz w:val="18"/>
                      </w:rPr>
                      <w:t>Chart 7: The UK Trade Balance in Volumes and Current Prices</w:t>
                    </w:r>
                  </w:p>
                  <w:p>
                    <w:pPr>
                      <w:spacing w:line="240" w:lineRule="auto" w:before="11"/>
                      <w:rPr>
                        <w:b/>
                        <w:sz w:val="24"/>
                      </w:rPr>
                    </w:pPr>
                  </w:p>
                  <w:p>
                    <w:pPr>
                      <w:spacing w:before="0"/>
                      <w:ind w:left="3605" w:right="0" w:firstLine="0"/>
                      <w:jc w:val="left"/>
                      <w:rPr>
                        <w:rFonts w:ascii="Calibri"/>
                        <w:sz w:val="20"/>
                      </w:rPr>
                    </w:pPr>
                    <w:r>
                      <w:rPr>
                        <w:rFonts w:ascii="Calibri"/>
                        <w:sz w:val="20"/>
                      </w:rPr>
                      <w:t>0.0%</w:t>
                    </w:r>
                  </w:p>
                  <w:p>
                    <w:pPr>
                      <w:tabs>
                        <w:tab w:pos="839" w:val="left" w:leader="none"/>
                        <w:tab w:pos="1495" w:val="left" w:leader="none"/>
                        <w:tab w:pos="2151" w:val="left" w:leader="none"/>
                        <w:tab w:pos="2806" w:val="left" w:leader="none"/>
                      </w:tabs>
                      <w:spacing w:line="184" w:lineRule="exact" w:before="16"/>
                      <w:ind w:left="183" w:right="0" w:firstLine="0"/>
                      <w:jc w:val="left"/>
                      <w:rPr>
                        <w:rFonts w:ascii="Calibri"/>
                        <w:sz w:val="20"/>
                      </w:rPr>
                    </w:pPr>
                    <w:r>
                      <w:rPr>
                        <w:rFonts w:ascii="Calibri"/>
                        <w:sz w:val="20"/>
                      </w:rPr>
                      <w:t>2008</w:t>
                      <w:tab/>
                      <w:t>2009</w:t>
                      <w:tab/>
                      <w:t>2010</w:t>
                      <w:tab/>
                      <w:t>2011</w:t>
                      <w:tab/>
                      <w:t>2012</w:t>
                    </w:r>
                  </w:p>
                  <w:p>
                    <w:pPr>
                      <w:tabs>
                        <w:tab w:pos="926" w:val="left" w:leader="none"/>
                        <w:tab w:pos="1581" w:val="left" w:leader="none"/>
                        <w:tab w:pos="2237" w:val="left" w:leader="none"/>
                        <w:tab w:pos="2893" w:val="left" w:leader="none"/>
                        <w:tab w:pos="3605" w:val="left" w:leader="none"/>
                      </w:tabs>
                      <w:spacing w:line="304" w:lineRule="exact" w:before="0"/>
                      <w:ind w:left="269" w:right="0" w:firstLine="0"/>
                      <w:jc w:val="left"/>
                      <w:rPr>
                        <w:rFonts w:ascii="Calibri" w:hAnsi="Calibri"/>
                        <w:sz w:val="20"/>
                      </w:rPr>
                    </w:pPr>
                    <w:r>
                      <w:rPr>
                        <w:rFonts w:ascii="Calibri" w:hAnsi="Calibri"/>
                        <w:sz w:val="20"/>
                      </w:rPr>
                      <w:t>Q1</w:t>
                      <w:tab/>
                      <w:t>Q1</w:t>
                      <w:tab/>
                      <w:t>Q1</w:t>
                      <w:tab/>
                      <w:t>Q1</w:t>
                      <w:tab/>
                      <w:t>Q1</w:t>
                      <w:tab/>
                    </w:r>
                    <w:r>
                      <w:rPr>
                        <w:rFonts w:ascii="Calibri" w:hAnsi="Calibri"/>
                        <w:position w:val="12"/>
                        <w:sz w:val="20"/>
                      </w:rPr>
                      <w:t>‐0.5%</w:t>
                    </w:r>
                  </w:p>
                  <w:p>
                    <w:pPr>
                      <w:spacing w:before="27"/>
                      <w:ind w:left="3605" w:right="0" w:firstLine="0"/>
                      <w:jc w:val="left"/>
                      <w:rPr>
                        <w:rFonts w:ascii="Calibri" w:hAnsi="Calibri"/>
                        <w:sz w:val="20"/>
                      </w:rPr>
                    </w:pPr>
                    <w:r>
                      <w:rPr>
                        <w:rFonts w:ascii="Calibri" w:hAnsi="Calibri"/>
                        <w:sz w:val="20"/>
                      </w:rPr>
                      <w:t>‐1.0%</w:t>
                    </w:r>
                  </w:p>
                  <w:p>
                    <w:pPr>
                      <w:spacing w:before="143"/>
                      <w:ind w:left="3605" w:right="0" w:firstLine="0"/>
                      <w:jc w:val="left"/>
                      <w:rPr>
                        <w:rFonts w:ascii="Calibri" w:hAnsi="Calibri"/>
                        <w:sz w:val="20"/>
                      </w:rPr>
                    </w:pPr>
                    <w:r>
                      <w:rPr>
                        <w:rFonts w:ascii="Calibri" w:hAnsi="Calibri"/>
                        <w:sz w:val="20"/>
                      </w:rPr>
                      <w:t>‐1.5%</w:t>
                    </w:r>
                  </w:p>
                  <w:p>
                    <w:pPr>
                      <w:spacing w:before="144"/>
                      <w:ind w:left="3605" w:right="0" w:firstLine="0"/>
                      <w:jc w:val="left"/>
                      <w:rPr>
                        <w:rFonts w:ascii="Calibri" w:hAnsi="Calibri"/>
                        <w:sz w:val="20"/>
                      </w:rPr>
                    </w:pPr>
                    <w:r>
                      <w:rPr>
                        <w:rFonts w:ascii="Calibri" w:hAnsi="Calibri"/>
                        <w:sz w:val="20"/>
                      </w:rPr>
                      <w:t>‐2.0%</w:t>
                    </w:r>
                  </w:p>
                  <w:p>
                    <w:pPr>
                      <w:spacing w:before="143"/>
                      <w:ind w:left="3605" w:right="0" w:firstLine="0"/>
                      <w:jc w:val="left"/>
                      <w:rPr>
                        <w:rFonts w:ascii="Calibri" w:hAnsi="Calibri"/>
                        <w:sz w:val="20"/>
                      </w:rPr>
                    </w:pPr>
                    <w:r>
                      <w:rPr>
                        <w:rFonts w:ascii="Calibri" w:hAnsi="Calibri"/>
                        <w:sz w:val="20"/>
                      </w:rPr>
                      <w:t>‐2.5%</w:t>
                    </w:r>
                  </w:p>
                  <w:p>
                    <w:pPr>
                      <w:spacing w:before="144"/>
                      <w:ind w:left="3605" w:right="0" w:firstLine="0"/>
                      <w:jc w:val="left"/>
                      <w:rPr>
                        <w:rFonts w:ascii="Calibri" w:hAnsi="Calibri"/>
                        <w:sz w:val="20"/>
                      </w:rPr>
                    </w:pPr>
                    <w:r>
                      <w:rPr>
                        <w:rFonts w:ascii="Calibri" w:hAnsi="Calibri"/>
                        <w:sz w:val="20"/>
                      </w:rPr>
                      <w:t>‐3.0%</w:t>
                    </w:r>
                  </w:p>
                  <w:p>
                    <w:pPr>
                      <w:spacing w:line="241" w:lineRule="exact" w:before="143"/>
                      <w:ind w:left="3605" w:right="0" w:firstLine="0"/>
                      <w:jc w:val="left"/>
                      <w:rPr>
                        <w:rFonts w:ascii="Calibri" w:hAnsi="Calibri"/>
                        <w:sz w:val="20"/>
                      </w:rPr>
                    </w:pPr>
                    <w:r>
                      <w:rPr>
                        <w:rFonts w:ascii="Calibri" w:hAnsi="Calibri"/>
                        <w:sz w:val="20"/>
                      </w:rPr>
                      <w:t>‐3.5%</w:t>
                    </w:r>
                  </w:p>
                </w:txbxContent>
              </v:textbox>
              <w10:wrap type="none"/>
            </v:shape>
            <w10:wrap type="none"/>
          </v:group>
        </w:pict>
      </w:r>
      <w:r>
        <w:rPr/>
        <w:pict>
          <v:shape style="position:absolute;margin-left:272.524994pt;margin-top:159.492340pt;width:12.05pt;height:67.2pt;mso-position-horizontal-relative:page;mso-position-vertical-relative:paragraph;z-index:251719680" type="#_x0000_t202" filled="false" stroked="false">
            <v:textbox inset="0,0,0,0" style="layout-flow:vertical;mso-layout-flow-alt:bottom-to-top">
              <w:txbxContent>
                <w:p>
                  <w:pPr>
                    <w:spacing w:line="224" w:lineRule="exact" w:before="0"/>
                    <w:ind w:left="20" w:right="0" w:firstLine="0"/>
                    <w:jc w:val="left"/>
                    <w:rPr>
                      <w:rFonts w:ascii="Calibri"/>
                      <w:b/>
                      <w:sz w:val="20"/>
                    </w:rPr>
                  </w:pPr>
                  <w:r>
                    <w:rPr>
                      <w:rFonts w:ascii="Calibri"/>
                      <w:b/>
                      <w:sz w:val="20"/>
                    </w:rPr>
                    <w:t>Per cent of GDP</w:t>
                  </w:r>
                </w:p>
              </w:txbxContent>
            </v:textbox>
            <w10:wrap type="none"/>
          </v:shape>
        </w:pict>
      </w:r>
      <w:r>
        <w:rPr/>
        <w:pict>
          <v:shape style="position:absolute;margin-left:519.604980pt;margin-top:138.372345pt;width:12.05pt;height:67.2pt;mso-position-horizontal-relative:page;mso-position-vertical-relative:paragraph;z-index:251720704" type="#_x0000_t202" filled="false" stroked="false">
            <v:textbox inset="0,0,0,0" style="layout-flow:vertical;mso-layout-flow-alt:bottom-to-top">
              <w:txbxContent>
                <w:p>
                  <w:pPr>
                    <w:spacing w:line="224" w:lineRule="exact" w:before="0"/>
                    <w:ind w:left="20" w:right="0" w:firstLine="0"/>
                    <w:jc w:val="left"/>
                    <w:rPr>
                      <w:rFonts w:ascii="Calibri"/>
                      <w:b/>
                      <w:sz w:val="20"/>
                    </w:rPr>
                  </w:pPr>
                  <w:r>
                    <w:rPr>
                      <w:rFonts w:ascii="Calibri"/>
                      <w:b/>
                      <w:sz w:val="20"/>
                    </w:rPr>
                    <w:t>Per cent of GDP</w:t>
                  </w:r>
                </w:p>
              </w:txbxContent>
            </v:textbox>
            <w10:wrap type="none"/>
          </v:shape>
        </w:pict>
      </w:r>
      <w:r>
        <w:rPr/>
        <w:t>But trade flows are not the whole of the story. Current account payments take place for two other main reasons. First of all, the United Kingdom invests heavily abroad while foreigners invest heavily in the United Kingdom. Payments of property income take place in both directions and the balance of these is an element of the current account of the balance of payments.</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line="360" w:lineRule="auto" w:before="155"/>
        <w:ind w:left="353" w:right="1197"/>
      </w:pPr>
      <w:r>
        <w:rPr/>
        <w:t>Secondly, both individuals and governments pay transfers to other countries or to their residents. Any shortfall on these has to be financed internationally, just as any shortfall of exports relative to imports has to be financed by borrowing from abroad or by selling off part of the national capital. Chart 8 shows these components along with the balance of goods and services and the overall balance going back to 2007Q1. The main points to be learned from this are as follows. First of all, while the trade balance has improved since the period before the crisis, even if not very much, the same cannot be said of the overall current balance. In the last two quarters it has in fact, as a percentage of GDP, been larger than at any time since late 2006. The deficit on transfer payments has increased steadily, from 0.7 per cent to 1.5 per cent of GDP, while the investment income balance, although erratic, has recently been worse than for most of the period after the crisis. The labour income balance is very small and I do not discuss it further.</w:t>
      </w:r>
    </w:p>
    <w:p>
      <w:pPr>
        <w:spacing w:after="0" w:line="360" w:lineRule="auto"/>
        <w:sectPr>
          <w:pgSz w:w="11900" w:h="16840"/>
          <w:pgMar w:header="0" w:footer="1548" w:top="1540" w:bottom="1740" w:left="780" w:right="0"/>
        </w:sectPr>
      </w:pPr>
    </w:p>
    <w:p>
      <w:pPr>
        <w:pStyle w:val="BodyText"/>
        <w:spacing w:line="360" w:lineRule="auto" w:before="76"/>
        <w:ind w:left="353" w:right="1141"/>
      </w:pPr>
      <w:r>
        <w:rPr/>
        <w:pict>
          <v:shape style="position:absolute;margin-left:56.699814pt;margin-top:714.493408pt;width:258.25pt;height:24.5pt;mso-position-horizontal-relative:page;mso-position-vertical-relative:page;z-index:-253089792" type="#_x0000_t202" filled="false" stroked="false">
            <v:textbox inset="0,0,0,0">
              <w:txbxContent>
                <w:p>
                  <w:pPr>
                    <w:pStyle w:val="BodyText"/>
                  </w:pPr>
                  <w:r>
                    <w:rPr>
                      <w:position w:val="10"/>
                      <w:sz w:val="13"/>
                    </w:rPr>
                    <w:t>2 </w:t>
                  </w:r>
                  <w:r>
                    <w:rPr/>
                    <w:t>Financial derivatives were included in the totals of assets assets and liabilities amounted to about 0.6 per cent of G</w:t>
                  </w:r>
                </w:p>
              </w:txbxContent>
            </v:textbox>
            <w10:wrap type="none"/>
          </v:shape>
        </w:pict>
      </w:r>
      <w:r>
        <w:rPr/>
        <w:pict>
          <v:shape style="position:absolute;margin-left:308.977356pt;margin-top:716.26886pt;width:223.75pt;height:22.75pt;mso-position-horizontal-relative:page;mso-position-vertical-relative:page;z-index:-253088768" type="#_x0000_t202" filled="false" stroked="false">
            <v:textbox inset="0,0,0,0">
              <w:txbxContent>
                <w:p>
                  <w:pPr>
                    <w:pStyle w:val="BodyText"/>
                    <w:ind w:firstLine="174"/>
                  </w:pPr>
                  <w:r>
                    <w:rPr/>
                    <w:t>and liabilities for the first time in 2004. Then</w:t>
                  </w:r>
                  <w:r>
                    <w:rPr>
                      <w:spacing w:val="-38"/>
                    </w:rPr>
                    <w:t> </w:t>
                  </w:r>
                  <w:r>
                    <w:rPr/>
                    <w:t>both DP</w:t>
                  </w:r>
                </w:p>
              </w:txbxContent>
            </v:textbox>
            <w10:wrap type="none"/>
          </v:shape>
        </w:pict>
      </w:r>
      <w:r>
        <w:rPr/>
        <w:pict>
          <v:shape style="position:absolute;margin-left:308.614990pt;margin-top:678.259583pt;width:188.1pt;height:22.45pt;mso-position-horizontal-relative:page;mso-position-vertical-relative:page;z-index:251734016" type="#_x0000_t202" filled="false" stroked="false">
            <v:textbox inset="0,0,0,0" style="layout-flow:vertical">
              <w:txbxContent>
                <w:p>
                  <w:pPr>
                    <w:pStyle w:val="BodyText"/>
                    <w:spacing w:line="224" w:lineRule="exact"/>
                    <w:ind w:left="20"/>
                    <w:rPr>
                      <w:rFonts w:ascii="Calibri"/>
                    </w:rPr>
                  </w:pPr>
                  <w:r>
                    <w:rPr>
                      <w:rFonts w:ascii="Calibri"/>
                    </w:rPr>
                    <w:t>2011</w:t>
                  </w:r>
                </w:p>
                <w:p>
                  <w:pPr>
                    <w:pStyle w:val="BodyText"/>
                    <w:spacing w:before="8"/>
                    <w:ind w:left="20"/>
                    <w:rPr>
                      <w:rFonts w:ascii="Calibri"/>
                    </w:rPr>
                  </w:pPr>
                  <w:r>
                    <w:rPr>
                      <w:rFonts w:ascii="Calibri"/>
                    </w:rPr>
                    <w:t>2010</w:t>
                  </w:r>
                </w:p>
                <w:p>
                  <w:pPr>
                    <w:pStyle w:val="BodyText"/>
                    <w:spacing w:before="6"/>
                    <w:ind w:left="20"/>
                    <w:rPr>
                      <w:rFonts w:ascii="Calibri"/>
                    </w:rPr>
                  </w:pPr>
                  <w:r>
                    <w:rPr>
                      <w:rFonts w:ascii="Calibri"/>
                    </w:rPr>
                    <w:t>2009</w:t>
                  </w:r>
                </w:p>
                <w:p>
                  <w:pPr>
                    <w:pStyle w:val="BodyText"/>
                    <w:spacing w:before="8"/>
                    <w:ind w:left="20"/>
                    <w:rPr>
                      <w:rFonts w:ascii="Calibri"/>
                    </w:rPr>
                  </w:pPr>
                  <w:r>
                    <w:rPr>
                      <w:rFonts w:ascii="Calibri"/>
                    </w:rPr>
                    <w:t>2008</w:t>
                  </w:r>
                </w:p>
                <w:p>
                  <w:pPr>
                    <w:pStyle w:val="BodyText"/>
                    <w:spacing w:before="7"/>
                    <w:ind w:left="20"/>
                    <w:rPr>
                      <w:rFonts w:ascii="Calibri"/>
                    </w:rPr>
                  </w:pPr>
                  <w:r>
                    <w:rPr>
                      <w:rFonts w:ascii="Calibri"/>
                    </w:rPr>
                    <w:t>2007</w:t>
                  </w:r>
                </w:p>
                <w:p>
                  <w:pPr>
                    <w:pStyle w:val="BodyText"/>
                    <w:spacing w:before="8"/>
                    <w:ind w:left="20"/>
                    <w:rPr>
                      <w:rFonts w:ascii="Calibri"/>
                    </w:rPr>
                  </w:pPr>
                  <w:r>
                    <w:rPr>
                      <w:rFonts w:ascii="Calibri"/>
                    </w:rPr>
                    <w:t>2006</w:t>
                  </w:r>
                </w:p>
                <w:p>
                  <w:pPr>
                    <w:pStyle w:val="BodyText"/>
                    <w:spacing w:before="7"/>
                    <w:ind w:left="20"/>
                    <w:rPr>
                      <w:rFonts w:ascii="Calibri"/>
                    </w:rPr>
                  </w:pPr>
                  <w:r>
                    <w:rPr>
                      <w:rFonts w:ascii="Calibri"/>
                    </w:rPr>
                    <w:t>2005</w:t>
                  </w:r>
                </w:p>
                <w:p>
                  <w:pPr>
                    <w:pStyle w:val="BodyText"/>
                    <w:spacing w:before="7"/>
                    <w:ind w:left="20"/>
                    <w:rPr>
                      <w:rFonts w:ascii="Calibri"/>
                    </w:rPr>
                  </w:pPr>
                  <w:r>
                    <w:rPr>
                      <w:rFonts w:ascii="Calibri"/>
                    </w:rPr>
                    <w:t>2004</w:t>
                  </w:r>
                </w:p>
                <w:p>
                  <w:pPr>
                    <w:pStyle w:val="BodyText"/>
                    <w:spacing w:before="8"/>
                    <w:ind w:left="20"/>
                    <w:rPr>
                      <w:rFonts w:ascii="Calibri"/>
                    </w:rPr>
                  </w:pPr>
                  <w:r>
                    <w:rPr>
                      <w:rFonts w:ascii="Calibri"/>
                    </w:rPr>
                    <w:t>2003</w:t>
                  </w:r>
                </w:p>
                <w:p>
                  <w:pPr>
                    <w:pStyle w:val="BodyText"/>
                    <w:spacing w:before="7"/>
                    <w:ind w:left="20"/>
                    <w:rPr>
                      <w:rFonts w:ascii="Calibri"/>
                    </w:rPr>
                  </w:pPr>
                  <w:r>
                    <w:rPr>
                      <w:rFonts w:ascii="Calibri"/>
                    </w:rPr>
                    <w:t>2002</w:t>
                  </w:r>
                </w:p>
                <w:p>
                  <w:pPr>
                    <w:pStyle w:val="BodyText"/>
                    <w:spacing w:before="8"/>
                    <w:ind w:left="20"/>
                    <w:rPr>
                      <w:rFonts w:ascii="Calibri"/>
                    </w:rPr>
                  </w:pPr>
                  <w:r>
                    <w:rPr>
                      <w:rFonts w:ascii="Calibri"/>
                    </w:rPr>
                    <w:t>2001</w:t>
                  </w:r>
                </w:p>
                <w:p>
                  <w:pPr>
                    <w:pStyle w:val="BodyText"/>
                    <w:spacing w:before="7"/>
                    <w:ind w:left="20"/>
                    <w:rPr>
                      <w:rFonts w:ascii="Calibri"/>
                    </w:rPr>
                  </w:pPr>
                  <w:r>
                    <w:rPr>
                      <w:rFonts w:ascii="Calibri"/>
                    </w:rPr>
                    <w:t>2000</w:t>
                  </w:r>
                </w:p>
                <w:p>
                  <w:pPr>
                    <w:pStyle w:val="BodyText"/>
                    <w:spacing w:before="7"/>
                    <w:ind w:left="20"/>
                    <w:rPr>
                      <w:rFonts w:ascii="Calibri"/>
                    </w:rPr>
                  </w:pPr>
                  <w:r>
                    <w:rPr>
                      <w:rFonts w:ascii="Calibri"/>
                    </w:rPr>
                    <w:t>1999</w:t>
                  </w:r>
                </w:p>
                <w:p>
                  <w:pPr>
                    <w:pStyle w:val="BodyText"/>
                    <w:spacing w:before="8"/>
                    <w:ind w:left="20"/>
                    <w:rPr>
                      <w:rFonts w:ascii="Calibri"/>
                    </w:rPr>
                  </w:pPr>
                  <w:r>
                    <w:rPr>
                      <w:rFonts w:ascii="Calibri"/>
                    </w:rPr>
                    <w:t>1998</w:t>
                  </w:r>
                </w:p>
                <w:p>
                  <w:pPr>
                    <w:pStyle w:val="BodyText"/>
                    <w:spacing w:before="7"/>
                    <w:ind w:left="20"/>
                    <w:rPr>
                      <w:rFonts w:ascii="Calibri"/>
                    </w:rPr>
                  </w:pPr>
                  <w:r>
                    <w:rPr>
                      <w:rFonts w:ascii="Calibri"/>
                    </w:rPr>
                    <w:t>1997</w:t>
                  </w:r>
                </w:p>
              </w:txbxContent>
            </v:textbox>
            <w10:wrap type="none"/>
          </v:shape>
        </w:pict>
      </w:r>
      <w:r>
        <w:rPr/>
        <w:pict>
          <v:shape style="position:absolute;margin-left:271.625pt;margin-top:598.85376pt;width:12.05pt;height:67.2pt;mso-position-horizontal-relative:page;mso-position-vertical-relative:page;z-index:251743232" type="#_x0000_t202" filled="false" stroked="false">
            <v:textbox inset="0,0,0,0" style="layout-flow:vertical;mso-layout-flow-alt:bottom-to-top">
              <w:txbxContent>
                <w:p>
                  <w:pPr>
                    <w:spacing w:line="224" w:lineRule="exact" w:before="0"/>
                    <w:ind w:left="20" w:right="0" w:firstLine="0"/>
                    <w:jc w:val="left"/>
                    <w:rPr>
                      <w:rFonts w:ascii="Calibri"/>
                      <w:b/>
                      <w:sz w:val="20"/>
                    </w:rPr>
                  </w:pPr>
                  <w:r>
                    <w:rPr>
                      <w:rFonts w:ascii="Calibri"/>
                      <w:b/>
                      <w:sz w:val="20"/>
                    </w:rPr>
                    <w:t>Per cent of GDP</w:t>
                  </w:r>
                </w:p>
              </w:txbxContent>
            </v:textbox>
            <w10:wrap type="none"/>
          </v:shape>
        </w:pict>
      </w:r>
      <w:r>
        <w:rPr/>
        <w:t>All of these figures must regarded as imprecise and they are in any case subject to revision. They are the differences between large and inaccurately measured inflows and large and inaccurately measured outflows. So the general impression that they give is more important than any particular number. But the general impression is that, despite the depreciation, our balance of payments deficit is no smaller than it was before the depreciation; at least seen from this perspective the United Kingdom seems to have made no progress with rebalancing.</w:t>
      </w:r>
    </w:p>
    <w:p>
      <w:pPr>
        <w:pStyle w:val="BodyText"/>
        <w:rPr>
          <w:sz w:val="30"/>
        </w:rPr>
      </w:pPr>
    </w:p>
    <w:p>
      <w:pPr>
        <w:pStyle w:val="Heading1"/>
        <w:spacing w:line="240" w:lineRule="auto" w:before="1"/>
        <w:ind w:left="354"/>
      </w:pPr>
      <w:r>
        <w:rPr/>
        <w:t>Investment Income</w:t>
      </w:r>
    </w:p>
    <w:p>
      <w:pPr>
        <w:pStyle w:val="BodyText"/>
        <w:spacing w:line="360" w:lineRule="auto" w:before="114"/>
        <w:ind w:left="353" w:right="1164"/>
      </w:pPr>
      <w:r>
        <w:rPr/>
        <w:t>The flows of investment income require a detailed discussion. The United Kingdom, like the United States, is a net external debtor; our net external liabilities have varied between 5 and 30 per cent of GDP over the period since 1997. But despite being a net debtor, the United Kingdom, again like the United States, earns more investment income than it pays out (see Chart ). In that sense, our external debts appear to pay for themselves.</w:t>
      </w:r>
    </w:p>
    <w:p>
      <w:pPr>
        <w:pStyle w:val="BodyText"/>
        <w:rPr>
          <w:sz w:val="30"/>
        </w:rPr>
      </w:pPr>
    </w:p>
    <w:p>
      <w:pPr>
        <w:pStyle w:val="BodyText"/>
        <w:spacing w:line="360" w:lineRule="auto"/>
        <w:ind w:left="353" w:right="1119"/>
      </w:pPr>
      <w:r>
        <w:rPr/>
        <w:t>Chart 9 shows the net asset position of the United Kingdom together with investment income while Chart 10 shows the gross position</w:t>
      </w:r>
      <w:r>
        <w:rPr>
          <w:vertAlign w:val="superscript"/>
        </w:rPr>
        <w:t>2</w:t>
      </w:r>
      <w:r>
        <w:rPr>
          <w:vertAlign w:val="baseline"/>
        </w:rPr>
        <w:t>. It can be seen that, while in 2000 assets and liabilities were around three times GDP, this ratio rose to almost six in 2007. Valuation changes drove it up to well over seven in 2008. As Chart 9, shows these changes led to a marked reduction in the United Kingdom’s net external liabilities.</w:t>
      </w:r>
    </w:p>
    <w:p>
      <w:pPr>
        <w:pStyle w:val="BodyText"/>
        <w:spacing w:line="360" w:lineRule="auto"/>
        <w:ind w:left="354" w:right="1118"/>
      </w:pPr>
      <w:r>
        <w:rPr/>
        <w:pict>
          <v:group style="position:absolute;margin-left:57.044998pt;margin-top:117.904831pt;width:481.3pt;height:229.55pt;mso-position-horizontal-relative:page;mso-position-vertical-relative:paragraph;z-index:251732992" coordorigin="1141,2358" coordsize="9626,4591">
            <v:rect style="position:absolute;left:1149;top:2365;width:4584;height:4576" filled="true" fillcolor="#ffffff" stroked="false">
              <v:fill type="solid"/>
            </v:rect>
            <v:rect style="position:absolute;left:1148;top:2365;width:5106;height:4576" filled="false" stroked="true" strokeweight=".75pt" strokecolor="#000000">
              <v:stroke dashstyle="solid"/>
            </v:rect>
            <v:rect style="position:absolute;left:1300;top:3060;width:4433;height:3376" filled="true" fillcolor="#ffffff" stroked="false">
              <v:fill type="solid"/>
            </v:rect>
            <v:line style="position:absolute" from="1661,6005" to="4759,6005" stroked="true" strokeweight=".72pt" strokecolor="#868686">
              <v:stroke dashstyle="solid"/>
            </v:line>
            <v:line style="position:absolute" from="1661,5709" to="4759,5709" stroked="true" strokeweight=".72002pt" strokecolor="#868686">
              <v:stroke dashstyle="solid"/>
            </v:line>
            <v:line style="position:absolute" from="1661,5414" to="4759,5414" stroked="true" strokeweight=".72pt" strokecolor="#868686">
              <v:stroke dashstyle="solid"/>
            </v:line>
            <v:line style="position:absolute" from="1661,5118" to="4759,5118" stroked="true" strokeweight=".71999pt" strokecolor="#868686">
              <v:stroke dashstyle="solid"/>
            </v:line>
            <v:line style="position:absolute" from="1661,4822" to="4759,4822" stroked="true" strokeweight=".72pt" strokecolor="#868686">
              <v:stroke dashstyle="solid"/>
            </v:line>
            <v:line style="position:absolute" from="1661,4527" to="4759,4527" stroked="true" strokeweight=".71999pt" strokecolor="#868686">
              <v:stroke dashstyle="solid"/>
            </v:line>
            <v:shape style="position:absolute;left:1660;top:3935;width:3099;height:297" coordorigin="1661,3935" coordsize="3099,297" path="m1661,4232l4759,4232m1661,3935l4759,3935e" filled="false" stroked="true" strokeweight=".72pt" strokecolor="#868686">
              <v:path arrowok="t"/>
              <v:stroke dashstyle="solid"/>
            </v:shape>
            <v:line style="position:absolute" from="1661,3640" to="4759,3640" stroked="true" strokeweight=".72003pt" strokecolor="#868686">
              <v:stroke dashstyle="solid"/>
            </v:line>
            <v:shape style="position:absolute;left:1653;top:3576;width:2907;height:64" coordorigin="1654,3576" coordsize="2907,64" path="m1668,3576l1654,3576,1654,3640,1668,3640,1668,3576m1874,3576l1860,3576,1860,3640,1874,3640,1874,3576m2081,3576l2066,3576,2066,3640,2081,3640,2081,3576m2287,3576l2273,3576,2273,3640,2287,3640,2287,3576m2495,3576l2480,3576,2480,3640,2495,3640,2495,3576m2701,3576l2687,3576,2687,3640,2701,3640,2701,3576m2908,3576l2893,3576,2893,3640,2908,3640,2908,3576m3114,3576l3100,3576,3100,3640,3114,3640,3114,3576m3320,3576l3306,3576,3306,3640,3320,3640,3320,3576m3527,3576l3512,3576,3512,3640,3527,3640,3527,3576m3733,3576l3719,3576,3719,3640,3733,3640,3733,3576m3940,3576l3925,3576,3925,3640,3940,3640,3940,3576m4147,3576l4133,3576,4133,3640,4147,3640,4147,3576m4354,3576l4339,3576,4339,3640,4354,3640,4354,3576m4560,3576l4546,3576,4546,3640,4560,3640,4560,3576e" filled="true" fillcolor="#868686" stroked="false">
              <v:path arrowok="t"/>
              <v:fill type="solid"/>
            </v:shape>
            <v:line style="position:absolute" from="4759,3576" to="4759,6005" stroked="true" strokeweight=".72pt" strokecolor="#868686">
              <v:stroke dashstyle="solid"/>
            </v:line>
            <v:shape style="position:absolute;left:4759;top:3632;width:64;height:2380" coordorigin="4759,3633" coordsize="64,2380" path="m4823,5998l4759,5998,4759,6012,4823,6012,4823,5998m4823,5702l4759,5702,4759,5716,4823,5716,4823,5702m4823,5406l4759,5406,4759,5421,4823,5421,4823,5406m4823,5111l4759,5111,4759,5126,4823,5126,4823,5111m4823,4815l4759,4815,4759,4829,4823,4829,4823,4815m4823,4520l4759,4520,4759,4534,4823,4534,4823,4520m4823,4224l4759,4224,4759,4239,4823,4239,4823,4224m4823,3928l4759,3928,4759,3942,4823,3942,4823,3928m4823,3633l4759,3633,4759,3647,4823,3647,4823,3633e" filled="true" fillcolor="#868686" stroked="false">
              <v:path arrowok="t"/>
              <v:fill type="solid"/>
            </v:shape>
            <v:shape style="position:absolute;left:1738;top:4256;width:2942;height:1403" coordorigin="1739,4257" coordsize="2942,1403" path="m3399,5212l3604,5646,3607,5654,3614,5660,3630,5660,3637,5656,3642,5649,3655,5628,3643,5628,3605,5626,3626,5592,3449,5214,3402,5214,3399,5212xm3626,5592l3605,5626,3643,5628,3626,5592xm3808,5305l3626,5592,3643,5628,3655,5628,3848,5322,3852,5315,3854,5307,3808,5307,3808,5305xm4059,4282l4014,4282,4058,4283,4034,4406,4220,5577,4222,5586,4230,5595,4249,5597,4259,5591,4262,5583,4268,5571,4265,5571,4223,5565,4253,5497,4059,4282xm4253,5497l4223,5565,4265,5571,4253,5497xm4651,4930l4435,5093,4430,5098,4429,5102,4253,5497,4265,5571,4268,5571,4465,5128,4463,5128,4469,5120,4474,5120,4679,4965,4680,4950,4666,4931,4651,4930xm3811,5300l3808,5305,3808,5307,3811,5300xm3855,5300l3811,5300,3808,5307,3854,5307,3855,5300xm4048,4257l4026,4257,4016,4264,4014,4275,3808,5305,3811,5300,3855,5300,4034,4406,4014,4282,4059,4282,4058,4276,4056,4265,4048,4257xm3397,5207l3399,5212,3402,5214,3397,5207xm3445,5207l3397,5207,3402,5214,3449,5214,3445,5207xm3031,4511l2982,4511,3008,4524,2989,4529,3188,5014,3190,5018,3194,5022,3399,5212,3397,5207,3445,5207,3437,5189,3436,5186,3432,5182,3232,4997,3230,4997,3224,4990,3227,4990,3031,4511xm1989,5047l1992,5057,1996,5069,1988,5081,1970,5087,2182,5157,2195,5151,2198,5139,2203,5126,2156,5126,2164,5104,1989,5047xm4469,5120l4463,5128,4466,5125,4469,5120xm4466,5125l4463,5128,4465,5128,4466,5125xm2164,5104l2156,5126,2184,5111,2164,5104xm2387,4496l2378,4497,2371,4499,2365,4504,2363,4512,2164,5104,2184,5111,2156,5126,2203,5126,2393,4560,2368,4534,2405,4526,2423,4526,2400,4503,2394,4498,2387,4496xm4474,5120l4469,5120,4466,5125,4474,5120xm1952,5081l1964,5088,1970,5087,1964,5085,1952,5081xm1967,5039l1954,5045,1950,5057,1948,5065,1949,5069,1952,5081,1964,5085,1970,5087,1988,5081,1996,5069,1992,5057,1989,5047,1967,5039xm1948,5065l1946,5068,1952,5081,1949,5069,1948,5065xm1770,4287l1746,4294,1739,4306,1742,4318,1948,5065,1950,5057,1954,5045,1967,5039,1987,5039,1786,4306,1782,4294,1770,4287xm1987,5039l1967,5039,1989,5047,1987,5039xm3224,4990l3230,4997,3229,4995,3224,4990xm3229,4995l3230,4997,3232,4997,3229,4995xm3227,4990l3224,4990,3229,4995,3227,4990xm2423,4526l2405,4526,2393,4560,2574,4743,2582,4751,2596,4752,2604,4745,2644,4712,2606,4712,2576,4710,2592,4697,2423,4526xm2592,4697l2576,4710,2606,4712,2592,4697xm3008,4479l2998,4482,2791,4534,2788,4534,2785,4535,2783,4538,2592,4697,2606,4712,2644,4712,2806,4576,2802,4576,2810,4572,2816,4572,2989,4529,2982,4511,3031,4511,3024,4494,3019,4485,3008,4479xm2810,4572l2802,4576,2808,4575,2810,4572xm2808,4575l2802,4576,2806,4576,2808,4575xm2816,4572l2810,4572,2808,4575,2816,4572xm2405,4526l2368,4534,2393,4560,2405,4526xm2982,4511l2989,4529,3008,4524,2982,4511xm4014,4282l4034,4406,4058,4283,4014,4282xe" filled="true" fillcolor="#ff0000" stroked="false">
              <v:path arrowok="t"/>
              <v:fill type="solid"/>
            </v:shape>
            <v:shape style="position:absolute;left:1738;top:3780;width:2942;height:203" coordorigin="1739,3780" coordsize="2942,203" path="m1988,3851l1991,3860,1996,3870,1990,3884,1978,3887,1969,3890,2168,3981,2172,3983,2180,3983,2387,3959,2494,3941,2186,3941,2174,3939,2180,3938,1988,3851xm1955,3849l1757,3923,1745,3927,1739,3940,1744,3951,1747,3963,1760,3969,1771,3964,1969,3890,1951,3882,1945,3869,1951,3858,1955,3849xm2180,3938l2174,3939,2186,3941,2180,3938xm2797,3827l2792,3827,2791,3828,2586,3880,2381,3915,2180,3938,2186,3941,2494,3941,2594,3924,2797,3872,2796,3872,2802,3870,3229,3870,3415,3859,3410,3857,3557,3857,3469,3830,3004,3830,2797,3827xm3557,3857l3410,3857,3419,3858,3415,3859,3617,3922,3620,3923,3628,3923,3828,3880,3630,3880,3619,3879,3623,3878,3557,3857xm4192,3824l4042,3824,4035,3825,4236,3881,4238,3882,4241,3882,4447,3899,4453,3899,4597,3872,4672,3857,4673,3855,4445,3855,4447,3854,4259,3839,4248,3839,4192,3824xm1971,3843l1963,3846,1955,3849,1951,3858,1945,3869,1951,3882,1969,3890,1978,3887,1990,3884,1996,3870,1991,3860,1988,3851,1980,3848,1971,3843xm3623,3878l3619,3879,3630,3880,3623,3878xm4038,3780l4034,3780,4031,3782,3826,3834,3623,3878,3630,3880,3828,3880,3834,3879,4035,3825,4030,3824,4192,3824,4042,3782,4038,3780xm3229,3870l2802,3870,2797,3872,3002,3874,3210,3872,3229,3870xm2802,3870l2796,3872,2797,3872,2802,3870xm3410,3857l3415,3859,3419,3858,3410,3857xm4447,3854l4445,3855,4451,3855,4447,3854xm4663,3813l4447,3854,4451,3855,4673,3855,4680,3845,4675,3821,4663,3813xm1974,3842l1971,3843,1980,3848,1988,3851,1987,3848,1974,3842xm1969,3842l1956,3848,1955,3849,1963,3846,1971,3843,1969,3842xm4244,3838l4248,3839,4259,3839,4244,3838xm3421,3814l3415,3814,3209,3827,3004,3830,3469,3830,3424,3815,3421,3814xm4042,3824l4030,3824,4035,3825,4042,3824xe" filled="true" fillcolor="#4f81bd" stroked="false">
              <v:path arrowok="t"/>
              <v:fill type="solid"/>
            </v:shape>
            <v:line style="position:absolute" from="1553,6287" to="1981,6287" stroked="true" strokeweight="2.220pt" strokecolor="#ff0000">
              <v:stroke dashstyle="solid"/>
            </v:line>
            <v:line style="position:absolute" from="3638,6287" to="4067,6287" stroked="true" strokeweight="2.220pt" strokecolor="#4f81bd">
              <v:stroke dashstyle="solid"/>
            </v:line>
            <v:rect style="position:absolute;left:5733;top:2365;width:5026;height:4576" filled="true" fillcolor="#ffffff" stroked="false">
              <v:fill type="solid"/>
            </v:rect>
            <v:rect style="position:absolute;left:5733;top:2365;width:5026;height:4576" filled="false" stroked="true" strokeweight=".75pt" strokecolor="#000000">
              <v:stroke dashstyle="solid"/>
            </v:rect>
            <v:rect style="position:absolute;left:5886;top:2852;width:4666;height:3586" filled="true" fillcolor="#ffffff" stroked="false">
              <v:fill type="solid"/>
            </v:rect>
            <v:shape style="position:absolute;left:6184;top:4075;width:3773;height:1040" coordorigin="6185,4076" coordsize="3773,1040" path="m6185,5115l9958,5115m6185,4595l9958,4595m6185,4076l9958,4076e" filled="false" stroked="true" strokeweight=".72pt" strokecolor="#868686">
              <v:path arrowok="t"/>
              <v:stroke dashstyle="solid"/>
            </v:shape>
            <v:shape style="position:absolute;left:6184;top:3037;width:3773;height:2660" coordorigin="6185,3038" coordsize="3773,2660" path="m6185,3556l9958,3556m6185,3038l9958,3038m9958,3038l9958,5697e" filled="false" stroked="true" strokeweight=".72pt" strokecolor="#868686">
              <v:path arrowok="t"/>
              <v:stroke dashstyle="solid"/>
            </v:shape>
            <v:shape style="position:absolute;left:9957;top:3030;width:64;height:2610" coordorigin="9958,3030" coordsize="64,2610" path="m10021,5626l9958,5626,9958,5640,10021,5640,10021,5626m10021,5108l9958,5108,9958,5122,10021,5122,10021,5108m10021,4588l9958,4588,9958,4602,10021,4602,10021,4588m10021,4068l9958,4068,9958,4083,10021,4083,10021,4068m10021,3549l9958,3549,9958,3563,10021,3563,10021,3549m10021,3030l9958,3030,9958,3045,10021,3045,10021,3030e" filled="true" fillcolor="#868686" stroked="false">
              <v:path arrowok="t"/>
              <v:fill type="solid"/>
            </v:shape>
            <v:line style="position:absolute" from="6185,5633" to="9958,5633" stroked="true" strokeweight=".72pt" strokecolor="#868686">
              <v:stroke dashstyle="solid"/>
            </v:line>
            <v:shape style="position:absolute;left:6177;top:5633;width:3536;height:64" coordorigin="6178,5633" coordsize="3536,64" path="m6192,5633l6178,5633,6178,5697,6192,5697,6192,5633m6444,5633l6430,5633,6430,5697,6444,5697,6444,5633m6695,5633l6680,5633,6680,5697,6695,5697,6695,5633m6947,5633l6932,5633,6932,5697,6947,5697,6947,5633m7198,5633l7183,5633,7183,5697,7198,5697,7198,5633m7450,5633l7435,5633,7435,5697,7450,5697,7450,5633m7702,5633l7687,5633,7687,5697,7702,5697,7702,5633m7952,5633l7938,5633,7938,5697,7952,5697,7952,5633m8204,5633l8190,5633,8190,5697,8204,5697,8204,5633m8455,5633l8441,5633,8441,5697,8455,5697,8455,5633m8707,5633l8693,5633,8693,5697,8707,5697,8707,5633m8959,5633l8945,5633,8945,5697,8959,5697,8959,5633m9210,5633l9196,5633,9196,5697,9210,5697,9210,5633m9462,5633l9448,5633,9448,5697,9462,5697,9462,5633m9713,5633l9698,5633,9698,5697,9713,5697,9713,5633e" filled="true" fillcolor="#868686" stroked="false">
              <v:path arrowok="t"/>
              <v:fill type="solid"/>
            </v:shape>
            <v:shape style="position:absolute;left:6288;top:3631;width:3570;height:1414" coordorigin="6288,3632" coordsize="3570,1414" path="m6548,4985l6310,5001,6298,5001,6288,5012,6289,5024,6289,5036,6300,5045,6312,5044,6552,5028,6542,5021,6540,5008,6539,4996,6546,4985,6548,4985xm6565,5027l6563,5027,6552,5028,6553,5028,6565,5027xm6572,4983l6560,4984,6548,4985,6546,4985,6539,4996,6540,5008,6542,5021,6552,5028,6563,5027,6565,5027,6576,5025,6584,5016,6583,5004,6583,4992,6572,4983xm6576,5025l6565,5027,6575,5027,6576,5025xm6825,4983l6572,4983,6583,4992,6583,5004,6584,5016,6576,5025,6816,4986,6818,4985,6821,4985,6822,4984,6825,4983xm6809,4942l6558,4983,6548,4985,6560,4984,6572,4983,6825,4983,6911,4944,6804,4944,6809,4942xm7321,4822l7316,4822,7064,4830,7061,4830,7056,4833,6804,4944,6911,4944,7069,4875,7066,4875,7074,4872,7138,4872,7314,4867,7313,4866,7553,4866,7321,4822xm7553,4866l7318,4866,7314,4867,7564,4914,7572,4914,7794,4870,7564,4870,7568,4869,7553,4866xm7074,4872l7066,4875,7069,4875,7074,4872xm7069,4875l7066,4875,7069,4875,7069,4875xm7138,4872l7074,4872,7069,4875,7138,4872xm7568,4869l7564,4870,7572,4870,7568,4869xm7811,4821l7568,4869,7572,4870,7794,4870,7824,4864,7831,4862,7834,4859,7876,4824,7806,4824,7811,4821xm7318,4866l7313,4866,7314,4867,7318,4866xm7816,4820l7811,4821,7806,4824,7816,4820xm7881,4820l7816,4820,7806,4824,7876,4824,7881,4820xm8565,4433l8321,4455,8317,4455,8314,4456,8311,4458,8057,4617,7811,4821,7816,4820,7881,4820,8084,4652,8328,4499,8324,4499,8334,4496,8364,4496,8576,4476,8581,4476,8586,4474,8590,4470,8623,4438,8560,4438,8565,4433xm8334,4496l8324,4499,8329,4499,8334,4496xm8329,4499l8324,4499,8328,4499,8329,4499xm8364,4496l8334,4496,8329,4499,8364,4496xm8573,4432l8565,4433,8560,4438,8573,4432xm8629,4432l8573,4432,8560,4438,8623,4438,8629,4432xm8808,4197l8565,4433,8573,4432,8629,4432,8840,4227,8843,4224,8845,4220,8853,4202,8806,4202,8808,4197xm8810,4194l8808,4197,8806,4202,8810,4194xm8857,4194l8810,4194,8806,4202,8853,4202,8857,4194xm9084,3632l9076,3632,9067,3633,9060,3638,9058,3645,8808,4197,8810,4194,8857,4194,9081,3699,9059,3665,9097,3663,9110,3663,9096,3641,9091,3635,9084,3632xm9110,3663l9097,3663,9081,3699,9310,4056,9313,4062,9318,4066,9324,4067,9329,4068,9335,4067,9341,4064,9389,4032,9347,4032,9316,4026,9335,4014,9110,3663xm9335,4014l9316,4026,9347,4032,9335,4014xm9834,3738l9823,3744,9571,3861,9569,3861,9568,3862,9335,4014,9347,4032,9389,4032,9591,3900,9589,3900,9841,3784,9853,3779,9858,3766,9852,3755,9847,3743,9834,3738xm9593,3899l9589,3900,9591,3900,9593,3899xm9097,3663l9059,3665,9081,3699,9097,3663xe" filled="true" fillcolor="#4a7ebb" stroked="false">
              <v:path arrowok="t"/>
              <v:fill type="solid"/>
            </v:shape>
            <v:shape style="position:absolute;left:6286;top:3614;width:3572;height:1416" coordorigin="6287,3615" coordsize="3572,1416" path="m6545,4937l6294,4988,6287,5000,6292,5024,6304,5031,6560,4979,6554,4979,6542,4972,6538,4948,6545,4937xm6569,4932l6545,4937,6538,4948,6542,4972,6554,4979,6566,4978,6578,4976,6586,4964,6581,4940,6569,4932xm6567,4978l6566,4978,6554,4979,6560,4979,6567,4978xm6818,4932l6569,4932,6581,4940,6586,4964,6578,4976,6567,4978,6817,4934,6818,4934,6818,4932xm6809,4889l6558,4934,6546,4936,6545,4937,6569,4932,6820,4932,6946,4890,6806,4890,6809,4889xm7321,4787l7315,4787,7063,4805,7060,4805,7058,4806,6806,4890,6946,4890,7068,4850,7067,4850,7072,4848,7084,4848,7313,4832,7312,4832,7523,4832,7321,4787xm7523,4832l7319,4832,7313,4832,7562,4887,7572,4887,7811,4842,7564,4842,7568,4842,7523,4832xm7072,4848l7067,4850,7068,4849,7072,4848xm7068,4849l7067,4850,7068,4850,7068,4849xm7084,4848l7072,4848,7068,4849,7084,4848xm7568,4842l7564,4842,7572,4842,7568,4842xm7810,4797l7568,4842,7572,4842,7811,4842,7824,4840,7828,4839,7835,4834,7870,4802,7805,4802,7810,4797xm7319,4832l7312,4832,7313,4832,7319,4832xm7816,4796l7810,4797,7805,4802,7816,4796xm7876,4796l7816,4796,7805,4802,7870,4802,7876,4796xm8565,4357l8318,4400,8316,4401,8312,4402,8310,4403,8058,4568,8056,4570,7810,4797,7816,4796,7876,4796,8086,4602,8087,4602,8330,4444,8327,4444,8335,4440,8348,4440,8579,4401,8586,4398,8590,4395,8625,4362,8560,4362,8565,4357xm8087,4602l8086,4602,8083,4605,8087,4602xm8335,4440l8327,4444,8331,4443,8335,4440xm8331,4443l8327,4444,8330,4444,8331,4443xm8348,4440l8335,4440,8331,4443,8348,4440xm8570,4356l8565,4357,8560,4362,8570,4356xm8632,4356l8570,4356,8560,4362,8625,4362,8632,4356xm8807,4137l8565,4357,8570,4356,8632,4356,8840,4167,8843,4166,8855,4140,8806,4140,8807,4137xm8810,4134l8807,4137,8806,4140,8810,4134xm8858,4134l8810,4134,8806,4140,8855,4140,8858,4134xm9083,3615l9076,3616,9067,3617,9061,3622,9058,3628,8807,4137,8810,4134,8858,4134,9081,3681,9060,3652,9097,3648,9113,3648,9095,3624,9090,3618,9083,3615xm9113,3648l9097,3648,9081,3681,9311,3987,9317,3995,9330,3998,9340,3993,9398,3959,9346,3959,9317,3953,9334,3943,9113,3648xm9334,3943l9317,3953,9346,3959,9334,3943xm9834,3694l9823,3699,9569,3809,9334,3943,9346,3959,9398,3959,9592,3849,9852,3735,9858,3722,9852,3711,9847,3700,9834,3694xm9097,3648l9060,3652,9081,3681,9097,3648xe" filled="true" fillcolor="#ff0000" stroked="false">
              <v:path arrowok="t"/>
              <v:fill type="solid"/>
            </v:shape>
            <v:line style="position:absolute" from="6950,6285" to="7379,6285" stroked="true" strokeweight="2.220pt" strokecolor="#4a7ebb">
              <v:stroke dashstyle="solid"/>
            </v:line>
            <v:line style="position:absolute" from="8148,6285" to="8576,6285" stroked="true" strokeweight="2.220pt" strokecolor="#ff0000">
              <v:stroke dashstyle="solid"/>
            </v:line>
            <v:shape style="position:absolute;left:5886;top:6597;width:2830;height:179" type="#_x0000_t202" filled="false" stroked="false">
              <v:textbox inset="0,0,0,0">
                <w:txbxContent>
                  <w:p>
                    <w:pPr>
                      <w:spacing w:line="178" w:lineRule="exact" w:before="0"/>
                      <w:ind w:left="0" w:right="0" w:firstLine="0"/>
                      <w:jc w:val="left"/>
                      <w:rPr>
                        <w:sz w:val="16"/>
                      </w:rPr>
                    </w:pPr>
                    <w:r>
                      <w:rPr>
                        <w:sz w:val="16"/>
                      </w:rPr>
                      <w:t>Source: UK Balance of Payments, ONS</w:t>
                    </w:r>
                  </w:p>
                </w:txbxContent>
              </v:textbox>
              <w10:wrap type="none"/>
            </v:shape>
            <v:shape style="position:absolute;left:8594;top:6193;width:778;height:201" type="#_x0000_t202" filled="false" stroked="false">
              <v:textbox inset="0,0,0,0">
                <w:txbxContent>
                  <w:p>
                    <w:pPr>
                      <w:spacing w:line="200" w:lineRule="exact" w:before="0"/>
                      <w:ind w:left="0" w:right="0" w:firstLine="0"/>
                      <w:jc w:val="left"/>
                      <w:rPr>
                        <w:rFonts w:ascii="Calibri"/>
                        <w:sz w:val="20"/>
                      </w:rPr>
                    </w:pPr>
                    <w:r>
                      <w:rPr>
                        <w:rFonts w:ascii="Calibri"/>
                        <w:sz w:val="20"/>
                      </w:rPr>
                      <w:t>Liabilities</w:t>
                    </w:r>
                  </w:p>
                </w:txbxContent>
              </v:textbox>
              <w10:wrap type="none"/>
            </v:shape>
            <v:shape style="position:absolute;left:7396;top:6193;width:539;height:201" type="#_x0000_t202" filled="false" stroked="false">
              <v:textbox inset="0,0,0,0">
                <w:txbxContent>
                  <w:p>
                    <w:pPr>
                      <w:spacing w:line="200" w:lineRule="exact" w:before="0"/>
                      <w:ind w:left="0" w:right="0" w:firstLine="0"/>
                      <w:jc w:val="left"/>
                      <w:rPr>
                        <w:rFonts w:ascii="Calibri"/>
                        <w:sz w:val="20"/>
                      </w:rPr>
                    </w:pPr>
                    <w:r>
                      <w:rPr>
                        <w:rFonts w:ascii="Calibri"/>
                        <w:sz w:val="20"/>
                      </w:rPr>
                      <w:t>Assets</w:t>
                    </w:r>
                  </w:p>
                </w:txbxContent>
              </v:textbox>
              <w10:wrap type="none"/>
            </v:shape>
            <v:shape style="position:absolute;left:10142;top:2944;width:225;height:2798" type="#_x0000_t202" filled="false" stroked="false">
              <v:textbox inset="0,0,0,0">
                <w:txbxContent>
                  <w:p>
                    <w:pPr>
                      <w:spacing w:line="204" w:lineRule="exact" w:before="0"/>
                      <w:ind w:left="0" w:right="0" w:firstLine="0"/>
                      <w:jc w:val="left"/>
                      <w:rPr>
                        <w:rFonts w:ascii="Calibri"/>
                        <w:sz w:val="20"/>
                      </w:rPr>
                    </w:pPr>
                    <w:r>
                      <w:rPr>
                        <w:rFonts w:ascii="Calibri"/>
                        <w:sz w:val="20"/>
                      </w:rPr>
                      <w:t>10</w:t>
                    </w:r>
                  </w:p>
                  <w:p>
                    <w:pPr>
                      <w:spacing w:line="240" w:lineRule="auto" w:before="6"/>
                      <w:rPr>
                        <w:rFonts w:ascii="Calibri"/>
                        <w:sz w:val="22"/>
                      </w:rPr>
                    </w:pPr>
                  </w:p>
                  <w:p>
                    <w:pPr>
                      <w:spacing w:before="1"/>
                      <w:ind w:left="0" w:right="0" w:firstLine="0"/>
                      <w:jc w:val="left"/>
                      <w:rPr>
                        <w:rFonts w:ascii="Calibri"/>
                        <w:sz w:val="20"/>
                      </w:rPr>
                    </w:pPr>
                    <w:r>
                      <w:rPr>
                        <w:rFonts w:ascii="Calibri"/>
                        <w:w w:val="100"/>
                        <w:sz w:val="20"/>
                      </w:rPr>
                      <w:t>8</w:t>
                    </w:r>
                  </w:p>
                  <w:p>
                    <w:pPr>
                      <w:spacing w:line="240" w:lineRule="auto" w:before="5"/>
                      <w:rPr>
                        <w:rFonts w:ascii="Calibri"/>
                        <w:sz w:val="22"/>
                      </w:rPr>
                    </w:pPr>
                  </w:p>
                  <w:p>
                    <w:pPr>
                      <w:spacing w:before="0"/>
                      <w:ind w:left="0" w:right="0" w:firstLine="0"/>
                      <w:jc w:val="left"/>
                      <w:rPr>
                        <w:rFonts w:ascii="Calibri"/>
                        <w:sz w:val="20"/>
                      </w:rPr>
                    </w:pPr>
                    <w:r>
                      <w:rPr>
                        <w:rFonts w:ascii="Calibri"/>
                        <w:w w:val="100"/>
                        <w:sz w:val="20"/>
                      </w:rPr>
                      <w:t>6</w:t>
                    </w:r>
                  </w:p>
                  <w:p>
                    <w:pPr>
                      <w:spacing w:line="240" w:lineRule="auto" w:before="7"/>
                      <w:rPr>
                        <w:rFonts w:ascii="Calibri"/>
                        <w:sz w:val="22"/>
                      </w:rPr>
                    </w:pPr>
                  </w:p>
                  <w:p>
                    <w:pPr>
                      <w:spacing w:before="0"/>
                      <w:ind w:left="0" w:right="0" w:firstLine="0"/>
                      <w:jc w:val="left"/>
                      <w:rPr>
                        <w:rFonts w:ascii="Calibri"/>
                        <w:sz w:val="20"/>
                      </w:rPr>
                    </w:pPr>
                    <w:r>
                      <w:rPr>
                        <w:rFonts w:ascii="Calibri"/>
                        <w:w w:val="100"/>
                        <w:sz w:val="20"/>
                      </w:rPr>
                      <w:t>4</w:t>
                    </w:r>
                  </w:p>
                  <w:p>
                    <w:pPr>
                      <w:spacing w:line="240" w:lineRule="auto" w:before="7"/>
                      <w:rPr>
                        <w:rFonts w:ascii="Calibri"/>
                        <w:sz w:val="22"/>
                      </w:rPr>
                    </w:pPr>
                  </w:p>
                  <w:p>
                    <w:pPr>
                      <w:spacing w:before="0"/>
                      <w:ind w:left="0" w:right="0" w:firstLine="0"/>
                      <w:jc w:val="left"/>
                      <w:rPr>
                        <w:rFonts w:ascii="Calibri"/>
                        <w:sz w:val="20"/>
                      </w:rPr>
                    </w:pPr>
                    <w:r>
                      <w:rPr>
                        <w:rFonts w:ascii="Calibri"/>
                        <w:w w:val="100"/>
                        <w:sz w:val="20"/>
                      </w:rPr>
                      <w:t>2</w:t>
                    </w:r>
                  </w:p>
                  <w:p>
                    <w:pPr>
                      <w:spacing w:line="240" w:lineRule="auto" w:before="7"/>
                      <w:rPr>
                        <w:rFonts w:ascii="Calibri"/>
                        <w:sz w:val="22"/>
                      </w:rPr>
                    </w:pPr>
                  </w:p>
                  <w:p>
                    <w:pPr>
                      <w:spacing w:line="241" w:lineRule="exact" w:before="0"/>
                      <w:ind w:left="0" w:right="0" w:firstLine="0"/>
                      <w:jc w:val="left"/>
                      <w:rPr>
                        <w:rFonts w:ascii="Calibri"/>
                        <w:sz w:val="20"/>
                      </w:rPr>
                    </w:pPr>
                    <w:r>
                      <w:rPr>
                        <w:rFonts w:ascii="Calibri"/>
                        <w:w w:val="100"/>
                        <w:sz w:val="20"/>
                      </w:rPr>
                      <w:t>0</w:t>
                    </w:r>
                  </w:p>
                </w:txbxContent>
              </v:textbox>
              <w10:wrap type="none"/>
            </v:shape>
            <v:shape style="position:absolute;left:5886;top:2448;width:3861;height:202" type="#_x0000_t202" filled="false" stroked="false">
              <v:textbox inset="0,0,0,0">
                <w:txbxContent>
                  <w:p>
                    <w:pPr>
                      <w:spacing w:line="201" w:lineRule="exact" w:before="0"/>
                      <w:ind w:left="0" w:right="0" w:firstLine="0"/>
                      <w:jc w:val="left"/>
                      <w:rPr>
                        <w:b/>
                        <w:sz w:val="18"/>
                      </w:rPr>
                    </w:pPr>
                    <w:r>
                      <w:rPr>
                        <w:b/>
                        <w:color w:val="4F82BD"/>
                        <w:sz w:val="18"/>
                      </w:rPr>
                      <w:t>Chart 10: UK Overseas Assets and Liabilities</w:t>
                    </w:r>
                  </w:p>
                </w:txbxContent>
              </v:textbox>
              <w10:wrap type="none"/>
            </v:shape>
            <v:shape style="position:absolute;left:1300;top:6593;width:2830;height:179" type="#_x0000_t202" filled="false" stroked="false">
              <v:textbox inset="0,0,0,0">
                <w:txbxContent>
                  <w:p>
                    <w:pPr>
                      <w:spacing w:line="178" w:lineRule="exact" w:before="0"/>
                      <w:ind w:left="0" w:right="0" w:firstLine="0"/>
                      <w:jc w:val="left"/>
                      <w:rPr>
                        <w:sz w:val="16"/>
                      </w:rPr>
                    </w:pPr>
                    <w:r>
                      <w:rPr>
                        <w:sz w:val="16"/>
                      </w:rPr>
                      <w:t>Source: UK Balance of Payments, ONS</w:t>
                    </w:r>
                  </w:p>
                </w:txbxContent>
              </v:textbox>
              <w10:wrap type="none"/>
            </v:shape>
            <v:shape style="position:absolute;left:4084;top:3547;width:1587;height:2847" type="#_x0000_t202" filled="false" stroked="false">
              <v:textbox inset="0,0,0,0">
                <w:txbxContent>
                  <w:p>
                    <w:pPr>
                      <w:spacing w:line="204" w:lineRule="exact" w:before="0"/>
                      <w:ind w:left="860" w:right="0" w:firstLine="0"/>
                      <w:jc w:val="left"/>
                      <w:rPr>
                        <w:rFonts w:ascii="Calibri"/>
                        <w:sz w:val="20"/>
                      </w:rPr>
                    </w:pPr>
                    <w:r>
                      <w:rPr>
                        <w:rFonts w:ascii="Calibri"/>
                        <w:sz w:val="20"/>
                      </w:rPr>
                      <w:t>5%</w:t>
                    </w:r>
                  </w:p>
                  <w:p>
                    <w:pPr>
                      <w:spacing w:before="51"/>
                      <w:ind w:left="860" w:right="0" w:firstLine="0"/>
                      <w:jc w:val="left"/>
                      <w:rPr>
                        <w:rFonts w:ascii="Calibri"/>
                        <w:sz w:val="20"/>
                      </w:rPr>
                    </w:pPr>
                    <w:r>
                      <w:rPr>
                        <w:rFonts w:ascii="Calibri"/>
                        <w:sz w:val="20"/>
                      </w:rPr>
                      <w:t>0%</w:t>
                    </w:r>
                  </w:p>
                  <w:p>
                    <w:pPr>
                      <w:spacing w:before="52"/>
                      <w:ind w:left="859" w:right="0" w:firstLine="0"/>
                      <w:jc w:val="left"/>
                      <w:rPr>
                        <w:rFonts w:ascii="Calibri" w:hAnsi="Calibri"/>
                        <w:sz w:val="20"/>
                      </w:rPr>
                    </w:pPr>
                    <w:r>
                      <w:rPr>
                        <w:rFonts w:ascii="Calibri" w:hAnsi="Calibri"/>
                        <w:sz w:val="20"/>
                      </w:rPr>
                      <w:t>‐5%</w:t>
                    </w:r>
                  </w:p>
                  <w:p>
                    <w:pPr>
                      <w:spacing w:before="51"/>
                      <w:ind w:left="860" w:right="0" w:firstLine="0"/>
                      <w:jc w:val="left"/>
                      <w:rPr>
                        <w:rFonts w:ascii="Calibri" w:hAnsi="Calibri"/>
                        <w:sz w:val="20"/>
                      </w:rPr>
                    </w:pPr>
                    <w:r>
                      <w:rPr>
                        <w:rFonts w:ascii="Calibri" w:hAnsi="Calibri"/>
                        <w:sz w:val="20"/>
                      </w:rPr>
                      <w:t>‐10%</w:t>
                    </w:r>
                  </w:p>
                  <w:p>
                    <w:pPr>
                      <w:spacing w:before="51"/>
                      <w:ind w:left="860" w:right="0" w:firstLine="0"/>
                      <w:jc w:val="left"/>
                      <w:rPr>
                        <w:rFonts w:ascii="Calibri" w:hAnsi="Calibri"/>
                        <w:sz w:val="20"/>
                      </w:rPr>
                    </w:pPr>
                    <w:r>
                      <w:rPr>
                        <w:rFonts w:ascii="Calibri" w:hAnsi="Calibri"/>
                        <w:sz w:val="20"/>
                      </w:rPr>
                      <w:t>‐15%</w:t>
                    </w:r>
                  </w:p>
                  <w:p>
                    <w:pPr>
                      <w:spacing w:before="52"/>
                      <w:ind w:left="860" w:right="0" w:firstLine="0"/>
                      <w:jc w:val="left"/>
                      <w:rPr>
                        <w:rFonts w:ascii="Calibri" w:hAnsi="Calibri"/>
                        <w:sz w:val="20"/>
                      </w:rPr>
                    </w:pPr>
                    <w:r>
                      <w:rPr>
                        <w:rFonts w:ascii="Calibri" w:hAnsi="Calibri"/>
                        <w:sz w:val="20"/>
                      </w:rPr>
                      <w:t>‐20%</w:t>
                    </w:r>
                  </w:p>
                  <w:p>
                    <w:pPr>
                      <w:spacing w:before="51"/>
                      <w:ind w:left="860" w:right="0" w:firstLine="0"/>
                      <w:jc w:val="left"/>
                      <w:rPr>
                        <w:rFonts w:ascii="Calibri" w:hAnsi="Calibri"/>
                        <w:sz w:val="20"/>
                      </w:rPr>
                    </w:pPr>
                    <w:r>
                      <w:rPr>
                        <w:rFonts w:ascii="Calibri" w:hAnsi="Calibri"/>
                        <w:sz w:val="20"/>
                      </w:rPr>
                      <w:t>‐25%</w:t>
                    </w:r>
                  </w:p>
                  <w:p>
                    <w:pPr>
                      <w:spacing w:before="52"/>
                      <w:ind w:left="860" w:right="0" w:firstLine="0"/>
                      <w:jc w:val="left"/>
                      <w:rPr>
                        <w:rFonts w:ascii="Calibri" w:hAnsi="Calibri"/>
                        <w:sz w:val="20"/>
                      </w:rPr>
                    </w:pPr>
                    <w:r>
                      <w:rPr>
                        <w:rFonts w:ascii="Calibri" w:hAnsi="Calibri"/>
                        <w:sz w:val="20"/>
                      </w:rPr>
                      <w:t>‐30%</w:t>
                    </w:r>
                  </w:p>
                  <w:p>
                    <w:pPr>
                      <w:spacing w:before="52"/>
                      <w:ind w:left="860" w:right="0" w:firstLine="0"/>
                      <w:jc w:val="left"/>
                      <w:rPr>
                        <w:rFonts w:ascii="Calibri" w:hAnsi="Calibri"/>
                        <w:sz w:val="20"/>
                      </w:rPr>
                    </w:pPr>
                    <w:r>
                      <w:rPr>
                        <w:rFonts w:ascii="Calibri" w:hAnsi="Calibri"/>
                        <w:sz w:val="20"/>
                      </w:rPr>
                      <w:t>‐35%</w:t>
                    </w:r>
                  </w:p>
                  <w:p>
                    <w:pPr>
                      <w:spacing w:line="241" w:lineRule="exact" w:before="36"/>
                      <w:ind w:left="0" w:right="0" w:firstLine="0"/>
                      <w:jc w:val="left"/>
                      <w:rPr>
                        <w:rFonts w:ascii="Calibri"/>
                        <w:sz w:val="20"/>
                      </w:rPr>
                    </w:pPr>
                    <w:r>
                      <w:rPr>
                        <w:rFonts w:ascii="Calibri"/>
                        <w:sz w:val="20"/>
                      </w:rPr>
                      <w:t>Investment income</w:t>
                    </w:r>
                  </w:p>
                </w:txbxContent>
              </v:textbox>
              <w10:wrap type="none"/>
            </v:shape>
            <v:shape style="position:absolute;left:1999;top:6193;width:1619;height:201" type="#_x0000_t202" filled="false" stroked="false">
              <v:textbox inset="0,0,0,0">
                <w:txbxContent>
                  <w:p>
                    <w:pPr>
                      <w:spacing w:line="200" w:lineRule="exact" w:before="0"/>
                      <w:ind w:left="0" w:right="0" w:firstLine="0"/>
                      <w:jc w:val="left"/>
                      <w:rPr>
                        <w:rFonts w:ascii="Calibri"/>
                        <w:sz w:val="20"/>
                      </w:rPr>
                    </w:pPr>
                    <w:r>
                      <w:rPr>
                        <w:rFonts w:ascii="Calibri"/>
                        <w:sz w:val="20"/>
                      </w:rPr>
                      <w:t>Net overseas assets</w:t>
                    </w:r>
                  </w:p>
                </w:txbxContent>
              </v:textbox>
              <w10:wrap type="none"/>
            </v:shape>
            <v:shape style="position:absolute;left:1300;top:2448;width:4264;height:408" type="#_x0000_t202" filled="false" stroked="false">
              <v:textbox inset="0,0,0,0">
                <w:txbxContent>
                  <w:p>
                    <w:pPr>
                      <w:spacing w:line="240" w:lineRule="auto" w:before="0"/>
                      <w:ind w:left="0" w:right="2" w:firstLine="0"/>
                      <w:jc w:val="left"/>
                      <w:rPr>
                        <w:b/>
                        <w:sz w:val="18"/>
                      </w:rPr>
                    </w:pPr>
                    <w:r>
                      <w:rPr>
                        <w:b/>
                        <w:color w:val="4F82BD"/>
                        <w:sz w:val="18"/>
                      </w:rPr>
                      <w:t>Chart 9: UK Investment Income and Net Overseas Assets</w:t>
                    </w:r>
                  </w:p>
                </w:txbxContent>
              </v:textbox>
              <w10:wrap type="none"/>
            </v:shape>
            <w10:wrap type="none"/>
          </v:group>
        </w:pict>
      </w:r>
      <w:r>
        <w:rPr/>
        <w:pict>
          <v:shape style="position:absolute;margin-left:225.876633pt;margin-top:154.29953pt;width:12.05pt;height:22.45pt;mso-position-horizontal-relative:page;mso-position-vertical-relative:paragraph;z-index:251735040" type="#_x0000_t202" filled="false" stroked="false">
            <v:textbox inset="0,0,0,0" style="layout-flow:vertical">
              <w:txbxContent>
                <w:p>
                  <w:pPr>
                    <w:pStyle w:val="BodyText"/>
                    <w:spacing w:line="224" w:lineRule="exact"/>
                    <w:ind w:left="20"/>
                    <w:rPr>
                      <w:rFonts w:ascii="Calibri"/>
                    </w:rPr>
                  </w:pPr>
                  <w:r>
                    <w:rPr>
                      <w:rFonts w:ascii="Calibri"/>
                    </w:rPr>
                    <w:t>2011</w:t>
                  </w:r>
                </w:p>
              </w:txbxContent>
            </v:textbox>
            <w10:wrap type="none"/>
          </v:shape>
        </w:pict>
      </w:r>
      <w:r>
        <w:rPr/>
        <w:pict>
          <v:shape style="position:absolute;margin-left:205.236435pt;margin-top:154.29953pt;width:12.05pt;height:22.45pt;mso-position-horizontal-relative:page;mso-position-vertical-relative:paragraph;z-index:251736064" type="#_x0000_t202" filled="false" stroked="false">
            <v:textbox inset="0,0,0,0" style="layout-flow:vertical">
              <w:txbxContent>
                <w:p>
                  <w:pPr>
                    <w:pStyle w:val="BodyText"/>
                    <w:spacing w:line="224" w:lineRule="exact"/>
                    <w:ind w:left="20"/>
                    <w:rPr>
                      <w:rFonts w:ascii="Calibri"/>
                    </w:rPr>
                  </w:pPr>
                  <w:r>
                    <w:rPr>
                      <w:rFonts w:ascii="Calibri"/>
                    </w:rPr>
                    <w:t>2009</w:t>
                  </w:r>
                </w:p>
              </w:txbxContent>
            </v:textbox>
            <w10:wrap type="none"/>
          </v:shape>
        </w:pict>
      </w:r>
      <w:r>
        <w:rPr/>
        <w:pict>
          <v:shape style="position:absolute;margin-left:184.536102pt;margin-top:154.29953pt;width:12.05pt;height:22.45pt;mso-position-horizontal-relative:page;mso-position-vertical-relative:paragraph;z-index:251737088" type="#_x0000_t202" filled="false" stroked="false">
            <v:textbox inset="0,0,0,0" style="layout-flow:vertical">
              <w:txbxContent>
                <w:p>
                  <w:pPr>
                    <w:pStyle w:val="BodyText"/>
                    <w:spacing w:line="224" w:lineRule="exact"/>
                    <w:ind w:left="20"/>
                    <w:rPr>
                      <w:rFonts w:ascii="Calibri"/>
                    </w:rPr>
                  </w:pPr>
                  <w:r>
                    <w:rPr>
                      <w:rFonts w:ascii="Calibri"/>
                    </w:rPr>
                    <w:t>2007</w:t>
                  </w:r>
                </w:p>
              </w:txbxContent>
            </v:textbox>
            <w10:wrap type="none"/>
          </v:shape>
        </w:pict>
      </w:r>
      <w:r>
        <w:rPr/>
        <w:pict>
          <v:shape style="position:absolute;margin-left:163.895905pt;margin-top:154.29953pt;width:12.05pt;height:22.45pt;mso-position-horizontal-relative:page;mso-position-vertical-relative:paragraph;z-index:251738112" type="#_x0000_t202" filled="false" stroked="false">
            <v:textbox inset="0,0,0,0" style="layout-flow:vertical">
              <w:txbxContent>
                <w:p>
                  <w:pPr>
                    <w:pStyle w:val="BodyText"/>
                    <w:spacing w:line="224" w:lineRule="exact"/>
                    <w:ind w:left="20"/>
                    <w:rPr>
                      <w:rFonts w:ascii="Calibri"/>
                    </w:rPr>
                  </w:pPr>
                  <w:r>
                    <w:rPr>
                      <w:rFonts w:ascii="Calibri"/>
                    </w:rPr>
                    <w:t>2005</w:t>
                  </w:r>
                </w:p>
              </w:txbxContent>
            </v:textbox>
            <w10:wrap type="none"/>
          </v:shape>
        </w:pict>
      </w:r>
      <w:r>
        <w:rPr/>
        <w:pict>
          <v:shape style="position:absolute;margin-left:143.255707pt;margin-top:154.29953pt;width:12.05pt;height:22.45pt;mso-position-horizontal-relative:page;mso-position-vertical-relative:paragraph;z-index:251739136" type="#_x0000_t202" filled="false" stroked="false">
            <v:textbox inset="0,0,0,0" style="layout-flow:vertical">
              <w:txbxContent>
                <w:p>
                  <w:pPr>
                    <w:pStyle w:val="BodyText"/>
                    <w:spacing w:line="224" w:lineRule="exact"/>
                    <w:ind w:left="20"/>
                    <w:rPr>
                      <w:rFonts w:ascii="Calibri"/>
                    </w:rPr>
                  </w:pPr>
                  <w:r>
                    <w:rPr>
                      <w:rFonts w:ascii="Calibri"/>
                    </w:rPr>
                    <w:t>2003</w:t>
                  </w:r>
                </w:p>
              </w:txbxContent>
            </v:textbox>
            <w10:wrap type="none"/>
          </v:shape>
        </w:pict>
      </w:r>
      <w:r>
        <w:rPr/>
        <w:pict>
          <v:shape style="position:absolute;margin-left:122.555397pt;margin-top:154.29953pt;width:12.05pt;height:22.45pt;mso-position-horizontal-relative:page;mso-position-vertical-relative:paragraph;z-index:251740160" type="#_x0000_t202" filled="false" stroked="false">
            <v:textbox inset="0,0,0,0" style="layout-flow:vertical">
              <w:txbxContent>
                <w:p>
                  <w:pPr>
                    <w:pStyle w:val="BodyText"/>
                    <w:spacing w:line="224" w:lineRule="exact"/>
                    <w:ind w:left="20"/>
                    <w:rPr>
                      <w:rFonts w:ascii="Calibri"/>
                    </w:rPr>
                  </w:pPr>
                  <w:r>
                    <w:rPr>
                      <w:rFonts w:ascii="Calibri"/>
                    </w:rPr>
                    <w:t>2001</w:t>
                  </w:r>
                </w:p>
              </w:txbxContent>
            </v:textbox>
            <w10:wrap type="none"/>
          </v:shape>
        </w:pict>
      </w:r>
      <w:r>
        <w:rPr/>
        <w:pict>
          <v:shape style="position:absolute;margin-left:101.915199pt;margin-top:154.29953pt;width:12.05pt;height:22.45pt;mso-position-horizontal-relative:page;mso-position-vertical-relative:paragraph;z-index:251741184" type="#_x0000_t202" filled="false" stroked="false">
            <v:textbox inset="0,0,0,0" style="layout-flow:vertical">
              <w:txbxContent>
                <w:p>
                  <w:pPr>
                    <w:pStyle w:val="BodyText"/>
                    <w:spacing w:line="224" w:lineRule="exact"/>
                    <w:ind w:left="20"/>
                    <w:rPr>
                      <w:rFonts w:ascii="Calibri"/>
                    </w:rPr>
                  </w:pPr>
                  <w:r>
                    <w:rPr>
                      <w:rFonts w:ascii="Calibri"/>
                    </w:rPr>
                    <w:t>1999</w:t>
                  </w:r>
                </w:p>
              </w:txbxContent>
            </v:textbox>
            <w10:wrap type="none"/>
          </v:shape>
        </w:pict>
      </w:r>
      <w:r>
        <w:rPr/>
        <w:pict>
          <v:shape style="position:absolute;margin-left:81.275002pt;margin-top:154.29953pt;width:12.05pt;height:22.45pt;mso-position-horizontal-relative:page;mso-position-vertical-relative:paragraph;z-index:251742208" type="#_x0000_t202" filled="false" stroked="false">
            <v:textbox inset="0,0,0,0" style="layout-flow:vertical">
              <w:txbxContent>
                <w:p>
                  <w:pPr>
                    <w:pStyle w:val="BodyText"/>
                    <w:spacing w:line="224" w:lineRule="exact"/>
                    <w:ind w:left="20"/>
                    <w:rPr>
                      <w:rFonts w:ascii="Calibri"/>
                    </w:rPr>
                  </w:pPr>
                  <w:r>
                    <w:rPr>
                      <w:rFonts w:ascii="Calibri"/>
                    </w:rPr>
                    <w:t>1997</w:t>
                  </w:r>
                </w:p>
              </w:txbxContent>
            </v:textbox>
            <w10:wrap type="none"/>
          </v:shape>
        </w:pict>
      </w:r>
      <w:r>
        <w:rPr/>
        <w:pict>
          <v:shape style="position:absolute;margin-left:514.864929pt;margin-top:182.654312pt;width:12.05pt;height:68.350pt;mso-position-horizontal-relative:page;mso-position-vertical-relative:paragraph;z-index:251744256" type="#_x0000_t202" filled="false" stroked="false">
            <v:textbox inset="0,0,0,0" style="layout-flow:vertical;mso-layout-flow-alt:bottom-to-top">
              <w:txbxContent>
                <w:p>
                  <w:pPr>
                    <w:spacing w:line="224" w:lineRule="exact" w:before="0"/>
                    <w:ind w:left="20" w:right="0" w:firstLine="0"/>
                    <w:jc w:val="left"/>
                    <w:rPr>
                      <w:rFonts w:ascii="Calibri"/>
                      <w:b/>
                      <w:sz w:val="20"/>
                    </w:rPr>
                  </w:pPr>
                  <w:r>
                    <w:rPr>
                      <w:rFonts w:ascii="Calibri"/>
                      <w:b/>
                      <w:sz w:val="20"/>
                    </w:rPr>
                    <w:t>Multiple of GDP</w:t>
                  </w:r>
                </w:p>
              </w:txbxContent>
            </v:textbox>
            <w10:wrap type="none"/>
          </v:shape>
        </w:pict>
      </w:r>
      <w:r>
        <w:rPr/>
        <w:t>Gourinchas, Rey and Truebler (2012) attribute 60 per cent of the net improvement to the exchange rate depreciation, with the United Kingdom’s assets being disproportionately denominated in foreign currency and its liabilities disproportionately denominated in sterling. However the net position worsened again in 2009 despite the fact that there was no real recovery in the exchange rate. By the end of 2011 gross assets and liabilities were once again over seven times GDP.</w:t>
      </w:r>
    </w:p>
    <w:p>
      <w:pPr>
        <w:spacing w:after="0" w:line="360" w:lineRule="auto"/>
        <w:sectPr>
          <w:pgSz w:w="11900" w:h="16840"/>
          <w:pgMar w:header="0" w:footer="1548" w:top="1540" w:bottom="1740" w:left="780" w:right="0"/>
        </w:sectPr>
      </w:pPr>
    </w:p>
    <w:p>
      <w:pPr>
        <w:pStyle w:val="BodyText"/>
        <w:spacing w:line="360" w:lineRule="auto" w:before="76"/>
        <w:ind w:left="353" w:right="1315"/>
        <w:jc w:val="both"/>
      </w:pPr>
      <w:r>
        <w:rPr/>
        <w:t>The situation represented in Chart 10 makes it possible for the United Kingdom to earn positive investment income even though liabilities exceed assets, provided, of course, the rate of return on assets exceeds that on liabilities by sufficient margin. The United Kingdom is not the only country which pulls off this trick.</w:t>
      </w:r>
    </w:p>
    <w:p>
      <w:pPr>
        <w:pStyle w:val="BodyText"/>
        <w:spacing w:line="360" w:lineRule="auto"/>
        <w:ind w:left="353" w:right="1175"/>
      </w:pPr>
      <w:r>
        <w:rPr/>
        <w:t>Gourinchas, Rey and Govillot (2010) point out that the United States is in a similar position. They suggest that there are two possible sources of the excess return on assets. The first is that, for each type of investment the investing country earns more than it pays out on the same investment. The second is that it chooses a mix of assets which is biased towards higher-yielding investments as compared with the liabilities it has to foreigners. Gourinchas </w:t>
      </w:r>
      <w:r>
        <w:rPr>
          <w:i/>
        </w:rPr>
        <w:t>et al.</w:t>
      </w:r>
      <w:r>
        <w:rPr/>
        <w:t>(2010) describe the first source of excess returns as the return effect and the second source of excess returns as the composition effect. They suggest that the return effect might arise because of what a French minister of finance once described as exorbitant privilege- the idea that the country which manages the reserve currency of the international financial system can borrow more cheaply than anyone else. The composition effect, on the other hand, might well arise because the portfolio of the country’s assets was more risky than were its liabilities.</w:t>
      </w:r>
    </w:p>
    <w:p>
      <w:pPr>
        <w:pStyle w:val="BodyText"/>
        <w:rPr>
          <w:sz w:val="30"/>
        </w:rPr>
      </w:pPr>
    </w:p>
    <w:p>
      <w:pPr>
        <w:pStyle w:val="BodyText"/>
        <w:spacing w:line="360" w:lineRule="auto"/>
        <w:ind w:left="353" w:right="1198"/>
      </w:pPr>
      <w:r>
        <w:rPr/>
        <w:t>At this point it should be noted that the analysis is conducted in terms of the categories used in balance of payments statistics, foreign direct investment, equity, debt and “other”, with “other” representing for the most part the external assets and liabilities of banks. This classification means that the distinction between return effects and composition effects is less informative than one might like. The return on holdings of debt by UK investors overseas may be higher than that earned by foreign investors in the United Kingdom because UK investors run greater risks rather than because UK investors are more skilled at identifying market anomalies. In other words composition effects may be present even within the asset categories.</w:t>
      </w:r>
    </w:p>
    <w:p>
      <w:pPr>
        <w:pStyle w:val="BodyText"/>
        <w:rPr>
          <w:sz w:val="30"/>
        </w:rPr>
      </w:pPr>
    </w:p>
    <w:p>
      <w:pPr>
        <w:pStyle w:val="BodyText"/>
        <w:spacing w:line="360" w:lineRule="auto"/>
        <w:ind w:left="353" w:right="1252"/>
      </w:pPr>
      <w:r>
        <w:rPr/>
        <w:t>But, making the distinction suggested by Gourinchas </w:t>
      </w:r>
      <w:r>
        <w:rPr>
          <w:i/>
        </w:rPr>
        <w:t>et al. </w:t>
      </w:r>
      <w:r>
        <w:rPr/>
        <w:t>(2010), Habib (2010) suggests that none of the other advanced economies, including the United Kingdom, enjoy the return effect and that only the</w:t>
      </w:r>
    </w:p>
    <w:p>
      <w:pPr>
        <w:pStyle w:val="BodyText"/>
        <w:spacing w:line="360" w:lineRule="auto" w:before="1"/>
        <w:ind w:left="353" w:right="1147"/>
      </w:pPr>
      <w:r>
        <w:rPr/>
        <w:t>United States can enjoy exorbitant privilege. However, United Kingdom data have been substantially revised since Habib (2010) completed his study. Tables 1 and 2 show the returns on the different types of asset, both for the period from 1997-2007 and for 2008-2011. The returns are calculated both from reported income alone and after taking account of capital gains. The latter are calculated from the residuals needed to reconcile the published figures for transactions in assets with the balance sheet data provided by ONS. Thus they include measurement errors and discrepancies. These may be particularly marked for “other”</w:t>
      </w:r>
      <w:r>
        <w:rPr>
          <w:spacing w:val="-20"/>
        </w:rPr>
        <w:t> </w:t>
      </w:r>
      <w:r>
        <w:rPr/>
        <w:t>assets.</w:t>
      </w:r>
    </w:p>
    <w:p>
      <w:pPr>
        <w:spacing w:after="0" w:line="360" w:lineRule="auto"/>
        <w:sectPr>
          <w:pgSz w:w="11900" w:h="16840"/>
          <w:pgMar w:header="0" w:footer="1548" w:top="1540" w:bottom="1740" w:left="780" w:right="0"/>
        </w:sectPr>
      </w:pPr>
    </w:p>
    <w:p>
      <w:pPr>
        <w:pStyle w:val="BodyText"/>
        <w:spacing w:before="76" w:after="2"/>
        <w:ind w:left="354" w:right="1158"/>
      </w:pPr>
      <w:r>
        <w:rPr/>
        <w:t>Table 1: Rates of Return on the United Kingdom’s External Assets and Liabilities (mean per cent per annum) 1997-2007</w:t>
      </w:r>
    </w:p>
    <w:tbl>
      <w:tblPr>
        <w:tblW w:w="0" w:type="auto"/>
        <w:jc w:val="left"/>
        <w:tblInd w:w="2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94"/>
        <w:gridCol w:w="1248"/>
        <w:gridCol w:w="1334"/>
        <w:gridCol w:w="1159"/>
        <w:gridCol w:w="1141"/>
        <w:gridCol w:w="1367"/>
        <w:gridCol w:w="1605"/>
      </w:tblGrid>
      <w:tr>
        <w:trPr>
          <w:trHeight w:val="269" w:hRule="atLeast"/>
        </w:trPr>
        <w:tc>
          <w:tcPr>
            <w:tcW w:w="1894" w:type="dxa"/>
          </w:tcPr>
          <w:p>
            <w:pPr>
              <w:pStyle w:val="TableParagraph"/>
              <w:spacing w:line="240" w:lineRule="auto"/>
              <w:jc w:val="left"/>
              <w:rPr>
                <w:rFonts w:ascii="Times New Roman"/>
                <w:sz w:val="18"/>
              </w:rPr>
            </w:pPr>
          </w:p>
        </w:tc>
        <w:tc>
          <w:tcPr>
            <w:tcW w:w="2582" w:type="dxa"/>
            <w:gridSpan w:val="2"/>
          </w:tcPr>
          <w:p>
            <w:pPr>
              <w:pStyle w:val="TableParagraph"/>
              <w:ind w:left="107"/>
              <w:jc w:val="left"/>
              <w:rPr>
                <w:sz w:val="22"/>
              </w:rPr>
            </w:pPr>
            <w:r>
              <w:rPr>
                <w:sz w:val="22"/>
              </w:rPr>
              <w:t>UK Assets</w:t>
            </w:r>
          </w:p>
        </w:tc>
        <w:tc>
          <w:tcPr>
            <w:tcW w:w="2300" w:type="dxa"/>
            <w:gridSpan w:val="2"/>
          </w:tcPr>
          <w:p>
            <w:pPr>
              <w:pStyle w:val="TableParagraph"/>
              <w:ind w:left="107"/>
              <w:jc w:val="left"/>
              <w:rPr>
                <w:sz w:val="22"/>
              </w:rPr>
            </w:pPr>
            <w:r>
              <w:rPr>
                <w:sz w:val="22"/>
              </w:rPr>
              <w:t>UK Liabilities</w:t>
            </w:r>
          </w:p>
        </w:tc>
        <w:tc>
          <w:tcPr>
            <w:tcW w:w="1367" w:type="dxa"/>
            <w:vMerge w:val="restart"/>
          </w:tcPr>
          <w:p>
            <w:pPr>
              <w:pStyle w:val="TableParagraph"/>
              <w:spacing w:line="270" w:lineRule="atLeast"/>
              <w:ind w:left="107" w:right="67"/>
              <w:jc w:val="left"/>
              <w:rPr>
                <w:sz w:val="22"/>
              </w:rPr>
            </w:pPr>
            <w:r>
              <w:rPr>
                <w:sz w:val="22"/>
              </w:rPr>
              <w:t>Share of Total </w:t>
            </w:r>
            <w:r>
              <w:rPr>
                <w:spacing w:val="-3"/>
                <w:sz w:val="22"/>
              </w:rPr>
              <w:t>Assets</w:t>
            </w:r>
          </w:p>
        </w:tc>
        <w:tc>
          <w:tcPr>
            <w:tcW w:w="1605" w:type="dxa"/>
            <w:vMerge w:val="restart"/>
          </w:tcPr>
          <w:p>
            <w:pPr>
              <w:pStyle w:val="TableParagraph"/>
              <w:spacing w:line="240" w:lineRule="auto"/>
              <w:ind w:left="107"/>
              <w:jc w:val="left"/>
              <w:rPr>
                <w:sz w:val="22"/>
              </w:rPr>
            </w:pPr>
            <w:r>
              <w:rPr>
                <w:sz w:val="22"/>
              </w:rPr>
              <w:t>Share of</w:t>
            </w:r>
          </w:p>
          <w:p>
            <w:pPr>
              <w:pStyle w:val="TableParagraph"/>
              <w:spacing w:line="268" w:lineRule="exact"/>
              <w:ind w:left="107"/>
              <w:jc w:val="left"/>
              <w:rPr>
                <w:sz w:val="22"/>
              </w:rPr>
            </w:pPr>
            <w:r>
              <w:rPr>
                <w:sz w:val="22"/>
              </w:rPr>
              <w:t>Total Liabilities</w:t>
            </w:r>
          </w:p>
        </w:tc>
      </w:tr>
      <w:tr>
        <w:trPr>
          <w:trHeight w:val="267" w:hRule="atLeast"/>
        </w:trPr>
        <w:tc>
          <w:tcPr>
            <w:tcW w:w="1894" w:type="dxa"/>
          </w:tcPr>
          <w:p>
            <w:pPr>
              <w:pStyle w:val="TableParagraph"/>
              <w:spacing w:line="240" w:lineRule="auto"/>
              <w:jc w:val="left"/>
              <w:rPr>
                <w:rFonts w:ascii="Times New Roman"/>
                <w:sz w:val="18"/>
              </w:rPr>
            </w:pPr>
          </w:p>
        </w:tc>
        <w:tc>
          <w:tcPr>
            <w:tcW w:w="1248" w:type="dxa"/>
          </w:tcPr>
          <w:p>
            <w:pPr>
              <w:pStyle w:val="TableParagraph"/>
              <w:spacing w:line="248" w:lineRule="exact"/>
              <w:ind w:left="107"/>
              <w:jc w:val="left"/>
              <w:rPr>
                <w:sz w:val="22"/>
              </w:rPr>
            </w:pPr>
            <w:r>
              <w:rPr>
                <w:sz w:val="22"/>
              </w:rPr>
              <w:t>Ex gains</w:t>
            </w:r>
          </w:p>
        </w:tc>
        <w:tc>
          <w:tcPr>
            <w:tcW w:w="1334" w:type="dxa"/>
          </w:tcPr>
          <w:p>
            <w:pPr>
              <w:pStyle w:val="TableParagraph"/>
              <w:spacing w:line="248" w:lineRule="exact"/>
              <w:ind w:left="105"/>
              <w:jc w:val="left"/>
              <w:rPr>
                <w:sz w:val="22"/>
              </w:rPr>
            </w:pPr>
            <w:r>
              <w:rPr>
                <w:sz w:val="22"/>
              </w:rPr>
              <w:t>Inc gains</w:t>
            </w:r>
          </w:p>
        </w:tc>
        <w:tc>
          <w:tcPr>
            <w:tcW w:w="1159" w:type="dxa"/>
          </w:tcPr>
          <w:p>
            <w:pPr>
              <w:pStyle w:val="TableParagraph"/>
              <w:spacing w:line="248" w:lineRule="exact"/>
              <w:ind w:left="107"/>
              <w:jc w:val="left"/>
              <w:rPr>
                <w:sz w:val="22"/>
              </w:rPr>
            </w:pPr>
            <w:r>
              <w:rPr>
                <w:sz w:val="22"/>
              </w:rPr>
              <w:t>Ex gains</w:t>
            </w:r>
          </w:p>
        </w:tc>
        <w:tc>
          <w:tcPr>
            <w:tcW w:w="1141" w:type="dxa"/>
          </w:tcPr>
          <w:p>
            <w:pPr>
              <w:pStyle w:val="TableParagraph"/>
              <w:spacing w:line="248" w:lineRule="exact"/>
              <w:ind w:left="107"/>
              <w:jc w:val="left"/>
              <w:rPr>
                <w:sz w:val="22"/>
              </w:rPr>
            </w:pPr>
            <w:r>
              <w:rPr>
                <w:sz w:val="22"/>
              </w:rPr>
              <w:t>Inc gains</w:t>
            </w:r>
          </w:p>
        </w:tc>
        <w:tc>
          <w:tcPr>
            <w:tcW w:w="1367" w:type="dxa"/>
            <w:vMerge/>
            <w:tcBorders>
              <w:top w:val="nil"/>
            </w:tcBorders>
          </w:tcPr>
          <w:p>
            <w:pPr>
              <w:rPr>
                <w:sz w:val="2"/>
                <w:szCs w:val="2"/>
              </w:rPr>
            </w:pPr>
          </w:p>
        </w:tc>
        <w:tc>
          <w:tcPr>
            <w:tcW w:w="1605" w:type="dxa"/>
            <w:vMerge/>
            <w:tcBorders>
              <w:top w:val="nil"/>
            </w:tcBorders>
          </w:tcPr>
          <w:p>
            <w:pPr>
              <w:rPr>
                <w:sz w:val="2"/>
                <w:szCs w:val="2"/>
              </w:rPr>
            </w:pPr>
          </w:p>
        </w:tc>
      </w:tr>
      <w:tr>
        <w:trPr>
          <w:trHeight w:val="269" w:hRule="atLeast"/>
        </w:trPr>
        <w:tc>
          <w:tcPr>
            <w:tcW w:w="1894" w:type="dxa"/>
          </w:tcPr>
          <w:p>
            <w:pPr>
              <w:pStyle w:val="TableParagraph"/>
              <w:ind w:left="107"/>
              <w:jc w:val="left"/>
              <w:rPr>
                <w:sz w:val="22"/>
              </w:rPr>
            </w:pPr>
            <w:r>
              <w:rPr>
                <w:sz w:val="22"/>
              </w:rPr>
              <w:t>FDI</w:t>
            </w:r>
          </w:p>
        </w:tc>
        <w:tc>
          <w:tcPr>
            <w:tcW w:w="1248" w:type="dxa"/>
          </w:tcPr>
          <w:p>
            <w:pPr>
              <w:pStyle w:val="TableParagraph"/>
              <w:ind w:right="87"/>
              <w:rPr>
                <w:sz w:val="22"/>
              </w:rPr>
            </w:pPr>
            <w:r>
              <w:rPr>
                <w:w w:val="95"/>
                <w:sz w:val="22"/>
              </w:rPr>
              <w:t>10.0</w:t>
            </w:r>
          </w:p>
        </w:tc>
        <w:tc>
          <w:tcPr>
            <w:tcW w:w="1334" w:type="dxa"/>
          </w:tcPr>
          <w:p>
            <w:pPr>
              <w:pStyle w:val="TableParagraph"/>
              <w:ind w:right="87"/>
              <w:rPr>
                <w:sz w:val="22"/>
              </w:rPr>
            </w:pPr>
            <w:r>
              <w:rPr>
                <w:w w:val="95"/>
                <w:sz w:val="22"/>
              </w:rPr>
              <w:t>8.0</w:t>
            </w:r>
          </w:p>
        </w:tc>
        <w:tc>
          <w:tcPr>
            <w:tcW w:w="1159" w:type="dxa"/>
          </w:tcPr>
          <w:p>
            <w:pPr>
              <w:pStyle w:val="TableParagraph"/>
              <w:ind w:right="86"/>
              <w:rPr>
                <w:sz w:val="22"/>
              </w:rPr>
            </w:pPr>
            <w:r>
              <w:rPr>
                <w:w w:val="95"/>
                <w:sz w:val="22"/>
              </w:rPr>
              <w:t>7.5</w:t>
            </w:r>
          </w:p>
        </w:tc>
        <w:tc>
          <w:tcPr>
            <w:tcW w:w="1141" w:type="dxa"/>
          </w:tcPr>
          <w:p>
            <w:pPr>
              <w:pStyle w:val="TableParagraph"/>
              <w:ind w:right="86"/>
              <w:rPr>
                <w:sz w:val="22"/>
              </w:rPr>
            </w:pPr>
            <w:r>
              <w:rPr>
                <w:w w:val="95"/>
                <w:sz w:val="22"/>
              </w:rPr>
              <w:t>4.1</w:t>
            </w:r>
          </w:p>
        </w:tc>
        <w:tc>
          <w:tcPr>
            <w:tcW w:w="1367" w:type="dxa"/>
          </w:tcPr>
          <w:p>
            <w:pPr>
              <w:pStyle w:val="TableParagraph"/>
              <w:ind w:right="86"/>
              <w:rPr>
                <w:sz w:val="22"/>
              </w:rPr>
            </w:pPr>
            <w:r>
              <w:rPr>
                <w:color w:val="1F497C"/>
                <w:w w:val="95"/>
                <w:sz w:val="22"/>
              </w:rPr>
              <w:t>16.1</w:t>
            </w:r>
          </w:p>
        </w:tc>
        <w:tc>
          <w:tcPr>
            <w:tcW w:w="1605" w:type="dxa"/>
          </w:tcPr>
          <w:p>
            <w:pPr>
              <w:pStyle w:val="TableParagraph"/>
              <w:ind w:right="86"/>
              <w:rPr>
                <w:sz w:val="22"/>
              </w:rPr>
            </w:pPr>
            <w:r>
              <w:rPr>
                <w:color w:val="1F497C"/>
                <w:w w:val="95"/>
                <w:sz w:val="22"/>
              </w:rPr>
              <w:t>9.2</w:t>
            </w:r>
          </w:p>
        </w:tc>
      </w:tr>
      <w:tr>
        <w:trPr>
          <w:trHeight w:val="267" w:hRule="atLeast"/>
        </w:trPr>
        <w:tc>
          <w:tcPr>
            <w:tcW w:w="1894" w:type="dxa"/>
          </w:tcPr>
          <w:p>
            <w:pPr>
              <w:pStyle w:val="TableParagraph"/>
              <w:spacing w:line="248" w:lineRule="exact"/>
              <w:ind w:left="107"/>
              <w:jc w:val="left"/>
              <w:rPr>
                <w:sz w:val="22"/>
              </w:rPr>
            </w:pPr>
            <w:r>
              <w:rPr>
                <w:sz w:val="22"/>
              </w:rPr>
              <w:t>Equity</w:t>
            </w:r>
          </w:p>
        </w:tc>
        <w:tc>
          <w:tcPr>
            <w:tcW w:w="1248" w:type="dxa"/>
          </w:tcPr>
          <w:p>
            <w:pPr>
              <w:pStyle w:val="TableParagraph"/>
              <w:spacing w:line="248" w:lineRule="exact"/>
              <w:ind w:right="88"/>
              <w:rPr>
                <w:sz w:val="22"/>
              </w:rPr>
            </w:pPr>
            <w:r>
              <w:rPr>
                <w:w w:val="95"/>
                <w:sz w:val="22"/>
              </w:rPr>
              <w:t>2.6</w:t>
            </w:r>
          </w:p>
        </w:tc>
        <w:tc>
          <w:tcPr>
            <w:tcW w:w="1334" w:type="dxa"/>
          </w:tcPr>
          <w:p>
            <w:pPr>
              <w:pStyle w:val="TableParagraph"/>
              <w:spacing w:line="248" w:lineRule="exact"/>
              <w:ind w:right="87"/>
              <w:rPr>
                <w:sz w:val="22"/>
              </w:rPr>
            </w:pPr>
            <w:r>
              <w:rPr>
                <w:w w:val="95"/>
                <w:sz w:val="22"/>
              </w:rPr>
              <w:t>8.0</w:t>
            </w:r>
          </w:p>
        </w:tc>
        <w:tc>
          <w:tcPr>
            <w:tcW w:w="1159" w:type="dxa"/>
          </w:tcPr>
          <w:p>
            <w:pPr>
              <w:pStyle w:val="TableParagraph"/>
              <w:spacing w:line="248" w:lineRule="exact"/>
              <w:ind w:right="86"/>
              <w:rPr>
                <w:sz w:val="22"/>
              </w:rPr>
            </w:pPr>
            <w:r>
              <w:rPr>
                <w:w w:val="95"/>
                <w:sz w:val="22"/>
              </w:rPr>
              <w:t>2.9</w:t>
            </w:r>
          </w:p>
        </w:tc>
        <w:tc>
          <w:tcPr>
            <w:tcW w:w="1141" w:type="dxa"/>
          </w:tcPr>
          <w:p>
            <w:pPr>
              <w:pStyle w:val="TableParagraph"/>
              <w:spacing w:line="248" w:lineRule="exact"/>
              <w:ind w:right="86"/>
              <w:rPr>
                <w:sz w:val="22"/>
              </w:rPr>
            </w:pPr>
            <w:r>
              <w:rPr>
                <w:w w:val="95"/>
                <w:sz w:val="22"/>
              </w:rPr>
              <w:t>9.9</w:t>
            </w:r>
          </w:p>
        </w:tc>
        <w:tc>
          <w:tcPr>
            <w:tcW w:w="1367" w:type="dxa"/>
          </w:tcPr>
          <w:p>
            <w:pPr>
              <w:pStyle w:val="TableParagraph"/>
              <w:spacing w:line="248" w:lineRule="exact"/>
              <w:ind w:right="86"/>
              <w:rPr>
                <w:sz w:val="22"/>
              </w:rPr>
            </w:pPr>
            <w:r>
              <w:rPr>
                <w:color w:val="1F497C"/>
                <w:w w:val="95"/>
                <w:sz w:val="22"/>
              </w:rPr>
              <w:t>12.4</w:t>
            </w:r>
          </w:p>
        </w:tc>
        <w:tc>
          <w:tcPr>
            <w:tcW w:w="1605" w:type="dxa"/>
          </w:tcPr>
          <w:p>
            <w:pPr>
              <w:pStyle w:val="TableParagraph"/>
              <w:spacing w:line="248" w:lineRule="exact"/>
              <w:ind w:right="86"/>
              <w:rPr>
                <w:sz w:val="22"/>
              </w:rPr>
            </w:pPr>
            <w:r>
              <w:rPr>
                <w:color w:val="1F497C"/>
                <w:w w:val="95"/>
                <w:sz w:val="22"/>
              </w:rPr>
              <w:t>15.5</w:t>
            </w:r>
          </w:p>
        </w:tc>
      </w:tr>
      <w:tr>
        <w:trPr>
          <w:trHeight w:val="269" w:hRule="atLeast"/>
        </w:trPr>
        <w:tc>
          <w:tcPr>
            <w:tcW w:w="1894" w:type="dxa"/>
          </w:tcPr>
          <w:p>
            <w:pPr>
              <w:pStyle w:val="TableParagraph"/>
              <w:ind w:left="107"/>
              <w:jc w:val="left"/>
              <w:rPr>
                <w:sz w:val="22"/>
              </w:rPr>
            </w:pPr>
            <w:r>
              <w:rPr>
                <w:sz w:val="22"/>
              </w:rPr>
              <w:t>Debt</w:t>
            </w:r>
          </w:p>
        </w:tc>
        <w:tc>
          <w:tcPr>
            <w:tcW w:w="1248" w:type="dxa"/>
          </w:tcPr>
          <w:p>
            <w:pPr>
              <w:pStyle w:val="TableParagraph"/>
              <w:ind w:right="88"/>
              <w:rPr>
                <w:sz w:val="22"/>
              </w:rPr>
            </w:pPr>
            <w:r>
              <w:rPr>
                <w:w w:val="95"/>
                <w:sz w:val="22"/>
              </w:rPr>
              <w:t>4.8</w:t>
            </w:r>
          </w:p>
        </w:tc>
        <w:tc>
          <w:tcPr>
            <w:tcW w:w="1334" w:type="dxa"/>
          </w:tcPr>
          <w:p>
            <w:pPr>
              <w:pStyle w:val="TableParagraph"/>
              <w:ind w:right="87"/>
              <w:rPr>
                <w:sz w:val="22"/>
              </w:rPr>
            </w:pPr>
            <w:r>
              <w:rPr>
                <w:w w:val="95"/>
                <w:sz w:val="22"/>
              </w:rPr>
              <w:t>6.0</w:t>
            </w:r>
          </w:p>
        </w:tc>
        <w:tc>
          <w:tcPr>
            <w:tcW w:w="1159" w:type="dxa"/>
          </w:tcPr>
          <w:p>
            <w:pPr>
              <w:pStyle w:val="TableParagraph"/>
              <w:ind w:right="86"/>
              <w:rPr>
                <w:sz w:val="22"/>
              </w:rPr>
            </w:pPr>
            <w:r>
              <w:rPr>
                <w:w w:val="95"/>
                <w:sz w:val="22"/>
              </w:rPr>
              <w:t>5.0</w:t>
            </w:r>
          </w:p>
        </w:tc>
        <w:tc>
          <w:tcPr>
            <w:tcW w:w="1141" w:type="dxa"/>
          </w:tcPr>
          <w:p>
            <w:pPr>
              <w:pStyle w:val="TableParagraph"/>
              <w:ind w:right="86"/>
              <w:rPr>
                <w:sz w:val="22"/>
              </w:rPr>
            </w:pPr>
            <w:r>
              <w:rPr>
                <w:w w:val="95"/>
                <w:sz w:val="22"/>
              </w:rPr>
              <w:t>6.0</w:t>
            </w:r>
          </w:p>
        </w:tc>
        <w:tc>
          <w:tcPr>
            <w:tcW w:w="1367" w:type="dxa"/>
          </w:tcPr>
          <w:p>
            <w:pPr>
              <w:pStyle w:val="TableParagraph"/>
              <w:ind w:right="86"/>
              <w:rPr>
                <w:sz w:val="22"/>
              </w:rPr>
            </w:pPr>
            <w:r>
              <w:rPr>
                <w:color w:val="1F497C"/>
                <w:w w:val="95"/>
                <w:sz w:val="22"/>
              </w:rPr>
              <w:t>16.2</w:t>
            </w:r>
          </w:p>
        </w:tc>
        <w:tc>
          <w:tcPr>
            <w:tcW w:w="1605" w:type="dxa"/>
          </w:tcPr>
          <w:p>
            <w:pPr>
              <w:pStyle w:val="TableParagraph"/>
              <w:ind w:right="86"/>
              <w:rPr>
                <w:sz w:val="22"/>
              </w:rPr>
            </w:pPr>
            <w:r>
              <w:rPr>
                <w:color w:val="1F497C"/>
                <w:w w:val="95"/>
                <w:sz w:val="22"/>
              </w:rPr>
              <w:t>13.6</w:t>
            </w:r>
          </w:p>
        </w:tc>
      </w:tr>
      <w:tr>
        <w:trPr>
          <w:trHeight w:val="536" w:hRule="atLeast"/>
        </w:trPr>
        <w:tc>
          <w:tcPr>
            <w:tcW w:w="1894" w:type="dxa"/>
          </w:tcPr>
          <w:p>
            <w:pPr>
              <w:pStyle w:val="TableParagraph"/>
              <w:spacing w:line="267" w:lineRule="exact"/>
              <w:ind w:left="107"/>
              <w:jc w:val="left"/>
              <w:rPr>
                <w:sz w:val="22"/>
              </w:rPr>
            </w:pPr>
            <w:r>
              <w:rPr>
                <w:sz w:val="22"/>
              </w:rPr>
              <w:t>All long‐term</w:t>
            </w:r>
          </w:p>
          <w:p>
            <w:pPr>
              <w:pStyle w:val="TableParagraph"/>
              <w:ind w:left="107"/>
              <w:jc w:val="left"/>
              <w:rPr>
                <w:sz w:val="22"/>
              </w:rPr>
            </w:pPr>
            <w:r>
              <w:rPr>
                <w:sz w:val="22"/>
              </w:rPr>
              <w:t>investment</w:t>
            </w:r>
          </w:p>
        </w:tc>
        <w:tc>
          <w:tcPr>
            <w:tcW w:w="1248" w:type="dxa"/>
          </w:tcPr>
          <w:p>
            <w:pPr>
              <w:pStyle w:val="TableParagraph"/>
              <w:spacing w:line="240" w:lineRule="auto" w:before="3"/>
              <w:jc w:val="left"/>
              <w:rPr>
                <w:rFonts w:ascii="Arial"/>
                <w:sz w:val="23"/>
              </w:rPr>
            </w:pPr>
          </w:p>
          <w:p>
            <w:pPr>
              <w:pStyle w:val="TableParagraph"/>
              <w:ind w:right="88"/>
              <w:rPr>
                <w:sz w:val="22"/>
              </w:rPr>
            </w:pPr>
            <w:r>
              <w:rPr>
                <w:w w:val="95"/>
                <w:sz w:val="22"/>
              </w:rPr>
              <w:t>5.9</w:t>
            </w:r>
          </w:p>
        </w:tc>
        <w:tc>
          <w:tcPr>
            <w:tcW w:w="1334" w:type="dxa"/>
          </w:tcPr>
          <w:p>
            <w:pPr>
              <w:pStyle w:val="TableParagraph"/>
              <w:spacing w:line="240" w:lineRule="auto" w:before="3"/>
              <w:jc w:val="left"/>
              <w:rPr>
                <w:rFonts w:ascii="Arial"/>
                <w:sz w:val="23"/>
              </w:rPr>
            </w:pPr>
          </w:p>
          <w:p>
            <w:pPr>
              <w:pStyle w:val="TableParagraph"/>
              <w:ind w:right="87"/>
              <w:rPr>
                <w:sz w:val="22"/>
              </w:rPr>
            </w:pPr>
            <w:r>
              <w:rPr>
                <w:w w:val="95"/>
                <w:sz w:val="22"/>
              </w:rPr>
              <w:t>7.1</w:t>
            </w:r>
          </w:p>
        </w:tc>
        <w:tc>
          <w:tcPr>
            <w:tcW w:w="1159" w:type="dxa"/>
          </w:tcPr>
          <w:p>
            <w:pPr>
              <w:pStyle w:val="TableParagraph"/>
              <w:spacing w:line="240" w:lineRule="auto" w:before="3"/>
              <w:jc w:val="left"/>
              <w:rPr>
                <w:rFonts w:ascii="Arial"/>
                <w:sz w:val="23"/>
              </w:rPr>
            </w:pPr>
          </w:p>
          <w:p>
            <w:pPr>
              <w:pStyle w:val="TableParagraph"/>
              <w:ind w:right="86"/>
              <w:rPr>
                <w:sz w:val="22"/>
              </w:rPr>
            </w:pPr>
            <w:r>
              <w:rPr>
                <w:w w:val="95"/>
                <w:sz w:val="22"/>
              </w:rPr>
              <w:t>4.7</w:t>
            </w:r>
          </w:p>
        </w:tc>
        <w:tc>
          <w:tcPr>
            <w:tcW w:w="1141" w:type="dxa"/>
          </w:tcPr>
          <w:p>
            <w:pPr>
              <w:pStyle w:val="TableParagraph"/>
              <w:spacing w:line="240" w:lineRule="auto" w:before="3"/>
              <w:jc w:val="left"/>
              <w:rPr>
                <w:rFonts w:ascii="Arial"/>
                <w:sz w:val="23"/>
              </w:rPr>
            </w:pPr>
          </w:p>
          <w:p>
            <w:pPr>
              <w:pStyle w:val="TableParagraph"/>
              <w:ind w:right="86"/>
              <w:rPr>
                <w:sz w:val="22"/>
              </w:rPr>
            </w:pPr>
            <w:r>
              <w:rPr>
                <w:w w:val="95"/>
                <w:sz w:val="22"/>
              </w:rPr>
              <w:t>6.4</w:t>
            </w:r>
          </w:p>
        </w:tc>
        <w:tc>
          <w:tcPr>
            <w:tcW w:w="1367" w:type="dxa"/>
          </w:tcPr>
          <w:p>
            <w:pPr>
              <w:pStyle w:val="TableParagraph"/>
              <w:spacing w:line="267" w:lineRule="exact"/>
              <w:ind w:right="86"/>
              <w:rPr>
                <w:sz w:val="22"/>
              </w:rPr>
            </w:pPr>
            <w:r>
              <w:rPr>
                <w:color w:val="1F497C"/>
                <w:w w:val="95"/>
                <w:sz w:val="22"/>
              </w:rPr>
              <w:t>44.7</w:t>
            </w:r>
          </w:p>
        </w:tc>
        <w:tc>
          <w:tcPr>
            <w:tcW w:w="1605" w:type="dxa"/>
          </w:tcPr>
          <w:p>
            <w:pPr>
              <w:pStyle w:val="TableParagraph"/>
              <w:spacing w:line="267" w:lineRule="exact"/>
              <w:ind w:right="86"/>
              <w:rPr>
                <w:sz w:val="22"/>
              </w:rPr>
            </w:pPr>
            <w:r>
              <w:rPr>
                <w:color w:val="1F497C"/>
                <w:w w:val="95"/>
                <w:sz w:val="22"/>
              </w:rPr>
              <w:t>38.3</w:t>
            </w:r>
          </w:p>
        </w:tc>
      </w:tr>
      <w:tr>
        <w:trPr>
          <w:trHeight w:val="267" w:hRule="atLeast"/>
        </w:trPr>
        <w:tc>
          <w:tcPr>
            <w:tcW w:w="1894" w:type="dxa"/>
          </w:tcPr>
          <w:p>
            <w:pPr>
              <w:pStyle w:val="TableParagraph"/>
              <w:spacing w:line="248" w:lineRule="exact"/>
              <w:ind w:left="107"/>
              <w:jc w:val="left"/>
              <w:rPr>
                <w:sz w:val="22"/>
              </w:rPr>
            </w:pPr>
            <w:r>
              <w:rPr>
                <w:sz w:val="22"/>
              </w:rPr>
              <w:t>Other</w:t>
            </w:r>
          </w:p>
        </w:tc>
        <w:tc>
          <w:tcPr>
            <w:tcW w:w="1248" w:type="dxa"/>
          </w:tcPr>
          <w:p>
            <w:pPr>
              <w:pStyle w:val="TableParagraph"/>
              <w:spacing w:line="248" w:lineRule="exact"/>
              <w:ind w:right="88"/>
              <w:rPr>
                <w:sz w:val="22"/>
              </w:rPr>
            </w:pPr>
            <w:r>
              <w:rPr>
                <w:w w:val="95"/>
                <w:sz w:val="22"/>
              </w:rPr>
              <w:t>3.0</w:t>
            </w:r>
          </w:p>
        </w:tc>
        <w:tc>
          <w:tcPr>
            <w:tcW w:w="1334" w:type="dxa"/>
          </w:tcPr>
          <w:p>
            <w:pPr>
              <w:pStyle w:val="TableParagraph"/>
              <w:spacing w:line="248" w:lineRule="exact"/>
              <w:ind w:right="87"/>
              <w:rPr>
                <w:sz w:val="22"/>
              </w:rPr>
            </w:pPr>
            <w:r>
              <w:rPr>
                <w:w w:val="95"/>
                <w:sz w:val="22"/>
              </w:rPr>
              <w:t>7.3</w:t>
            </w:r>
          </w:p>
        </w:tc>
        <w:tc>
          <w:tcPr>
            <w:tcW w:w="1159" w:type="dxa"/>
          </w:tcPr>
          <w:p>
            <w:pPr>
              <w:pStyle w:val="TableParagraph"/>
              <w:spacing w:line="248" w:lineRule="exact"/>
              <w:ind w:right="86"/>
              <w:rPr>
                <w:sz w:val="22"/>
              </w:rPr>
            </w:pPr>
            <w:r>
              <w:rPr>
                <w:w w:val="95"/>
                <w:sz w:val="22"/>
              </w:rPr>
              <w:t>3.4</w:t>
            </w:r>
          </w:p>
        </w:tc>
        <w:tc>
          <w:tcPr>
            <w:tcW w:w="1141" w:type="dxa"/>
          </w:tcPr>
          <w:p>
            <w:pPr>
              <w:pStyle w:val="TableParagraph"/>
              <w:spacing w:line="248" w:lineRule="exact"/>
              <w:ind w:right="86"/>
              <w:rPr>
                <w:sz w:val="22"/>
              </w:rPr>
            </w:pPr>
            <w:r>
              <w:rPr>
                <w:w w:val="95"/>
                <w:sz w:val="22"/>
              </w:rPr>
              <w:t>7.2</w:t>
            </w:r>
          </w:p>
        </w:tc>
        <w:tc>
          <w:tcPr>
            <w:tcW w:w="1367" w:type="dxa"/>
          </w:tcPr>
          <w:p>
            <w:pPr>
              <w:pStyle w:val="TableParagraph"/>
              <w:spacing w:line="248" w:lineRule="exact"/>
              <w:ind w:right="86"/>
              <w:rPr>
                <w:sz w:val="22"/>
              </w:rPr>
            </w:pPr>
            <w:r>
              <w:rPr>
                <w:color w:val="1F497C"/>
                <w:w w:val="95"/>
                <w:sz w:val="22"/>
              </w:rPr>
              <w:t>55.4</w:t>
            </w:r>
          </w:p>
        </w:tc>
        <w:tc>
          <w:tcPr>
            <w:tcW w:w="1605" w:type="dxa"/>
          </w:tcPr>
          <w:p>
            <w:pPr>
              <w:pStyle w:val="TableParagraph"/>
              <w:spacing w:line="248" w:lineRule="exact"/>
              <w:ind w:right="86"/>
              <w:rPr>
                <w:sz w:val="22"/>
              </w:rPr>
            </w:pPr>
            <w:r>
              <w:rPr>
                <w:color w:val="1F497C"/>
                <w:w w:val="95"/>
                <w:sz w:val="22"/>
              </w:rPr>
              <w:t>61.7</w:t>
            </w:r>
          </w:p>
        </w:tc>
      </w:tr>
      <w:tr>
        <w:trPr>
          <w:trHeight w:val="269" w:hRule="atLeast"/>
        </w:trPr>
        <w:tc>
          <w:tcPr>
            <w:tcW w:w="1894" w:type="dxa"/>
          </w:tcPr>
          <w:p>
            <w:pPr>
              <w:pStyle w:val="TableParagraph"/>
              <w:ind w:left="107"/>
              <w:jc w:val="left"/>
              <w:rPr>
                <w:sz w:val="22"/>
              </w:rPr>
            </w:pPr>
            <w:r>
              <w:rPr>
                <w:sz w:val="22"/>
              </w:rPr>
              <w:t>All</w:t>
            </w:r>
          </w:p>
        </w:tc>
        <w:tc>
          <w:tcPr>
            <w:tcW w:w="1248" w:type="dxa"/>
          </w:tcPr>
          <w:p>
            <w:pPr>
              <w:pStyle w:val="TableParagraph"/>
              <w:ind w:right="88"/>
              <w:rPr>
                <w:sz w:val="22"/>
              </w:rPr>
            </w:pPr>
            <w:r>
              <w:rPr>
                <w:w w:val="95"/>
                <w:sz w:val="22"/>
              </w:rPr>
              <w:t>4.2</w:t>
            </w:r>
          </w:p>
        </w:tc>
        <w:tc>
          <w:tcPr>
            <w:tcW w:w="1334" w:type="dxa"/>
          </w:tcPr>
          <w:p>
            <w:pPr>
              <w:pStyle w:val="TableParagraph"/>
              <w:ind w:right="87"/>
              <w:rPr>
                <w:sz w:val="22"/>
              </w:rPr>
            </w:pPr>
            <w:r>
              <w:rPr>
                <w:w w:val="95"/>
                <w:sz w:val="22"/>
              </w:rPr>
              <w:t>7.1</w:t>
            </w:r>
          </w:p>
        </w:tc>
        <w:tc>
          <w:tcPr>
            <w:tcW w:w="1159" w:type="dxa"/>
          </w:tcPr>
          <w:p>
            <w:pPr>
              <w:pStyle w:val="TableParagraph"/>
              <w:ind w:right="86"/>
              <w:rPr>
                <w:sz w:val="22"/>
              </w:rPr>
            </w:pPr>
            <w:r>
              <w:rPr>
                <w:w w:val="95"/>
                <w:sz w:val="22"/>
              </w:rPr>
              <w:t>3.9</w:t>
            </w:r>
          </w:p>
        </w:tc>
        <w:tc>
          <w:tcPr>
            <w:tcW w:w="1141" w:type="dxa"/>
          </w:tcPr>
          <w:p>
            <w:pPr>
              <w:pStyle w:val="TableParagraph"/>
              <w:ind w:right="86"/>
              <w:rPr>
                <w:sz w:val="22"/>
              </w:rPr>
            </w:pPr>
            <w:r>
              <w:rPr>
                <w:w w:val="95"/>
                <w:sz w:val="22"/>
              </w:rPr>
              <w:t>6.7</w:t>
            </w:r>
          </w:p>
        </w:tc>
        <w:tc>
          <w:tcPr>
            <w:tcW w:w="1367" w:type="dxa"/>
          </w:tcPr>
          <w:p>
            <w:pPr>
              <w:pStyle w:val="TableParagraph"/>
              <w:ind w:right="86"/>
              <w:rPr>
                <w:sz w:val="22"/>
              </w:rPr>
            </w:pPr>
            <w:r>
              <w:rPr>
                <w:color w:val="1F497C"/>
                <w:w w:val="95"/>
                <w:sz w:val="22"/>
              </w:rPr>
              <w:t>100</w:t>
            </w:r>
          </w:p>
        </w:tc>
        <w:tc>
          <w:tcPr>
            <w:tcW w:w="1605" w:type="dxa"/>
          </w:tcPr>
          <w:p>
            <w:pPr>
              <w:pStyle w:val="TableParagraph"/>
              <w:ind w:right="86"/>
              <w:rPr>
                <w:sz w:val="22"/>
              </w:rPr>
            </w:pPr>
            <w:r>
              <w:rPr>
                <w:color w:val="1F497C"/>
                <w:w w:val="95"/>
                <w:sz w:val="22"/>
              </w:rPr>
              <w:t>100</w:t>
            </w:r>
          </w:p>
        </w:tc>
      </w:tr>
      <w:tr>
        <w:trPr>
          <w:trHeight w:val="264" w:hRule="atLeast"/>
        </w:trPr>
        <w:tc>
          <w:tcPr>
            <w:tcW w:w="3142" w:type="dxa"/>
            <w:gridSpan w:val="2"/>
            <w:tcBorders>
              <w:bottom w:val="single" w:sz="12" w:space="0" w:color="000000"/>
            </w:tcBorders>
          </w:tcPr>
          <w:p>
            <w:pPr>
              <w:pStyle w:val="TableParagraph"/>
              <w:spacing w:line="244" w:lineRule="exact"/>
              <w:ind w:left="107"/>
              <w:jc w:val="left"/>
              <w:rPr>
                <w:sz w:val="22"/>
              </w:rPr>
            </w:pPr>
            <w:r>
              <w:rPr>
                <w:sz w:val="22"/>
              </w:rPr>
              <w:t>Excess Return on Assets</w:t>
            </w:r>
          </w:p>
        </w:tc>
        <w:tc>
          <w:tcPr>
            <w:tcW w:w="1334" w:type="dxa"/>
          </w:tcPr>
          <w:p>
            <w:pPr>
              <w:pStyle w:val="TableParagraph"/>
              <w:spacing w:line="244" w:lineRule="exact"/>
              <w:ind w:right="87"/>
              <w:rPr>
                <w:sz w:val="22"/>
              </w:rPr>
            </w:pPr>
            <w:r>
              <w:rPr>
                <w:w w:val="95"/>
                <w:sz w:val="22"/>
              </w:rPr>
              <w:t>0.4</w:t>
            </w:r>
          </w:p>
        </w:tc>
        <w:tc>
          <w:tcPr>
            <w:tcW w:w="1159" w:type="dxa"/>
          </w:tcPr>
          <w:p>
            <w:pPr>
              <w:pStyle w:val="TableParagraph"/>
              <w:spacing w:line="240" w:lineRule="auto"/>
              <w:jc w:val="left"/>
              <w:rPr>
                <w:rFonts w:ascii="Times New Roman"/>
                <w:sz w:val="18"/>
              </w:rPr>
            </w:pPr>
          </w:p>
        </w:tc>
        <w:tc>
          <w:tcPr>
            <w:tcW w:w="1141" w:type="dxa"/>
          </w:tcPr>
          <w:p>
            <w:pPr>
              <w:pStyle w:val="TableParagraph"/>
              <w:spacing w:line="240" w:lineRule="auto"/>
              <w:jc w:val="left"/>
              <w:rPr>
                <w:rFonts w:ascii="Times New Roman"/>
                <w:sz w:val="18"/>
              </w:rPr>
            </w:pPr>
          </w:p>
        </w:tc>
        <w:tc>
          <w:tcPr>
            <w:tcW w:w="1367" w:type="dxa"/>
          </w:tcPr>
          <w:p>
            <w:pPr>
              <w:pStyle w:val="TableParagraph"/>
              <w:spacing w:line="240" w:lineRule="auto"/>
              <w:jc w:val="left"/>
              <w:rPr>
                <w:rFonts w:ascii="Times New Roman"/>
                <w:sz w:val="18"/>
              </w:rPr>
            </w:pPr>
          </w:p>
        </w:tc>
        <w:tc>
          <w:tcPr>
            <w:tcW w:w="1605" w:type="dxa"/>
          </w:tcPr>
          <w:p>
            <w:pPr>
              <w:pStyle w:val="TableParagraph"/>
              <w:spacing w:line="240" w:lineRule="auto"/>
              <w:jc w:val="left"/>
              <w:rPr>
                <w:rFonts w:ascii="Times New Roman"/>
                <w:sz w:val="18"/>
              </w:rPr>
            </w:pPr>
          </w:p>
        </w:tc>
      </w:tr>
    </w:tbl>
    <w:p>
      <w:pPr>
        <w:spacing w:line="184" w:lineRule="exact" w:before="119"/>
        <w:ind w:left="338" w:right="0" w:firstLine="0"/>
        <w:jc w:val="left"/>
        <w:rPr>
          <w:sz w:val="16"/>
        </w:rPr>
      </w:pPr>
      <w:r>
        <w:rPr>
          <w:sz w:val="16"/>
        </w:rPr>
        <w:t>Source: UK Balance of Payments, ONS and Bank calculations</w:t>
      </w:r>
    </w:p>
    <w:p>
      <w:pPr>
        <w:spacing w:before="0"/>
        <w:ind w:left="338" w:right="0" w:firstLine="0"/>
        <w:jc w:val="left"/>
        <w:rPr>
          <w:sz w:val="16"/>
        </w:rPr>
      </w:pPr>
      <w:r>
        <w:rPr>
          <w:sz w:val="16"/>
        </w:rPr>
        <w:t>Rounding means that sums and differences of aggregates may differ from those computed using these figures.</w:t>
      </w:r>
    </w:p>
    <w:p>
      <w:pPr>
        <w:pStyle w:val="BodyText"/>
        <w:spacing w:before="4"/>
        <w:rPr>
          <w:sz w:val="17"/>
        </w:rPr>
      </w:pPr>
    </w:p>
    <w:p>
      <w:pPr>
        <w:pStyle w:val="BodyText"/>
        <w:spacing w:after="3"/>
        <w:ind w:left="354" w:right="1158"/>
      </w:pPr>
      <w:r>
        <w:rPr/>
        <w:t>Table 2: Rates of Return on the United Kingdom’s External Assets and Liabilities (mean per cent per annum) 2008Q1-2012Q3</w:t>
      </w:r>
    </w:p>
    <w:tbl>
      <w:tblPr>
        <w:tblW w:w="0" w:type="auto"/>
        <w:jc w:val="left"/>
        <w:tblInd w:w="2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070"/>
        <w:gridCol w:w="1247"/>
        <w:gridCol w:w="1072"/>
        <w:gridCol w:w="1247"/>
        <w:gridCol w:w="1141"/>
        <w:gridCol w:w="1367"/>
        <w:gridCol w:w="1605"/>
      </w:tblGrid>
      <w:tr>
        <w:trPr>
          <w:trHeight w:val="269" w:hRule="atLeast"/>
        </w:trPr>
        <w:tc>
          <w:tcPr>
            <w:tcW w:w="2070" w:type="dxa"/>
          </w:tcPr>
          <w:p>
            <w:pPr>
              <w:pStyle w:val="TableParagraph"/>
              <w:spacing w:line="240" w:lineRule="auto"/>
              <w:jc w:val="left"/>
              <w:rPr>
                <w:rFonts w:ascii="Times New Roman"/>
                <w:sz w:val="18"/>
              </w:rPr>
            </w:pPr>
          </w:p>
        </w:tc>
        <w:tc>
          <w:tcPr>
            <w:tcW w:w="2319" w:type="dxa"/>
            <w:gridSpan w:val="2"/>
          </w:tcPr>
          <w:p>
            <w:pPr>
              <w:pStyle w:val="TableParagraph"/>
              <w:ind w:left="107"/>
              <w:jc w:val="left"/>
              <w:rPr>
                <w:sz w:val="22"/>
              </w:rPr>
            </w:pPr>
            <w:r>
              <w:rPr>
                <w:sz w:val="22"/>
              </w:rPr>
              <w:t>UK Assets</w:t>
            </w:r>
          </w:p>
        </w:tc>
        <w:tc>
          <w:tcPr>
            <w:tcW w:w="2388" w:type="dxa"/>
            <w:gridSpan w:val="2"/>
          </w:tcPr>
          <w:p>
            <w:pPr>
              <w:pStyle w:val="TableParagraph"/>
              <w:ind w:left="106"/>
              <w:jc w:val="left"/>
              <w:rPr>
                <w:sz w:val="22"/>
              </w:rPr>
            </w:pPr>
            <w:r>
              <w:rPr>
                <w:sz w:val="22"/>
              </w:rPr>
              <w:t>UK Liabilities</w:t>
            </w:r>
          </w:p>
        </w:tc>
        <w:tc>
          <w:tcPr>
            <w:tcW w:w="1367" w:type="dxa"/>
            <w:vMerge w:val="restart"/>
          </w:tcPr>
          <w:p>
            <w:pPr>
              <w:pStyle w:val="TableParagraph"/>
              <w:spacing w:line="270" w:lineRule="atLeast"/>
              <w:ind w:left="106" w:right="67"/>
              <w:jc w:val="left"/>
              <w:rPr>
                <w:sz w:val="22"/>
              </w:rPr>
            </w:pPr>
            <w:r>
              <w:rPr>
                <w:sz w:val="22"/>
              </w:rPr>
              <w:t>Share of Total </w:t>
            </w:r>
            <w:r>
              <w:rPr>
                <w:spacing w:val="-3"/>
                <w:sz w:val="22"/>
              </w:rPr>
              <w:t>Assets</w:t>
            </w:r>
          </w:p>
        </w:tc>
        <w:tc>
          <w:tcPr>
            <w:tcW w:w="1605" w:type="dxa"/>
            <w:vMerge w:val="restart"/>
          </w:tcPr>
          <w:p>
            <w:pPr>
              <w:pStyle w:val="TableParagraph"/>
              <w:spacing w:line="240" w:lineRule="auto"/>
              <w:ind w:left="106"/>
              <w:jc w:val="left"/>
              <w:rPr>
                <w:sz w:val="22"/>
              </w:rPr>
            </w:pPr>
            <w:r>
              <w:rPr>
                <w:sz w:val="22"/>
              </w:rPr>
              <w:t>Share of</w:t>
            </w:r>
          </w:p>
          <w:p>
            <w:pPr>
              <w:pStyle w:val="TableParagraph"/>
              <w:spacing w:line="268" w:lineRule="exact"/>
              <w:ind w:left="106"/>
              <w:jc w:val="left"/>
              <w:rPr>
                <w:sz w:val="22"/>
              </w:rPr>
            </w:pPr>
            <w:r>
              <w:rPr>
                <w:sz w:val="22"/>
              </w:rPr>
              <w:t>Total Liabilities</w:t>
            </w:r>
          </w:p>
        </w:tc>
      </w:tr>
      <w:tr>
        <w:trPr>
          <w:trHeight w:val="268" w:hRule="atLeast"/>
        </w:trPr>
        <w:tc>
          <w:tcPr>
            <w:tcW w:w="2070" w:type="dxa"/>
          </w:tcPr>
          <w:p>
            <w:pPr>
              <w:pStyle w:val="TableParagraph"/>
              <w:spacing w:line="240" w:lineRule="auto"/>
              <w:jc w:val="left"/>
              <w:rPr>
                <w:rFonts w:ascii="Times New Roman"/>
                <w:sz w:val="18"/>
              </w:rPr>
            </w:pPr>
          </w:p>
        </w:tc>
        <w:tc>
          <w:tcPr>
            <w:tcW w:w="1247" w:type="dxa"/>
          </w:tcPr>
          <w:p>
            <w:pPr>
              <w:pStyle w:val="TableParagraph"/>
              <w:spacing w:line="248" w:lineRule="exact"/>
              <w:ind w:left="107"/>
              <w:jc w:val="left"/>
              <w:rPr>
                <w:sz w:val="22"/>
              </w:rPr>
            </w:pPr>
            <w:r>
              <w:rPr>
                <w:sz w:val="22"/>
              </w:rPr>
              <w:t>Ex gains</w:t>
            </w:r>
          </w:p>
        </w:tc>
        <w:tc>
          <w:tcPr>
            <w:tcW w:w="1072" w:type="dxa"/>
          </w:tcPr>
          <w:p>
            <w:pPr>
              <w:pStyle w:val="TableParagraph"/>
              <w:spacing w:line="248" w:lineRule="exact"/>
              <w:ind w:left="107"/>
              <w:jc w:val="left"/>
              <w:rPr>
                <w:sz w:val="22"/>
              </w:rPr>
            </w:pPr>
            <w:r>
              <w:rPr>
                <w:sz w:val="22"/>
              </w:rPr>
              <w:t>Inc gains</w:t>
            </w:r>
          </w:p>
        </w:tc>
        <w:tc>
          <w:tcPr>
            <w:tcW w:w="1247" w:type="dxa"/>
          </w:tcPr>
          <w:p>
            <w:pPr>
              <w:pStyle w:val="TableParagraph"/>
              <w:spacing w:line="248" w:lineRule="exact"/>
              <w:ind w:left="106"/>
              <w:jc w:val="left"/>
              <w:rPr>
                <w:sz w:val="22"/>
              </w:rPr>
            </w:pPr>
            <w:r>
              <w:rPr>
                <w:sz w:val="22"/>
              </w:rPr>
              <w:t>Ex gains</w:t>
            </w:r>
          </w:p>
        </w:tc>
        <w:tc>
          <w:tcPr>
            <w:tcW w:w="1141" w:type="dxa"/>
          </w:tcPr>
          <w:p>
            <w:pPr>
              <w:pStyle w:val="TableParagraph"/>
              <w:spacing w:line="248" w:lineRule="exact"/>
              <w:ind w:left="106"/>
              <w:jc w:val="left"/>
              <w:rPr>
                <w:sz w:val="22"/>
              </w:rPr>
            </w:pPr>
            <w:r>
              <w:rPr>
                <w:sz w:val="22"/>
              </w:rPr>
              <w:t>Inc gains</w:t>
            </w:r>
          </w:p>
        </w:tc>
        <w:tc>
          <w:tcPr>
            <w:tcW w:w="1367" w:type="dxa"/>
            <w:vMerge/>
            <w:tcBorders>
              <w:top w:val="nil"/>
            </w:tcBorders>
          </w:tcPr>
          <w:p>
            <w:pPr>
              <w:rPr>
                <w:sz w:val="2"/>
                <w:szCs w:val="2"/>
              </w:rPr>
            </w:pPr>
          </w:p>
        </w:tc>
        <w:tc>
          <w:tcPr>
            <w:tcW w:w="1605" w:type="dxa"/>
            <w:vMerge/>
            <w:tcBorders>
              <w:top w:val="nil"/>
            </w:tcBorders>
          </w:tcPr>
          <w:p>
            <w:pPr>
              <w:rPr>
                <w:sz w:val="2"/>
                <w:szCs w:val="2"/>
              </w:rPr>
            </w:pPr>
          </w:p>
        </w:tc>
      </w:tr>
      <w:tr>
        <w:trPr>
          <w:trHeight w:val="269" w:hRule="atLeast"/>
        </w:trPr>
        <w:tc>
          <w:tcPr>
            <w:tcW w:w="2070" w:type="dxa"/>
          </w:tcPr>
          <w:p>
            <w:pPr>
              <w:pStyle w:val="TableParagraph"/>
              <w:ind w:left="107"/>
              <w:jc w:val="left"/>
              <w:rPr>
                <w:sz w:val="22"/>
              </w:rPr>
            </w:pPr>
            <w:r>
              <w:rPr>
                <w:sz w:val="22"/>
              </w:rPr>
              <w:t>FDI</w:t>
            </w:r>
          </w:p>
        </w:tc>
        <w:tc>
          <w:tcPr>
            <w:tcW w:w="1247" w:type="dxa"/>
          </w:tcPr>
          <w:p>
            <w:pPr>
              <w:pStyle w:val="TableParagraph"/>
              <w:ind w:right="86"/>
              <w:rPr>
                <w:sz w:val="22"/>
              </w:rPr>
            </w:pPr>
            <w:r>
              <w:rPr>
                <w:w w:val="95"/>
                <w:sz w:val="22"/>
              </w:rPr>
              <w:t>7.8</w:t>
            </w:r>
          </w:p>
        </w:tc>
        <w:tc>
          <w:tcPr>
            <w:tcW w:w="1072" w:type="dxa"/>
          </w:tcPr>
          <w:p>
            <w:pPr>
              <w:pStyle w:val="TableParagraph"/>
              <w:ind w:right="87"/>
              <w:rPr>
                <w:sz w:val="22"/>
              </w:rPr>
            </w:pPr>
            <w:r>
              <w:rPr>
                <w:w w:val="95"/>
                <w:sz w:val="22"/>
              </w:rPr>
              <w:t>7.4</w:t>
            </w:r>
          </w:p>
        </w:tc>
        <w:tc>
          <w:tcPr>
            <w:tcW w:w="1247" w:type="dxa"/>
          </w:tcPr>
          <w:p>
            <w:pPr>
              <w:pStyle w:val="TableParagraph"/>
              <w:ind w:right="87"/>
              <w:rPr>
                <w:sz w:val="22"/>
              </w:rPr>
            </w:pPr>
            <w:r>
              <w:rPr>
                <w:w w:val="95"/>
                <w:sz w:val="22"/>
              </w:rPr>
              <w:t>4.2</w:t>
            </w:r>
          </w:p>
        </w:tc>
        <w:tc>
          <w:tcPr>
            <w:tcW w:w="1141" w:type="dxa"/>
          </w:tcPr>
          <w:p>
            <w:pPr>
              <w:pStyle w:val="TableParagraph"/>
              <w:ind w:right="87"/>
              <w:rPr>
                <w:sz w:val="22"/>
              </w:rPr>
            </w:pPr>
            <w:r>
              <w:rPr>
                <w:w w:val="95"/>
                <w:sz w:val="22"/>
              </w:rPr>
              <w:t>4.0</w:t>
            </w:r>
          </w:p>
        </w:tc>
        <w:tc>
          <w:tcPr>
            <w:tcW w:w="1367" w:type="dxa"/>
          </w:tcPr>
          <w:p>
            <w:pPr>
              <w:pStyle w:val="TableParagraph"/>
              <w:ind w:right="87"/>
              <w:rPr>
                <w:sz w:val="22"/>
              </w:rPr>
            </w:pPr>
            <w:r>
              <w:rPr>
                <w:color w:val="1F497C"/>
                <w:w w:val="95"/>
                <w:sz w:val="22"/>
              </w:rPr>
              <w:t>10.5</w:t>
            </w:r>
          </w:p>
        </w:tc>
        <w:tc>
          <w:tcPr>
            <w:tcW w:w="1605" w:type="dxa"/>
          </w:tcPr>
          <w:p>
            <w:pPr>
              <w:pStyle w:val="TableParagraph"/>
              <w:ind w:right="87"/>
              <w:rPr>
                <w:sz w:val="22"/>
              </w:rPr>
            </w:pPr>
            <w:r>
              <w:rPr>
                <w:color w:val="1F497C"/>
                <w:w w:val="95"/>
                <w:sz w:val="22"/>
              </w:rPr>
              <w:t>7.0</w:t>
            </w:r>
          </w:p>
        </w:tc>
      </w:tr>
      <w:tr>
        <w:trPr>
          <w:trHeight w:val="267" w:hRule="atLeast"/>
        </w:trPr>
        <w:tc>
          <w:tcPr>
            <w:tcW w:w="2070" w:type="dxa"/>
          </w:tcPr>
          <w:p>
            <w:pPr>
              <w:pStyle w:val="TableParagraph"/>
              <w:spacing w:line="248" w:lineRule="exact"/>
              <w:ind w:left="107"/>
              <w:jc w:val="left"/>
              <w:rPr>
                <w:sz w:val="22"/>
              </w:rPr>
            </w:pPr>
            <w:r>
              <w:rPr>
                <w:sz w:val="22"/>
              </w:rPr>
              <w:t>Equity</w:t>
            </w:r>
          </w:p>
        </w:tc>
        <w:tc>
          <w:tcPr>
            <w:tcW w:w="1247" w:type="dxa"/>
          </w:tcPr>
          <w:p>
            <w:pPr>
              <w:pStyle w:val="TableParagraph"/>
              <w:spacing w:line="248" w:lineRule="exact"/>
              <w:ind w:right="86"/>
              <w:rPr>
                <w:sz w:val="22"/>
              </w:rPr>
            </w:pPr>
            <w:r>
              <w:rPr>
                <w:w w:val="95"/>
                <w:sz w:val="22"/>
              </w:rPr>
              <w:t>2.7</w:t>
            </w:r>
          </w:p>
        </w:tc>
        <w:tc>
          <w:tcPr>
            <w:tcW w:w="1072" w:type="dxa"/>
          </w:tcPr>
          <w:p>
            <w:pPr>
              <w:pStyle w:val="TableParagraph"/>
              <w:spacing w:line="248" w:lineRule="exact"/>
              <w:ind w:right="87"/>
              <w:rPr>
                <w:sz w:val="22"/>
              </w:rPr>
            </w:pPr>
            <w:r>
              <w:rPr>
                <w:w w:val="95"/>
                <w:sz w:val="22"/>
              </w:rPr>
              <w:t>4.6</w:t>
            </w:r>
          </w:p>
        </w:tc>
        <w:tc>
          <w:tcPr>
            <w:tcW w:w="1247" w:type="dxa"/>
          </w:tcPr>
          <w:p>
            <w:pPr>
              <w:pStyle w:val="TableParagraph"/>
              <w:spacing w:line="248" w:lineRule="exact"/>
              <w:ind w:right="87"/>
              <w:rPr>
                <w:sz w:val="22"/>
              </w:rPr>
            </w:pPr>
            <w:r>
              <w:rPr>
                <w:w w:val="95"/>
                <w:sz w:val="22"/>
              </w:rPr>
              <w:t>3.2</w:t>
            </w:r>
          </w:p>
        </w:tc>
        <w:tc>
          <w:tcPr>
            <w:tcW w:w="1141" w:type="dxa"/>
          </w:tcPr>
          <w:p>
            <w:pPr>
              <w:pStyle w:val="TableParagraph"/>
              <w:spacing w:line="248" w:lineRule="exact"/>
              <w:ind w:right="87"/>
              <w:rPr>
                <w:sz w:val="22"/>
              </w:rPr>
            </w:pPr>
            <w:r>
              <w:rPr>
                <w:sz w:val="22"/>
              </w:rPr>
              <w:t>‐1.6</w:t>
            </w:r>
          </w:p>
        </w:tc>
        <w:tc>
          <w:tcPr>
            <w:tcW w:w="1367" w:type="dxa"/>
          </w:tcPr>
          <w:p>
            <w:pPr>
              <w:pStyle w:val="TableParagraph"/>
              <w:spacing w:line="248" w:lineRule="exact"/>
              <w:ind w:right="87"/>
              <w:rPr>
                <w:sz w:val="22"/>
              </w:rPr>
            </w:pPr>
            <w:r>
              <w:rPr>
                <w:color w:val="1F497C"/>
                <w:w w:val="95"/>
                <w:sz w:val="22"/>
              </w:rPr>
              <w:t>6.9</w:t>
            </w:r>
          </w:p>
        </w:tc>
        <w:tc>
          <w:tcPr>
            <w:tcW w:w="1605" w:type="dxa"/>
          </w:tcPr>
          <w:p>
            <w:pPr>
              <w:pStyle w:val="TableParagraph"/>
              <w:spacing w:line="248" w:lineRule="exact"/>
              <w:ind w:right="87"/>
              <w:rPr>
                <w:sz w:val="22"/>
              </w:rPr>
            </w:pPr>
            <w:r>
              <w:rPr>
                <w:color w:val="1F497C"/>
                <w:w w:val="95"/>
                <w:sz w:val="22"/>
              </w:rPr>
              <w:t>8.1</w:t>
            </w:r>
          </w:p>
        </w:tc>
      </w:tr>
      <w:tr>
        <w:trPr>
          <w:trHeight w:val="269" w:hRule="atLeast"/>
        </w:trPr>
        <w:tc>
          <w:tcPr>
            <w:tcW w:w="2070" w:type="dxa"/>
          </w:tcPr>
          <w:p>
            <w:pPr>
              <w:pStyle w:val="TableParagraph"/>
              <w:ind w:left="107"/>
              <w:jc w:val="left"/>
              <w:rPr>
                <w:sz w:val="22"/>
              </w:rPr>
            </w:pPr>
            <w:r>
              <w:rPr>
                <w:sz w:val="22"/>
              </w:rPr>
              <w:t>Debt</w:t>
            </w:r>
          </w:p>
        </w:tc>
        <w:tc>
          <w:tcPr>
            <w:tcW w:w="1247" w:type="dxa"/>
          </w:tcPr>
          <w:p>
            <w:pPr>
              <w:pStyle w:val="TableParagraph"/>
              <w:ind w:right="86"/>
              <w:rPr>
                <w:sz w:val="22"/>
              </w:rPr>
            </w:pPr>
            <w:r>
              <w:rPr>
                <w:w w:val="95"/>
                <w:sz w:val="22"/>
              </w:rPr>
              <w:t>3.1</w:t>
            </w:r>
          </w:p>
        </w:tc>
        <w:tc>
          <w:tcPr>
            <w:tcW w:w="1072" w:type="dxa"/>
          </w:tcPr>
          <w:p>
            <w:pPr>
              <w:pStyle w:val="TableParagraph"/>
              <w:ind w:right="87"/>
              <w:rPr>
                <w:sz w:val="22"/>
              </w:rPr>
            </w:pPr>
            <w:r>
              <w:rPr>
                <w:w w:val="95"/>
                <w:sz w:val="22"/>
              </w:rPr>
              <w:t>7.5</w:t>
            </w:r>
          </w:p>
        </w:tc>
        <w:tc>
          <w:tcPr>
            <w:tcW w:w="1247" w:type="dxa"/>
          </w:tcPr>
          <w:p>
            <w:pPr>
              <w:pStyle w:val="TableParagraph"/>
              <w:ind w:right="87"/>
              <w:rPr>
                <w:sz w:val="22"/>
              </w:rPr>
            </w:pPr>
            <w:r>
              <w:rPr>
                <w:w w:val="95"/>
                <w:sz w:val="22"/>
              </w:rPr>
              <w:t>2.8</w:t>
            </w:r>
          </w:p>
        </w:tc>
        <w:tc>
          <w:tcPr>
            <w:tcW w:w="1141" w:type="dxa"/>
          </w:tcPr>
          <w:p>
            <w:pPr>
              <w:pStyle w:val="TableParagraph"/>
              <w:ind w:right="87"/>
              <w:rPr>
                <w:sz w:val="22"/>
              </w:rPr>
            </w:pPr>
            <w:r>
              <w:rPr>
                <w:w w:val="95"/>
                <w:sz w:val="22"/>
              </w:rPr>
              <w:t>7.1</w:t>
            </w:r>
          </w:p>
        </w:tc>
        <w:tc>
          <w:tcPr>
            <w:tcW w:w="1367" w:type="dxa"/>
          </w:tcPr>
          <w:p>
            <w:pPr>
              <w:pStyle w:val="TableParagraph"/>
              <w:ind w:right="87"/>
              <w:rPr>
                <w:sz w:val="22"/>
              </w:rPr>
            </w:pPr>
            <w:r>
              <w:rPr>
                <w:color w:val="1F497C"/>
                <w:w w:val="95"/>
                <w:sz w:val="22"/>
              </w:rPr>
              <w:t>12.5</w:t>
            </w:r>
          </w:p>
        </w:tc>
        <w:tc>
          <w:tcPr>
            <w:tcW w:w="1605" w:type="dxa"/>
          </w:tcPr>
          <w:p>
            <w:pPr>
              <w:pStyle w:val="TableParagraph"/>
              <w:ind w:right="87"/>
              <w:rPr>
                <w:sz w:val="22"/>
              </w:rPr>
            </w:pPr>
            <w:r>
              <w:rPr>
                <w:color w:val="1F497C"/>
                <w:w w:val="95"/>
                <w:sz w:val="22"/>
              </w:rPr>
              <w:t>14.8</w:t>
            </w:r>
          </w:p>
        </w:tc>
      </w:tr>
      <w:tr>
        <w:trPr>
          <w:trHeight w:val="536" w:hRule="atLeast"/>
        </w:trPr>
        <w:tc>
          <w:tcPr>
            <w:tcW w:w="2070" w:type="dxa"/>
          </w:tcPr>
          <w:p>
            <w:pPr>
              <w:pStyle w:val="TableParagraph"/>
              <w:spacing w:line="267" w:lineRule="exact"/>
              <w:ind w:left="107"/>
              <w:jc w:val="left"/>
              <w:rPr>
                <w:sz w:val="22"/>
              </w:rPr>
            </w:pPr>
            <w:r>
              <w:rPr>
                <w:sz w:val="22"/>
              </w:rPr>
              <w:t>All long‐term</w:t>
            </w:r>
          </w:p>
          <w:p>
            <w:pPr>
              <w:pStyle w:val="TableParagraph"/>
              <w:ind w:left="107"/>
              <w:jc w:val="left"/>
              <w:rPr>
                <w:sz w:val="22"/>
              </w:rPr>
            </w:pPr>
            <w:r>
              <w:rPr>
                <w:sz w:val="22"/>
              </w:rPr>
              <w:t>investment</w:t>
            </w:r>
          </w:p>
        </w:tc>
        <w:tc>
          <w:tcPr>
            <w:tcW w:w="1247" w:type="dxa"/>
          </w:tcPr>
          <w:p>
            <w:pPr>
              <w:pStyle w:val="TableParagraph"/>
              <w:spacing w:line="240" w:lineRule="auto" w:before="3"/>
              <w:jc w:val="left"/>
              <w:rPr>
                <w:rFonts w:ascii="Arial"/>
                <w:sz w:val="23"/>
              </w:rPr>
            </w:pPr>
          </w:p>
          <w:p>
            <w:pPr>
              <w:pStyle w:val="TableParagraph"/>
              <w:ind w:right="86"/>
              <w:rPr>
                <w:sz w:val="22"/>
              </w:rPr>
            </w:pPr>
            <w:r>
              <w:rPr>
                <w:w w:val="95"/>
                <w:sz w:val="22"/>
              </w:rPr>
              <w:t>4.6</w:t>
            </w:r>
          </w:p>
        </w:tc>
        <w:tc>
          <w:tcPr>
            <w:tcW w:w="1072" w:type="dxa"/>
          </w:tcPr>
          <w:p>
            <w:pPr>
              <w:pStyle w:val="TableParagraph"/>
              <w:spacing w:line="240" w:lineRule="auto" w:before="3"/>
              <w:jc w:val="left"/>
              <w:rPr>
                <w:rFonts w:ascii="Arial"/>
                <w:sz w:val="23"/>
              </w:rPr>
            </w:pPr>
          </w:p>
          <w:p>
            <w:pPr>
              <w:pStyle w:val="TableParagraph"/>
              <w:ind w:right="87"/>
              <w:rPr>
                <w:sz w:val="22"/>
              </w:rPr>
            </w:pPr>
            <w:r>
              <w:rPr>
                <w:w w:val="95"/>
                <w:sz w:val="22"/>
              </w:rPr>
              <w:t>6.2</w:t>
            </w:r>
          </w:p>
        </w:tc>
        <w:tc>
          <w:tcPr>
            <w:tcW w:w="1247" w:type="dxa"/>
          </w:tcPr>
          <w:p>
            <w:pPr>
              <w:pStyle w:val="TableParagraph"/>
              <w:spacing w:line="240" w:lineRule="auto" w:before="3"/>
              <w:jc w:val="left"/>
              <w:rPr>
                <w:rFonts w:ascii="Arial"/>
                <w:sz w:val="23"/>
              </w:rPr>
            </w:pPr>
          </w:p>
          <w:p>
            <w:pPr>
              <w:pStyle w:val="TableParagraph"/>
              <w:ind w:right="87"/>
              <w:rPr>
                <w:sz w:val="22"/>
              </w:rPr>
            </w:pPr>
            <w:r>
              <w:rPr>
                <w:w w:val="95"/>
                <w:sz w:val="22"/>
              </w:rPr>
              <w:t>3.2</w:t>
            </w:r>
          </w:p>
        </w:tc>
        <w:tc>
          <w:tcPr>
            <w:tcW w:w="1141" w:type="dxa"/>
          </w:tcPr>
          <w:p>
            <w:pPr>
              <w:pStyle w:val="TableParagraph"/>
              <w:spacing w:line="240" w:lineRule="auto" w:before="3"/>
              <w:jc w:val="left"/>
              <w:rPr>
                <w:rFonts w:ascii="Arial"/>
                <w:sz w:val="23"/>
              </w:rPr>
            </w:pPr>
          </w:p>
          <w:p>
            <w:pPr>
              <w:pStyle w:val="TableParagraph"/>
              <w:ind w:right="87"/>
              <w:rPr>
                <w:sz w:val="22"/>
              </w:rPr>
            </w:pPr>
            <w:r>
              <w:rPr>
                <w:w w:val="95"/>
                <w:sz w:val="22"/>
              </w:rPr>
              <w:t>3.6</w:t>
            </w:r>
          </w:p>
        </w:tc>
        <w:tc>
          <w:tcPr>
            <w:tcW w:w="1367" w:type="dxa"/>
          </w:tcPr>
          <w:p>
            <w:pPr>
              <w:pStyle w:val="TableParagraph"/>
              <w:spacing w:line="267" w:lineRule="exact"/>
              <w:ind w:right="87"/>
              <w:rPr>
                <w:sz w:val="22"/>
              </w:rPr>
            </w:pPr>
            <w:r>
              <w:rPr>
                <w:color w:val="1F497C"/>
                <w:w w:val="95"/>
                <w:sz w:val="22"/>
              </w:rPr>
              <w:t>29.9</w:t>
            </w:r>
          </w:p>
        </w:tc>
        <w:tc>
          <w:tcPr>
            <w:tcW w:w="1605" w:type="dxa"/>
          </w:tcPr>
          <w:p>
            <w:pPr>
              <w:pStyle w:val="TableParagraph"/>
              <w:spacing w:line="267" w:lineRule="exact"/>
              <w:ind w:right="87"/>
              <w:rPr>
                <w:sz w:val="22"/>
              </w:rPr>
            </w:pPr>
            <w:r>
              <w:rPr>
                <w:color w:val="1F497C"/>
                <w:w w:val="95"/>
                <w:sz w:val="22"/>
              </w:rPr>
              <w:t>30.0</w:t>
            </w:r>
          </w:p>
        </w:tc>
      </w:tr>
      <w:tr>
        <w:trPr>
          <w:trHeight w:val="268" w:hRule="atLeast"/>
        </w:trPr>
        <w:tc>
          <w:tcPr>
            <w:tcW w:w="2070" w:type="dxa"/>
          </w:tcPr>
          <w:p>
            <w:pPr>
              <w:pStyle w:val="TableParagraph"/>
              <w:spacing w:line="248" w:lineRule="exact"/>
              <w:ind w:left="107"/>
              <w:jc w:val="left"/>
              <w:rPr>
                <w:sz w:val="22"/>
              </w:rPr>
            </w:pPr>
            <w:r>
              <w:rPr>
                <w:sz w:val="22"/>
              </w:rPr>
              <w:t>Other</w:t>
            </w:r>
          </w:p>
        </w:tc>
        <w:tc>
          <w:tcPr>
            <w:tcW w:w="1247" w:type="dxa"/>
          </w:tcPr>
          <w:p>
            <w:pPr>
              <w:pStyle w:val="TableParagraph"/>
              <w:spacing w:line="248" w:lineRule="exact"/>
              <w:ind w:right="86"/>
              <w:rPr>
                <w:sz w:val="22"/>
              </w:rPr>
            </w:pPr>
            <w:r>
              <w:rPr>
                <w:w w:val="95"/>
                <w:sz w:val="22"/>
              </w:rPr>
              <w:t>0.9</w:t>
            </w:r>
          </w:p>
        </w:tc>
        <w:tc>
          <w:tcPr>
            <w:tcW w:w="1072" w:type="dxa"/>
          </w:tcPr>
          <w:p>
            <w:pPr>
              <w:pStyle w:val="TableParagraph"/>
              <w:spacing w:line="248" w:lineRule="exact"/>
              <w:ind w:right="87"/>
              <w:rPr>
                <w:sz w:val="22"/>
              </w:rPr>
            </w:pPr>
            <w:r>
              <w:rPr>
                <w:w w:val="95"/>
                <w:sz w:val="22"/>
              </w:rPr>
              <w:t>9.7</w:t>
            </w:r>
          </w:p>
        </w:tc>
        <w:tc>
          <w:tcPr>
            <w:tcW w:w="1247" w:type="dxa"/>
          </w:tcPr>
          <w:p>
            <w:pPr>
              <w:pStyle w:val="TableParagraph"/>
              <w:spacing w:line="248" w:lineRule="exact"/>
              <w:ind w:right="87"/>
              <w:rPr>
                <w:sz w:val="22"/>
              </w:rPr>
            </w:pPr>
            <w:r>
              <w:rPr>
                <w:w w:val="95"/>
                <w:sz w:val="22"/>
              </w:rPr>
              <w:t>1.1</w:t>
            </w:r>
          </w:p>
        </w:tc>
        <w:tc>
          <w:tcPr>
            <w:tcW w:w="1141" w:type="dxa"/>
          </w:tcPr>
          <w:p>
            <w:pPr>
              <w:pStyle w:val="TableParagraph"/>
              <w:spacing w:line="248" w:lineRule="exact"/>
              <w:ind w:right="87"/>
              <w:rPr>
                <w:sz w:val="22"/>
              </w:rPr>
            </w:pPr>
            <w:r>
              <w:rPr>
                <w:w w:val="95"/>
                <w:sz w:val="22"/>
              </w:rPr>
              <w:t>9.5</w:t>
            </w:r>
          </w:p>
        </w:tc>
        <w:tc>
          <w:tcPr>
            <w:tcW w:w="1367" w:type="dxa"/>
          </w:tcPr>
          <w:p>
            <w:pPr>
              <w:pStyle w:val="TableParagraph"/>
              <w:spacing w:line="248" w:lineRule="exact"/>
              <w:ind w:right="87"/>
              <w:rPr>
                <w:sz w:val="22"/>
              </w:rPr>
            </w:pPr>
            <w:r>
              <w:rPr>
                <w:color w:val="1F497C"/>
                <w:w w:val="95"/>
                <w:sz w:val="22"/>
              </w:rPr>
              <w:t>70.1</w:t>
            </w:r>
          </w:p>
        </w:tc>
        <w:tc>
          <w:tcPr>
            <w:tcW w:w="1605" w:type="dxa"/>
          </w:tcPr>
          <w:p>
            <w:pPr>
              <w:pStyle w:val="TableParagraph"/>
              <w:spacing w:line="248" w:lineRule="exact"/>
              <w:ind w:right="87"/>
              <w:rPr>
                <w:sz w:val="22"/>
              </w:rPr>
            </w:pPr>
            <w:r>
              <w:rPr>
                <w:color w:val="1F497C"/>
                <w:w w:val="95"/>
                <w:sz w:val="22"/>
              </w:rPr>
              <w:t>70.0</w:t>
            </w:r>
          </w:p>
        </w:tc>
      </w:tr>
      <w:tr>
        <w:trPr>
          <w:trHeight w:val="269" w:hRule="atLeast"/>
        </w:trPr>
        <w:tc>
          <w:tcPr>
            <w:tcW w:w="2070" w:type="dxa"/>
          </w:tcPr>
          <w:p>
            <w:pPr>
              <w:pStyle w:val="TableParagraph"/>
              <w:ind w:left="107"/>
              <w:jc w:val="left"/>
              <w:rPr>
                <w:sz w:val="22"/>
              </w:rPr>
            </w:pPr>
            <w:r>
              <w:rPr>
                <w:sz w:val="22"/>
              </w:rPr>
              <w:t>All</w:t>
            </w:r>
          </w:p>
        </w:tc>
        <w:tc>
          <w:tcPr>
            <w:tcW w:w="1247" w:type="dxa"/>
          </w:tcPr>
          <w:p>
            <w:pPr>
              <w:pStyle w:val="TableParagraph"/>
              <w:ind w:right="86"/>
              <w:rPr>
                <w:sz w:val="22"/>
              </w:rPr>
            </w:pPr>
            <w:r>
              <w:rPr>
                <w:w w:val="95"/>
                <w:sz w:val="22"/>
              </w:rPr>
              <w:t>2.0</w:t>
            </w:r>
          </w:p>
        </w:tc>
        <w:tc>
          <w:tcPr>
            <w:tcW w:w="1072" w:type="dxa"/>
          </w:tcPr>
          <w:p>
            <w:pPr>
              <w:pStyle w:val="TableParagraph"/>
              <w:ind w:right="87"/>
              <w:rPr>
                <w:sz w:val="22"/>
              </w:rPr>
            </w:pPr>
            <w:r>
              <w:rPr>
                <w:w w:val="95"/>
                <w:sz w:val="22"/>
              </w:rPr>
              <w:t>8.1</w:t>
            </w:r>
          </w:p>
        </w:tc>
        <w:tc>
          <w:tcPr>
            <w:tcW w:w="1247" w:type="dxa"/>
          </w:tcPr>
          <w:p>
            <w:pPr>
              <w:pStyle w:val="TableParagraph"/>
              <w:ind w:right="87"/>
              <w:rPr>
                <w:sz w:val="22"/>
              </w:rPr>
            </w:pPr>
            <w:r>
              <w:rPr>
                <w:w w:val="95"/>
                <w:sz w:val="22"/>
              </w:rPr>
              <w:t>1.7</w:t>
            </w:r>
          </w:p>
        </w:tc>
        <w:tc>
          <w:tcPr>
            <w:tcW w:w="1141" w:type="dxa"/>
          </w:tcPr>
          <w:p>
            <w:pPr>
              <w:pStyle w:val="TableParagraph"/>
              <w:ind w:right="87"/>
              <w:rPr>
                <w:sz w:val="22"/>
              </w:rPr>
            </w:pPr>
            <w:r>
              <w:rPr>
                <w:w w:val="95"/>
                <w:sz w:val="22"/>
              </w:rPr>
              <w:t>7.2</w:t>
            </w:r>
          </w:p>
        </w:tc>
        <w:tc>
          <w:tcPr>
            <w:tcW w:w="1367" w:type="dxa"/>
          </w:tcPr>
          <w:p>
            <w:pPr>
              <w:pStyle w:val="TableParagraph"/>
              <w:ind w:right="87"/>
              <w:rPr>
                <w:sz w:val="22"/>
              </w:rPr>
            </w:pPr>
            <w:r>
              <w:rPr>
                <w:color w:val="1F497C"/>
                <w:sz w:val="22"/>
              </w:rPr>
              <w:t>100</w:t>
            </w:r>
          </w:p>
        </w:tc>
        <w:tc>
          <w:tcPr>
            <w:tcW w:w="1605" w:type="dxa"/>
          </w:tcPr>
          <w:p>
            <w:pPr>
              <w:pStyle w:val="TableParagraph"/>
              <w:ind w:right="87"/>
              <w:rPr>
                <w:sz w:val="22"/>
              </w:rPr>
            </w:pPr>
            <w:r>
              <w:rPr>
                <w:color w:val="1F497C"/>
                <w:w w:val="95"/>
                <w:sz w:val="22"/>
              </w:rPr>
              <w:t>100</w:t>
            </w:r>
          </w:p>
        </w:tc>
      </w:tr>
      <w:tr>
        <w:trPr>
          <w:trHeight w:val="269" w:hRule="atLeast"/>
        </w:trPr>
        <w:tc>
          <w:tcPr>
            <w:tcW w:w="3317" w:type="dxa"/>
            <w:gridSpan w:val="2"/>
          </w:tcPr>
          <w:p>
            <w:pPr>
              <w:pStyle w:val="TableParagraph"/>
              <w:ind w:left="107"/>
              <w:jc w:val="left"/>
              <w:rPr>
                <w:sz w:val="22"/>
              </w:rPr>
            </w:pPr>
            <w:r>
              <w:rPr>
                <w:sz w:val="22"/>
              </w:rPr>
              <w:t>Excess Returns on Assets</w:t>
            </w:r>
          </w:p>
        </w:tc>
        <w:tc>
          <w:tcPr>
            <w:tcW w:w="1072" w:type="dxa"/>
          </w:tcPr>
          <w:p>
            <w:pPr>
              <w:pStyle w:val="TableParagraph"/>
              <w:ind w:right="87"/>
              <w:rPr>
                <w:sz w:val="22"/>
              </w:rPr>
            </w:pPr>
            <w:r>
              <w:rPr>
                <w:w w:val="95"/>
                <w:sz w:val="22"/>
              </w:rPr>
              <w:t>0.9</w:t>
            </w:r>
          </w:p>
        </w:tc>
        <w:tc>
          <w:tcPr>
            <w:tcW w:w="1247" w:type="dxa"/>
          </w:tcPr>
          <w:p>
            <w:pPr>
              <w:pStyle w:val="TableParagraph"/>
              <w:spacing w:line="240" w:lineRule="auto"/>
              <w:jc w:val="left"/>
              <w:rPr>
                <w:rFonts w:ascii="Times New Roman"/>
                <w:sz w:val="18"/>
              </w:rPr>
            </w:pPr>
          </w:p>
        </w:tc>
        <w:tc>
          <w:tcPr>
            <w:tcW w:w="1141" w:type="dxa"/>
          </w:tcPr>
          <w:p>
            <w:pPr>
              <w:pStyle w:val="TableParagraph"/>
              <w:spacing w:line="240" w:lineRule="auto"/>
              <w:jc w:val="left"/>
              <w:rPr>
                <w:rFonts w:ascii="Times New Roman"/>
                <w:sz w:val="18"/>
              </w:rPr>
            </w:pPr>
          </w:p>
        </w:tc>
        <w:tc>
          <w:tcPr>
            <w:tcW w:w="1367" w:type="dxa"/>
          </w:tcPr>
          <w:p>
            <w:pPr>
              <w:pStyle w:val="TableParagraph"/>
              <w:spacing w:line="240" w:lineRule="auto"/>
              <w:jc w:val="left"/>
              <w:rPr>
                <w:rFonts w:ascii="Times New Roman"/>
                <w:sz w:val="18"/>
              </w:rPr>
            </w:pPr>
          </w:p>
        </w:tc>
        <w:tc>
          <w:tcPr>
            <w:tcW w:w="1605" w:type="dxa"/>
          </w:tcPr>
          <w:p>
            <w:pPr>
              <w:pStyle w:val="TableParagraph"/>
              <w:spacing w:line="240" w:lineRule="auto"/>
              <w:jc w:val="left"/>
              <w:rPr>
                <w:rFonts w:ascii="Times New Roman"/>
                <w:sz w:val="18"/>
              </w:rPr>
            </w:pPr>
          </w:p>
        </w:tc>
      </w:tr>
    </w:tbl>
    <w:p>
      <w:pPr>
        <w:spacing w:line="184" w:lineRule="exact" w:before="74"/>
        <w:ind w:left="578" w:right="0" w:firstLine="0"/>
        <w:jc w:val="left"/>
        <w:rPr>
          <w:sz w:val="16"/>
        </w:rPr>
      </w:pPr>
      <w:r>
        <w:rPr>
          <w:sz w:val="16"/>
        </w:rPr>
        <w:t>Source: UK Balance of Payments, ONS and Bank calculations</w:t>
      </w:r>
    </w:p>
    <w:p>
      <w:pPr>
        <w:spacing w:before="0"/>
        <w:ind w:left="578" w:right="0" w:firstLine="0"/>
        <w:jc w:val="left"/>
        <w:rPr>
          <w:sz w:val="16"/>
        </w:rPr>
      </w:pPr>
      <w:r>
        <w:rPr>
          <w:sz w:val="16"/>
        </w:rPr>
        <w:t>Rounding means that sums and differences of aggregates may differ from those computed using these figures.</w:t>
      </w:r>
    </w:p>
    <w:p>
      <w:pPr>
        <w:pStyle w:val="BodyText"/>
      </w:pPr>
    </w:p>
    <w:p>
      <w:pPr>
        <w:pStyle w:val="BodyText"/>
        <w:spacing w:before="9"/>
        <w:rPr>
          <w:sz w:val="21"/>
        </w:rPr>
      </w:pPr>
    </w:p>
    <w:p>
      <w:pPr>
        <w:pStyle w:val="BodyText"/>
        <w:ind w:left="354"/>
      </w:pPr>
      <w:r>
        <w:rPr/>
        <w:t>These data suggest that, asset by asset, returns including gains seem to be mostly higher on</w:t>
      </w:r>
    </w:p>
    <w:p>
      <w:pPr>
        <w:pStyle w:val="BodyText"/>
        <w:spacing w:line="360" w:lineRule="auto" w:before="114"/>
        <w:ind w:left="353" w:right="1161"/>
      </w:pPr>
      <w:r>
        <w:rPr/>
        <w:t>United Kingdom assets than on United Kingdom liabilities, although this was not true of equity in the period 1997-2007 and the returns on debt were equal on assets and liabilities then. Total returns, including those earned from the composition effect on United Kingdom assets exceeded those on liabilities by 0.4 per cent per annum in the period from 1997-2007 and by 0.9 per cent from 2008 onwards. The very high capital gains associated with other assets and liabilities between 2008 and 2011 are, as noted above, derived by comparing reported assets transactions with reported balances and there is more than a small risk that they may be artefacts resulting from mis-recording.</w:t>
      </w:r>
    </w:p>
    <w:p>
      <w:pPr>
        <w:pStyle w:val="BodyText"/>
        <w:rPr>
          <w:sz w:val="30"/>
        </w:rPr>
      </w:pPr>
    </w:p>
    <w:p>
      <w:pPr>
        <w:pStyle w:val="BodyText"/>
        <w:spacing w:line="360" w:lineRule="auto" w:before="1"/>
        <w:ind w:left="354" w:right="1275"/>
      </w:pPr>
      <w:r>
        <w:rPr/>
        <w:t>Looked at overall, the information available on the United Kingdom’s external assets and liabilities suggests, in contrast to the findings of Habib (2010), that the excess return comes from a return effect rather than a composition effect. For the period up to 2007 the return effect amounts to 0.3 percentage points while the composition effect is 0.1 percentage points. From 2008 to 2011 the return effect, after rounding, is put at 1.0 percentage points while the composition effect is -0.2 percentage points. This suggests that the</w:t>
      </w:r>
    </w:p>
    <w:p>
      <w:pPr>
        <w:spacing w:after="0" w:line="360" w:lineRule="auto"/>
        <w:sectPr>
          <w:pgSz w:w="11900" w:h="16840"/>
          <w:pgMar w:header="0" w:footer="1548" w:top="1540" w:bottom="1740" w:left="780" w:right="0"/>
        </w:sectPr>
      </w:pPr>
    </w:p>
    <w:p>
      <w:pPr>
        <w:pStyle w:val="BodyText"/>
        <w:spacing w:line="360" w:lineRule="auto" w:before="76"/>
        <w:ind w:left="353" w:right="1231"/>
      </w:pPr>
      <w:r>
        <w:rPr/>
        <w:t>United Kingdom, like the United States, enjoys favourable returns on its investments rather than biasing its investments towards the broad categories which offer the highest measured returns. Capital gains on top of flows of investment income, have offered a second means by which the United Kingdom’s external position has financed itself. But, as I noted earlier, it is not possible to say whether this is the consequence of the skill of the United Kingdom’s investing community or whether it is simply because they run greater risks with the United Kingdom’s overseas investments than do the foreigners who invest in the United Kingdom. It is, however, certainly the case that relatively small movements in returns on the United Kingdom’s external</w:t>
      </w:r>
    </w:p>
    <w:p>
      <w:pPr>
        <w:pStyle w:val="BodyText"/>
        <w:spacing w:line="360" w:lineRule="auto"/>
        <w:ind w:left="4928" w:right="1346"/>
      </w:pPr>
      <w:r>
        <w:rPr/>
        <w:pict>
          <v:group style="position:absolute;margin-left:50.025002pt;margin-top:7.32321pt;width:225.9pt;height:275.25pt;mso-position-horizontal-relative:page;mso-position-vertical-relative:paragraph;z-index:251747328" coordorigin="1001,146" coordsize="4518,5505">
            <v:shape style="position:absolute;left:1380;top:2735;width:3215;height:662" coordorigin="1380,2735" coordsize="3215,662" path="m1380,3396l4595,3396m1380,2735l4595,2735e" filled="false" stroked="true" strokeweight=".72pt" strokecolor="#868686">
              <v:path arrowok="t"/>
              <v:stroke dashstyle="solid"/>
            </v:shape>
            <v:shape style="position:absolute;left:1405;top:2513;width:1124;height:552" coordorigin="1406,2513" coordsize="1124,552" path="m1406,2600l1406,3065m1457,2651l1457,3065m1508,2513l1508,3065m1559,2714l1559,3065m1610,2723l1610,3065m1661,2756l1661,3065m1712,2760l1712,3065m1763,2669l1763,3065m1814,2699l1814,3065m1865,2650l1865,3065m1916,2608l1916,3065m1967,2613l1967,3065m2018,2622l2018,3065m2069,2633l2069,3065m2120,2666l2120,3065m2171,2549l2171,3065m2222,2543l2222,3065m2273,2542l2273,3065m2325,2548l2325,3065m2375,2650l2375,3065m2427,2644l2427,3065m2477,2590l2477,3065m2529,2574l2529,3065e" filled="false" stroked="true" strokeweight="1.02pt" strokecolor="#4f81bd">
              <v:path arrowok="t"/>
              <v:stroke dashstyle="solid"/>
            </v:shape>
            <v:shape style="position:absolute;left:2579;top:2515;width:664;height:550" coordorigin="2579,2516" coordsize="664,550" path="m2579,2564l2579,3065m2631,2559l2631,3065m2681,2568l2681,3065m2733,2579l2733,3065m2783,2579l2783,3065m2835,2534l2835,3065m2885,2547l2885,3065m2937,2573l2937,3065m2987,2555l2987,3065m3039,2579l3039,3065m3089,2585l3089,3065m3141,2522l3141,3065m3191,2537l3191,3065m3243,2516l3243,3065e" filled="false" stroked="true" strokeweight="1.02pt" strokecolor="#4f81bd">
              <v:path arrowok="t"/>
              <v:stroke dashstyle="solid"/>
            </v:shape>
            <v:line style="position:absolute" from="1380,2405" to="4595,2405" stroked="true" strokeweight=".71997pt" strokecolor="#868686">
              <v:stroke dashstyle="solid"/>
            </v:line>
            <v:shape style="position:absolute;left:3293;top:2166;width:460;height:899" coordorigin="3293,2166" coordsize="460,899" path="m3293,2481l3293,3065m3345,2464l3345,3065m3397,2426l3397,3065m3447,2360l3447,3065m3499,2325l3499,3065m3549,2291l3549,3065m3601,2228l3601,3065m3651,2243l3651,3065m3703,2166l3703,3065m3753,2202l3753,3065e" filled="false" stroked="true" strokeweight="1.02pt" strokecolor="#4f81bd">
              <v:path arrowok="t"/>
              <v:stroke dashstyle="solid"/>
            </v:shape>
            <v:line style="position:absolute" from="1380,2074" to="4595,2074" stroked="true" strokeweight=".71997pt" strokecolor="#868686">
              <v:stroke dashstyle="solid"/>
            </v:line>
            <v:shape style="position:absolute;left:3804;top:2016;width:766;height:1049" coordorigin="3805,2016" coordsize="766,1049" path="m3805,2016l3805,3065m3855,2147l3855,3065m3907,2177l3907,3065m3957,2232l3957,3065m4009,2220l4009,3065m4059,2285l4059,3065m4111,2277l4111,3065m4161,2361l4161,3065m4213,2330l4213,3065m4263,2253l4263,3065m4315,2206l4315,3065m4365,2157l4365,3065m4417,2324l4417,3065m4468,2324l4468,3065m4519,2313l4519,3065m4570,2384l4570,3065e" filled="false" stroked="true" strokeweight="1.02pt" strokecolor="#4f81bd">
              <v:path arrowok="t"/>
              <v:stroke dashstyle="solid"/>
            </v:shape>
            <v:shape style="position:absolute;left:1395;top:3065;width:72;height:111" coordorigin="1396,3065" coordsize="72,111" path="m1416,3065l1396,3065,1396,3176,1416,3176,1416,3065m1468,3065l1447,3065,1447,3078,1468,3078,1468,3065e" filled="true" fillcolor="#c0504d" stroked="false">
              <v:path arrowok="t"/>
              <v:fill type="solid"/>
            </v:shape>
            <v:line style="position:absolute" from="1508,3065" to="1508,3202" stroked="true" strokeweight="1.02pt" strokecolor="#c0504d">
              <v:stroke dashstyle="solid"/>
            </v:line>
            <v:shape style="position:absolute;left:1549;top:2595;width:71;height:128" coordorigin="1549,2596" coordsize="71,128" path="m1570,2596l1549,2596,1549,2714,1570,2714,1570,2596m1620,2639l1600,2639,1600,2723,1620,2723,1620,2639e" filled="true" fillcolor="#c0504d" stroked="false">
              <v:path arrowok="t"/>
              <v:fill type="solid"/>
            </v:shape>
            <v:shape style="position:absolute;left:1661;top:2171;width:102;height:590" coordorigin="1661,2171" coordsize="102,590" path="m1661,2567l1661,2756m1712,2171l1712,2760m1763,2308l1763,2669e" filled="false" stroked="true" strokeweight="1.02pt" strokecolor="#c0504d">
              <v:path arrowok="t"/>
              <v:stroke dashstyle="solid"/>
            </v:shape>
            <v:shape style="position:absolute;left:1803;top:2438;width:582;height:746" coordorigin="1804,2439" coordsize="582,746" path="m1824,2645l1804,2645,1804,2699,1824,2699,1824,2645m1876,2584l1855,2584,1855,2650,1876,2650,1876,2584m1926,3065l1906,3065,1906,3123,1926,3123,1926,3065m1978,2561l1957,2561,1957,2613,1978,2613,1978,2561m2028,3065l2008,3065,2008,3142,2028,3142,2028,3065m2080,3065l2059,3065,2059,3080,2080,3080,2080,3065m2130,3065l2110,3065,2110,3156,2130,3156,2130,3065m2182,3065l2161,3065,2161,3126,2182,3126,2182,3065m2232,3065l2212,3065,2212,3184,2232,3184,2232,3065m2284,3065l2263,3065,2263,3082,2284,3082,2284,3065m2335,2439l2315,2439,2315,2548,2335,2548,2335,2439m2386,2532l2365,2532,2365,2650,2386,2650,2386,2532e" filled="true" fillcolor="#c0504d" stroked="false">
              <v:path arrowok="t"/>
              <v:fill type="solid"/>
            </v:shape>
            <v:shape style="position:absolute;left:2427;top:2379;width:102;height:264" coordorigin="2427,2380" coordsize="102,264" path="m2427,2472l2427,2644m2529,2380l2529,2574e" filled="false" stroked="true" strokeweight="1.02pt" strokecolor="#c0504d">
              <v:path arrowok="t"/>
              <v:stroke dashstyle="solid"/>
            </v:shape>
            <v:rect style="position:absolute;left:2569;top:2438;width:21;height:125" filled="true" fillcolor="#c0504d" stroked="false">
              <v:fill type="solid"/>
            </v:rect>
            <v:line style="position:absolute" from="2631,2340" to="2631,2559" stroked="true" strokeweight="1.02pt" strokecolor="#c0504d">
              <v:stroke dashstyle="solid"/>
            </v:line>
            <v:rect style="position:absolute;left:2671;top:2503;width:21;height:65" filled="true" fillcolor="#c0504d" stroked="false">
              <v:fill type="solid"/>
            </v:rect>
            <v:shape style="position:absolute;left:2733;top:2349;width:153;height:230" coordorigin="2733,2350" coordsize="153,230" path="m2733,2380l2733,2579m2783,2432l2783,2579m2835,2350l2835,2534m2885,2404l2885,2547e" filled="false" stroked="true" strokeweight="1.02pt" strokecolor="#c0504d">
              <v:path arrowok="t"/>
              <v:stroke dashstyle="solid"/>
            </v:shape>
            <v:shape style="position:absolute;left:2926;top:2217;width:633;height:944" coordorigin="2927,2218" coordsize="633,944" path="m2947,2440l2927,2440,2927,2573,2947,2573,2947,2440m2998,2460l2977,2460,2977,2555,2998,2555,2998,2460m3049,2522l3029,2522,3029,2579,3049,2579,3049,2522m3100,2468l3079,2468,3079,2585,3100,2585,3100,2468m3151,2410l3131,2410,3131,2522,3151,2522,3151,2410m3202,3065l3181,3065,3181,3161,3202,3161,3202,3065m3253,2452l3233,2452,3233,2516,3253,2516,3253,2452m3304,2424l3283,2424,3283,2481,3304,2481,3304,2424m3355,3065l3335,3065,3335,3083,3355,3083,3355,3065m3407,3065l3386,3065,3386,3087,3407,3087,3407,3065m3457,3065l3437,3065,3437,3125,3457,3125,3457,3065m3509,2218l3488,2218,3488,2325,3509,2325,3509,2218m3559,2274l3539,2274,3539,2291,3559,2291,3559,2274e" filled="true" fillcolor="#c0504d" stroked="false">
              <v:path arrowok="t"/>
              <v:fill type="solid"/>
            </v:shape>
            <v:line style="position:absolute" from="1380,1744" to="4595,1744" stroked="true" strokeweight=".71997pt" strokecolor="#868686">
              <v:stroke dashstyle="solid"/>
            </v:line>
            <v:shape style="position:absolute;left:3600;top:1549;width:204;height:694" coordorigin="3601,1550" coordsize="204,694" path="m3601,1551l3601,2228m3651,1550l3651,2243m3703,1552l3703,2166m3753,1713l3753,2202m3805,1644l3805,2016e" filled="false" stroked="true" strokeweight="1.02pt" strokecolor="#c0504d">
              <v:path arrowok="t"/>
              <v:stroke dashstyle="solid"/>
            </v:shape>
            <v:line style="position:absolute" from="1380,1414" to="4595,1414" stroked="true" strokeweight=".71997pt" strokecolor="#868686">
              <v:stroke dashstyle="solid"/>
            </v:line>
            <v:shape style="position:absolute;left:3855;top:1399;width:52;height:778" coordorigin="3855,1400" coordsize="52,778" path="m3855,1400l3855,2147m3907,2025l3907,2177e" filled="false" stroked="true" strokeweight="1.02pt" strokecolor="#c0504d">
              <v:path arrowok="t"/>
              <v:stroke dashstyle="solid"/>
            </v:shape>
            <v:rect style="position:absolute;left:3946;top:2141;width:21;height:92" filled="true" fillcolor="#c0504d" stroked="false">
              <v:fill type="solid"/>
            </v:rect>
            <v:shape style="position:absolute;left:4008;top:1963;width:51;height:1317" coordorigin="4009,1964" coordsize="51,1317" path="m4009,1964l4009,2220m4059,3065l4059,3280e" filled="false" stroked="true" strokeweight="1.02pt" strokecolor="#c0504d">
              <v:path arrowok="t"/>
              <v:stroke dashstyle="solid"/>
            </v:shape>
            <v:shape style="position:absolute;left:4100;top:3065;width:71;height:125" coordorigin="4100,3065" coordsize="71,125" path="m4121,3065l4100,3065,4100,3190,4121,3190,4121,3065m4171,3065l4151,3065,4151,3177,4171,3177,4171,3065e" filled="true" fillcolor="#c0504d" stroked="false">
              <v:path arrowok="t"/>
              <v:fill type="solid"/>
            </v:shape>
            <v:line style="position:absolute" from="4213,3065" to="4213,3341" stroked="true" strokeweight="1.02pt" strokecolor="#c0504d">
              <v:stroke dashstyle="solid"/>
            </v:line>
            <v:shape style="position:absolute;left:4252;top:3065;width:72;height:56" coordorigin="4253,3065" coordsize="72,56" path="m4273,3065l4253,3065,4253,3120,4273,3120,4273,3065m4325,3065l4304,3065,4304,3101,4325,3101,4325,3065e" filled="true" fillcolor="#c0504d" stroked="false">
              <v:path arrowok="t"/>
              <v:fill type="solid"/>
            </v:shape>
            <v:line style="position:absolute" from="4365,3065" to="4365,3244" stroked="true" strokeweight="1.02pt" strokecolor="#c0504d">
              <v:stroke dashstyle="solid"/>
            </v:line>
            <v:shape style="position:absolute;left:4406;top:2270;width:174;height:927" coordorigin="4406,2271" coordsize="174,927" path="m4427,2271l4406,2271,4406,2324,4427,2324,4427,2271m4478,3065l4458,3065,4458,3142,4478,3142,4478,3065m4529,3065l4508,3065,4508,3197,4529,3197,4529,3065m4580,3065l4560,3065,4560,3144,4580,3144,4580,3065e" filled="true" fillcolor="#c0504d" stroked="false">
              <v:path arrowok="t"/>
              <v:fill type="solid"/>
            </v:shape>
            <v:line style="position:absolute" from="1380,1083" to="4595,1083" stroked="true" strokeweight=".71997pt" strokecolor="#868686">
              <v:stroke dashstyle="solid"/>
            </v:line>
            <v:line style="position:absolute" from="4595,1083" to="4595,3396" stroked="true" strokeweight=".72pt" strokecolor="#868686">
              <v:stroke dashstyle="solid"/>
            </v:line>
            <v:shape style="position:absolute;left:4594;top:1075;width:64;height:2329" coordorigin="4595,1076" coordsize="64,2329" path="m4658,3389l4595,3389,4595,3404,4658,3404,4658,3389m4658,3058l4595,3058,4595,3072,4658,3072,4658,3058m4658,2728l4595,2728,4595,2742,4658,2742,4658,2728m4658,2398l4595,2398,4595,2412,4658,2412,4658,2398m4658,2067l4595,2067,4595,2081,4658,2081,4658,2067m4658,1737l4595,1737,4595,1751,4658,1751,4658,1737m4658,1407l4595,1407,4595,1421,4658,1421,4658,1407m4658,1076l4595,1076,4595,1090,4658,1090,4658,1076e" filled="true" fillcolor="#868686" stroked="false">
              <v:path arrowok="t"/>
              <v:fill type="solid"/>
            </v:shape>
            <v:line style="position:absolute" from="1380,3065" to="4595,3065" stroked="true" strokeweight=".72pt" strokecolor="#868686">
              <v:stroke dashstyle="solid"/>
            </v:line>
            <v:shape style="position:absolute;left:1372;top:3065;width:3179;height:64" coordorigin="1373,3065" coordsize="3179,64" path="m1387,3065l1373,3065,1373,3129,1387,3129,1387,3065m1439,3065l1424,3065,1424,3129,1439,3129,1439,3065m1489,3065l1475,3065,1475,3129,1489,3129,1489,3065m1541,3065l1526,3065,1526,3129,1541,3129,1541,3065m1591,3065l1577,3065,1577,3129,1591,3129,1591,3065m1643,3065l1628,3065,1628,3129,1643,3129,1643,3065m1693,3065l1679,3065,1679,3129,1693,3129,1693,3065m1745,3065l1730,3065,1730,3129,1745,3129,1745,3065m1796,3065l1782,3065,1782,3129,1796,3129,1796,3065m1847,3065l1832,3065,1832,3129,1847,3129,1847,3065m1898,3065l1884,3065,1884,3129,1898,3129,1898,3065m1949,3065l1934,3065,1934,3129,1949,3129,1949,3065m2000,3065l1986,3065,1986,3129,2000,3129,2000,3065m2051,3065l2036,3065,2036,3129,2051,3129,2051,3065m2102,3065l2088,3065,2088,3129,2102,3129,2102,3065m2153,3065l2138,3065,2138,3129,2153,3129,2153,3065m2204,3065l2190,3065,2190,3129,2204,3129,2204,3065m2255,3065l2240,3065,2240,3129,2255,3129,2255,3065m2306,3065l2292,3065,2292,3129,2306,3129,2306,3065m2357,3065l2342,3065,2342,3129,2357,3129,2357,3065m2408,3065l2394,3065,2394,3129,2408,3129,2408,3065m2459,3065l2444,3065,2444,3129,2459,3129,2459,3065m2510,3065l2496,3065,2496,3129,2510,3129,2510,3065m2561,3065l2546,3065,2546,3129,2561,3129,2561,3065m2612,3065l2598,3065,2598,3129,2612,3129,2612,3065m2663,3065l2648,3065,2648,3129,2663,3129,2663,3065m2714,3065l2700,3065,2700,3129,2714,3129,2714,3065m2765,3065l2750,3065,2750,3129,2765,3129,2765,3065m2816,3065l2802,3065,2802,3129,2816,3129,2816,3065m2868,3065l2854,3065,2854,3129,2868,3129,2868,3065m2918,3065l2904,3065,2904,3129,2918,3129,2918,3065m2970,3065l2956,3065,2956,3129,2970,3129,2970,3065m3020,3065l3006,3065,3006,3129,3020,3129,3020,3065m3072,3065l3058,3065,3058,3129,3072,3129,3072,3065m3122,3065l3108,3065,3108,3129,3122,3129,3122,3065m3174,3065l3160,3065,3160,3129,3174,3129,3174,3065m3224,3065l3210,3065,3210,3129,3224,3129,3224,3065m3276,3065l3262,3065,3262,3129,3276,3129,3276,3065m3326,3065l3312,3065,3312,3129,3326,3129,3326,3065m3378,3065l3364,3065,3364,3129,3378,3129,3378,3065m3428,3065l3414,3065,3414,3129,3428,3129,3428,3065m3480,3065l3466,3065,3466,3129,3480,3129,3480,3065m3530,3065l3516,3065,3516,3129,3530,3129,3530,3065m3582,3065l3568,3065,3568,3129,3582,3129,3582,3065m3632,3065l3618,3065,3618,3129,3632,3129,3632,3065m3684,3065l3670,3065,3670,3129,3684,3129,3684,3065m3734,3065l3720,3065,3720,3129,3734,3129,3734,3065m3786,3065l3772,3065,3772,3129,3786,3129,3786,3065m3836,3065l3822,3065,3822,3129,3836,3129,3836,3065m3888,3065l3874,3065,3874,3129,3888,3129,3888,3065m3940,3065l3925,3065,3925,3129,3940,3129,3940,3065m3990,3065l3976,3065,3976,3129,3990,3129,3990,3065m4042,3065l4027,3065,4027,3129,4042,3129,4042,3065m4092,3065l4078,3065,4078,3129,4092,3129,4092,3065m4144,3065l4129,3065,4129,3129,4144,3129,4144,3065m4194,3065l4180,3065,4180,3129,4194,3129,4194,3065m4246,3065l4231,3065,4231,3129,4246,3129,4246,3065m4296,3065l4282,3065,4282,3129,4296,3129,4296,3065m4348,3065l4333,3065,4333,3129,4348,3129,4348,3065m4398,3065l4384,3065,4384,3129,4398,3129,4398,3065m4450,3065l4435,3065,4435,3129,4450,3129,4450,3065m4500,3065l4486,3065,4486,3129,4500,3129,4500,3065m4552,3065l4537,3065,4537,3129,4552,3129,4552,3065e" filled="true" fillcolor="#868686" stroked="false">
              <v:path arrowok="t"/>
              <v:fill type="solid"/>
            </v:shape>
            <v:shape style="position:absolute;left:1381;top:1377;width:3214;height:1402" type="#_x0000_t75" stroked="false">
              <v:imagedata r:id="rId11" o:title=""/>
            </v:shape>
            <v:shape style="position:absolute;left:1008;top:153;width:4503;height:5490" type="#_x0000_t202" filled="false" stroked="true" strokeweight=".75pt" strokecolor="#000000">
              <v:textbox inset="0,0,0,0">
                <w:txbxContent>
                  <w:p>
                    <w:pPr>
                      <w:spacing w:before="69"/>
                      <w:ind w:left="144" w:right="272" w:firstLine="0"/>
                      <w:jc w:val="left"/>
                      <w:rPr>
                        <w:b/>
                        <w:sz w:val="18"/>
                      </w:rPr>
                    </w:pPr>
                    <w:r>
                      <w:rPr>
                        <w:b/>
                        <w:color w:val="4F82BD"/>
                        <w:sz w:val="18"/>
                      </w:rPr>
                      <w:t>Chart 11: Net Exports of Financial Services and Net Overseas Income of Monetary Financial Institutions</w:t>
                    </w:r>
                  </w:p>
                  <w:p>
                    <w:pPr>
                      <w:spacing w:before="98"/>
                      <w:ind w:left="0" w:right="475" w:firstLine="0"/>
                      <w:jc w:val="right"/>
                      <w:rPr>
                        <w:rFonts w:ascii="Calibri"/>
                        <w:sz w:val="20"/>
                      </w:rPr>
                    </w:pPr>
                    <w:r>
                      <w:rPr>
                        <w:rFonts w:ascii="Calibri"/>
                        <w:sz w:val="20"/>
                      </w:rPr>
                      <w:t>6%</w:t>
                    </w:r>
                  </w:p>
                  <w:p>
                    <w:pPr>
                      <w:spacing w:before="86"/>
                      <w:ind w:left="0" w:right="475" w:firstLine="0"/>
                      <w:jc w:val="right"/>
                      <w:rPr>
                        <w:rFonts w:ascii="Calibri"/>
                        <w:sz w:val="20"/>
                      </w:rPr>
                    </w:pPr>
                    <w:r>
                      <w:rPr>
                        <w:rFonts w:ascii="Calibri"/>
                        <w:sz w:val="20"/>
                      </w:rPr>
                      <w:t>5%</w:t>
                    </w:r>
                  </w:p>
                  <w:p>
                    <w:pPr>
                      <w:spacing w:before="87"/>
                      <w:ind w:left="0" w:right="475" w:firstLine="0"/>
                      <w:jc w:val="right"/>
                      <w:rPr>
                        <w:rFonts w:ascii="Calibri"/>
                        <w:sz w:val="20"/>
                      </w:rPr>
                    </w:pPr>
                    <w:r>
                      <w:rPr>
                        <w:rFonts w:ascii="Calibri"/>
                        <w:sz w:val="20"/>
                      </w:rPr>
                      <w:t>4%</w:t>
                    </w:r>
                  </w:p>
                  <w:p>
                    <w:pPr>
                      <w:spacing w:before="86"/>
                      <w:ind w:left="0" w:right="475" w:firstLine="0"/>
                      <w:jc w:val="right"/>
                      <w:rPr>
                        <w:rFonts w:ascii="Calibri"/>
                        <w:sz w:val="20"/>
                      </w:rPr>
                    </w:pPr>
                    <w:r>
                      <w:rPr>
                        <w:rFonts w:ascii="Calibri"/>
                        <w:sz w:val="20"/>
                      </w:rPr>
                      <w:t>3%</w:t>
                    </w:r>
                  </w:p>
                  <w:p>
                    <w:pPr>
                      <w:spacing w:before="86"/>
                      <w:ind w:left="0" w:right="475" w:firstLine="0"/>
                      <w:jc w:val="right"/>
                      <w:rPr>
                        <w:rFonts w:ascii="Calibri"/>
                        <w:sz w:val="20"/>
                      </w:rPr>
                    </w:pPr>
                    <w:r>
                      <w:rPr>
                        <w:rFonts w:ascii="Calibri"/>
                        <w:sz w:val="20"/>
                      </w:rPr>
                      <w:t>2%</w:t>
                    </w:r>
                  </w:p>
                  <w:p>
                    <w:pPr>
                      <w:spacing w:before="87"/>
                      <w:ind w:left="0" w:right="475" w:firstLine="0"/>
                      <w:jc w:val="right"/>
                      <w:rPr>
                        <w:rFonts w:ascii="Calibri"/>
                        <w:sz w:val="20"/>
                      </w:rPr>
                    </w:pPr>
                    <w:r>
                      <w:rPr>
                        <w:rFonts w:ascii="Calibri"/>
                        <w:sz w:val="20"/>
                      </w:rPr>
                      <w:t>1%</w:t>
                    </w:r>
                  </w:p>
                  <w:p>
                    <w:pPr>
                      <w:spacing w:before="86"/>
                      <w:ind w:left="0" w:right="475" w:firstLine="0"/>
                      <w:jc w:val="right"/>
                      <w:rPr>
                        <w:rFonts w:ascii="Calibri"/>
                        <w:sz w:val="20"/>
                      </w:rPr>
                    </w:pPr>
                    <w:r>
                      <w:rPr>
                        <w:rFonts w:ascii="Calibri"/>
                        <w:sz w:val="20"/>
                      </w:rPr>
                      <w:t>0%</w:t>
                    </w:r>
                  </w:p>
                  <w:p>
                    <w:pPr>
                      <w:spacing w:before="87"/>
                      <w:ind w:left="0" w:right="414" w:firstLine="0"/>
                      <w:jc w:val="right"/>
                      <w:rPr>
                        <w:rFonts w:ascii="Calibri" w:hAnsi="Calibri"/>
                        <w:sz w:val="20"/>
                      </w:rPr>
                    </w:pPr>
                    <w:r>
                      <w:rPr>
                        <w:rFonts w:ascii="Calibri" w:hAnsi="Calibri"/>
                        <w:spacing w:val="-1"/>
                        <w:sz w:val="20"/>
                      </w:rPr>
                      <w:t>‐1%</w:t>
                    </w:r>
                  </w:p>
                  <w:p>
                    <w:pPr>
                      <w:spacing w:line="240" w:lineRule="auto" w:before="0"/>
                      <w:rPr>
                        <w:rFonts w:ascii="Calibri"/>
                        <w:sz w:val="20"/>
                      </w:rPr>
                    </w:pPr>
                  </w:p>
                  <w:p>
                    <w:pPr>
                      <w:spacing w:line="240" w:lineRule="auto" w:before="0"/>
                      <w:rPr>
                        <w:rFonts w:ascii="Calibri"/>
                        <w:sz w:val="20"/>
                      </w:rPr>
                    </w:pPr>
                  </w:p>
                  <w:p>
                    <w:pPr>
                      <w:spacing w:line="240" w:lineRule="auto" w:before="1"/>
                      <w:rPr>
                        <w:rFonts w:ascii="Calibri"/>
                        <w:sz w:val="15"/>
                      </w:rPr>
                    </w:pPr>
                  </w:p>
                  <w:p>
                    <w:pPr>
                      <w:spacing w:before="0"/>
                      <w:ind w:left="1977" w:right="1447" w:firstLine="0"/>
                      <w:jc w:val="both"/>
                      <w:rPr>
                        <w:rFonts w:ascii="Calibri"/>
                        <w:sz w:val="20"/>
                      </w:rPr>
                    </w:pPr>
                    <w:r>
                      <w:rPr>
                        <w:rFonts w:ascii="Calibri"/>
                        <w:sz w:val="20"/>
                      </w:rPr>
                      <w:t>Net Exp/GDP Net Inc/GDP Total</w:t>
                    </w:r>
                  </w:p>
                  <w:p>
                    <w:pPr>
                      <w:spacing w:line="240" w:lineRule="auto" w:before="7"/>
                      <w:rPr>
                        <w:rFonts w:ascii="Calibri"/>
                        <w:sz w:val="29"/>
                      </w:rPr>
                    </w:pPr>
                  </w:p>
                  <w:p>
                    <w:pPr>
                      <w:spacing w:before="1"/>
                      <w:ind w:left="144" w:right="0" w:firstLine="0"/>
                      <w:jc w:val="left"/>
                      <w:rPr>
                        <w:sz w:val="16"/>
                      </w:rPr>
                    </w:pPr>
                    <w:r>
                      <w:rPr>
                        <w:sz w:val="16"/>
                      </w:rPr>
                      <w:t>Source: UK Balance of Payments, ONS</w:t>
                    </w:r>
                  </w:p>
                </w:txbxContent>
              </v:textbox>
              <v:stroke dashstyle="solid"/>
              <w10:wrap type="none"/>
            </v:shape>
            <w10:wrap type="none"/>
          </v:group>
        </w:pict>
      </w:r>
      <w:r>
        <w:rPr/>
        <w:t>assets and liabilities would turn the surplus on our investment income account into a deficit and the sequence of capital gains we have enjoyed into capital losses.</w:t>
      </w:r>
    </w:p>
    <w:p>
      <w:pPr>
        <w:pStyle w:val="BodyText"/>
        <w:rPr>
          <w:sz w:val="30"/>
        </w:rPr>
      </w:pPr>
    </w:p>
    <w:p>
      <w:pPr>
        <w:pStyle w:val="BodyText"/>
        <w:spacing w:line="360" w:lineRule="auto"/>
        <w:ind w:left="4928" w:right="1166"/>
      </w:pPr>
      <w:r>
        <w:rPr/>
        <w:pict>
          <v:line style="position:absolute;mso-position-horizontal-relative:page;mso-position-vertical-relative:paragraph;z-index:251748352" from="128.399994pt,129.405991pt" to="147.659994pt,129.405991pt" stroked="true" strokeweight="5.58pt" strokecolor="#4f81bd">
            <v:stroke dashstyle="solid"/>
            <w10:wrap type="none"/>
          </v:line>
        </w:pict>
      </w:r>
      <w:r>
        <w:rPr/>
        <w:pict>
          <v:line style="position:absolute;mso-position-horizontal-relative:page;mso-position-vertical-relative:paragraph;z-index:251749376" from="128.399994pt,141.555984pt" to="147.659994pt,141.555984pt" stroked="true" strokeweight="5.52pt" strokecolor="#c0504d">
            <v:stroke dashstyle="solid"/>
            <w10:wrap type="none"/>
          </v:line>
        </w:pict>
      </w:r>
      <w:r>
        <w:rPr/>
        <w:pict>
          <v:line style="position:absolute;mso-position-horizontal-relative:page;mso-position-vertical-relative:paragraph;z-index:251750400" from="127.32pt,153.705978pt" to="148.74pt,153.705978pt" stroked="true" strokeweight="2.220pt" strokecolor="#98b954">
            <v:stroke dashstyle="solid"/>
            <w10:wrap type="none"/>
          </v:line>
        </w:pict>
      </w:r>
      <w:r>
        <w:rPr/>
        <w:pict>
          <v:shape style="position:absolute;margin-left:65.224998pt;margin-top:88.936417pt;width:165.1pt;height:36.3pt;mso-position-horizontal-relative:page;mso-position-vertical-relative:paragraph;z-index:251751424" type="#_x0000_t202" filled="false" stroked="false">
            <v:textbox inset="0,0,0,0" style="layout-flow:vertical;mso-layout-flow-alt:bottom-to-top">
              <w:txbxContent>
                <w:p>
                  <w:pPr>
                    <w:pStyle w:val="BodyText"/>
                    <w:spacing w:line="204" w:lineRule="exact"/>
                    <w:ind w:left="20"/>
                    <w:rPr>
                      <w:rFonts w:ascii="Calibri"/>
                    </w:rPr>
                  </w:pPr>
                  <w:r>
                    <w:rPr>
                      <w:rFonts w:ascii="Calibri"/>
                    </w:rPr>
                    <w:t>1997</w:t>
                  </w:r>
                  <w:r>
                    <w:rPr>
                      <w:rFonts w:ascii="Calibri"/>
                      <w:spacing w:val="-4"/>
                    </w:rPr>
                    <w:t> </w:t>
                  </w:r>
                  <w:r>
                    <w:rPr>
                      <w:rFonts w:ascii="Calibri"/>
                    </w:rPr>
                    <w:t>Q1</w:t>
                  </w:r>
                </w:p>
                <w:p>
                  <w:pPr>
                    <w:pStyle w:val="BodyText"/>
                    <w:spacing w:line="204" w:lineRule="exact"/>
                    <w:ind w:left="20"/>
                    <w:rPr>
                      <w:rFonts w:ascii="Calibri"/>
                    </w:rPr>
                  </w:pPr>
                  <w:r>
                    <w:rPr>
                      <w:rFonts w:ascii="Calibri"/>
                    </w:rPr>
                    <w:t>1998</w:t>
                  </w:r>
                  <w:r>
                    <w:rPr>
                      <w:rFonts w:ascii="Calibri"/>
                      <w:spacing w:val="-4"/>
                    </w:rPr>
                    <w:t> </w:t>
                  </w:r>
                  <w:r>
                    <w:rPr>
                      <w:rFonts w:ascii="Calibri"/>
                    </w:rPr>
                    <w:t>Q1</w:t>
                  </w:r>
                </w:p>
                <w:p>
                  <w:pPr>
                    <w:pStyle w:val="BodyText"/>
                    <w:spacing w:line="204" w:lineRule="exact"/>
                    <w:ind w:left="20"/>
                    <w:rPr>
                      <w:rFonts w:ascii="Calibri"/>
                    </w:rPr>
                  </w:pPr>
                  <w:r>
                    <w:rPr>
                      <w:rFonts w:ascii="Calibri"/>
                    </w:rPr>
                    <w:t>1999</w:t>
                  </w:r>
                  <w:r>
                    <w:rPr>
                      <w:rFonts w:ascii="Calibri"/>
                      <w:spacing w:val="-4"/>
                    </w:rPr>
                    <w:t> </w:t>
                  </w:r>
                  <w:r>
                    <w:rPr>
                      <w:rFonts w:ascii="Calibri"/>
                    </w:rPr>
                    <w:t>Q1</w:t>
                  </w:r>
                </w:p>
                <w:p>
                  <w:pPr>
                    <w:pStyle w:val="BodyText"/>
                    <w:spacing w:line="204" w:lineRule="exact"/>
                    <w:ind w:left="20"/>
                    <w:rPr>
                      <w:rFonts w:ascii="Calibri"/>
                    </w:rPr>
                  </w:pPr>
                  <w:r>
                    <w:rPr>
                      <w:rFonts w:ascii="Calibri"/>
                    </w:rPr>
                    <w:t>2000</w:t>
                  </w:r>
                  <w:r>
                    <w:rPr>
                      <w:rFonts w:ascii="Calibri"/>
                      <w:spacing w:val="-4"/>
                    </w:rPr>
                    <w:t> </w:t>
                  </w:r>
                  <w:r>
                    <w:rPr>
                      <w:rFonts w:ascii="Calibri"/>
                    </w:rPr>
                    <w:t>Q1</w:t>
                  </w:r>
                </w:p>
                <w:p>
                  <w:pPr>
                    <w:pStyle w:val="BodyText"/>
                    <w:spacing w:line="204" w:lineRule="exact"/>
                    <w:ind w:left="20"/>
                    <w:rPr>
                      <w:rFonts w:ascii="Calibri"/>
                    </w:rPr>
                  </w:pPr>
                  <w:r>
                    <w:rPr>
                      <w:rFonts w:ascii="Calibri"/>
                    </w:rPr>
                    <w:t>2001</w:t>
                  </w:r>
                  <w:r>
                    <w:rPr>
                      <w:rFonts w:ascii="Calibri"/>
                      <w:spacing w:val="-4"/>
                    </w:rPr>
                    <w:t> </w:t>
                  </w:r>
                  <w:r>
                    <w:rPr>
                      <w:rFonts w:ascii="Calibri"/>
                    </w:rPr>
                    <w:t>Q1</w:t>
                  </w:r>
                </w:p>
                <w:p>
                  <w:pPr>
                    <w:pStyle w:val="BodyText"/>
                    <w:spacing w:line="204" w:lineRule="exact"/>
                    <w:ind w:left="20"/>
                    <w:rPr>
                      <w:rFonts w:ascii="Calibri"/>
                    </w:rPr>
                  </w:pPr>
                  <w:r>
                    <w:rPr>
                      <w:rFonts w:ascii="Calibri"/>
                    </w:rPr>
                    <w:t>2002</w:t>
                  </w:r>
                  <w:r>
                    <w:rPr>
                      <w:rFonts w:ascii="Calibri"/>
                      <w:spacing w:val="-4"/>
                    </w:rPr>
                    <w:t> </w:t>
                  </w:r>
                  <w:r>
                    <w:rPr>
                      <w:rFonts w:ascii="Calibri"/>
                    </w:rPr>
                    <w:t>Q1</w:t>
                  </w:r>
                </w:p>
                <w:p>
                  <w:pPr>
                    <w:pStyle w:val="BodyText"/>
                    <w:spacing w:line="204" w:lineRule="exact"/>
                    <w:ind w:left="20"/>
                    <w:rPr>
                      <w:rFonts w:ascii="Calibri"/>
                    </w:rPr>
                  </w:pPr>
                  <w:r>
                    <w:rPr>
                      <w:rFonts w:ascii="Calibri"/>
                    </w:rPr>
                    <w:t>2003</w:t>
                  </w:r>
                  <w:r>
                    <w:rPr>
                      <w:rFonts w:ascii="Calibri"/>
                      <w:spacing w:val="-4"/>
                    </w:rPr>
                    <w:t> </w:t>
                  </w:r>
                  <w:r>
                    <w:rPr>
                      <w:rFonts w:ascii="Calibri"/>
                    </w:rPr>
                    <w:t>Q1</w:t>
                  </w:r>
                </w:p>
                <w:p>
                  <w:pPr>
                    <w:pStyle w:val="BodyText"/>
                    <w:spacing w:line="204" w:lineRule="exact"/>
                    <w:ind w:left="20"/>
                    <w:rPr>
                      <w:rFonts w:ascii="Calibri"/>
                    </w:rPr>
                  </w:pPr>
                  <w:r>
                    <w:rPr>
                      <w:rFonts w:ascii="Calibri"/>
                    </w:rPr>
                    <w:t>2004</w:t>
                  </w:r>
                  <w:r>
                    <w:rPr>
                      <w:rFonts w:ascii="Calibri"/>
                      <w:spacing w:val="-4"/>
                    </w:rPr>
                    <w:t> </w:t>
                  </w:r>
                  <w:r>
                    <w:rPr>
                      <w:rFonts w:ascii="Calibri"/>
                    </w:rPr>
                    <w:t>Q1</w:t>
                  </w:r>
                </w:p>
                <w:p>
                  <w:pPr>
                    <w:pStyle w:val="BodyText"/>
                    <w:spacing w:line="204" w:lineRule="exact"/>
                    <w:ind w:left="20"/>
                    <w:rPr>
                      <w:rFonts w:ascii="Calibri"/>
                    </w:rPr>
                  </w:pPr>
                  <w:r>
                    <w:rPr>
                      <w:rFonts w:ascii="Calibri"/>
                    </w:rPr>
                    <w:t>2005</w:t>
                  </w:r>
                  <w:r>
                    <w:rPr>
                      <w:rFonts w:ascii="Calibri"/>
                      <w:spacing w:val="-4"/>
                    </w:rPr>
                    <w:t> </w:t>
                  </w:r>
                  <w:r>
                    <w:rPr>
                      <w:rFonts w:ascii="Calibri"/>
                    </w:rPr>
                    <w:t>Q1</w:t>
                  </w:r>
                </w:p>
                <w:p>
                  <w:pPr>
                    <w:pStyle w:val="BodyText"/>
                    <w:spacing w:line="205" w:lineRule="exact"/>
                    <w:ind w:left="20"/>
                    <w:rPr>
                      <w:rFonts w:ascii="Calibri"/>
                    </w:rPr>
                  </w:pPr>
                  <w:r>
                    <w:rPr>
                      <w:rFonts w:ascii="Calibri"/>
                    </w:rPr>
                    <w:t>2006</w:t>
                  </w:r>
                  <w:r>
                    <w:rPr>
                      <w:rFonts w:ascii="Calibri"/>
                      <w:spacing w:val="-4"/>
                    </w:rPr>
                    <w:t> </w:t>
                  </w:r>
                  <w:r>
                    <w:rPr>
                      <w:rFonts w:ascii="Calibri"/>
                    </w:rPr>
                    <w:t>Q1</w:t>
                  </w:r>
                </w:p>
                <w:p>
                  <w:pPr>
                    <w:pStyle w:val="BodyText"/>
                    <w:spacing w:line="205" w:lineRule="exact"/>
                    <w:ind w:left="20"/>
                    <w:rPr>
                      <w:rFonts w:ascii="Calibri"/>
                    </w:rPr>
                  </w:pPr>
                  <w:r>
                    <w:rPr>
                      <w:rFonts w:ascii="Calibri"/>
                    </w:rPr>
                    <w:t>2007</w:t>
                  </w:r>
                  <w:r>
                    <w:rPr>
                      <w:rFonts w:ascii="Calibri"/>
                      <w:spacing w:val="-4"/>
                    </w:rPr>
                    <w:t> </w:t>
                  </w:r>
                  <w:r>
                    <w:rPr>
                      <w:rFonts w:ascii="Calibri"/>
                    </w:rPr>
                    <w:t>Q1</w:t>
                  </w:r>
                </w:p>
                <w:p>
                  <w:pPr>
                    <w:pStyle w:val="BodyText"/>
                    <w:spacing w:line="204" w:lineRule="exact"/>
                    <w:ind w:left="20"/>
                    <w:rPr>
                      <w:rFonts w:ascii="Calibri"/>
                    </w:rPr>
                  </w:pPr>
                  <w:r>
                    <w:rPr>
                      <w:rFonts w:ascii="Calibri"/>
                    </w:rPr>
                    <w:t>2008</w:t>
                  </w:r>
                  <w:r>
                    <w:rPr>
                      <w:rFonts w:ascii="Calibri"/>
                      <w:spacing w:val="-4"/>
                    </w:rPr>
                    <w:t> </w:t>
                  </w:r>
                  <w:r>
                    <w:rPr>
                      <w:rFonts w:ascii="Calibri"/>
                    </w:rPr>
                    <w:t>Q1</w:t>
                  </w:r>
                </w:p>
                <w:p>
                  <w:pPr>
                    <w:pStyle w:val="BodyText"/>
                    <w:spacing w:line="204" w:lineRule="exact"/>
                    <w:ind w:left="20"/>
                    <w:rPr>
                      <w:rFonts w:ascii="Calibri"/>
                    </w:rPr>
                  </w:pPr>
                  <w:r>
                    <w:rPr>
                      <w:rFonts w:ascii="Calibri"/>
                    </w:rPr>
                    <w:t>2009</w:t>
                  </w:r>
                  <w:r>
                    <w:rPr>
                      <w:rFonts w:ascii="Calibri"/>
                      <w:spacing w:val="-4"/>
                    </w:rPr>
                    <w:t> </w:t>
                  </w:r>
                  <w:r>
                    <w:rPr>
                      <w:rFonts w:ascii="Calibri"/>
                    </w:rPr>
                    <w:t>Q1</w:t>
                  </w:r>
                </w:p>
                <w:p>
                  <w:pPr>
                    <w:pStyle w:val="BodyText"/>
                    <w:spacing w:line="204" w:lineRule="exact"/>
                    <w:ind w:left="20"/>
                    <w:rPr>
                      <w:rFonts w:ascii="Calibri"/>
                    </w:rPr>
                  </w:pPr>
                  <w:r>
                    <w:rPr>
                      <w:rFonts w:ascii="Calibri"/>
                    </w:rPr>
                    <w:t>2010</w:t>
                  </w:r>
                  <w:r>
                    <w:rPr>
                      <w:rFonts w:ascii="Calibri"/>
                      <w:spacing w:val="-4"/>
                    </w:rPr>
                    <w:t> </w:t>
                  </w:r>
                  <w:r>
                    <w:rPr>
                      <w:rFonts w:ascii="Calibri"/>
                    </w:rPr>
                    <w:t>Q1</w:t>
                  </w:r>
                </w:p>
                <w:p>
                  <w:pPr>
                    <w:pStyle w:val="BodyText"/>
                    <w:spacing w:line="204" w:lineRule="exact"/>
                    <w:ind w:left="20"/>
                    <w:rPr>
                      <w:rFonts w:ascii="Calibri"/>
                    </w:rPr>
                  </w:pPr>
                  <w:r>
                    <w:rPr>
                      <w:rFonts w:ascii="Calibri"/>
                    </w:rPr>
                    <w:t>2011</w:t>
                  </w:r>
                  <w:r>
                    <w:rPr>
                      <w:rFonts w:ascii="Calibri"/>
                      <w:spacing w:val="-4"/>
                    </w:rPr>
                    <w:t> </w:t>
                  </w:r>
                  <w:r>
                    <w:rPr>
                      <w:rFonts w:ascii="Calibri"/>
                    </w:rPr>
                    <w:t>Q1</w:t>
                  </w:r>
                </w:p>
                <w:p>
                  <w:pPr>
                    <w:pStyle w:val="BodyText"/>
                    <w:spacing w:line="224" w:lineRule="exact"/>
                    <w:ind w:left="20"/>
                    <w:rPr>
                      <w:rFonts w:ascii="Calibri"/>
                    </w:rPr>
                  </w:pPr>
                  <w:r>
                    <w:rPr>
                      <w:rFonts w:ascii="Calibri"/>
                    </w:rPr>
                    <w:t>2012</w:t>
                  </w:r>
                  <w:r>
                    <w:rPr>
                      <w:rFonts w:ascii="Calibri"/>
                      <w:spacing w:val="-4"/>
                    </w:rPr>
                    <w:t> </w:t>
                  </w:r>
                  <w:r>
                    <w:rPr>
                      <w:rFonts w:ascii="Calibri"/>
                    </w:rPr>
                    <w:t>Q1</w:t>
                  </w:r>
                </w:p>
              </w:txbxContent>
            </v:textbox>
            <w10:wrap type="none"/>
          </v:shape>
        </w:pict>
      </w:r>
      <w:r>
        <w:rPr/>
        <w:pict>
          <v:shape style="position:absolute;margin-left:114.812843pt;margin-top:34.895985pt;width:13.1pt;height:9.35pt;mso-position-horizontal-relative:page;mso-position-vertical-relative:paragraph;z-index:251752448" type="#_x0000_t202" filled="false" stroked="false">
            <v:textbox inset="0,0,0,0" style="layout-flow:vertical;mso-layout-flow-alt:bottom-to-top">
              <w:txbxContent>
                <w:p>
                  <w:pPr>
                    <w:pStyle w:val="BodyText"/>
                    <w:spacing w:before="12"/>
                    <w:ind w:left="20"/>
                    <w:rPr>
                      <w:rFonts w:ascii="Times New Roman"/>
                    </w:rPr>
                  </w:pPr>
                  <w:r>
                    <w:rPr>
                      <w:rFonts w:ascii="Times New Roman"/>
                      <w:w w:val="100"/>
                      <w:u w:val="thick" w:color="C0504D"/>
                    </w:rPr>
                    <w:t> </w:t>
                  </w:r>
                  <w:r>
                    <w:rPr>
                      <w:rFonts w:ascii="Times New Roman"/>
                      <w:spacing w:val="-4"/>
                      <w:u w:val="thick" w:color="C0504D"/>
                    </w:rPr>
                    <w:t> </w:t>
                  </w:r>
                </w:p>
              </w:txbxContent>
            </v:textbox>
            <w10:wrap type="none"/>
          </v:shape>
        </w:pict>
      </w:r>
      <w:r>
        <w:rPr/>
        <w:pict>
          <v:shape style="position:absolute;margin-left:253.33046pt;margin-top:2.590077pt;width:12.05pt;height:67.2pt;mso-position-horizontal-relative:page;mso-position-vertical-relative:paragraph;z-index:251753472" type="#_x0000_t202" filled="false" stroked="false">
            <v:textbox inset="0,0,0,0" style="layout-flow:vertical;mso-layout-flow-alt:bottom-to-top">
              <w:txbxContent>
                <w:p>
                  <w:pPr>
                    <w:spacing w:line="224" w:lineRule="exact" w:before="0"/>
                    <w:ind w:left="20" w:right="0" w:firstLine="0"/>
                    <w:jc w:val="left"/>
                    <w:rPr>
                      <w:rFonts w:ascii="Calibri"/>
                      <w:b/>
                      <w:sz w:val="20"/>
                    </w:rPr>
                  </w:pPr>
                  <w:r>
                    <w:rPr>
                      <w:rFonts w:ascii="Calibri"/>
                      <w:b/>
                      <w:sz w:val="20"/>
                    </w:rPr>
                    <w:t>Per cent of GDP</w:t>
                  </w:r>
                </w:p>
              </w:txbxContent>
            </v:textbox>
            <w10:wrap type="none"/>
          </v:shape>
        </w:pict>
      </w:r>
      <w:r>
        <w:rPr/>
        <w:t>It is a slight, but worthwhile digression to explore the question of whether the financial sector makes a positive or</w:t>
      </w:r>
      <w:r>
        <w:rPr>
          <w:spacing w:val="-7"/>
        </w:rPr>
        <w:t> </w:t>
      </w:r>
      <w:r>
        <w:rPr/>
        <w:t>negative</w:t>
      </w:r>
      <w:r>
        <w:rPr>
          <w:spacing w:val="-6"/>
        </w:rPr>
        <w:t> </w:t>
      </w:r>
      <w:r>
        <w:rPr/>
        <w:t>contribution</w:t>
      </w:r>
      <w:r>
        <w:rPr>
          <w:spacing w:val="-6"/>
        </w:rPr>
        <w:t> </w:t>
      </w:r>
      <w:r>
        <w:rPr/>
        <w:t>to</w:t>
      </w:r>
      <w:r>
        <w:rPr>
          <w:spacing w:val="-6"/>
        </w:rPr>
        <w:t> </w:t>
      </w:r>
      <w:r>
        <w:rPr/>
        <w:t>the</w:t>
      </w:r>
      <w:r>
        <w:rPr>
          <w:spacing w:val="-6"/>
        </w:rPr>
        <w:t> </w:t>
      </w:r>
      <w:r>
        <w:rPr/>
        <w:t>United</w:t>
      </w:r>
      <w:r>
        <w:rPr>
          <w:spacing w:val="-6"/>
        </w:rPr>
        <w:t> </w:t>
      </w:r>
      <w:r>
        <w:rPr/>
        <w:t>Kingdom’s</w:t>
      </w:r>
      <w:r>
        <w:rPr>
          <w:spacing w:val="-5"/>
        </w:rPr>
        <w:t> </w:t>
      </w:r>
      <w:r>
        <w:rPr/>
        <w:t>external account. This can be done by adding together</w:t>
      </w:r>
      <w:r>
        <w:rPr>
          <w:vertAlign w:val="superscript"/>
        </w:rPr>
        <w:t>3</w:t>
      </w:r>
      <w:r>
        <w:rPr>
          <w:vertAlign w:val="baseline"/>
        </w:rPr>
        <w:t> net exports of financial services to the net property income earned by monetary financial institutions in the UK. The coverage of the income data and the export data are not exactly the same. The balance of investment income was very high during the crisis because of the large losses made by foreign banks in London. But Chart 11 suggests that it would be wrong to conclude the United Kingdom has suffered from fall-off in demand</w:t>
      </w:r>
      <w:r>
        <w:rPr>
          <w:spacing w:val="-8"/>
          <w:vertAlign w:val="baseline"/>
        </w:rPr>
        <w:t> </w:t>
      </w:r>
      <w:r>
        <w:rPr>
          <w:vertAlign w:val="baseline"/>
        </w:rPr>
        <w:t>for</w:t>
      </w:r>
    </w:p>
    <w:p>
      <w:pPr>
        <w:pStyle w:val="BodyText"/>
        <w:spacing w:line="360" w:lineRule="auto"/>
        <w:ind w:left="354" w:right="1252"/>
      </w:pPr>
      <w:r>
        <w:rPr/>
        <w:t>financial services. The contribution made by the sector is lower than it was before 2008, but that does not mean that the United Kingdom has lost income from this source, compared to the pre-crisis period.</w:t>
      </w:r>
    </w:p>
    <w:p>
      <w:pPr>
        <w:pStyle w:val="BodyText"/>
        <w:spacing w:before="1"/>
        <w:rPr>
          <w:sz w:val="30"/>
        </w:rPr>
      </w:pPr>
    </w:p>
    <w:p>
      <w:pPr>
        <w:pStyle w:val="Heading1"/>
        <w:spacing w:line="240" w:lineRule="auto"/>
        <w:ind w:left="354"/>
      </w:pPr>
      <w:r>
        <w:rPr/>
        <w:t>Is the Current Position Sustainable?</w:t>
      </w:r>
    </w:p>
    <w:p>
      <w:pPr>
        <w:pStyle w:val="BodyText"/>
        <w:spacing w:line="360" w:lineRule="auto" w:before="113"/>
        <w:ind w:left="354" w:right="1207"/>
      </w:pPr>
      <w:r>
        <w:rPr/>
        <w:t>In an economy in which money GDP is growing at a rate </w:t>
      </w:r>
      <w:r>
        <w:rPr>
          <w:i/>
        </w:rPr>
        <w:t>g</w:t>
      </w:r>
      <w:r>
        <w:rPr/>
        <w:t>, then, if the external deficit measured as a proportion of GDP is given by </w:t>
      </w:r>
      <w:r>
        <w:rPr>
          <w:i/>
        </w:rPr>
        <w:t>d</w:t>
      </w:r>
      <w:r>
        <w:rPr/>
        <w:t>, the ratio of net external debt to GDP will settle at </w:t>
      </w:r>
      <w:r>
        <w:rPr>
          <w:i/>
        </w:rPr>
        <w:t>d/g</w:t>
      </w:r>
      <w:r>
        <w:rPr/>
        <w:t>. But the experience of the last few years has reminded us that, whatever this arithmetic might say, high ratios of external debt to GDP tend to be unstable. Our current deficit is about 3 ½% of GDP and, even if the rate of money GDP growth were to return to 5% per annum this would mean, in the absence of continuing capital gains, that our net external debt would rise to 70 per cent of GDP, a level which has proved uncomfortable at least for countries in the euro area. Reinhart, Rogoff and Sastavano (2003) suggest that restructuring becomes likely once the ratio exceeds 60 per cent, although inevitably most of the examples they consider are provided by</w:t>
      </w:r>
    </w:p>
    <w:p>
      <w:pPr>
        <w:pStyle w:val="BodyText"/>
        <w:spacing w:before="2"/>
        <w:rPr>
          <w:sz w:val="21"/>
        </w:rPr>
      </w:pPr>
      <w:r>
        <w:rPr/>
        <w:pict>
          <v:shape style="position:absolute;margin-left:56.700001pt;margin-top:14.402241pt;width:144pt;height:.1pt;mso-position-horizontal-relative:page;mso-position-vertical-relative:paragraph;z-index:-251571200;mso-wrap-distance-left:0;mso-wrap-distance-right:0" coordorigin="1134,288" coordsize="2880,0" path="m1134,288l4014,288e" filled="false" stroked="true" strokeweight=".48001pt" strokecolor="#000000">
            <v:path arrowok="t"/>
            <v:stroke dashstyle="solid"/>
            <w10:wrap type="topAndBottom"/>
          </v:shape>
        </w:pict>
      </w:r>
    </w:p>
    <w:p>
      <w:pPr>
        <w:spacing w:before="32"/>
        <w:ind w:left="354" w:right="1992" w:hanging="1"/>
        <w:jc w:val="left"/>
        <w:rPr>
          <w:sz w:val="16"/>
        </w:rPr>
      </w:pPr>
      <w:r>
        <w:rPr>
          <w:position w:val="8"/>
          <w:sz w:val="10"/>
        </w:rPr>
        <w:t>3 </w:t>
      </w:r>
      <w:r>
        <w:rPr>
          <w:sz w:val="16"/>
        </w:rPr>
        <w:t>Adding up in this way nets out the inevitably arbitrary effects of treatment of a component of income flows as a purchase of intermediation services (see Begg, Bournay, Weale and Wright, 1997 and Haldane, 2010).</w:t>
      </w:r>
    </w:p>
    <w:p>
      <w:pPr>
        <w:spacing w:after="0"/>
        <w:jc w:val="left"/>
        <w:rPr>
          <w:sz w:val="16"/>
        </w:rPr>
        <w:sectPr>
          <w:footerReference w:type="default" r:id="rId10"/>
          <w:pgSz w:w="11900" w:h="16840"/>
          <w:pgMar w:footer="1548" w:header="0" w:top="1540" w:bottom="1740" w:left="780" w:right="0"/>
          <w:pgNumType w:start="11"/>
        </w:sectPr>
      </w:pPr>
    </w:p>
    <w:p>
      <w:pPr>
        <w:pStyle w:val="BodyText"/>
        <w:spacing w:line="360" w:lineRule="auto" w:before="76"/>
        <w:ind w:left="353" w:right="1763"/>
      </w:pPr>
      <w:r>
        <w:rPr/>
        <w:t>developing countries, so it is not clear how far this might indicate what the United Kingdom could support. Certainly Lanau and Wieladek (2012) suggest that countries with liquid financial markets can</w:t>
      </w:r>
    </w:p>
    <w:p>
      <w:pPr>
        <w:pStyle w:val="BodyText"/>
        <w:spacing w:line="360" w:lineRule="auto"/>
        <w:ind w:left="354" w:right="1251"/>
      </w:pPr>
      <w:r>
        <w:rPr/>
        <w:t>sustain deficits for longer than those without such markets and it is therefore possible that they may be able to sustain larger debt stocks.</w:t>
      </w:r>
    </w:p>
    <w:p>
      <w:pPr>
        <w:pStyle w:val="BodyText"/>
        <w:rPr>
          <w:sz w:val="30"/>
        </w:rPr>
      </w:pPr>
    </w:p>
    <w:p>
      <w:pPr>
        <w:pStyle w:val="BodyText"/>
        <w:spacing w:line="360" w:lineRule="auto"/>
        <w:ind w:left="354" w:right="1151"/>
      </w:pPr>
      <w:r>
        <w:rPr/>
        <w:t>What changes might reduce the deficit? Obviously one possibility is that the income account recovers; a second is that sustained capital gains on our overseas assets outrun those on our overseas liabilities so that our current account deficit once again pays for itself. No one could rule out these possibilities, but equally we should not fall into the trap of thinking that the period before 2007 was in any sense normal. Many people and businesses generated positive income flows or net capital gains through gearing and countries are simply the aggregate of households and businesses. So, just as it may no longer be possible for people to pay for their retirement by means of capital gains on housing, it may no longer be practical for the</w:t>
      </w:r>
    </w:p>
    <w:p>
      <w:pPr>
        <w:pStyle w:val="BodyText"/>
        <w:spacing w:line="360" w:lineRule="auto"/>
        <w:ind w:left="354" w:right="1174"/>
      </w:pPr>
      <w:r>
        <w:rPr/>
        <w:t>United Kingdom to finance an excess of imports over exports by means of a positive income flow and capital gains made possible through gearing.</w:t>
      </w:r>
    </w:p>
    <w:p>
      <w:pPr>
        <w:pStyle w:val="BodyText"/>
        <w:spacing w:before="11"/>
        <w:rPr>
          <w:sz w:val="29"/>
        </w:rPr>
      </w:pPr>
    </w:p>
    <w:p>
      <w:pPr>
        <w:pStyle w:val="BodyText"/>
        <w:spacing w:line="360" w:lineRule="auto"/>
        <w:ind w:left="354" w:right="1162"/>
      </w:pPr>
      <w:r>
        <w:rPr/>
        <w:t>Should this prove to be the case, the third outcome is that the current account deficit has to narrow. That could be achieved without any movement of the real exchange rate if a substantial part of the impact of the depreciation of 2008 on our exports and imports has yet to come. I have suggested a reason why that might be the case; in the general atmosphere of uncertainty, businesses are reluctant to meet the costs involved in entering new markets, whether export markets or domestically, in competing against imports. If, however, much the major impact of the depreciation has now been felt, the deficit could be reduced by a sharp exogenous revival in export demand, coming, perhaps from rapid economic growth in our major trading partners, or by semi-permanent economic weakness at home depressing imports. The only other solution is for a further decline in United Kingdom labour costs relative to those of our major competitors.</w:t>
      </w:r>
    </w:p>
    <w:p>
      <w:pPr>
        <w:pStyle w:val="BodyText"/>
        <w:rPr>
          <w:sz w:val="30"/>
        </w:rPr>
      </w:pPr>
    </w:p>
    <w:p>
      <w:pPr>
        <w:pStyle w:val="BodyText"/>
        <w:spacing w:line="360" w:lineRule="auto"/>
        <w:ind w:left="354" w:right="1163"/>
      </w:pPr>
      <w:r>
        <w:rPr/>
        <w:t>Even then there are a number of ways in which such an adjustment could take place. One is by means of an improvement in productivity. If productivity levels in the United Kingdom were to move back towards the path which would have been anticipated ahead of the crisis, then there would be a sharp fall in unit labour costs. The United Kingdom has more of a productivity shortfall than is typical for advanced economies, and so a general recovery towards trend would result in the United Kingdom gaining competitiveness. But with no clear explanation of why there is a productivity shortfall, there is no reason to anticipate this.</w:t>
      </w:r>
    </w:p>
    <w:p>
      <w:pPr>
        <w:pStyle w:val="BodyText"/>
        <w:rPr>
          <w:sz w:val="30"/>
        </w:rPr>
      </w:pPr>
    </w:p>
    <w:p>
      <w:pPr>
        <w:pStyle w:val="BodyText"/>
        <w:spacing w:line="360" w:lineRule="auto"/>
        <w:ind w:left="354" w:right="1127"/>
      </w:pPr>
      <w:r>
        <w:rPr/>
        <w:t>Secondly, hourly wage costs in the United Kingdom could rise less than in our major trading partners. In an atmosphere of generally low inflation, this competitive deflation would be a very slow process, at least in the absence of a general fall in wage rates. But a fall in wage rates is not a solution that I would welcome. Falling wage rates would probably be associated with stagnant or falling prices at home. As a result real interest rates would be increased, even if the Monetary Policy Committee maintains current policies. And the outcome of this could well be a further squeeze on domestic expenditure.</w:t>
      </w:r>
    </w:p>
    <w:p>
      <w:pPr>
        <w:spacing w:after="0" w:line="360" w:lineRule="auto"/>
        <w:sectPr>
          <w:footerReference w:type="default" r:id="rId12"/>
          <w:pgSz w:w="11900" w:h="16840"/>
          <w:pgMar w:footer="1548" w:header="0" w:top="1540" w:bottom="1740" w:left="780" w:right="0"/>
          <w:pgNumType w:start="12"/>
        </w:sectPr>
      </w:pPr>
    </w:p>
    <w:p>
      <w:pPr>
        <w:pStyle w:val="BodyText"/>
        <w:spacing w:before="3"/>
        <w:rPr>
          <w:sz w:val="23"/>
        </w:rPr>
      </w:pPr>
    </w:p>
    <w:p>
      <w:pPr>
        <w:pStyle w:val="BodyText"/>
        <w:spacing w:line="360" w:lineRule="auto" w:before="94"/>
        <w:ind w:left="354" w:right="1386"/>
      </w:pPr>
      <w:r>
        <w:rPr/>
        <w:t>The final, and perhaps most natural</w:t>
      </w:r>
      <w:r>
        <w:rPr>
          <w:color w:val="FF0000"/>
        </w:rPr>
        <w:t>, </w:t>
      </w:r>
      <w:r>
        <w:rPr/>
        <w:t>means of resolving the problem is for the nominal exchange rate to fall. Clearly, the first consequence of such a fall in the exchange rate would be a further rise in inflation.</w:t>
      </w:r>
    </w:p>
    <w:p>
      <w:pPr>
        <w:pStyle w:val="BodyText"/>
        <w:spacing w:line="360" w:lineRule="auto"/>
        <w:ind w:left="354" w:right="1173"/>
      </w:pPr>
      <w:r>
        <w:rPr/>
        <w:t>Indeed work with colleagues at the Bank has suggested that the fall of the exchange rate that has already happened since the start of 2013 may, if it is sustained, add something like 1 per cent to the price level over the next three years.</w:t>
      </w:r>
    </w:p>
    <w:p>
      <w:pPr>
        <w:pStyle w:val="BodyText"/>
        <w:spacing w:before="10"/>
        <w:rPr>
          <w:sz w:val="29"/>
        </w:rPr>
      </w:pPr>
    </w:p>
    <w:p>
      <w:pPr>
        <w:pStyle w:val="BodyText"/>
        <w:spacing w:line="360" w:lineRule="auto"/>
        <w:ind w:left="353" w:right="1253"/>
      </w:pPr>
      <w:r>
        <w:rPr/>
        <w:t>King (2009) referred to the paradox of policy as, “almost any policy measure that is desirable now appears diametrically opposite to the direction in which we need to go in the long term”. Of course I am talking about possible market movements and not the effects of a policy measure. But King’s point also applies to the depreciation of this year. The change pushes inflation further from its target but at the same time it probably goes some way to reducing our external imbalance.</w:t>
      </w:r>
    </w:p>
    <w:p>
      <w:pPr>
        <w:pStyle w:val="BodyText"/>
        <w:rPr>
          <w:sz w:val="30"/>
        </w:rPr>
      </w:pPr>
    </w:p>
    <w:p>
      <w:pPr>
        <w:pStyle w:val="BodyText"/>
        <w:spacing w:line="360" w:lineRule="auto" w:before="1"/>
        <w:ind w:left="353" w:right="1135"/>
      </w:pPr>
      <w:r>
        <w:rPr/>
        <w:t>The MPC remains oriented towards meeting our objective using domestic instruments, and does not target the exchange rate. It explained, in its statement of 6</w:t>
      </w:r>
      <w:r>
        <w:rPr>
          <w:vertAlign w:val="superscript"/>
        </w:rPr>
        <w:t>th</w:t>
      </w:r>
      <w:r>
        <w:rPr>
          <w:vertAlign w:val="baseline"/>
        </w:rPr>
        <w:t> February, that, “as long as domestic cost and price pressures remained consistent with the inflation target in the medium term, it was appropriate to look through the temporary, albeit protracted, period of above-target inflation”. I certainly see that there would be a strong case for treating the effects of any further depreciation similar to that experienced in the last few weeks in the same way. To do any different would be to veer towards deflation as a means of restoring external equilibrium. But I should stress that this point is quite different from saying that I would be unconcerned about the effects of a sharp depreciation on prospects for</w:t>
      </w:r>
      <w:r>
        <w:rPr>
          <w:spacing w:val="-15"/>
          <w:vertAlign w:val="baseline"/>
        </w:rPr>
        <w:t> </w:t>
      </w:r>
      <w:r>
        <w:rPr>
          <w:vertAlign w:val="baseline"/>
        </w:rPr>
        <w:t>inflation.</w:t>
      </w:r>
    </w:p>
    <w:p>
      <w:pPr>
        <w:pStyle w:val="BodyText"/>
        <w:spacing w:before="1"/>
        <w:rPr>
          <w:sz w:val="30"/>
        </w:rPr>
      </w:pPr>
    </w:p>
    <w:p>
      <w:pPr>
        <w:pStyle w:val="Heading1"/>
        <w:spacing w:line="240" w:lineRule="auto" w:before="1"/>
        <w:ind w:left="354"/>
      </w:pPr>
      <w:r>
        <w:rPr/>
        <w:t>Conclusions</w:t>
      </w:r>
    </w:p>
    <w:p>
      <w:pPr>
        <w:pStyle w:val="BodyText"/>
        <w:spacing w:line="360" w:lineRule="auto" w:before="113"/>
        <w:ind w:left="354" w:right="1207"/>
      </w:pPr>
      <w:r>
        <w:rPr/>
        <w:t>To sum up, it is possible that the full benefits of the 2007/8 depreciation are yet to be realised; it may be that high levels of uncertainty, and a reluctance to take on new risks, have stood in the way of exporters seeking new markets and domestic producers doing what is needed to displace imports. If this is the case then, provided the calmer atmosphere we have seen since the summer is sustained, we may see further benefits of the depreciation. But at the same time an important aspect of the United Kingdom’s external account has historically been a net surplus of investment income. As this has eroded, the overall deficit has increased to around 3½ per cent of GDP, a level higher than before the depreciation. Unless we continue to enjoy capital gains, this points to a marked increase in United Kingdom net external debt at the current exchange rate.</w:t>
      </w:r>
    </w:p>
    <w:p>
      <w:pPr>
        <w:pStyle w:val="BodyText"/>
        <w:spacing w:line="360" w:lineRule="auto"/>
        <w:ind w:left="354" w:right="1173"/>
      </w:pPr>
      <w:r>
        <w:rPr/>
        <w:t>The likely outcome of this would be a lower real exchange rate which, while unwelcome in terms of its effect on inflation, would go some way to redress what is probably, at present, a substantial external imbalance.</w:t>
      </w:r>
    </w:p>
    <w:p>
      <w:pPr>
        <w:spacing w:after="0" w:line="360" w:lineRule="auto"/>
        <w:sectPr>
          <w:pgSz w:w="11900" w:h="16840"/>
          <w:pgMar w:header="0" w:footer="1548" w:top="1600" w:bottom="1740" w:left="780" w:right="0"/>
        </w:sectPr>
      </w:pPr>
    </w:p>
    <w:p>
      <w:pPr>
        <w:spacing w:before="77"/>
        <w:ind w:left="354" w:right="0" w:firstLine="0"/>
        <w:jc w:val="left"/>
        <w:rPr>
          <w:b/>
          <w:sz w:val="24"/>
        </w:rPr>
      </w:pPr>
      <w:r>
        <w:rPr>
          <w:b/>
          <w:sz w:val="24"/>
        </w:rPr>
        <w:t>References</w:t>
      </w:r>
    </w:p>
    <w:p>
      <w:pPr>
        <w:pStyle w:val="BodyText"/>
        <w:spacing w:before="5"/>
        <w:rPr>
          <w:b/>
          <w:sz w:val="29"/>
        </w:rPr>
      </w:pPr>
    </w:p>
    <w:p>
      <w:pPr>
        <w:pStyle w:val="BodyText"/>
        <w:ind w:left="354" w:right="2194" w:hanging="1"/>
      </w:pPr>
      <w:r>
        <w:rPr>
          <w:b/>
        </w:rPr>
        <w:t>Bean, C. (2012). </w:t>
      </w:r>
      <w:r>
        <w:rPr/>
        <w:t>Central Banking in Boom and Slump. Speech given at the University of Hull. 31</w:t>
      </w:r>
      <w:r>
        <w:rPr>
          <w:vertAlign w:val="superscript"/>
        </w:rPr>
        <w:t>st</w:t>
      </w:r>
      <w:r>
        <w:rPr>
          <w:vertAlign w:val="baseline"/>
        </w:rPr>
        <w:t> October 2012. </w:t>
      </w:r>
      <w:hyperlink r:id="rId13">
        <w:r>
          <w:rPr>
            <w:color w:val="0000FF"/>
            <w:u w:val="single" w:color="0000FF"/>
            <w:vertAlign w:val="baseline"/>
          </w:rPr>
          <w:t>http://www.bankofengland.co.uk/publications/Pages/speeches/2012/617.aspx</w:t>
        </w:r>
      </w:hyperlink>
    </w:p>
    <w:p>
      <w:pPr>
        <w:pStyle w:val="BodyText"/>
        <w:spacing w:before="9"/>
        <w:rPr>
          <w:sz w:val="11"/>
        </w:rPr>
      </w:pPr>
    </w:p>
    <w:p>
      <w:pPr>
        <w:spacing w:before="94"/>
        <w:ind w:left="353" w:right="1441" w:firstLine="0"/>
        <w:jc w:val="left"/>
        <w:rPr>
          <w:sz w:val="20"/>
        </w:rPr>
      </w:pPr>
      <w:r>
        <w:rPr>
          <w:b/>
          <w:sz w:val="20"/>
        </w:rPr>
        <w:t>Begg, I, J. Bournay, M. Weale and S. Wright. (1997). </w:t>
      </w:r>
      <w:r>
        <w:rPr>
          <w:sz w:val="20"/>
        </w:rPr>
        <w:t>Financial Intermediation Services Indirectly Measured: Estimates for France and the UK based on the Approach adopted in the 1993 SNA. </w:t>
      </w:r>
      <w:r>
        <w:rPr>
          <w:i/>
          <w:sz w:val="20"/>
        </w:rPr>
        <w:t>Review of </w:t>
      </w:r>
      <w:r>
        <w:rPr>
          <w:i/>
          <w:sz w:val="20"/>
        </w:rPr>
        <w:t>Income and Wealth</w:t>
      </w:r>
      <w:r>
        <w:rPr>
          <w:sz w:val="20"/>
        </w:rPr>
        <w:t>. Series 42. Pp 453-472.</w:t>
      </w:r>
    </w:p>
    <w:p>
      <w:pPr>
        <w:pStyle w:val="BodyText"/>
        <w:spacing w:before="1"/>
      </w:pPr>
    </w:p>
    <w:p>
      <w:pPr>
        <w:spacing w:before="0"/>
        <w:ind w:left="353" w:right="0" w:firstLine="0"/>
        <w:jc w:val="left"/>
        <w:rPr>
          <w:sz w:val="20"/>
        </w:rPr>
      </w:pPr>
      <w:r>
        <w:rPr>
          <w:b/>
          <w:sz w:val="20"/>
        </w:rPr>
        <w:t>Chamberlin, E. (1933)</w:t>
      </w:r>
      <w:r>
        <w:rPr>
          <w:sz w:val="20"/>
        </w:rPr>
        <w:t>. </w:t>
      </w:r>
      <w:r>
        <w:rPr>
          <w:i/>
          <w:sz w:val="20"/>
        </w:rPr>
        <w:t>The Theory of Monopolistic Competition </w:t>
      </w:r>
      <w:r>
        <w:rPr>
          <w:sz w:val="20"/>
        </w:rPr>
        <w:t>Harvard University Press. Harvard.</w:t>
      </w:r>
    </w:p>
    <w:p>
      <w:pPr>
        <w:pStyle w:val="BodyText"/>
        <w:spacing w:before="11"/>
        <w:rPr>
          <w:sz w:val="19"/>
        </w:rPr>
      </w:pPr>
    </w:p>
    <w:p>
      <w:pPr>
        <w:spacing w:before="0"/>
        <w:ind w:left="354" w:right="1509" w:firstLine="0"/>
        <w:jc w:val="left"/>
        <w:rPr>
          <w:sz w:val="20"/>
        </w:rPr>
      </w:pPr>
      <w:r>
        <w:rPr>
          <w:b/>
          <w:sz w:val="20"/>
        </w:rPr>
        <w:t>Gourinchas, P-O, H. Rey and K. Truempler</w:t>
      </w:r>
      <w:r>
        <w:rPr>
          <w:sz w:val="20"/>
        </w:rPr>
        <w:t>. (2012). The Financial Crisis and the Geography of Wealth Transfers. </w:t>
      </w:r>
      <w:r>
        <w:rPr>
          <w:i/>
          <w:sz w:val="20"/>
        </w:rPr>
        <w:t>Journal of International Economics</w:t>
      </w:r>
      <w:r>
        <w:rPr>
          <w:sz w:val="20"/>
        </w:rPr>
        <w:t>. Vol 88. Pp. 266-283</w:t>
      </w:r>
    </w:p>
    <w:p>
      <w:pPr>
        <w:pStyle w:val="BodyText"/>
      </w:pPr>
    </w:p>
    <w:p>
      <w:pPr>
        <w:spacing w:before="0"/>
        <w:ind w:left="354" w:right="2595" w:firstLine="0"/>
        <w:jc w:val="left"/>
        <w:rPr>
          <w:sz w:val="20"/>
        </w:rPr>
      </w:pPr>
      <w:r>
        <w:rPr>
          <w:b/>
          <w:sz w:val="20"/>
        </w:rPr>
        <w:t>Gourinchas, P-O, H. Rey and N. Govillot. (2010). </w:t>
      </w:r>
      <w:r>
        <w:rPr>
          <w:sz w:val="20"/>
        </w:rPr>
        <w:t>Exorbitant Privilege and Exorbitant Duty. </w:t>
      </w:r>
      <w:hyperlink r:id="rId14">
        <w:r>
          <w:rPr>
            <w:color w:val="0000FF"/>
            <w:sz w:val="20"/>
            <w:u w:val="single" w:color="0000FF"/>
          </w:rPr>
          <w:t>http://www.imes.boj.or.jp/english/publication/edps/2010/abst/10-E-20.html</w:t>
        </w:r>
      </w:hyperlink>
    </w:p>
    <w:p>
      <w:pPr>
        <w:pStyle w:val="BodyText"/>
        <w:spacing w:before="10"/>
        <w:rPr>
          <w:sz w:val="11"/>
        </w:rPr>
      </w:pPr>
    </w:p>
    <w:p>
      <w:pPr>
        <w:pStyle w:val="BodyText"/>
        <w:spacing w:before="94"/>
        <w:ind w:left="353" w:right="2077"/>
      </w:pPr>
      <w:r>
        <w:rPr>
          <w:b/>
        </w:rPr>
        <w:t>Habib M.M. (2010). </w:t>
      </w:r>
      <w:r>
        <w:rPr/>
        <w:t>Excess Returns on Net Foreign Assets- the Exorbitant Privilege from a Global Perspective. Working Paper 1158. European Central Bank.</w:t>
      </w:r>
    </w:p>
    <w:p>
      <w:pPr>
        <w:pStyle w:val="BodyText"/>
        <w:spacing w:before="11"/>
        <w:rPr>
          <w:sz w:val="19"/>
        </w:rPr>
      </w:pPr>
    </w:p>
    <w:p>
      <w:pPr>
        <w:pStyle w:val="BodyText"/>
        <w:ind w:left="353" w:right="1132"/>
      </w:pPr>
      <w:r>
        <w:rPr>
          <w:b/>
        </w:rPr>
        <w:t>Haldane, A. (2010). </w:t>
      </w:r>
      <w:r>
        <w:rPr/>
        <w:t>The Contribution of the Financial Sector: Miracle or Mirage? Speech at the Future of Finance Conference. 14</w:t>
      </w:r>
      <w:r>
        <w:rPr>
          <w:vertAlign w:val="superscript"/>
        </w:rPr>
        <w:t>th</w:t>
      </w:r>
      <w:r>
        <w:rPr>
          <w:vertAlign w:val="baseline"/>
        </w:rPr>
        <w:t> July. </w:t>
      </w:r>
      <w:hyperlink r:id="rId15">
        <w:r>
          <w:rPr>
            <w:color w:val="0000FF"/>
            <w:u w:val="single" w:color="0000FF"/>
            <w:vertAlign w:val="baseline"/>
          </w:rPr>
          <w:t>http://www.bankofengland.co.uk/publications/Pages/speeches/2010/442.aspx</w:t>
        </w:r>
      </w:hyperlink>
    </w:p>
    <w:p>
      <w:pPr>
        <w:pStyle w:val="BodyText"/>
        <w:spacing w:before="230"/>
        <w:ind w:left="354" w:right="3896"/>
      </w:pPr>
      <w:r>
        <w:rPr>
          <w:b/>
        </w:rPr>
        <w:t>King, M. (2009). </w:t>
      </w:r>
      <w:r>
        <w:rPr/>
        <w:t>Speech to CBI Dinner. 20</w:t>
      </w:r>
      <w:r>
        <w:rPr>
          <w:vertAlign w:val="superscript"/>
        </w:rPr>
        <w:t>th</w:t>
      </w:r>
      <w:r>
        <w:rPr>
          <w:vertAlign w:val="baseline"/>
        </w:rPr>
        <w:t> January. </w:t>
      </w:r>
      <w:hyperlink r:id="rId16">
        <w:r>
          <w:rPr>
            <w:color w:val="0000FF"/>
            <w:u w:val="single" w:color="0000FF"/>
            <w:vertAlign w:val="baseline"/>
          </w:rPr>
          <w:t>http://www.bankofengland.co.uk/publications/Pages/speeches/2009/372.aspx</w:t>
        </w:r>
      </w:hyperlink>
    </w:p>
    <w:p>
      <w:pPr>
        <w:pStyle w:val="BodyText"/>
        <w:spacing w:before="10"/>
        <w:rPr>
          <w:sz w:val="11"/>
        </w:rPr>
      </w:pPr>
    </w:p>
    <w:p>
      <w:pPr>
        <w:spacing w:before="94"/>
        <w:ind w:left="353" w:right="0" w:firstLine="0"/>
        <w:jc w:val="left"/>
        <w:rPr>
          <w:sz w:val="20"/>
        </w:rPr>
      </w:pPr>
      <w:r>
        <w:rPr>
          <w:b/>
          <w:sz w:val="20"/>
        </w:rPr>
        <w:t>Lanau, S. and T. Wieladek. (2012). </w:t>
      </w:r>
      <w:r>
        <w:rPr>
          <w:sz w:val="20"/>
        </w:rPr>
        <w:t>Financial Regulation and the Current Account.</w:t>
      </w:r>
    </w:p>
    <w:p>
      <w:pPr>
        <w:pStyle w:val="BodyText"/>
        <w:ind w:left="353"/>
      </w:pPr>
      <w:r>
        <w:rPr/>
        <w:t>IMF Working Paper 98/12. </w:t>
      </w:r>
      <w:hyperlink r:id="rId17">
        <w:r>
          <w:rPr>
            <w:color w:val="0000FF"/>
            <w:u w:val="single" w:color="0000FF"/>
          </w:rPr>
          <w:t>http://www.imf.org/external/pubs/cat/longres.aspx?sk=25857.0</w:t>
        </w:r>
      </w:hyperlink>
    </w:p>
    <w:p>
      <w:pPr>
        <w:pStyle w:val="BodyText"/>
        <w:spacing w:before="9"/>
        <w:rPr>
          <w:sz w:val="11"/>
        </w:rPr>
      </w:pPr>
    </w:p>
    <w:p>
      <w:pPr>
        <w:spacing w:before="94"/>
        <w:ind w:left="353" w:right="1365" w:firstLine="0"/>
        <w:jc w:val="left"/>
        <w:rPr>
          <w:sz w:val="20"/>
        </w:rPr>
      </w:pPr>
      <w:r>
        <w:rPr>
          <w:b/>
          <w:sz w:val="20"/>
        </w:rPr>
        <w:t>Rodriguez-Lopez</w:t>
      </w:r>
      <w:r>
        <w:rPr>
          <w:sz w:val="20"/>
        </w:rPr>
        <w:t>, J.A. (2011). Prices and Exchange Rates: a Theory of Disconnect. </w:t>
      </w:r>
      <w:r>
        <w:rPr>
          <w:i/>
          <w:sz w:val="20"/>
        </w:rPr>
        <w:t>Review of Economic </w:t>
      </w:r>
      <w:r>
        <w:rPr>
          <w:i/>
          <w:sz w:val="20"/>
        </w:rPr>
        <w:t>Studies</w:t>
      </w:r>
      <w:r>
        <w:rPr>
          <w:sz w:val="20"/>
        </w:rPr>
        <w:t>. Vol 78. Pp. 1135-1177.</w:t>
      </w:r>
    </w:p>
    <w:p>
      <w:pPr>
        <w:pStyle w:val="BodyText"/>
      </w:pPr>
    </w:p>
    <w:p>
      <w:pPr>
        <w:spacing w:before="0"/>
        <w:ind w:left="353" w:right="3989" w:firstLine="0"/>
        <w:jc w:val="left"/>
        <w:rPr>
          <w:sz w:val="20"/>
        </w:rPr>
      </w:pPr>
      <w:r>
        <w:rPr>
          <w:b/>
          <w:sz w:val="20"/>
        </w:rPr>
        <w:t>Reinhart, C.M., K.S. Rogoff and M.A. Savastano (2003). </w:t>
      </w:r>
      <w:r>
        <w:rPr>
          <w:sz w:val="20"/>
        </w:rPr>
        <w:t>Debt Intolerance. NBER Working Paper No. 9908. </w:t>
      </w:r>
      <w:hyperlink r:id="rId18">
        <w:r>
          <w:rPr>
            <w:color w:val="0000FF"/>
            <w:sz w:val="20"/>
            <w:u w:val="single" w:color="0000FF"/>
          </w:rPr>
          <w:t>http://www.nber.org/papers/w9908</w:t>
        </w:r>
        <w:r>
          <w:rPr>
            <w:sz w:val="20"/>
          </w:rPr>
          <w:t>.</w:t>
        </w:r>
      </w:hyperlink>
    </w:p>
    <w:sectPr>
      <w:pgSz w:w="11900" w:h="16840"/>
      <w:pgMar w:header="0" w:footer="1548" w:top="1540" w:bottom="1740" w:left="7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153280" from="56.700001pt,750.720032pt" to="538.680001pt,750.720032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05.619995pt;margin-top:749.816345pt;width:6.6pt;height:3.15pt;mso-position-horizontal-relative:page;mso-position-vertical-relative:page;z-index:-25315225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61.099777pt;margin-top:761.52887pt;width:307.7pt;height:24.75pt;mso-position-horizontal-relative:page;mso-position-vertical-relative:page;z-index:-253151232"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62.668823pt;width:7.6pt;height:13.2pt;mso-position-horizontal-relative:page;mso-position-vertical-relative:page;z-index:-253150208" type="#_x0000_t202" filled="false" stroked="false">
          <v:textbox inset="0,0,0,0">
            <w:txbxContent>
              <w:p>
                <w:pPr>
                  <w:pStyle w:val="BodyText"/>
                  <w:spacing w:before="14"/>
                  <w:ind w:left="20"/>
                </w:pPr>
                <w:r>
                  <w:rPr>
                    <w:w w:val="100"/>
                  </w:rPr>
                  <w:t>2</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149184" from="56.700001pt,750.720032pt" to="538.680001pt,750.720032pt" stroked="true" strokeweight=".23999pt" strokecolor="#000000">
          <v:stroke dashstyle="solid"/>
          <w10:wrap type="none"/>
        </v:line>
      </w:pict>
    </w:r>
    <w:r>
      <w:rPr/>
      <w:pict>
        <v:shape style="position:absolute;margin-left:505.619995pt;margin-top:749.816345pt;width:7.1pt;height:3.15pt;mso-position-horizontal-relative:page;mso-position-vertical-relative:page;z-index:-253148160"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61.099777pt;margin-top:761.52887pt;width:307.7pt;height:24.75pt;mso-position-horizontal-relative:page;mso-position-vertical-relative:page;z-index:-253147136"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1.119873pt;margin-top:762.668823pt;width:13.2pt;height:13.2pt;mso-position-horizontal-relative:page;mso-position-vertical-relative:page;z-index:-253146112" type="#_x0000_t202" filled="false" stroked="false">
          <v:textbox inset="0,0,0,0">
            <w:txbxContent>
              <w:p>
                <w:pPr>
                  <w:pStyle w:val="BodyText"/>
                  <w:spacing w:before="14"/>
                  <w:ind w:left="20"/>
                </w:pPr>
                <w:r>
                  <w:rPr/>
                  <w:t>10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145088" from="56.700001pt,750.720032pt" to="538.680001pt,750.720032pt" stroked="true" strokeweight=".23999pt" strokecolor="#000000">
          <v:stroke dashstyle="solid"/>
          <w10:wrap type="none"/>
        </v:line>
      </w:pict>
    </w:r>
    <w:r>
      <w:rPr/>
      <w:pict>
        <v:shape style="position:absolute;margin-left:505.619995pt;margin-top:749.816345pt;width:7.1pt;height:3.15pt;mso-position-horizontal-relative:page;mso-position-vertical-relative:page;z-index:-253144064"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61.099777pt;margin-top:761.52887pt;width:307.7pt;height:24.75pt;mso-position-horizontal-relative:page;mso-position-vertical-relative:page;z-index:-253143040"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1.119873pt;margin-top:762.668823pt;width:13.2pt;height:13.2pt;mso-position-horizontal-relative:page;mso-position-vertical-relative:page;z-index:-253142016" type="#_x0000_t202" filled="false" stroked="false">
          <v:textbox inset="0,0,0,0">
            <w:txbxContent>
              <w:p>
                <w:pPr>
                  <w:pStyle w:val="BodyText"/>
                  <w:spacing w:before="14"/>
                  <w:ind w:left="20"/>
                </w:pPr>
                <w:r>
                  <w:rPr/>
                  <w:t>11</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140992" from="56.700001pt,750.720032pt" to="538.680001pt,750.720032pt" stroked="true" strokeweight=".23999pt" strokecolor="#000000">
          <v:stroke dashstyle="solid"/>
          <w10:wrap type="none"/>
        </v:line>
      </w:pict>
    </w:r>
    <w:r>
      <w:rPr/>
      <w:pict>
        <v:shape style="position:absolute;margin-left:505.619995pt;margin-top:749.816345pt;width:7.1pt;height:3.15pt;mso-position-horizontal-relative:page;mso-position-vertical-relative:page;z-index:-253139968"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61.099777pt;margin-top:761.52887pt;width:307.7pt;height:24.75pt;mso-position-horizontal-relative:page;mso-position-vertical-relative:page;z-index:-253138944"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1.119873pt;margin-top:762.668823pt;width:13.2pt;height:13.2pt;mso-position-horizontal-relative:page;mso-position-vertical-relative:page;z-index:-253137920" type="#_x0000_t202" filled="false" stroked="false">
          <v:textbox inset="0,0,0,0">
            <w:txbxContent>
              <w:p>
                <w:pPr>
                  <w:pStyle w:val="BodyText"/>
                  <w:spacing w:before="14"/>
                  <w:ind w:left="20"/>
                </w:pPr>
                <w:r>
                  <w:rPr/>
                  <w:t>12</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line="224" w:lineRule="exact"/>
      <w:ind w:left="20"/>
      <w:outlineLvl w:val="1"/>
    </w:pPr>
    <w:rPr>
      <w:rFonts w:ascii="Arial" w:hAnsi="Arial" w:eastAsia="Arial" w:cs="Arial"/>
      <w:b/>
      <w:bCs/>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249" w:lineRule="exact"/>
      <w:jc w:val="right"/>
    </w:pPr>
    <w:rPr>
      <w:rFonts w:ascii="Calibri" w:hAnsi="Calibri" w:eastAsia="Calibri" w:cs="Calib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2.png"/><Relationship Id="rId10" Type="http://schemas.openxmlformats.org/officeDocument/2006/relationships/footer" Target="footer3.xml"/><Relationship Id="rId11" Type="http://schemas.openxmlformats.org/officeDocument/2006/relationships/image" Target="media/image3.png"/><Relationship Id="rId12" Type="http://schemas.openxmlformats.org/officeDocument/2006/relationships/footer" Target="footer4.xml"/><Relationship Id="rId13" Type="http://schemas.openxmlformats.org/officeDocument/2006/relationships/hyperlink" Target="http://www.bankofengland.co.uk/publications/Pages/speeches/2012/617.aspx" TargetMode="External"/><Relationship Id="rId14" Type="http://schemas.openxmlformats.org/officeDocument/2006/relationships/hyperlink" Target="http://www.imes.boj.or.jp/english/publication/edps/2010/abst/10-E-20.html" TargetMode="External"/><Relationship Id="rId15" Type="http://schemas.openxmlformats.org/officeDocument/2006/relationships/hyperlink" Target="http://www.bankofengland.co.uk/publications/Pages/speeches/2010/442.aspx" TargetMode="External"/><Relationship Id="rId16" Type="http://schemas.openxmlformats.org/officeDocument/2006/relationships/hyperlink" Target="http://www.bankofengland.co.uk/publications/Pages/speeches/2009/372.aspx" TargetMode="External"/><Relationship Id="rId17" Type="http://schemas.openxmlformats.org/officeDocument/2006/relationships/hyperlink" Target="http://www.imf.org/external/pubs/cat/longres.aspx?sk=25857.0" TargetMode="External"/><Relationship Id="rId18" Type="http://schemas.openxmlformats.org/officeDocument/2006/relationships/hyperlink" Target="http://www.nber.org/papers/w9908"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The Balance of Payments - Speech by Martin Weale</dc:subject>
  <dc:title>The Balance of Payments - Speech by Martin Weale</dc:title>
  <dcterms:created xsi:type="dcterms:W3CDTF">2020-06-02T18:32:50Z</dcterms:created>
  <dcterms:modified xsi:type="dcterms:W3CDTF">2020-06-02T18:32:50Z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2013-02-15T00:00:00Z</vt:filetime>
  </property>
  <property fmtid="{D5CDD505-2E9C-101B-9397-08002B2CF9AE}" pid="3" name="Creator">
    <vt:lpwstr>PScript5.dll Version 5.2.2</vt:lpwstr>
  </property>
  <property fmtid="{D5CDD505-2E9C-101B-9397-08002B2CF9AE}" pid="4" name="LastSaved">
    <vt:filetime>2020-06-02T00:00:00Z</vt:filetime>
  </property>
</Properties>
</file>