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7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81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2"/>
        <w:rPr>
          <w:rFonts w:ascii="Times New Roman"/>
          <w:sz w:val="28"/>
        </w:rPr>
      </w:pPr>
    </w:p>
    <w:p>
      <w:pPr>
        <w:spacing w:before="90"/>
        <w:ind w:left="954" w:right="1124" w:firstLine="0"/>
        <w:jc w:val="left"/>
        <w:rPr>
          <w:b/>
          <w:sz w:val="32"/>
        </w:rPr>
      </w:pPr>
      <w:bookmarkStart w:name="Speech by Gertjan Vlieghe - The Economic" w:id="1"/>
      <w:bookmarkEnd w:id="1"/>
      <w:r>
        <w:rPr/>
      </w:r>
      <w:r>
        <w:rPr>
          <w:b/>
          <w:color w:val="6A709F"/>
          <w:sz w:val="32"/>
        </w:rPr>
        <w:t>The Economic Outlook: Fading global tailwinds, intensifying Brexit headwinds</w:t>
      </w:r>
    </w:p>
    <w:p>
      <w:pPr>
        <w:pStyle w:val="BodyText"/>
        <w:rPr>
          <w:b/>
          <w:sz w:val="36"/>
        </w:rPr>
      </w:pPr>
    </w:p>
    <w:p>
      <w:pPr>
        <w:pStyle w:val="BodyText"/>
        <w:rPr>
          <w:b/>
          <w:sz w:val="36"/>
        </w:rPr>
      </w:pPr>
    </w:p>
    <w:p>
      <w:pPr>
        <w:spacing w:before="274"/>
        <w:ind w:left="954" w:right="0" w:firstLine="0"/>
        <w:jc w:val="left"/>
        <w:rPr>
          <w:sz w:val="24"/>
        </w:rPr>
      </w:pPr>
      <w:r>
        <w:rPr>
          <w:sz w:val="24"/>
        </w:rPr>
        <w:t>Speech given by</w:t>
      </w:r>
    </w:p>
    <w:p>
      <w:pPr>
        <w:spacing w:before="138"/>
        <w:ind w:left="954" w:right="0" w:firstLine="0"/>
        <w:jc w:val="left"/>
        <w:rPr>
          <w:sz w:val="24"/>
        </w:rPr>
      </w:pPr>
      <w:r>
        <w:rPr>
          <w:sz w:val="24"/>
        </w:rPr>
        <w:t>Gertjan Vlieghe, External Member of the Monetary Policy Committee</w:t>
      </w:r>
    </w:p>
    <w:p>
      <w:pPr>
        <w:pStyle w:val="BodyText"/>
        <w:rPr>
          <w:sz w:val="26"/>
        </w:rPr>
      </w:pPr>
    </w:p>
    <w:p>
      <w:pPr>
        <w:pStyle w:val="BodyText"/>
        <w:rPr>
          <w:sz w:val="26"/>
        </w:rPr>
      </w:pPr>
    </w:p>
    <w:p>
      <w:pPr>
        <w:pStyle w:val="BodyText"/>
        <w:rPr>
          <w:sz w:val="32"/>
        </w:rPr>
      </w:pPr>
    </w:p>
    <w:p>
      <w:pPr>
        <w:spacing w:line="360" w:lineRule="auto" w:before="0"/>
        <w:ind w:left="954" w:right="7354" w:firstLine="0"/>
        <w:jc w:val="left"/>
        <w:rPr>
          <w:sz w:val="24"/>
        </w:rPr>
      </w:pPr>
      <w:r>
        <w:rPr>
          <w:sz w:val="24"/>
        </w:rPr>
        <w:t>Resolution Foundation Thursday 14 February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p>
    <w:p>
      <w:pPr>
        <w:pStyle w:val="BodyText"/>
        <w:spacing w:before="94"/>
        <w:ind w:left="954"/>
      </w:pPr>
      <w:r>
        <w:rPr/>
        <w:t>I would like to thank Rodrigo Guimarães, Yad Selvakumar, Manveer Sokhi, Michael Saunders,</w:t>
      </w:r>
    </w:p>
    <w:p>
      <w:pPr>
        <w:pStyle w:val="BodyText"/>
        <w:ind w:left="954" w:right="1077"/>
      </w:pPr>
      <w:r>
        <w:rPr/>
        <w:t>Ben Broadbent, Thomas Belsham, Mirko Licchetta, Matt Swannell and Thomas Viegas for help with data and comments.</w:t>
      </w:r>
    </w:p>
    <w:p>
      <w:pPr>
        <w:spacing w:after="0"/>
        <w:sectPr>
          <w:footerReference w:type="default" r:id="rId5"/>
          <w:type w:val="continuous"/>
          <w:pgSz w:w="11910" w:h="16840"/>
          <w:pgMar w:footer="1338" w:top="1180" w:bottom="1520" w:left="180" w:right="440"/>
        </w:sectPr>
      </w:pPr>
    </w:p>
    <w:p>
      <w:pPr>
        <w:pStyle w:val="BodyText"/>
        <w:spacing w:before="69"/>
        <w:ind w:left="954"/>
      </w:pPr>
      <w:r>
        <w:rPr/>
        <w:t>We are in a period of unusual uncertainty around the economic outlook.</w:t>
      </w:r>
    </w:p>
    <w:p>
      <w:pPr>
        <w:pStyle w:val="BodyText"/>
        <w:spacing w:before="11"/>
        <w:rPr>
          <w:sz w:val="19"/>
        </w:rPr>
      </w:pPr>
    </w:p>
    <w:p>
      <w:pPr>
        <w:pStyle w:val="BodyText"/>
        <w:spacing w:line="355" w:lineRule="auto"/>
        <w:ind w:left="954" w:right="1244"/>
      </w:pPr>
      <w:r>
        <w:rPr/>
        <w:t>There is a tendency to say every quarter that things are more uncertain than before, and of course that cannot always be true. It must be that sometimes uncertainty is less than it was before.</w:t>
      </w:r>
    </w:p>
    <w:p>
      <w:pPr>
        <w:pStyle w:val="BodyText"/>
        <w:spacing w:line="355" w:lineRule="auto" w:before="120"/>
        <w:ind w:left="954" w:right="688"/>
      </w:pPr>
      <w:r>
        <w:rPr/>
        <w:pict>
          <v:group style="position:absolute;margin-left:125pt;margin-top:143.954895pt;width:321.7pt;height:139.050pt;mso-position-horizontal-relative:page;mso-position-vertical-relative:paragraph;z-index:-252568576" coordorigin="2500,2879" coordsize="6434,2781">
            <v:shape style="position:absolute;left:2520;top:2886;width:6414;height:2773" coordorigin="2520,2887" coordsize="6414,2773" path="m8870,5596l8870,2887m8870,5596l8933,5596m8870,5257l8933,5257m8870,4919l8933,4919m8870,4580l8933,4580m8870,4241l8933,4241m8870,3902l8933,3902m8870,3564l8933,3564m8870,3226l8933,3226m8870,2887l8933,2887m2520,5596l8870,5596m2520,5596l2520,5660m3182,5596l3182,5660m3845,5596l3845,5660m4508,5596l4508,5660m5171,5596l5171,5660m5833,5596l5833,5660m6496,5596l6496,5660m7158,5596l7158,5660m7820,5596l7820,5660m8483,5596l8483,5660e" filled="false" stroked="true" strokeweight=".75pt" strokecolor="#000000">
              <v:path arrowok="t"/>
              <v:stroke dashstyle="solid"/>
            </v:shape>
            <v:shape style="position:absolute;left:2520;top:3283;width:6309;height:1956" coordorigin="2520,3283" coordsize="6309,1956" path="m2520,5168l2534,5148,2562,5210,2590,5191,2617,5183,2645,5014,2672,4992,2700,5184,2728,5239,2755,5166,2783,5128,2810,4855,2838,4919,2866,4940,2893,4949,2921,4877,2948,4890,2976,5030,3004,5125,3031,4952,3059,5022,3086,4378,3114,4404,3142,4753,3169,4849,3197,4834,3224,4963,3252,5040,3280,5006,3307,5080,3335,4922,3362,4922,3390,4842,3418,4711,3445,4750,3473,4776,3500,4835,3528,4710,3556,4644,3583,4393,3611,4664,3638,4896,3666,5033,3694,5051,3721,5114,3749,5035,3776,5060,3804,5086,3832,5076,3859,5059,3887,5093,3914,5072,3942,5099,3970,4888,3997,5098,4025,5119,4052,5130,4080,5080,4108,4973,4135,5030,4163,5142,4190,5154,4218,5231,4246,5194,4273,5116,4301,5104,4328,5137,4356,5202,4384,5162,4411,4999,4439,5174,4466,5144,4494,5185,4522,5124,4549,5227,4577,5176,4604,5071,4632,5162,4660,5071,4687,5153,4715,5214,4742,5194,4770,5185,4798,5209,4825,5216,4853,5136,4880,5216,4908,5178,4936,5178,4963,5222,4991,5196,5018,5206,5046,5101,5074,4963,5101,5070,5129,5040,5156,4973,5184,4693,5212,4871,5239,4782,5267,4936,5294,5068,5322,4932,5350,4930,5377,4932,5405,4397,5432,4258,5460,4621,5488,4570,5515,4595,5543,4601,5570,4684,5598,4874,5626,4934,5653,4912,5681,4944,5708,4984,5736,4948,5764,5071,5791,5008,5819,4993,5846,4892,5874,4877,5902,4958,5929,4987,5957,4644,5984,4763,6012,4771,6040,4832,6067,4756,6095,4866,6122,4828,6150,4783,6178,4864,6205,5021,6233,4801,6260,4852,6288,5082,6316,4924,6343,4524,6371,4206,6398,4376,6426,4463,6454,4159,6481,4285,6509,4408,6536,4595,6564,4589,6593,4758,6620,4505,6648,4252,6676,4463,6703,4698,6731,4592,6758,4439,6786,4384,6814,4508,6841,4488,6869,4746,6896,4708,6924,4724,6952,4922,6979,4895,7007,4878,7034,4780,7062,4775,7090,4675,7117,5030,7145,4832,7172,4879,7200,4987,7228,4877,7255,4982,7283,4924,7310,5045,7338,4972,7366,4864,7393,4733,7421,4723,7448,4860,7476,4847,7504,4588,7531,4830,7559,4957,7586,4922,7614,4907,7642,4849,7669,4687,7697,4636,7724,4231,7752,4678,7780,4967,7807,4816,7835,4550,7862,4481,7890,4394,7918,4570,7945,4661,7973,3914,8000,3799,8028,4534,8056,4430,8083,4644,8111,3785,8138,3695,8166,3529,8194,4042,8221,3918,8249,4332,8276,4278,8304,4458,8332,4746,8359,4638,8387,4512,8414,4492,8442,4543,8470,4547,8497,4831,8525,4750,8552,4608,8580,4566,8608,4362,8635,4261,8663,4060,8690,4222,8718,4169,8746,3928,8773,3790,8801,3283,8828,3667e" filled="false" stroked="true" strokeweight="2pt" strokecolor="#497dba">
              <v:path arrowok="t"/>
              <v:stroke dashstyle="solid"/>
            </v:shape>
            <w10:wrap type="none"/>
          </v:group>
        </w:pict>
      </w:r>
      <w:r>
        <w:rPr/>
        <w:pict>
          <v:shape style="position:absolute;margin-left:469.024994pt;margin-top:193.853592pt;width:12.05pt;height:43.15pt;mso-position-horizontal-relative:page;mso-position-vertical-relative:paragraph;z-index:-252567552" type="#_x0000_t202" filled="false" stroked="false">
            <v:textbox inset="0,0,0,0" style="layout-flow:vertical;mso-layout-flow-alt:bottom-to-top">
              <w:txbxContent>
                <w:p>
                  <w:pPr>
                    <w:pStyle w:val="BodyText"/>
                    <w:spacing w:line="224" w:lineRule="exact"/>
                    <w:ind w:left="20"/>
                    <w:rPr>
                      <w:rFonts w:ascii="Calibri"/>
                    </w:rPr>
                  </w:pPr>
                  <w:r>
                    <w:rPr>
                      <w:rFonts w:ascii="Calibri"/>
                    </w:rPr>
                    <w:t>EPU Index</w:t>
                  </w:r>
                </w:p>
              </w:txbxContent>
            </v:textbox>
            <w10:wrap type="none"/>
          </v:shape>
        </w:pict>
      </w:r>
      <w:r>
        <w:rPr/>
        <w:t>But where we are today, in the middle of the Brexit debate, and with the world economy slowing meaningfully relative to a year ago, I do believe the UK outlook is unusually uncertain, and the nature of the uncertainty is different (</w:t>
      </w:r>
      <w:r>
        <w:rPr>
          <w:b/>
        </w:rPr>
        <w:t>Figure 1</w:t>
      </w:r>
      <w:r>
        <w:rPr/>
        <w:t>). In addition to uncertainty about different economic drivers of demand or supply across the economy, for which we have models and data, the range of current geopolitical risks is both less amenable to quantifying in our framework and has more uncertain policy implications. And these risks have been playing an increasingly important role in the evolution of the economy in recent months.</w:t>
      </w:r>
    </w:p>
    <w:p>
      <w:pPr>
        <w:pStyle w:val="BodyText"/>
        <w:spacing w:before="8"/>
        <w:rPr>
          <w:sz w:val="12"/>
        </w:rPr>
      </w:pPr>
    </w:p>
    <w:tbl>
      <w:tblPr>
        <w:tblW w:w="0" w:type="auto"/>
        <w:jc w:val="left"/>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9"/>
      </w:tblGrid>
      <w:tr>
        <w:trPr>
          <w:trHeight w:val="343" w:hRule="atLeast"/>
        </w:trPr>
        <w:tc>
          <w:tcPr>
            <w:tcW w:w="8629" w:type="dxa"/>
          </w:tcPr>
          <w:p>
            <w:pPr>
              <w:pStyle w:val="TableParagraph"/>
              <w:spacing w:line="201" w:lineRule="exact"/>
              <w:rPr>
                <w:b/>
                <w:sz w:val="18"/>
              </w:rPr>
            </w:pPr>
            <w:r>
              <w:rPr>
                <w:b/>
                <w:sz w:val="18"/>
              </w:rPr>
              <w:t>Figure 1: Global Economic Policy Uncertainty Index</w:t>
            </w:r>
          </w:p>
        </w:tc>
      </w:tr>
      <w:tr>
        <w:trPr>
          <w:trHeight w:val="3369" w:hRule="atLeast"/>
        </w:trPr>
        <w:tc>
          <w:tcPr>
            <w:tcW w:w="8629" w:type="dxa"/>
          </w:tcPr>
          <w:p>
            <w:pPr>
              <w:pStyle w:val="TableParagraph"/>
              <w:spacing w:before="102"/>
              <w:ind w:left="7447"/>
              <w:rPr>
                <w:rFonts w:ascii="Calibri"/>
                <w:sz w:val="20"/>
              </w:rPr>
            </w:pPr>
            <w:r>
              <w:rPr>
                <w:rFonts w:ascii="Calibri"/>
                <w:sz w:val="20"/>
              </w:rPr>
              <w:t>400</w:t>
            </w:r>
          </w:p>
          <w:p>
            <w:pPr>
              <w:pStyle w:val="TableParagraph"/>
              <w:spacing w:before="95"/>
              <w:ind w:left="7447"/>
              <w:rPr>
                <w:rFonts w:ascii="Calibri"/>
                <w:sz w:val="20"/>
              </w:rPr>
            </w:pPr>
            <w:r>
              <w:rPr>
                <w:rFonts w:ascii="Calibri"/>
                <w:sz w:val="20"/>
              </w:rPr>
              <w:t>350</w:t>
            </w:r>
          </w:p>
          <w:p>
            <w:pPr>
              <w:pStyle w:val="TableParagraph"/>
              <w:spacing w:before="94"/>
              <w:ind w:left="7447"/>
              <w:rPr>
                <w:rFonts w:ascii="Calibri"/>
                <w:sz w:val="20"/>
              </w:rPr>
            </w:pPr>
            <w:r>
              <w:rPr>
                <w:rFonts w:ascii="Calibri"/>
                <w:sz w:val="20"/>
              </w:rPr>
              <w:t>300</w:t>
            </w:r>
          </w:p>
          <w:p>
            <w:pPr>
              <w:pStyle w:val="TableParagraph"/>
              <w:spacing w:before="95"/>
              <w:ind w:left="7447"/>
              <w:rPr>
                <w:rFonts w:ascii="Calibri"/>
                <w:sz w:val="20"/>
              </w:rPr>
            </w:pPr>
            <w:r>
              <w:rPr>
                <w:rFonts w:ascii="Calibri"/>
                <w:sz w:val="20"/>
              </w:rPr>
              <w:t>250</w:t>
            </w:r>
          </w:p>
          <w:p>
            <w:pPr>
              <w:pStyle w:val="TableParagraph"/>
              <w:spacing w:before="94"/>
              <w:ind w:left="7447"/>
              <w:rPr>
                <w:rFonts w:ascii="Calibri"/>
                <w:sz w:val="20"/>
              </w:rPr>
            </w:pPr>
            <w:r>
              <w:rPr>
                <w:rFonts w:ascii="Calibri"/>
                <w:sz w:val="20"/>
              </w:rPr>
              <w:t>200</w:t>
            </w:r>
          </w:p>
          <w:p>
            <w:pPr>
              <w:pStyle w:val="TableParagraph"/>
              <w:spacing w:before="95"/>
              <w:ind w:left="7447"/>
              <w:rPr>
                <w:rFonts w:ascii="Calibri"/>
                <w:sz w:val="20"/>
              </w:rPr>
            </w:pPr>
            <w:r>
              <w:rPr>
                <w:rFonts w:ascii="Calibri"/>
                <w:sz w:val="20"/>
              </w:rPr>
              <w:t>150</w:t>
            </w:r>
          </w:p>
          <w:p>
            <w:pPr>
              <w:pStyle w:val="TableParagraph"/>
              <w:spacing w:before="95"/>
              <w:ind w:left="7447"/>
              <w:rPr>
                <w:rFonts w:ascii="Calibri"/>
                <w:sz w:val="20"/>
              </w:rPr>
            </w:pPr>
            <w:r>
              <w:rPr>
                <w:rFonts w:ascii="Calibri"/>
                <w:sz w:val="20"/>
              </w:rPr>
              <w:t>100</w:t>
            </w:r>
          </w:p>
          <w:p>
            <w:pPr>
              <w:pStyle w:val="TableParagraph"/>
              <w:spacing w:before="94"/>
              <w:ind w:left="7447"/>
              <w:rPr>
                <w:rFonts w:ascii="Calibri"/>
                <w:sz w:val="20"/>
              </w:rPr>
            </w:pPr>
            <w:r>
              <w:rPr>
                <w:rFonts w:ascii="Calibri"/>
                <w:sz w:val="20"/>
              </w:rPr>
              <w:t>50</w:t>
            </w:r>
          </w:p>
          <w:p>
            <w:pPr>
              <w:pStyle w:val="TableParagraph"/>
              <w:spacing w:before="95"/>
              <w:ind w:left="7447"/>
              <w:rPr>
                <w:rFonts w:ascii="Calibri"/>
                <w:sz w:val="20"/>
              </w:rPr>
            </w:pPr>
            <w:r>
              <w:rPr>
                <w:rFonts w:ascii="Calibri"/>
                <w:w w:val="100"/>
                <w:sz w:val="20"/>
              </w:rPr>
              <w:t>0</w:t>
            </w:r>
          </w:p>
          <w:p>
            <w:pPr>
              <w:pStyle w:val="TableParagraph"/>
              <w:tabs>
                <w:tab w:pos="1385" w:val="left" w:leader="none"/>
                <w:tab w:pos="2047" w:val="left" w:leader="none"/>
                <w:tab w:pos="2710" w:val="left" w:leader="none"/>
                <w:tab w:pos="3373" w:val="left" w:leader="none"/>
                <w:tab w:pos="4035" w:val="left" w:leader="none"/>
                <w:tab w:pos="4698" w:val="left" w:leader="none"/>
                <w:tab w:pos="5361" w:val="left" w:leader="none"/>
                <w:tab w:pos="6023" w:val="left" w:leader="none"/>
                <w:tab w:pos="6686" w:val="left" w:leader="none"/>
              </w:tabs>
              <w:spacing w:before="15"/>
              <w:ind w:left="722"/>
              <w:rPr>
                <w:rFonts w:ascii="Calibri"/>
                <w:sz w:val="20"/>
              </w:rPr>
            </w:pPr>
            <w:r>
              <w:rPr>
                <w:rFonts w:ascii="Calibri"/>
                <w:sz w:val="20"/>
              </w:rPr>
              <w:t>2000</w:t>
              <w:tab/>
              <w:t>2002</w:t>
              <w:tab/>
              <w:t>2004</w:t>
              <w:tab/>
              <w:t>2006</w:t>
              <w:tab/>
              <w:t>2008</w:t>
              <w:tab/>
              <w:t>2010</w:t>
              <w:tab/>
              <w:t>2012</w:t>
              <w:tab/>
              <w:t>2014</w:t>
              <w:tab/>
              <w:t>2016</w:t>
              <w:tab/>
              <w:t>2018</w:t>
            </w:r>
          </w:p>
        </w:tc>
      </w:tr>
      <w:tr>
        <w:trPr>
          <w:trHeight w:val="1339" w:hRule="atLeast"/>
        </w:trPr>
        <w:tc>
          <w:tcPr>
            <w:tcW w:w="8629" w:type="dxa"/>
          </w:tcPr>
          <w:p>
            <w:pPr>
              <w:pStyle w:val="TableParagraph"/>
              <w:spacing w:before="51"/>
              <w:rPr>
                <w:sz w:val="16"/>
              </w:rPr>
            </w:pPr>
            <w:r>
              <w:rPr>
                <w:sz w:val="16"/>
              </w:rPr>
              <w:t>Notes: Global Economic Policy Uncertainty Index (EPU) is a PPP-weighted average of national EPU indices for 20 countries: Australia, Brazil, Canada, Chile, China, France, Germany, Greece, India, Ireland, Italy, Japan, Mexico, the Netherlands, Russia, South Korea, Spain, Sweden, the United Kingdom, and the United States. Each national EPU index reflects the relative frequency of own-country newspaper articles that contain a trio of terms pertaining to the economy (E), policy (P) and uncertainty (U).</w:t>
            </w:r>
          </w:p>
          <w:p>
            <w:pPr>
              <w:pStyle w:val="TableParagraph"/>
              <w:spacing w:line="184" w:lineRule="exact" w:before="3"/>
              <w:ind w:right="1002"/>
              <w:rPr>
                <w:sz w:val="16"/>
              </w:rPr>
            </w:pPr>
            <w:r>
              <w:rPr>
                <w:sz w:val="16"/>
              </w:rPr>
              <w:t>Source: 'Measuring Economic Policy Uncertainty' by Scott Baker, Nicholas Bloom and Steven J. Davis at </w:t>
            </w:r>
            <w:hyperlink r:id="rId8">
              <w:r>
                <w:rPr>
                  <w:color w:val="0000FF"/>
                  <w:sz w:val="16"/>
                  <w:u w:val="single" w:color="0000FF"/>
                </w:rPr>
                <w:t>www.PolicyUncertainty.com</w:t>
              </w:r>
            </w:hyperlink>
          </w:p>
        </w:tc>
      </w:tr>
    </w:tbl>
    <w:p>
      <w:pPr>
        <w:pStyle w:val="BodyText"/>
        <w:spacing w:before="7"/>
        <w:rPr>
          <w:sz w:val="25"/>
        </w:rPr>
      </w:pPr>
    </w:p>
    <w:p>
      <w:pPr>
        <w:pStyle w:val="BodyText"/>
        <w:spacing w:line="352" w:lineRule="auto"/>
        <w:ind w:left="954" w:right="777"/>
      </w:pPr>
      <w:r>
        <w:rPr/>
        <w:t>Setting monetary policy requires making decisions even when the outlook is uncertain. As I have said before</w:t>
      </w:r>
      <w:r>
        <w:rPr>
          <w:position w:val="7"/>
          <w:sz w:val="13"/>
        </w:rPr>
        <w:t>1</w:t>
      </w:r>
      <w:r>
        <w:rPr/>
        <w:t>, we do not need to anticipate perfectly all future changes in the economy in order to set monetary policy appropriately to meet our inflation target. Rather, we need to respond to news about the economy as we receive it, in a systematic and predictable way that agents in the economy can factor into their decisions. Monetary policy will do what is needed to bring inflation back to target, whatever the path for Brexit and the world economy.</w:t>
      </w:r>
    </w:p>
    <w:p>
      <w:pPr>
        <w:pStyle w:val="BodyText"/>
        <w:spacing w:line="355" w:lineRule="auto" w:before="127"/>
        <w:ind w:left="954" w:right="866"/>
      </w:pPr>
      <w:r>
        <w:rPr/>
        <w:t>I will discuss what news we have had about the economy in recent quarters, and how that has changed my thinking about the appropriate path of monetary policy. This will involve a discussion of the world economy as well as a discussion of the economic impact of Brexit-related news so far. Before wading into a</w:t>
      </w:r>
    </w:p>
    <w:p>
      <w:pPr>
        <w:pStyle w:val="BodyText"/>
        <w:spacing w:line="355" w:lineRule="auto"/>
        <w:ind w:left="954" w:right="1011"/>
      </w:pPr>
      <w:r>
        <w:rPr/>
        <w:t>Brexit-related discussion during a period of heightened political sensitivity, I want to make something very clear.</w:t>
      </w:r>
    </w:p>
    <w:p>
      <w:pPr>
        <w:pStyle w:val="BodyText"/>
      </w:pPr>
    </w:p>
    <w:p>
      <w:pPr>
        <w:pStyle w:val="BodyText"/>
        <w:spacing w:before="6"/>
      </w:pPr>
      <w:r>
        <w:rPr/>
        <w:pict>
          <v:shape style="position:absolute;margin-left:56.700001pt;margin-top:14.044931pt;width:144.050pt;height:.1pt;mso-position-horizontal-relative:page;mso-position-vertical-relative:paragraph;z-index:-251657216;mso-wrap-distance-left:0;mso-wrap-distance-right:0" coordorigin="1134,281" coordsize="2881,0" path="m1134,281l4014,281e" filled="false" stroked="true" strokeweight=".47998pt" strokecolor="#000000">
            <v:path arrowok="t"/>
            <v:stroke dashstyle="solid"/>
            <w10:wrap type="topAndBottom"/>
          </v:shape>
        </w:pict>
      </w:r>
    </w:p>
    <w:p>
      <w:pPr>
        <w:spacing w:before="51"/>
        <w:ind w:left="954" w:right="0" w:firstLine="0"/>
        <w:jc w:val="left"/>
        <w:rPr>
          <w:sz w:val="16"/>
        </w:rPr>
      </w:pPr>
      <w:r>
        <w:rPr>
          <w:position w:val="6"/>
          <w:sz w:val="10"/>
        </w:rPr>
        <w:t>1 </w:t>
      </w:r>
      <w:r>
        <w:rPr>
          <w:sz w:val="16"/>
        </w:rPr>
        <w:t>See Vlieghe (2017).</w:t>
      </w:r>
    </w:p>
    <w:p>
      <w:pPr>
        <w:spacing w:after="0"/>
        <w:jc w:val="left"/>
        <w:rPr>
          <w:sz w:val="16"/>
        </w:rPr>
        <w:sectPr>
          <w:footerReference w:type="default" r:id="rId7"/>
          <w:pgSz w:w="11910" w:h="16840"/>
          <w:pgMar w:footer="1338" w:header="0" w:top="1460" w:bottom="1520" w:left="180" w:right="440"/>
        </w:sectPr>
      </w:pPr>
    </w:p>
    <w:p>
      <w:pPr>
        <w:pStyle w:val="BodyText"/>
        <w:spacing w:line="355" w:lineRule="auto" w:before="69"/>
        <w:ind w:left="954" w:right="691"/>
      </w:pPr>
      <w:r>
        <w:rPr/>
        <w:t>For the UK’s voters and politicians, the Brexit debate is about decisions with significant long-term economic </w:t>
      </w:r>
      <w:r>
        <w:rPr>
          <w:u w:val="single"/>
        </w:rPr>
        <w:t>and</w:t>
      </w:r>
      <w:r>
        <w:rPr/>
        <w:t> political consequences, and there is an important democratic debate on the possible trade-off between them.</w:t>
      </w:r>
      <w:r>
        <w:rPr>
          <w:position w:val="7"/>
          <w:sz w:val="13"/>
        </w:rPr>
        <w:t>2 </w:t>
      </w:r>
      <w:r>
        <w:rPr/>
        <w:t>Even if there is a strong consensus on the negative economic impact of Brexit, the magnitudes are highly uncertain, particularly over the longer term. It is perfectly reasonable to have a debate about whether it is worth incurring these aggregate economic costs to achieve certain political objectives. As an MPC member, I am making no comment on this debate, which is clearly beyond the scope of monetary policy. I will only discuss the short term impact on the economy, i.e. on growth, slack and inflation, because that is the MPC’s mandate. It is important to be absolutely clear that my comments on the economic impact</w:t>
      </w:r>
      <w:r>
        <w:rPr>
          <w:spacing w:val="-21"/>
        </w:rPr>
        <w:t> </w:t>
      </w:r>
      <w:r>
        <w:rPr/>
        <w:t>of</w:t>
      </w:r>
    </w:p>
    <w:p>
      <w:pPr>
        <w:pStyle w:val="BodyText"/>
        <w:spacing w:line="355" w:lineRule="auto"/>
        <w:ind w:left="954" w:right="688"/>
      </w:pPr>
      <w:r>
        <w:rPr/>
        <w:t>Brexit-related news over the monetary policy-relevant horizon, meaning the next two to three years, are not a comment about desirability of certain Brexit outcomes over others. But the MPC does have to set monetary policy while the Brexit debate is happening, and monetary policy works best if its rationale and intentions are well understood.</w:t>
      </w:r>
    </w:p>
    <w:p>
      <w:pPr>
        <w:pStyle w:val="BodyText"/>
        <w:rPr>
          <w:sz w:val="22"/>
        </w:rPr>
      </w:pPr>
    </w:p>
    <w:p>
      <w:pPr>
        <w:pStyle w:val="BodyText"/>
        <w:spacing w:before="1"/>
        <w:rPr>
          <w:sz w:val="18"/>
        </w:rPr>
      </w:pPr>
    </w:p>
    <w:p>
      <w:pPr>
        <w:pStyle w:val="ListParagraph"/>
        <w:numPr>
          <w:ilvl w:val="0"/>
          <w:numId w:val="1"/>
        </w:numPr>
        <w:tabs>
          <w:tab w:pos="1675" w:val="left" w:leader="none"/>
        </w:tabs>
        <w:spacing w:line="240" w:lineRule="auto" w:before="0" w:after="0"/>
        <w:ind w:left="1674" w:right="0" w:hanging="361"/>
        <w:jc w:val="left"/>
        <w:rPr>
          <w:sz w:val="20"/>
        </w:rPr>
      </w:pPr>
      <w:r>
        <w:rPr>
          <w:sz w:val="20"/>
        </w:rPr>
        <w:t>World Economy</w:t>
      </w:r>
    </w:p>
    <w:p>
      <w:pPr>
        <w:pStyle w:val="BodyText"/>
        <w:spacing w:before="1"/>
        <w:rPr>
          <w:sz w:val="23"/>
        </w:rPr>
      </w:pPr>
    </w:p>
    <w:p>
      <w:pPr>
        <w:pStyle w:val="BodyText"/>
        <w:spacing w:line="355" w:lineRule="auto"/>
        <w:ind w:left="954" w:right="678"/>
      </w:pPr>
      <w:r>
        <w:rPr/>
        <w:t>The MPC sets interest rates for the UK economy, not the world. But I will nevertheless start by discussing the state of the world economy.</w:t>
      </w:r>
    </w:p>
    <w:p>
      <w:pPr>
        <w:pStyle w:val="BodyText"/>
        <w:spacing w:line="352" w:lineRule="auto" w:before="118"/>
        <w:ind w:left="954" w:right="811"/>
        <w:rPr>
          <w:sz w:val="13"/>
        </w:rPr>
      </w:pPr>
      <w:r>
        <w:rPr/>
        <w:t>When the global economy is doing well, the UK usually tends to do well too. When the global economy is sluggish, the UK economy tends to be sluggish too. Demand for our exports depends on the strength of global demand, which in turn also influences UK business investment spending. Major financial markets are highly integrated internationally, and because of the particularly large financial sector in the UK, developments in international financial conditions are important for the UK economy.</w:t>
      </w:r>
      <w:r>
        <w:rPr>
          <w:position w:val="7"/>
          <w:sz w:val="13"/>
        </w:rPr>
        <w:t>3</w:t>
      </w:r>
    </w:p>
    <w:p>
      <w:pPr>
        <w:pStyle w:val="BodyText"/>
        <w:spacing w:line="355" w:lineRule="auto" w:before="126"/>
        <w:ind w:left="954" w:right="1011"/>
      </w:pPr>
      <w:r>
        <w:rPr/>
        <w:t>Since 2016, and throughout 2017, we had seen a remarkable acceleration in global growth. 2017 saw the highest global growth in six years (3.8%). More than 80% of the world was growing above trend. The Euro Area, our biggest trading partner, accelerated from just below 2% to nearly 3% GDP growth. And across the world, growth was increasingly investment driven, not consumer driven, which makes for more sustainable</w:t>
      </w:r>
      <w:r>
        <w:rPr>
          <w:spacing w:val="-1"/>
        </w:rPr>
        <w:t> </w:t>
      </w:r>
      <w:r>
        <w:rPr/>
        <w:t>recoveries.</w:t>
      </w:r>
    </w:p>
    <w:p>
      <w:pPr>
        <w:pStyle w:val="BodyText"/>
        <w:spacing w:line="355" w:lineRule="auto" w:before="119"/>
        <w:ind w:left="954" w:right="1021"/>
      </w:pPr>
      <w:r>
        <w:rPr/>
        <w:t>This strong global backdrop provided a global tailwind for the UK from the middle of 2016, just at the right time, when a headwind of Brexit uncertainty started weighing on the economy.</w:t>
      </w:r>
    </w:p>
    <w:p>
      <w:pPr>
        <w:pStyle w:val="BodyText"/>
        <w:spacing w:line="355" w:lineRule="auto" w:before="114"/>
        <w:ind w:left="954" w:right="777"/>
      </w:pPr>
      <w:r>
        <w:rPr/>
        <w:t>But over the past year, the global economy has lost some of its momentum (</w:t>
      </w:r>
      <w:r>
        <w:rPr>
          <w:b/>
        </w:rPr>
        <w:t>Figures 2 and 3</w:t>
      </w:r>
      <w:r>
        <w:rPr/>
        <w:t>).</w:t>
      </w:r>
      <w:r>
        <w:rPr>
          <w:position w:val="7"/>
          <w:sz w:val="13"/>
        </w:rPr>
        <w:t>4 </w:t>
      </w:r>
      <w:r>
        <w:rPr/>
        <w:t>Euro Area growth has fallen back to just above 1%. Growth disappointed in emerging markets too. The US was the outlier initially, with growth even accelerating in H1 2018. But in recent months, the data has shown some loss of momentum in the US as well.</w:t>
      </w:r>
    </w:p>
    <w:p>
      <w:pPr>
        <w:pStyle w:val="BodyText"/>
      </w:pPr>
    </w:p>
    <w:p>
      <w:pPr>
        <w:pStyle w:val="BodyText"/>
      </w:pPr>
    </w:p>
    <w:p>
      <w:pPr>
        <w:pStyle w:val="BodyText"/>
        <w:spacing w:before="4"/>
        <w:rPr>
          <w:sz w:val="24"/>
        </w:rPr>
      </w:pPr>
      <w:r>
        <w:rPr/>
        <w:pict>
          <v:shape style="position:absolute;margin-left:56.700001pt;margin-top:16.248203pt;width:144.050pt;height:.1pt;mso-position-horizontal-relative:page;mso-position-vertical-relative:paragraph;z-index:-251654144;mso-wrap-distance-left:0;mso-wrap-distance-right:0" coordorigin="1134,325" coordsize="2881,0" path="m1134,325l4014,325e" filled="false" stroked="true" strokeweight=".47998pt" strokecolor="#000000">
            <v:path arrowok="t"/>
            <v:stroke dashstyle="solid"/>
            <w10:wrap type="topAndBottom"/>
          </v:shape>
        </w:pict>
      </w:r>
    </w:p>
    <w:p>
      <w:pPr>
        <w:spacing w:before="51"/>
        <w:ind w:left="954" w:right="797" w:firstLine="0"/>
        <w:jc w:val="both"/>
        <w:rPr>
          <w:sz w:val="16"/>
        </w:rPr>
      </w:pPr>
      <w:r>
        <w:rPr>
          <w:position w:val="6"/>
          <w:sz w:val="10"/>
        </w:rPr>
        <w:t>2 </w:t>
      </w:r>
      <w:r>
        <w:rPr>
          <w:sz w:val="16"/>
        </w:rPr>
        <w:t>This is what economist Dani Rodrik (2007) coined the “political trilemma of the global economy”. For a country to achieve an increase in democratic power and national sovereignty, it is necessary to reduce the extent of its integration into the global economy. We cannot have all three – democracy, national sovereignty and global economic integration – in full measure.</w:t>
      </w:r>
    </w:p>
    <w:p>
      <w:pPr>
        <w:spacing w:line="183" w:lineRule="exact" w:before="0"/>
        <w:ind w:left="954" w:right="0" w:firstLine="0"/>
        <w:jc w:val="both"/>
        <w:rPr>
          <w:sz w:val="16"/>
        </w:rPr>
      </w:pPr>
      <w:r>
        <w:rPr>
          <w:position w:val="6"/>
          <w:sz w:val="10"/>
        </w:rPr>
        <w:t>3 </w:t>
      </w:r>
      <w:r>
        <w:rPr>
          <w:sz w:val="16"/>
        </w:rPr>
        <w:t>See Gerko and Rey (2017).</w:t>
      </w:r>
    </w:p>
    <w:p>
      <w:pPr>
        <w:spacing w:line="186" w:lineRule="exact" w:before="0"/>
        <w:ind w:left="954" w:right="0" w:firstLine="0"/>
        <w:jc w:val="both"/>
        <w:rPr>
          <w:sz w:val="16"/>
        </w:rPr>
      </w:pPr>
      <w:r>
        <w:rPr>
          <w:position w:val="6"/>
          <w:sz w:val="10"/>
        </w:rPr>
        <w:t>4 </w:t>
      </w:r>
      <w:r>
        <w:rPr>
          <w:sz w:val="16"/>
        </w:rPr>
        <w:t>See also Carney (2019).</w:t>
      </w:r>
    </w:p>
    <w:p>
      <w:pPr>
        <w:spacing w:after="0" w:line="186" w:lineRule="exact"/>
        <w:jc w:val="both"/>
        <w:rPr>
          <w:sz w:val="16"/>
        </w:rPr>
        <w:sectPr>
          <w:footerReference w:type="default" r:id="rId9"/>
          <w:pgSz w:w="11910" w:h="16840"/>
          <w:pgMar w:footer="1338" w:header="0" w:top="1460" w:bottom="1520" w:left="180" w:right="4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1"/>
        <w:gridCol w:w="5417"/>
      </w:tblGrid>
      <w:tr>
        <w:trPr>
          <w:trHeight w:val="277" w:hRule="atLeast"/>
        </w:trPr>
        <w:tc>
          <w:tcPr>
            <w:tcW w:w="5661" w:type="dxa"/>
          </w:tcPr>
          <w:p>
            <w:pPr>
              <w:pStyle w:val="TableParagraph"/>
              <w:spacing w:line="199" w:lineRule="exact"/>
              <w:rPr>
                <w:b/>
                <w:sz w:val="18"/>
              </w:rPr>
            </w:pPr>
            <w:r>
              <w:rPr>
                <w:b/>
                <w:sz w:val="18"/>
              </w:rPr>
              <w:t>Figure 2: Global nowcast swathes from BoE models</w:t>
            </w:r>
          </w:p>
        </w:tc>
        <w:tc>
          <w:tcPr>
            <w:tcW w:w="5417" w:type="dxa"/>
          </w:tcPr>
          <w:p>
            <w:pPr>
              <w:pStyle w:val="TableParagraph"/>
              <w:spacing w:line="199" w:lineRule="exact"/>
              <w:ind w:left="120"/>
              <w:rPr>
                <w:b/>
                <w:sz w:val="18"/>
              </w:rPr>
            </w:pPr>
            <w:r>
              <w:rPr>
                <w:b/>
                <w:sz w:val="18"/>
              </w:rPr>
              <w:t>Figure 3 : Breakdown of World PMIs</w:t>
            </w:r>
          </w:p>
        </w:tc>
      </w:tr>
      <w:tr>
        <w:trPr>
          <w:trHeight w:val="3524" w:hRule="atLeast"/>
        </w:trPr>
        <w:tc>
          <w:tcPr>
            <w:tcW w:w="5661" w:type="dxa"/>
          </w:tcPr>
          <w:p>
            <w:pPr>
              <w:pStyle w:val="TableParagraph"/>
              <w:spacing w:before="11"/>
              <w:ind w:left="0"/>
              <w:rPr>
                <w:sz w:val="23"/>
              </w:rPr>
            </w:pPr>
          </w:p>
          <w:p>
            <w:pPr>
              <w:pStyle w:val="TableParagraph"/>
              <w:ind w:left="286"/>
              <w:rPr>
                <w:sz w:val="20"/>
              </w:rPr>
            </w:pPr>
            <w:r>
              <w:rPr>
                <w:sz w:val="20"/>
              </w:rPr>
              <w:drawing>
                <wp:inline distT="0" distB="0" distL="0" distR="0">
                  <wp:extent cx="3169609" cy="1956816"/>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3169609" cy="1956816"/>
                          </a:xfrm>
                          <a:prstGeom prst="rect">
                            <a:avLst/>
                          </a:prstGeom>
                        </pic:spPr>
                      </pic:pic>
                    </a:graphicData>
                  </a:graphic>
                </wp:inline>
              </w:drawing>
            </w:r>
            <w:r>
              <w:rPr>
                <w:sz w:val="20"/>
              </w:rPr>
            </w:r>
          </w:p>
        </w:tc>
        <w:tc>
          <w:tcPr>
            <w:tcW w:w="5417" w:type="dxa"/>
          </w:tcPr>
          <w:p>
            <w:pPr>
              <w:pStyle w:val="TableParagraph"/>
              <w:spacing w:before="5"/>
              <w:ind w:left="0"/>
              <w:rPr>
                <w:sz w:val="11"/>
              </w:rPr>
            </w:pPr>
          </w:p>
          <w:p>
            <w:pPr>
              <w:pStyle w:val="TableParagraph"/>
              <w:ind w:left="167"/>
              <w:rPr>
                <w:sz w:val="20"/>
              </w:rPr>
            </w:pPr>
            <w:r>
              <w:rPr>
                <w:sz w:val="20"/>
              </w:rPr>
              <w:drawing>
                <wp:inline distT="0" distB="0" distL="0" distR="0">
                  <wp:extent cx="3187895" cy="2072639"/>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3187895" cy="2072639"/>
                          </a:xfrm>
                          <a:prstGeom prst="rect">
                            <a:avLst/>
                          </a:prstGeom>
                        </pic:spPr>
                      </pic:pic>
                    </a:graphicData>
                  </a:graphic>
                </wp:inline>
              </w:drawing>
            </w:r>
            <w:r>
              <w:rPr>
                <w:sz w:val="20"/>
              </w:rPr>
            </w:r>
          </w:p>
        </w:tc>
      </w:tr>
      <w:tr>
        <w:trPr>
          <w:trHeight w:val="1227" w:hRule="atLeast"/>
        </w:trPr>
        <w:tc>
          <w:tcPr>
            <w:tcW w:w="5661" w:type="dxa"/>
          </w:tcPr>
          <w:p>
            <w:pPr>
              <w:pStyle w:val="TableParagraph"/>
              <w:spacing w:before="40"/>
              <w:ind w:right="115"/>
              <w:rPr>
                <w:sz w:val="16"/>
              </w:rPr>
            </w:pPr>
            <w:r>
              <w:rPr>
                <w:sz w:val="16"/>
              </w:rPr>
              <w:t>Notes:*Global GDP is PPP-weighted. The swathe consists of a range of the Bank’s global nowcasting models. The models contain a range of global and country-level survey measures and asset prices. Further information can be found in </w:t>
            </w:r>
            <w:hyperlink r:id="rId13">
              <w:r>
                <w:rPr>
                  <w:sz w:val="16"/>
                </w:rPr>
                <w:t>“</w:t>
              </w:r>
              <w:r>
                <w:rPr>
                  <w:color w:val="0000FF"/>
                  <w:sz w:val="16"/>
                  <w:u w:val="single" w:color="0000FF"/>
                </w:rPr>
                <w:t> Gauging the globe: the Bank’s approach to nowcasting</w:t>
              </w:r>
            </w:hyperlink>
            <w:r>
              <w:rPr>
                <w:color w:val="0000FF"/>
                <w:sz w:val="16"/>
              </w:rPr>
              <w:t> </w:t>
            </w:r>
            <w:hyperlink r:id="rId13">
              <w:r>
                <w:rPr>
                  <w:color w:val="0000FF"/>
                  <w:sz w:val="16"/>
                  <w:u w:val="single" w:color="0000FF"/>
                </w:rPr>
                <w:t>world GDP, Quarterly Bulletin, Q3 2018</w:t>
              </w:r>
            </w:hyperlink>
            <w:r>
              <w:rPr>
                <w:sz w:val="16"/>
              </w:rPr>
              <w:t>”.</w:t>
            </w:r>
          </w:p>
          <w:p>
            <w:pPr>
              <w:pStyle w:val="TableParagraph"/>
              <w:spacing w:line="166" w:lineRule="exact" w:before="81"/>
              <w:rPr>
                <w:sz w:val="16"/>
              </w:rPr>
            </w:pPr>
            <w:r>
              <w:rPr>
                <w:sz w:val="16"/>
              </w:rPr>
              <w:t>Sources: National and International data sources, Bank calculations.</w:t>
            </w:r>
          </w:p>
        </w:tc>
        <w:tc>
          <w:tcPr>
            <w:tcW w:w="5417" w:type="dxa"/>
          </w:tcPr>
          <w:p>
            <w:pPr>
              <w:pStyle w:val="TableParagraph"/>
              <w:spacing w:before="40"/>
              <w:ind w:left="120"/>
              <w:rPr>
                <w:sz w:val="16"/>
              </w:rPr>
            </w:pPr>
            <w:r>
              <w:rPr>
                <w:sz w:val="16"/>
              </w:rPr>
              <w:t>Sources: Eikon from Refinitiv, JP Morgan, Bank calculations.</w:t>
            </w:r>
          </w:p>
        </w:tc>
      </w:tr>
    </w:tbl>
    <w:p>
      <w:pPr>
        <w:pStyle w:val="BodyText"/>
        <w:spacing w:before="1"/>
        <w:rPr>
          <w:sz w:val="24"/>
        </w:rPr>
      </w:pPr>
    </w:p>
    <w:p>
      <w:pPr>
        <w:pStyle w:val="BodyText"/>
        <w:spacing w:line="355" w:lineRule="auto" w:before="94"/>
        <w:ind w:left="954" w:right="844"/>
      </w:pPr>
      <w:r>
        <w:rPr/>
        <w:t>To make sense of this, I think we need two stories. One is about US fiscal expansion, the other is about the trade war and geopolitical risks more widely.</w:t>
      </w:r>
    </w:p>
    <w:p>
      <w:pPr>
        <w:pStyle w:val="BodyText"/>
        <w:spacing w:line="355" w:lineRule="auto" w:before="118"/>
        <w:ind w:left="954" w:right="843"/>
      </w:pPr>
      <w:r>
        <w:rPr/>
        <w:t>The US economy has been going through a very large fiscal expansion. The total government deficit in the US (adding up Federal and State budgets) is set to increase by 1.9ppts between 2017 and 2019, according to the OECD. For comparison, over the same period the UK deficit is set to shrink by 0.5ppts, and the</w:t>
      </w:r>
    </w:p>
    <w:p>
      <w:pPr>
        <w:pStyle w:val="BodyText"/>
        <w:spacing w:line="229" w:lineRule="exact"/>
        <w:ind w:left="954"/>
      </w:pPr>
      <w:r>
        <w:rPr/>
        <w:t>Euro Area budget deficit is set to be little changed.</w:t>
      </w:r>
    </w:p>
    <w:p>
      <w:pPr>
        <w:pStyle w:val="BodyText"/>
        <w:spacing w:before="2"/>
        <w:rPr>
          <w:sz w:val="25"/>
        </w:rPr>
      </w:pPr>
    </w:p>
    <w:tbl>
      <w:tblPr>
        <w:tblW w:w="0" w:type="auto"/>
        <w:jc w:val="left"/>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67"/>
      </w:tblGrid>
      <w:tr>
        <w:trPr>
          <w:trHeight w:val="277" w:hRule="atLeast"/>
        </w:trPr>
        <w:tc>
          <w:tcPr>
            <w:tcW w:w="8567" w:type="dxa"/>
          </w:tcPr>
          <w:p>
            <w:pPr>
              <w:pStyle w:val="TableParagraph"/>
              <w:spacing w:line="201" w:lineRule="exact"/>
              <w:rPr>
                <w:b/>
                <w:sz w:val="18"/>
              </w:rPr>
            </w:pPr>
            <w:r>
              <w:rPr>
                <w:b/>
                <w:sz w:val="18"/>
              </w:rPr>
              <w:t>Figure 4: UK, US and Euro Area policy rates and market forward rates</w:t>
            </w:r>
          </w:p>
        </w:tc>
      </w:tr>
      <w:tr>
        <w:trPr>
          <w:trHeight w:val="3577" w:hRule="atLeast"/>
        </w:trPr>
        <w:tc>
          <w:tcPr>
            <w:tcW w:w="8567" w:type="dxa"/>
          </w:tcPr>
          <w:p>
            <w:pPr>
              <w:pStyle w:val="TableParagraph"/>
              <w:spacing w:before="10" w:after="1"/>
              <w:ind w:left="0"/>
              <w:rPr>
                <w:sz w:val="9"/>
              </w:rPr>
            </w:pPr>
          </w:p>
          <w:p>
            <w:pPr>
              <w:pStyle w:val="TableParagraph"/>
              <w:ind w:left="903"/>
              <w:rPr>
                <w:sz w:val="20"/>
              </w:rPr>
            </w:pPr>
            <w:r>
              <w:rPr>
                <w:sz w:val="20"/>
              </w:rPr>
              <w:drawing>
                <wp:inline distT="0" distB="0" distL="0" distR="0">
                  <wp:extent cx="4492080" cy="2084832"/>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4492080" cy="2084832"/>
                          </a:xfrm>
                          <a:prstGeom prst="rect">
                            <a:avLst/>
                          </a:prstGeom>
                        </pic:spPr>
                      </pic:pic>
                    </a:graphicData>
                  </a:graphic>
                </wp:inline>
              </w:drawing>
            </w:r>
            <w:r>
              <w:rPr>
                <w:sz w:val="20"/>
              </w:rPr>
            </w:r>
          </w:p>
        </w:tc>
      </w:tr>
      <w:tr>
        <w:trPr>
          <w:trHeight w:val="728" w:hRule="atLeast"/>
        </w:trPr>
        <w:tc>
          <w:tcPr>
            <w:tcW w:w="8567" w:type="dxa"/>
          </w:tcPr>
          <w:p>
            <w:pPr>
              <w:pStyle w:val="TableParagraph"/>
              <w:spacing w:before="97"/>
              <w:ind w:right="80"/>
              <w:rPr>
                <w:sz w:val="16"/>
              </w:rPr>
            </w:pPr>
            <w:r>
              <w:rPr>
                <w:sz w:val="16"/>
              </w:rPr>
              <w:t>Notes: Forward curves are estimated using instantaneous forward overnight index swap rate. Numbers are average of last 15 business days. Fed funds rate is the target upper bound. Data as of 11 February 2019.</w:t>
            </w:r>
          </w:p>
          <w:p>
            <w:pPr>
              <w:pStyle w:val="TableParagraph"/>
              <w:spacing w:line="164" w:lineRule="exact" w:before="79"/>
              <w:rPr>
                <w:sz w:val="16"/>
              </w:rPr>
            </w:pPr>
            <w:r>
              <w:rPr>
                <w:sz w:val="16"/>
              </w:rPr>
              <w:t>Sources: Bank of England, Bloomberg, ECB and Federal Reserve</w:t>
            </w:r>
          </w:p>
        </w:tc>
      </w:tr>
    </w:tbl>
    <w:p>
      <w:pPr>
        <w:pStyle w:val="BodyText"/>
        <w:spacing w:line="355" w:lineRule="auto" w:before="110"/>
        <w:ind w:left="954" w:right="777"/>
      </w:pPr>
      <w:r>
        <w:rPr/>
        <w:t>The US fiscal expansion occurred when the unemployment rate was already at or near a 50-year low, which led to US interest rates rising much faster than elsewhere in the world (</w:t>
      </w:r>
      <w:r>
        <w:rPr>
          <w:b/>
        </w:rPr>
        <w:t>Figure 4</w:t>
      </w:r>
      <w:r>
        <w:rPr/>
        <w:t>). This was a normal monetary policy response to a stronger economy, and was appropriate for the US. But higher interest rates</w:t>
      </w:r>
    </w:p>
    <w:p>
      <w:pPr>
        <w:spacing w:after="0" w:line="355" w:lineRule="auto"/>
        <w:sectPr>
          <w:footerReference w:type="default" r:id="rId10"/>
          <w:pgSz w:w="11910" w:h="16840"/>
          <w:pgMar w:footer="1338" w:header="0" w:top="1560" w:bottom="1520" w:left="180" w:right="440"/>
        </w:sectPr>
      </w:pPr>
    </w:p>
    <w:p>
      <w:pPr>
        <w:pStyle w:val="BodyText"/>
        <w:spacing w:line="355" w:lineRule="auto" w:before="69"/>
        <w:ind w:left="954" w:right="810"/>
      </w:pPr>
      <w:r>
        <w:rPr/>
        <w:t>and a stronger dollar do put a lot of pressure on emerging market countries which borrow in dollars and pay dollar interest rates, and whose economies were not strong enough to withstand such pressure. As a result, we have seen emerging markets lose 19% of their stock market value from the peak in early 2018, and the premium their governments have to pay to borrow in dollars has risen by 0.9 percentage points over the same period (</w:t>
      </w:r>
      <w:r>
        <w:rPr>
          <w:b/>
        </w:rPr>
        <w:t>Figure 5</w:t>
      </w:r>
      <w:r>
        <w:rPr/>
        <w:t>).</w:t>
      </w:r>
    </w:p>
    <w:p>
      <w:pPr>
        <w:pStyle w:val="BodyText"/>
        <w:spacing w:line="352" w:lineRule="auto" w:before="119"/>
        <w:ind w:left="954" w:right="866"/>
      </w:pPr>
      <w:r>
        <w:rPr/>
        <w:t>The rise in US interest rates also started to affect some domestic borrowers in the US. The premium that corporate borrowers have to pay for market borrowing has risen, and this rise comes on top of the increase in risk free rates (</w:t>
      </w:r>
      <w:r>
        <w:rPr>
          <w:b/>
        </w:rPr>
        <w:t>Figure 6</w:t>
      </w:r>
      <w:r>
        <w:rPr/>
        <w:t>). </w:t>
      </w:r>
      <w:r>
        <w:rPr>
          <w:position w:val="7"/>
          <w:sz w:val="13"/>
        </w:rPr>
        <w:t>5 </w:t>
      </w:r>
      <w:r>
        <w:rPr/>
        <w:t>A pattern of rising corporate spreads when risk-free interest rates increase is not unusual.</w:t>
      </w:r>
      <w:r>
        <w:rPr>
          <w:position w:val="7"/>
          <w:sz w:val="13"/>
        </w:rPr>
        <w:t>6 </w:t>
      </w:r>
      <w:r>
        <w:rPr/>
        <w:t>The Fed has now signalled it may pause its policy tightening cycle, which has partially unwound the spread tightening, but total borrowing costs including risk spreads remain higher than they have been for most of the past seven years.</w:t>
      </w:r>
    </w:p>
    <w:p>
      <w:pPr>
        <w:pStyle w:val="BodyText"/>
        <w:spacing w:before="1"/>
        <w:rPr>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9"/>
        <w:gridCol w:w="5539"/>
      </w:tblGrid>
      <w:tr>
        <w:trPr>
          <w:trHeight w:val="277" w:hRule="atLeast"/>
        </w:trPr>
        <w:tc>
          <w:tcPr>
            <w:tcW w:w="5539" w:type="dxa"/>
          </w:tcPr>
          <w:p>
            <w:pPr>
              <w:pStyle w:val="TableParagraph"/>
              <w:spacing w:line="201" w:lineRule="exact"/>
              <w:rPr>
                <w:b/>
                <w:sz w:val="18"/>
              </w:rPr>
            </w:pPr>
            <w:r>
              <w:rPr>
                <w:b/>
                <w:sz w:val="18"/>
              </w:rPr>
              <w:t>Figure 5: Emerging market equity and bonds</w:t>
            </w:r>
          </w:p>
        </w:tc>
        <w:tc>
          <w:tcPr>
            <w:tcW w:w="5539" w:type="dxa"/>
          </w:tcPr>
          <w:p>
            <w:pPr>
              <w:pStyle w:val="TableParagraph"/>
              <w:spacing w:line="201" w:lineRule="exact"/>
              <w:ind w:left="242"/>
              <w:rPr>
                <w:b/>
                <w:sz w:val="18"/>
              </w:rPr>
            </w:pPr>
            <w:r>
              <w:rPr>
                <w:b/>
                <w:sz w:val="18"/>
              </w:rPr>
              <w:t>Figure 6: US credit conditions</w:t>
            </w:r>
          </w:p>
        </w:tc>
      </w:tr>
      <w:tr>
        <w:trPr>
          <w:trHeight w:val="3602" w:hRule="atLeast"/>
        </w:trPr>
        <w:tc>
          <w:tcPr>
            <w:tcW w:w="5539" w:type="dxa"/>
          </w:tcPr>
          <w:p>
            <w:pPr>
              <w:pStyle w:val="TableParagraph"/>
              <w:spacing w:before="9"/>
              <w:ind w:left="0"/>
              <w:rPr>
                <w:sz w:val="10"/>
              </w:rPr>
            </w:pPr>
          </w:p>
          <w:p>
            <w:pPr>
              <w:pStyle w:val="TableParagraph"/>
              <w:ind w:left="344"/>
              <w:rPr>
                <w:sz w:val="20"/>
              </w:rPr>
            </w:pPr>
            <w:r>
              <w:rPr>
                <w:sz w:val="20"/>
              </w:rPr>
              <w:drawing>
                <wp:inline distT="0" distB="0" distL="0" distR="0">
                  <wp:extent cx="3065987" cy="2042160"/>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3065987" cy="2042160"/>
                          </a:xfrm>
                          <a:prstGeom prst="rect">
                            <a:avLst/>
                          </a:prstGeom>
                        </pic:spPr>
                      </pic:pic>
                    </a:graphicData>
                  </a:graphic>
                </wp:inline>
              </w:drawing>
            </w:r>
            <w:r>
              <w:rPr>
                <w:sz w:val="20"/>
              </w:rPr>
            </w:r>
          </w:p>
        </w:tc>
        <w:tc>
          <w:tcPr>
            <w:tcW w:w="5539" w:type="dxa"/>
          </w:tcPr>
          <w:p>
            <w:pPr>
              <w:pStyle w:val="TableParagraph"/>
              <w:spacing w:before="9"/>
              <w:ind w:left="0"/>
              <w:rPr>
                <w:sz w:val="10"/>
              </w:rPr>
            </w:pPr>
          </w:p>
          <w:p>
            <w:pPr>
              <w:pStyle w:val="TableParagraph"/>
              <w:ind w:left="375"/>
              <w:rPr>
                <w:sz w:val="20"/>
              </w:rPr>
            </w:pPr>
            <w:r>
              <w:rPr>
                <w:sz w:val="20"/>
              </w:rPr>
              <w:drawing>
                <wp:inline distT="0" distB="0" distL="0" distR="0">
                  <wp:extent cx="3072082" cy="2011679"/>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3072082" cy="2011679"/>
                          </a:xfrm>
                          <a:prstGeom prst="rect">
                            <a:avLst/>
                          </a:prstGeom>
                        </pic:spPr>
                      </pic:pic>
                    </a:graphicData>
                  </a:graphic>
                </wp:inline>
              </w:drawing>
            </w:r>
            <w:r>
              <w:rPr>
                <w:sz w:val="20"/>
              </w:rPr>
            </w:r>
          </w:p>
        </w:tc>
      </w:tr>
      <w:tr>
        <w:trPr>
          <w:trHeight w:val="305" w:hRule="atLeast"/>
        </w:trPr>
        <w:tc>
          <w:tcPr>
            <w:tcW w:w="5539" w:type="dxa"/>
          </w:tcPr>
          <w:p>
            <w:pPr>
              <w:pStyle w:val="TableParagraph"/>
              <w:spacing w:line="164" w:lineRule="exact" w:before="121"/>
              <w:rPr>
                <w:sz w:val="16"/>
              </w:rPr>
            </w:pPr>
            <w:r>
              <w:rPr>
                <w:sz w:val="16"/>
              </w:rPr>
              <w:t>Sources: Bloomberg, MSCI, Bank calculations</w:t>
            </w:r>
          </w:p>
        </w:tc>
        <w:tc>
          <w:tcPr>
            <w:tcW w:w="5539" w:type="dxa"/>
          </w:tcPr>
          <w:p>
            <w:pPr>
              <w:pStyle w:val="TableParagraph"/>
              <w:spacing w:line="164" w:lineRule="exact" w:before="121"/>
              <w:ind w:left="242"/>
              <w:rPr>
                <w:sz w:val="16"/>
              </w:rPr>
            </w:pPr>
            <w:r>
              <w:rPr>
                <w:sz w:val="16"/>
              </w:rPr>
              <w:t>Sources: Bloomberg, MSCI, Bank calculations</w:t>
            </w:r>
          </w:p>
        </w:tc>
      </w:tr>
    </w:tbl>
    <w:p>
      <w:pPr>
        <w:pStyle w:val="BodyText"/>
        <w:spacing w:before="11"/>
        <w:rPr>
          <w:sz w:val="19"/>
        </w:rPr>
      </w:pPr>
    </w:p>
    <w:p>
      <w:pPr>
        <w:pStyle w:val="BodyText"/>
        <w:spacing w:line="355" w:lineRule="auto"/>
        <w:ind w:left="954" w:right="867"/>
      </w:pPr>
      <w:r>
        <w:rPr/>
        <w:t>The second main global growth story is the trade war and a rise in geopolitical risks more widely. The trade war started just over a year ago when the US announced tariffs on washing machines and solar panels.</w:t>
      </w:r>
    </w:p>
    <w:p>
      <w:pPr>
        <w:pStyle w:val="BodyText"/>
        <w:spacing w:line="355" w:lineRule="auto"/>
        <w:ind w:left="954" w:right="788"/>
      </w:pPr>
      <w:r>
        <w:rPr/>
        <w:t>Since then, a series of tit-for-tat measures have resulted in a growing share of global trade facing steadily rising tariffs. In an economic sense, nobody wins trade wars. You are just raising taxes on imports, and then your trading partners do the same. Each country impoverishes their consumers, collectively they damage global trade.</w:t>
      </w:r>
    </w:p>
    <w:p>
      <w:pPr>
        <w:pStyle w:val="BodyText"/>
        <w:spacing w:line="355" w:lineRule="auto" w:before="118"/>
        <w:ind w:left="954" w:right="1243"/>
      </w:pPr>
      <w:r>
        <w:rPr/>
        <w:t>Bank of England staff estimate that the tariffs announced so far are already high enough to take 1% off Chinese GDP and about 0.5% off US GDP over the next three years.</w:t>
      </w:r>
    </w:p>
    <w:p>
      <w:pPr>
        <w:pStyle w:val="BodyText"/>
      </w:pPr>
    </w:p>
    <w:p>
      <w:pPr>
        <w:pStyle w:val="BodyText"/>
      </w:pPr>
    </w:p>
    <w:p>
      <w:pPr>
        <w:pStyle w:val="BodyText"/>
      </w:pPr>
    </w:p>
    <w:p>
      <w:pPr>
        <w:pStyle w:val="BodyText"/>
      </w:pPr>
    </w:p>
    <w:p>
      <w:pPr>
        <w:pStyle w:val="BodyText"/>
      </w:pPr>
    </w:p>
    <w:p>
      <w:pPr>
        <w:pStyle w:val="BodyText"/>
        <w:spacing w:before="7"/>
        <w:rPr>
          <w:sz w:val="29"/>
        </w:rPr>
      </w:pPr>
      <w:r>
        <w:rPr/>
        <w:pict>
          <v:shape style="position:absolute;margin-left:56.700001pt;margin-top:19.271309pt;width:144.050pt;height:.1pt;mso-position-horizontal-relative:page;mso-position-vertical-relative:paragraph;z-index:-251653120;mso-wrap-distance-left:0;mso-wrap-distance-right:0" coordorigin="1134,385" coordsize="2881,0" path="m1134,385l4014,385e" filled="false" stroked="true" strokeweight=".47998pt" strokecolor="#000000">
            <v:path arrowok="t"/>
            <v:stroke dashstyle="solid"/>
            <w10:wrap type="topAndBottom"/>
          </v:shape>
        </w:pict>
      </w:r>
    </w:p>
    <w:p>
      <w:pPr>
        <w:spacing w:before="51"/>
        <w:ind w:left="954" w:right="777" w:firstLine="0"/>
        <w:jc w:val="left"/>
        <w:rPr>
          <w:sz w:val="16"/>
        </w:rPr>
      </w:pPr>
      <w:r>
        <w:rPr>
          <w:position w:val="6"/>
          <w:sz w:val="10"/>
        </w:rPr>
        <w:t>5 </w:t>
      </w:r>
      <w:r>
        <w:rPr>
          <w:sz w:val="16"/>
        </w:rPr>
        <w:t>The chart shows credit default swaps, closely correlated with the premium over the risk-free rate that corporate borrowers have to pay in corporate bond markets.</w:t>
      </w:r>
    </w:p>
    <w:p>
      <w:pPr>
        <w:spacing w:line="184" w:lineRule="exact" w:before="0"/>
        <w:ind w:left="954" w:right="0" w:firstLine="0"/>
        <w:jc w:val="left"/>
        <w:rPr>
          <w:sz w:val="16"/>
        </w:rPr>
      </w:pPr>
      <w:r>
        <w:rPr>
          <w:position w:val="6"/>
          <w:sz w:val="10"/>
        </w:rPr>
        <w:t>6 </w:t>
      </w:r>
      <w:r>
        <w:rPr>
          <w:sz w:val="16"/>
        </w:rPr>
        <w:t>See Gertler and Karadi (2015) for evidence for the US and Cesa-Bianchi, Thwaites and Vicondoa (2016) for the UK.</w:t>
      </w:r>
    </w:p>
    <w:p>
      <w:pPr>
        <w:spacing w:after="0" w:line="184" w:lineRule="exact"/>
        <w:jc w:val="left"/>
        <w:rPr>
          <w:sz w:val="16"/>
        </w:rPr>
        <w:sectPr>
          <w:footerReference w:type="default" r:id="rId15"/>
          <w:pgSz w:w="11910" w:h="16840"/>
          <w:pgMar w:footer="1338" w:header="0" w:top="1460" w:bottom="1520" w:left="180" w:right="440"/>
        </w:sectPr>
      </w:pPr>
    </w:p>
    <w:tbl>
      <w:tblPr>
        <w:tblW w:w="0" w:type="auto"/>
        <w:jc w:val="left"/>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1"/>
      </w:tblGrid>
      <w:tr>
        <w:trPr>
          <w:trHeight w:val="277" w:hRule="atLeast"/>
        </w:trPr>
        <w:tc>
          <w:tcPr>
            <w:tcW w:w="8451" w:type="dxa"/>
          </w:tcPr>
          <w:p>
            <w:pPr>
              <w:pStyle w:val="TableParagraph"/>
              <w:spacing w:line="201" w:lineRule="exact"/>
              <w:rPr>
                <w:b/>
                <w:sz w:val="18"/>
              </w:rPr>
            </w:pPr>
            <w:r>
              <w:rPr>
                <w:b/>
                <w:sz w:val="18"/>
              </w:rPr>
              <w:t>Figure 7 : China aggregate financing by type</w:t>
            </w:r>
          </w:p>
        </w:tc>
      </w:tr>
      <w:tr>
        <w:trPr>
          <w:trHeight w:val="3577" w:hRule="atLeast"/>
        </w:trPr>
        <w:tc>
          <w:tcPr>
            <w:tcW w:w="8451" w:type="dxa"/>
          </w:tcPr>
          <w:p>
            <w:pPr>
              <w:pStyle w:val="TableParagraph"/>
              <w:spacing w:before="7"/>
              <w:ind w:left="0"/>
              <w:rPr>
                <w:sz w:val="11"/>
              </w:rPr>
            </w:pPr>
          </w:p>
          <w:p>
            <w:pPr>
              <w:pStyle w:val="TableParagraph"/>
              <w:ind w:left="750"/>
              <w:rPr>
                <w:sz w:val="20"/>
              </w:rPr>
            </w:pPr>
            <w:r>
              <w:rPr>
                <w:sz w:val="20"/>
              </w:rPr>
              <w:drawing>
                <wp:inline distT="0" distB="0" distL="0" distR="0">
                  <wp:extent cx="4565221" cy="2072639"/>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9" cstate="print"/>
                          <a:stretch>
                            <a:fillRect/>
                          </a:stretch>
                        </pic:blipFill>
                        <pic:spPr>
                          <a:xfrm>
                            <a:off x="0" y="0"/>
                            <a:ext cx="4565221" cy="2072639"/>
                          </a:xfrm>
                          <a:prstGeom prst="rect">
                            <a:avLst/>
                          </a:prstGeom>
                        </pic:spPr>
                      </pic:pic>
                    </a:graphicData>
                  </a:graphic>
                </wp:inline>
              </w:drawing>
            </w:r>
            <w:r>
              <w:rPr>
                <w:sz w:val="20"/>
              </w:rPr>
            </w:r>
          </w:p>
        </w:tc>
      </w:tr>
      <w:tr>
        <w:trPr>
          <w:trHeight w:val="544" w:hRule="atLeast"/>
        </w:trPr>
        <w:tc>
          <w:tcPr>
            <w:tcW w:w="8451" w:type="dxa"/>
          </w:tcPr>
          <w:p>
            <w:pPr>
              <w:pStyle w:val="TableParagraph"/>
              <w:spacing w:line="260" w:lineRule="atLeast" w:before="20"/>
              <w:rPr>
                <w:sz w:val="16"/>
              </w:rPr>
            </w:pPr>
            <w:r>
              <w:rPr>
                <w:sz w:val="16"/>
              </w:rPr>
              <w:t>Notes: Monthly GDP series is calculated using a linear interpolation between annual nominal GDP values in RMB. Source: National Bureau of Statistics China, PBOC, OEC D, Bank calculations</w:t>
            </w:r>
          </w:p>
        </w:tc>
      </w:tr>
    </w:tbl>
    <w:p>
      <w:pPr>
        <w:pStyle w:val="BodyText"/>
        <w:spacing w:before="5"/>
        <w:rPr>
          <w:sz w:val="12"/>
        </w:rPr>
      </w:pPr>
    </w:p>
    <w:p>
      <w:pPr>
        <w:pStyle w:val="BodyText"/>
        <w:spacing w:line="352" w:lineRule="auto" w:before="94"/>
        <w:ind w:left="954" w:right="989"/>
      </w:pPr>
      <w:r>
        <w:rPr/>
        <w:t>Moreover, the trade war has hit a Chinese economy that was already slowing in response to official policy measures to reduce financial excesses in the shadow banking sector. Growth in trust loans and entrusted loans, two key vehicles for off-balance sheet financing, slowed in late-2017 and then turned negative in 2018, constituting quite a sharp deleveraging</w:t>
      </w:r>
      <w:r>
        <w:rPr>
          <w:position w:val="7"/>
          <w:sz w:val="13"/>
        </w:rPr>
        <w:t>7 </w:t>
      </w:r>
      <w:r>
        <w:rPr/>
        <w:t>(</w:t>
      </w:r>
      <w:r>
        <w:rPr>
          <w:b/>
        </w:rPr>
        <w:t>Figure 7</w:t>
      </w:r>
      <w:r>
        <w:rPr/>
        <w:t>).</w:t>
      </w:r>
    </w:p>
    <w:p>
      <w:pPr>
        <w:pStyle w:val="BodyText"/>
        <w:spacing w:line="355" w:lineRule="auto" w:before="123"/>
        <w:ind w:left="954" w:right="1110"/>
      </w:pPr>
      <w:r>
        <w:rPr/>
        <w:t>And the combined effect of this deleveraging and the trade war on China seems to be contributing to the slowdown in the Euro Area via weaker exports in response to weaker Chinese imports (</w:t>
      </w:r>
      <w:r>
        <w:rPr>
          <w:b/>
        </w:rPr>
        <w:t>Figure 8</w:t>
      </w:r>
      <w:r>
        <w:rPr/>
        <w:t>).</w:t>
      </w:r>
    </w:p>
    <w:p>
      <w:pPr>
        <w:pStyle w:val="BodyText"/>
        <w:spacing w:before="6"/>
        <w:rPr>
          <w:sz w:val="15"/>
        </w:rPr>
      </w:pPr>
    </w:p>
    <w:tbl>
      <w:tblPr>
        <w:tblW w:w="0" w:type="auto"/>
        <w:jc w:val="left"/>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7"/>
      </w:tblGrid>
      <w:tr>
        <w:trPr>
          <w:trHeight w:val="277" w:hRule="atLeast"/>
        </w:trPr>
        <w:tc>
          <w:tcPr>
            <w:tcW w:w="8227" w:type="dxa"/>
          </w:tcPr>
          <w:p>
            <w:pPr>
              <w:pStyle w:val="TableParagraph"/>
              <w:spacing w:line="201" w:lineRule="exact"/>
              <w:rPr>
                <w:b/>
                <w:sz w:val="18"/>
              </w:rPr>
            </w:pPr>
            <w:r>
              <w:rPr>
                <w:b/>
                <w:sz w:val="18"/>
              </w:rPr>
              <w:t>Figure 8: Manufacturing PMIs – Euro Area and China</w:t>
            </w:r>
          </w:p>
        </w:tc>
      </w:tr>
      <w:tr>
        <w:trPr>
          <w:trHeight w:val="3577" w:hRule="atLeast"/>
        </w:trPr>
        <w:tc>
          <w:tcPr>
            <w:tcW w:w="8227" w:type="dxa"/>
          </w:tcPr>
          <w:p>
            <w:pPr>
              <w:pStyle w:val="TableParagraph"/>
              <w:spacing w:before="3"/>
              <w:ind w:left="0"/>
              <w:rPr>
                <w:sz w:val="8"/>
              </w:rPr>
            </w:pPr>
          </w:p>
          <w:p>
            <w:pPr>
              <w:pStyle w:val="TableParagraph"/>
              <w:ind w:left="788"/>
              <w:rPr>
                <w:sz w:val="20"/>
              </w:rPr>
            </w:pPr>
            <w:r>
              <w:rPr>
                <w:sz w:val="20"/>
              </w:rPr>
              <w:drawing>
                <wp:inline distT="0" distB="0" distL="0" distR="0">
                  <wp:extent cx="4479890" cy="2029968"/>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20" cstate="print"/>
                          <a:stretch>
                            <a:fillRect/>
                          </a:stretch>
                        </pic:blipFill>
                        <pic:spPr>
                          <a:xfrm>
                            <a:off x="0" y="0"/>
                            <a:ext cx="4479890" cy="2029968"/>
                          </a:xfrm>
                          <a:prstGeom prst="rect">
                            <a:avLst/>
                          </a:prstGeom>
                        </pic:spPr>
                      </pic:pic>
                    </a:graphicData>
                  </a:graphic>
                </wp:inline>
              </w:drawing>
            </w:r>
            <w:r>
              <w:rPr>
                <w:sz w:val="20"/>
              </w:rPr>
            </w:r>
          </w:p>
        </w:tc>
      </w:tr>
      <w:tr>
        <w:trPr>
          <w:trHeight w:val="280" w:hRule="atLeast"/>
        </w:trPr>
        <w:tc>
          <w:tcPr>
            <w:tcW w:w="8227" w:type="dxa"/>
          </w:tcPr>
          <w:p>
            <w:pPr>
              <w:pStyle w:val="TableParagraph"/>
              <w:spacing w:line="164" w:lineRule="exact" w:before="96"/>
              <w:rPr>
                <w:sz w:val="16"/>
              </w:rPr>
            </w:pPr>
            <w:r>
              <w:rPr>
                <w:sz w:val="16"/>
              </w:rPr>
              <w:t>Sources: China National Bureau of Statistics, Institute of Supply Management</w:t>
            </w:r>
          </w:p>
        </w:tc>
      </w:tr>
    </w:tbl>
    <w:p>
      <w:pPr>
        <w:pStyle w:val="BodyText"/>
        <w:spacing w:before="11"/>
        <w:rPr>
          <w:sz w:val="19"/>
        </w:rPr>
      </w:pPr>
    </w:p>
    <w:p>
      <w:pPr>
        <w:pStyle w:val="BodyText"/>
        <w:spacing w:line="355" w:lineRule="auto"/>
        <w:ind w:left="954" w:right="888"/>
      </w:pPr>
      <w:r>
        <w:rPr/>
        <w:t>Politically, the trade war is not taking place in isolation, it is taking place against a background of more fundamental political shifts, generally involving an erosion of trust in official institutions and a bifurcation towards the extremes of the political spectrum. The US government just ended the longest shut-down in its history, Italy’s debt dynamics are once again a focus for financial markets, and France is experiencing a</w:t>
      </w:r>
    </w:p>
    <w:p>
      <w:pPr>
        <w:pStyle w:val="BodyText"/>
      </w:pPr>
    </w:p>
    <w:p>
      <w:pPr>
        <w:pStyle w:val="BodyText"/>
        <w:spacing w:before="3"/>
        <w:rPr>
          <w:sz w:val="12"/>
        </w:rPr>
      </w:pPr>
      <w:r>
        <w:rPr/>
        <w:pict>
          <v:shape style="position:absolute;margin-left:56.700001pt;margin-top:9.281621pt;width:144.050pt;height:.1pt;mso-position-horizontal-relative:page;mso-position-vertical-relative:paragraph;z-index:-251652096;mso-wrap-distance-left:0;mso-wrap-distance-right:0" coordorigin="1134,186" coordsize="2881,0" path="m1134,186l4014,186e" filled="false" stroked="true" strokeweight=".47998pt" strokecolor="#000000">
            <v:path arrowok="t"/>
            <v:stroke dashstyle="solid"/>
            <w10:wrap type="topAndBottom"/>
          </v:shape>
        </w:pict>
      </w:r>
    </w:p>
    <w:p>
      <w:pPr>
        <w:spacing w:before="51"/>
        <w:ind w:left="954" w:right="0" w:firstLine="0"/>
        <w:jc w:val="left"/>
        <w:rPr>
          <w:sz w:val="16"/>
        </w:rPr>
      </w:pPr>
      <w:r>
        <w:rPr>
          <w:position w:val="6"/>
          <w:sz w:val="10"/>
        </w:rPr>
        <w:t>7 </w:t>
      </w:r>
      <w:r>
        <w:rPr>
          <w:sz w:val="16"/>
        </w:rPr>
        <w:t>See the speech by PBC Governor Yi Gang on 13 December 2018.</w:t>
      </w:r>
    </w:p>
    <w:p>
      <w:pPr>
        <w:spacing w:after="0"/>
        <w:jc w:val="left"/>
        <w:rPr>
          <w:sz w:val="16"/>
        </w:rPr>
        <w:sectPr>
          <w:footerReference w:type="default" r:id="rId18"/>
          <w:pgSz w:w="11910" w:h="16840"/>
          <w:pgMar w:footer="1338" w:header="0" w:top="1580" w:bottom="1520" w:left="180" w:right="440"/>
        </w:sectPr>
      </w:pPr>
    </w:p>
    <w:p>
      <w:pPr>
        <w:pStyle w:val="BodyText"/>
        <w:spacing w:line="355" w:lineRule="auto" w:before="69"/>
        <w:ind w:left="954" w:right="765"/>
      </w:pPr>
      <w:r>
        <w:rPr/>
        <w:t>prolonged period of protests. An increasing number of countries have elected leaders that explicitly question principles of free speech and due process of law.</w:t>
      </w:r>
    </w:p>
    <w:p>
      <w:pPr>
        <w:pStyle w:val="BodyText"/>
        <w:spacing w:before="120"/>
        <w:ind w:left="954"/>
      </w:pPr>
      <w:r>
        <w:rPr/>
        <w:t>Overall, these economic and political developments have led to a noticeable slowing in global growth.</w:t>
      </w:r>
    </w:p>
    <w:p>
      <w:pPr>
        <w:pStyle w:val="BodyText"/>
        <w:spacing w:before="11"/>
        <w:rPr>
          <w:sz w:val="19"/>
        </w:rPr>
      </w:pPr>
    </w:p>
    <w:p>
      <w:pPr>
        <w:pStyle w:val="BodyText"/>
        <w:spacing w:line="352" w:lineRule="auto"/>
        <w:ind w:left="954" w:right="836"/>
      </w:pPr>
      <w:r>
        <w:rPr/>
        <w:t>Thinking about where we go from here, there are some reasons to be optimistic that global growth will soon bottom out and improve a little. In recent months, the anticipated response from the Federal Reserve, reinforced by Fed communications, has resulted in a 70bp fall in the forward policy rate</w:t>
      </w:r>
      <w:r>
        <w:rPr>
          <w:position w:val="7"/>
          <w:sz w:val="13"/>
        </w:rPr>
        <w:t>8</w:t>
      </w:r>
      <w:r>
        <w:rPr/>
        <w:t>. The expected Euro Area policy rate at the same horizon has fallen by 50bp. Forward rate paths for other central banks have also been revised lower. Chinese policymakers have put in place significant stimulus measures in the monetary, banking and fiscal sphere, and might add more.</w:t>
      </w:r>
    </w:p>
    <w:p>
      <w:pPr>
        <w:pStyle w:val="BodyText"/>
        <w:spacing w:line="355" w:lineRule="auto" w:before="127"/>
        <w:ind w:left="954" w:right="800"/>
      </w:pPr>
      <w:r>
        <w:rPr/>
        <w:t>But there are downside risks too. The US fiscal impulse has only just peaked, and is set to fade from here (</w:t>
      </w:r>
      <w:r>
        <w:rPr>
          <w:b/>
        </w:rPr>
        <w:t>Figure 9</w:t>
      </w:r>
      <w:r>
        <w:rPr/>
        <w:t>). Uncertainties about the trade war do not appear to be close a resolution. And the wider political uncertainties that may be weighing on financial market sentiment and investment decisions may well persist for years to come, and could yet worsen.</w:t>
      </w:r>
    </w:p>
    <w:p>
      <w:pPr>
        <w:pStyle w:val="BodyText"/>
        <w:spacing w:before="4"/>
        <w:rPr>
          <w:sz w:val="15"/>
        </w:rPr>
      </w:pPr>
    </w:p>
    <w:tbl>
      <w:tblPr>
        <w:tblW w:w="0" w:type="auto"/>
        <w:jc w:val="left"/>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7"/>
      </w:tblGrid>
      <w:tr>
        <w:trPr>
          <w:trHeight w:val="277" w:hRule="atLeast"/>
        </w:trPr>
        <w:tc>
          <w:tcPr>
            <w:tcW w:w="8227" w:type="dxa"/>
          </w:tcPr>
          <w:p>
            <w:pPr>
              <w:pStyle w:val="TableParagraph"/>
              <w:spacing w:line="201" w:lineRule="exact"/>
              <w:rPr>
                <w:b/>
                <w:sz w:val="18"/>
              </w:rPr>
            </w:pPr>
            <w:r>
              <w:rPr>
                <w:b/>
                <w:sz w:val="18"/>
              </w:rPr>
              <w:t>Figure 9: BoE estimate of the impact of US fiscal expansion on US growth</w:t>
            </w:r>
          </w:p>
        </w:tc>
      </w:tr>
      <w:tr>
        <w:trPr>
          <w:trHeight w:val="3577" w:hRule="atLeast"/>
        </w:trPr>
        <w:tc>
          <w:tcPr>
            <w:tcW w:w="8227" w:type="dxa"/>
          </w:tcPr>
          <w:p>
            <w:pPr>
              <w:pStyle w:val="TableParagraph"/>
              <w:spacing w:before="9"/>
              <w:ind w:left="0"/>
              <w:rPr>
                <w:sz w:val="15"/>
              </w:rPr>
            </w:pPr>
          </w:p>
          <w:p>
            <w:pPr>
              <w:pStyle w:val="TableParagraph"/>
              <w:ind w:left="798"/>
              <w:rPr>
                <w:sz w:val="20"/>
              </w:rPr>
            </w:pPr>
            <w:r>
              <w:rPr>
                <w:sz w:val="20"/>
              </w:rPr>
              <w:drawing>
                <wp:inline distT="0" distB="0" distL="0" distR="0">
                  <wp:extent cx="4565221" cy="2023872"/>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22" cstate="print"/>
                          <a:stretch>
                            <a:fillRect/>
                          </a:stretch>
                        </pic:blipFill>
                        <pic:spPr>
                          <a:xfrm>
                            <a:off x="0" y="0"/>
                            <a:ext cx="4565221" cy="2023872"/>
                          </a:xfrm>
                          <a:prstGeom prst="rect">
                            <a:avLst/>
                          </a:prstGeom>
                        </pic:spPr>
                      </pic:pic>
                    </a:graphicData>
                  </a:graphic>
                </wp:inline>
              </w:drawing>
            </w:r>
            <w:r>
              <w:rPr>
                <w:sz w:val="20"/>
              </w:rPr>
            </w:r>
          </w:p>
        </w:tc>
      </w:tr>
      <w:tr>
        <w:trPr>
          <w:trHeight w:val="463" w:hRule="atLeast"/>
        </w:trPr>
        <w:tc>
          <w:tcPr>
            <w:tcW w:w="8227" w:type="dxa"/>
          </w:tcPr>
          <w:p>
            <w:pPr>
              <w:pStyle w:val="TableParagraph"/>
              <w:spacing w:line="184" w:lineRule="exact" w:before="99"/>
              <w:ind w:right="243"/>
              <w:rPr>
                <w:sz w:val="16"/>
              </w:rPr>
            </w:pPr>
            <w:r>
              <w:rPr>
                <w:sz w:val="16"/>
              </w:rPr>
              <w:t>Sources: US Congressional Budget Office, Joint Committee on Taxation of the “Tax Cuts and Jobs Act”, Bank calculations</w:t>
            </w:r>
          </w:p>
        </w:tc>
      </w:tr>
    </w:tbl>
    <w:p>
      <w:pPr>
        <w:pStyle w:val="BodyText"/>
        <w:rPr>
          <w:sz w:val="22"/>
        </w:rPr>
      </w:pPr>
    </w:p>
    <w:p>
      <w:pPr>
        <w:pStyle w:val="BodyText"/>
        <w:spacing w:before="5"/>
        <w:rPr>
          <w:sz w:val="28"/>
        </w:rPr>
      </w:pPr>
    </w:p>
    <w:p>
      <w:pPr>
        <w:pStyle w:val="ListParagraph"/>
        <w:numPr>
          <w:ilvl w:val="0"/>
          <w:numId w:val="1"/>
        </w:numPr>
        <w:tabs>
          <w:tab w:pos="1675" w:val="left" w:leader="none"/>
        </w:tabs>
        <w:spacing w:line="240" w:lineRule="auto" w:before="0" w:after="0"/>
        <w:ind w:left="1674" w:right="0" w:hanging="361"/>
        <w:jc w:val="left"/>
        <w:rPr>
          <w:sz w:val="20"/>
        </w:rPr>
      </w:pPr>
      <w:r>
        <w:rPr>
          <w:sz w:val="20"/>
        </w:rPr>
        <w:t>The impact of</w:t>
      </w:r>
      <w:r>
        <w:rPr>
          <w:spacing w:val="-2"/>
          <w:sz w:val="20"/>
        </w:rPr>
        <w:t> </w:t>
      </w:r>
      <w:r>
        <w:rPr>
          <w:sz w:val="20"/>
        </w:rPr>
        <w:t>Brexit</w:t>
      </w:r>
    </w:p>
    <w:p>
      <w:pPr>
        <w:pStyle w:val="BodyText"/>
        <w:rPr>
          <w:sz w:val="23"/>
        </w:rPr>
      </w:pPr>
    </w:p>
    <w:p>
      <w:pPr>
        <w:pStyle w:val="BodyText"/>
        <w:spacing w:line="355" w:lineRule="auto"/>
        <w:ind w:left="954" w:right="988"/>
      </w:pPr>
      <w:r>
        <w:rPr/>
        <w:t>Given the performance of the global economy – acceleration in 2016 and 2017, followed by some slowing during 2018 – we would have expected a similar economic performance in the UK: a strong acceleration, followed by some slowing.</w:t>
      </w:r>
    </w:p>
    <w:p>
      <w:pPr>
        <w:pStyle w:val="BodyText"/>
        <w:spacing w:line="352" w:lineRule="auto" w:before="119"/>
        <w:ind w:left="954" w:right="721"/>
      </w:pPr>
      <w:r>
        <w:rPr/>
        <w:pict>
          <v:shape style="position:absolute;margin-left:56.700001pt;margin-top:80.509888pt;width:144.050pt;height:.1pt;mso-position-horizontal-relative:page;mso-position-vertical-relative:paragraph;z-index:-251651072;mso-wrap-distance-left:0;mso-wrap-distance-right:0" coordorigin="1134,1610" coordsize="2881,0" path="m1134,1610l4014,1610e" filled="false" stroked="true" strokeweight=".47998pt" strokecolor="#000000">
            <v:path arrowok="t"/>
            <v:stroke dashstyle="solid"/>
            <w10:wrap type="topAndBottom"/>
          </v:shape>
        </w:pict>
      </w:r>
      <w:r>
        <w:rPr/>
        <w:t>Instead, we have seen UK GDP growth slowing throughout this period, from an annual pace of around 2% to less than 1% annualised in Q4 2018 and Q1 2019.</w:t>
      </w:r>
      <w:r>
        <w:rPr>
          <w:position w:val="7"/>
          <w:sz w:val="13"/>
        </w:rPr>
        <w:t>9 </w:t>
      </w:r>
      <w:r>
        <w:rPr/>
        <w:t>The reason for this underperformance relative to the rest of the world is, I believe, the uncertainty surrounding the prospect of Brexit since the referendum in June 2016.</w:t>
      </w:r>
    </w:p>
    <w:p>
      <w:pPr>
        <w:spacing w:line="186" w:lineRule="exact" w:before="51"/>
        <w:ind w:left="954" w:right="0" w:firstLine="0"/>
        <w:jc w:val="left"/>
        <w:rPr>
          <w:sz w:val="16"/>
        </w:rPr>
      </w:pPr>
      <w:r>
        <w:rPr>
          <w:position w:val="6"/>
          <w:sz w:val="10"/>
        </w:rPr>
        <w:t>8 </w:t>
      </w:r>
      <w:r>
        <w:rPr>
          <w:sz w:val="16"/>
        </w:rPr>
        <w:t>As measured by the 3Y-1M overnight interest rate swap.</w:t>
      </w:r>
    </w:p>
    <w:p>
      <w:pPr>
        <w:spacing w:line="186" w:lineRule="exact" w:before="0"/>
        <w:ind w:left="954" w:right="0" w:firstLine="0"/>
        <w:jc w:val="left"/>
        <w:rPr>
          <w:sz w:val="16"/>
        </w:rPr>
      </w:pPr>
      <w:r>
        <w:rPr>
          <w:position w:val="6"/>
          <w:sz w:val="10"/>
        </w:rPr>
        <w:t>9 </w:t>
      </w:r>
      <w:r>
        <w:rPr>
          <w:sz w:val="16"/>
        </w:rPr>
        <w:t>Based on data for 2018 Q4 (first release of 0.2% qoq) and our current forecast for 2019 Q1 of 0.2% qoq.</w:t>
      </w:r>
    </w:p>
    <w:p>
      <w:pPr>
        <w:spacing w:after="0" w:line="186" w:lineRule="exact"/>
        <w:jc w:val="left"/>
        <w:rPr>
          <w:sz w:val="16"/>
        </w:rPr>
        <w:sectPr>
          <w:footerReference w:type="default" r:id="rId21"/>
          <w:pgSz w:w="11910" w:h="16840"/>
          <w:pgMar w:footer="1338" w:header="0" w:top="1460" w:bottom="1520" w:left="180" w:right="440"/>
        </w:sectPr>
      </w:pPr>
    </w:p>
    <w:p>
      <w:pPr>
        <w:pStyle w:val="BodyText"/>
        <w:spacing w:line="355" w:lineRule="auto" w:before="69"/>
        <w:ind w:left="954" w:right="799"/>
      </w:pPr>
      <w:r>
        <w:rPr/>
        <w:t>Consider the following thought experiment: What if nothing unusual had happened in the UK domestically and UK growth had been in line with its close historical relationship to the rest of the world? </w:t>
      </w:r>
      <w:r>
        <w:rPr>
          <w:b/>
        </w:rPr>
        <w:t>Figure 10 </w:t>
      </w:r>
      <w:r>
        <w:rPr/>
        <w:t>quantifies this thought experiment with what is known as a “synthetic” UK economy without Brexit.</w:t>
      </w:r>
      <w:r>
        <w:rPr>
          <w:position w:val="7"/>
          <w:sz w:val="13"/>
        </w:rPr>
        <w:t>10 </w:t>
      </w:r>
      <w:r>
        <w:rPr/>
        <w:t>What is shown here is how much weaker the economy has been relative to what we might have expected, given the global growth data. The different lines in </w:t>
      </w:r>
      <w:r>
        <w:rPr>
          <w:b/>
        </w:rPr>
        <w:t>Figure 11 </w:t>
      </w:r>
      <w:r>
        <w:rPr/>
        <w:t>show estimates using different country groups, just to show that the result is robust to which countries are used to proxy “the rest of the world”. The analysis suggests that since the vote in June 2016, we have lost 2% of GDP relative to a scenario where there had been no significant domestic economic events. That amounts to around 40 billion pounds per year, or</w:t>
      </w:r>
    </w:p>
    <w:p>
      <w:pPr>
        <w:pStyle w:val="BodyText"/>
        <w:spacing w:line="223" w:lineRule="exact"/>
        <w:ind w:left="954"/>
        <w:rPr>
          <w:sz w:val="13"/>
        </w:rPr>
      </w:pPr>
      <w:r>
        <w:rPr/>
        <w:t>800 million per week of lost income for the country as a whole.</w:t>
      </w:r>
      <w:r>
        <w:rPr>
          <w:position w:val="7"/>
          <w:sz w:val="13"/>
        </w:rPr>
        <w:t>11</w:t>
      </w:r>
    </w:p>
    <w:p>
      <w:pPr>
        <w:pStyle w:val="BodyText"/>
        <w:spacing w:before="5"/>
        <w:rPr>
          <w:sz w:val="22"/>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5"/>
        <w:gridCol w:w="5523"/>
      </w:tblGrid>
      <w:tr>
        <w:trPr>
          <w:trHeight w:val="277" w:hRule="atLeast"/>
        </w:trPr>
        <w:tc>
          <w:tcPr>
            <w:tcW w:w="5555" w:type="dxa"/>
          </w:tcPr>
          <w:p>
            <w:pPr>
              <w:pStyle w:val="TableParagraph"/>
              <w:spacing w:line="201" w:lineRule="exact"/>
              <w:rPr>
                <w:b/>
                <w:sz w:val="18"/>
              </w:rPr>
            </w:pPr>
            <w:r>
              <w:rPr>
                <w:b/>
                <w:sz w:val="18"/>
              </w:rPr>
              <w:t>Figure 10: Synthetic UK growth versus data</w:t>
            </w:r>
          </w:p>
        </w:tc>
        <w:tc>
          <w:tcPr>
            <w:tcW w:w="5523" w:type="dxa"/>
          </w:tcPr>
          <w:p>
            <w:pPr>
              <w:pStyle w:val="TableParagraph"/>
              <w:spacing w:line="201" w:lineRule="exact"/>
              <w:ind w:left="226"/>
              <w:rPr>
                <w:b/>
                <w:sz w:val="18"/>
              </w:rPr>
            </w:pPr>
            <w:r>
              <w:rPr>
                <w:b/>
                <w:sz w:val="18"/>
              </w:rPr>
              <w:t>Figure 11: UK GDP Brexit shortfall versus “synthetic UK”</w:t>
            </w:r>
          </w:p>
        </w:tc>
      </w:tr>
      <w:tr>
        <w:trPr>
          <w:trHeight w:val="3524" w:hRule="atLeast"/>
        </w:trPr>
        <w:tc>
          <w:tcPr>
            <w:tcW w:w="5555" w:type="dxa"/>
          </w:tcPr>
          <w:p>
            <w:pPr>
              <w:pStyle w:val="TableParagraph"/>
              <w:spacing w:before="9"/>
              <w:ind w:left="0"/>
              <w:rPr>
                <w:sz w:val="15"/>
              </w:rPr>
            </w:pPr>
          </w:p>
          <w:p>
            <w:pPr>
              <w:pStyle w:val="TableParagraph"/>
              <w:ind w:left="238"/>
              <w:rPr>
                <w:sz w:val="20"/>
              </w:rPr>
            </w:pPr>
            <w:r>
              <w:rPr>
                <w:sz w:val="20"/>
              </w:rPr>
              <w:drawing>
                <wp:inline distT="0" distB="0" distL="0" distR="0">
                  <wp:extent cx="3193990" cy="2005583"/>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24" cstate="print"/>
                          <a:stretch>
                            <a:fillRect/>
                          </a:stretch>
                        </pic:blipFill>
                        <pic:spPr>
                          <a:xfrm>
                            <a:off x="0" y="0"/>
                            <a:ext cx="3193990" cy="2005583"/>
                          </a:xfrm>
                          <a:prstGeom prst="rect">
                            <a:avLst/>
                          </a:prstGeom>
                        </pic:spPr>
                      </pic:pic>
                    </a:graphicData>
                  </a:graphic>
                </wp:inline>
              </w:drawing>
            </w:r>
            <w:r>
              <w:rPr>
                <w:sz w:val="20"/>
              </w:rPr>
            </w:r>
          </w:p>
        </w:tc>
        <w:tc>
          <w:tcPr>
            <w:tcW w:w="5523" w:type="dxa"/>
          </w:tcPr>
          <w:p>
            <w:pPr>
              <w:pStyle w:val="TableParagraph"/>
              <w:spacing w:before="9"/>
              <w:ind w:left="0"/>
              <w:rPr>
                <w:sz w:val="15"/>
              </w:rPr>
            </w:pPr>
          </w:p>
          <w:p>
            <w:pPr>
              <w:pStyle w:val="TableParagraph"/>
              <w:ind w:left="311"/>
              <w:rPr>
                <w:sz w:val="20"/>
              </w:rPr>
            </w:pPr>
            <w:r>
              <w:rPr>
                <w:sz w:val="20"/>
              </w:rPr>
              <w:drawing>
                <wp:inline distT="0" distB="0" distL="0" distR="0">
                  <wp:extent cx="3157418" cy="1999488"/>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25" cstate="print"/>
                          <a:stretch>
                            <a:fillRect/>
                          </a:stretch>
                        </pic:blipFill>
                        <pic:spPr>
                          <a:xfrm>
                            <a:off x="0" y="0"/>
                            <a:ext cx="3157418" cy="1999488"/>
                          </a:xfrm>
                          <a:prstGeom prst="rect">
                            <a:avLst/>
                          </a:prstGeom>
                        </pic:spPr>
                      </pic:pic>
                    </a:graphicData>
                  </a:graphic>
                </wp:inline>
              </w:drawing>
            </w:r>
            <w:r>
              <w:rPr>
                <w:sz w:val="20"/>
              </w:rPr>
            </w:r>
          </w:p>
        </w:tc>
      </w:tr>
      <w:tr>
        <w:trPr>
          <w:trHeight w:val="675" w:hRule="atLeast"/>
        </w:trPr>
        <w:tc>
          <w:tcPr>
            <w:tcW w:w="5555" w:type="dxa"/>
          </w:tcPr>
          <w:p>
            <w:pPr>
              <w:pStyle w:val="TableParagraph"/>
              <w:spacing w:before="43"/>
              <w:ind w:right="203"/>
              <w:rPr>
                <w:sz w:val="16"/>
              </w:rPr>
            </w:pPr>
            <w:r>
              <w:rPr>
                <w:sz w:val="16"/>
              </w:rPr>
              <w:t>Notes: Blue swathe indicates the range of synthetic controls from All and G7 control pools.</w:t>
            </w:r>
          </w:p>
          <w:p>
            <w:pPr>
              <w:pStyle w:val="TableParagraph"/>
              <w:spacing w:line="164" w:lineRule="exact" w:before="81"/>
              <w:rPr>
                <w:sz w:val="16"/>
              </w:rPr>
            </w:pPr>
            <w:r>
              <w:rPr>
                <w:sz w:val="16"/>
              </w:rPr>
              <w:t>Sources: OECD, ONS, Bank calculations</w:t>
            </w:r>
          </w:p>
        </w:tc>
        <w:tc>
          <w:tcPr>
            <w:tcW w:w="5523" w:type="dxa"/>
          </w:tcPr>
          <w:p>
            <w:pPr>
              <w:pStyle w:val="TableParagraph"/>
              <w:spacing w:line="235" w:lineRule="auto" w:before="46"/>
              <w:ind w:left="226" w:right="634"/>
              <w:rPr>
                <w:sz w:val="10"/>
              </w:rPr>
            </w:pPr>
            <w:r>
              <w:rPr>
                <w:sz w:val="16"/>
              </w:rPr>
              <w:t>The pink swathe indicates the 95% confidence band for the Brexit shortfall.</w:t>
            </w:r>
            <w:r>
              <w:rPr>
                <w:position w:val="6"/>
                <w:sz w:val="10"/>
              </w:rPr>
              <w:t>12</w:t>
            </w:r>
          </w:p>
          <w:p>
            <w:pPr>
              <w:pStyle w:val="TableParagraph"/>
              <w:spacing w:line="164" w:lineRule="exact" w:before="81"/>
              <w:ind w:left="226"/>
              <w:rPr>
                <w:sz w:val="16"/>
              </w:rPr>
            </w:pPr>
            <w:r>
              <w:rPr>
                <w:sz w:val="16"/>
              </w:rPr>
              <w:t>Sources: OECD, ONS, Bank calculations</w:t>
            </w:r>
          </w:p>
        </w:tc>
      </w:tr>
    </w:tbl>
    <w:p>
      <w:pPr>
        <w:pStyle w:val="BodyText"/>
        <w:rPr>
          <w:sz w:val="22"/>
        </w:rPr>
      </w:pPr>
    </w:p>
    <w:p>
      <w:pPr>
        <w:pStyle w:val="BodyText"/>
        <w:spacing w:before="5"/>
        <w:rPr>
          <w:sz w:val="27"/>
        </w:rPr>
      </w:pPr>
    </w:p>
    <w:p>
      <w:pPr>
        <w:pStyle w:val="BodyText"/>
        <w:spacing w:line="355" w:lineRule="auto" w:before="1"/>
        <w:ind w:left="954" w:right="810"/>
      </w:pPr>
      <w:r>
        <w:rPr/>
        <w:t>Of course nothing in our trading relationship with the EU has actually changed over this period. These costs are only related to expectations of future changes, and uncertainty about future changes. To better understand how the economy has responded to these changes in expectations and uncertainty, it is instructive to look at two large subcomponents of GDP, namely business investment and household consumption.</w:t>
      </w:r>
    </w:p>
    <w:p>
      <w:pPr>
        <w:pStyle w:val="BodyText"/>
        <w:spacing w:line="355" w:lineRule="auto" w:before="118"/>
        <w:ind w:left="954" w:right="844"/>
      </w:pPr>
      <w:r>
        <w:rPr/>
        <w:t>During a period when business investment in the rest of the G7 has accelerated to around 6% annual growth, the UK has been stuck around zero, deteriorating to -3.7% y/y over the course of 2018 (</w:t>
      </w:r>
      <w:r>
        <w:rPr>
          <w:b/>
        </w:rPr>
        <w:t>Figure 12</w:t>
      </w:r>
      <w:r>
        <w:rPr/>
        <w:t>).</w:t>
      </w:r>
    </w:p>
    <w:p>
      <w:pPr>
        <w:pStyle w:val="BodyText"/>
      </w:pPr>
    </w:p>
    <w:p>
      <w:pPr>
        <w:pStyle w:val="BodyText"/>
      </w:pPr>
    </w:p>
    <w:p>
      <w:pPr>
        <w:pStyle w:val="BodyText"/>
        <w:spacing w:before="9"/>
        <w:rPr>
          <w:sz w:val="21"/>
        </w:rPr>
      </w:pPr>
      <w:r>
        <w:rPr/>
        <w:pict>
          <v:shape style="position:absolute;margin-left:56.700001pt;margin-top:14.768369pt;width:144.050pt;height:.1pt;mso-position-horizontal-relative:page;mso-position-vertical-relative:paragraph;z-index:-251650048;mso-wrap-distance-left:0;mso-wrap-distance-right:0" coordorigin="1134,295" coordsize="2881,0" path="m1134,295l4014,295e" filled="false" stroked="true" strokeweight=".48004pt" strokecolor="#000000">
            <v:path arrowok="t"/>
            <v:stroke dashstyle="solid"/>
            <w10:wrap type="topAndBottom"/>
          </v:shape>
        </w:pict>
      </w:r>
    </w:p>
    <w:p>
      <w:pPr>
        <w:spacing w:before="51"/>
        <w:ind w:left="954" w:right="1142" w:firstLine="0"/>
        <w:jc w:val="left"/>
        <w:rPr>
          <w:sz w:val="16"/>
        </w:rPr>
      </w:pPr>
      <w:r>
        <w:rPr>
          <w:position w:val="6"/>
          <w:sz w:val="10"/>
        </w:rPr>
        <w:t>10 </w:t>
      </w:r>
      <w:r>
        <w:rPr>
          <w:sz w:val="16"/>
        </w:rPr>
        <w:t>I follow the methodology outlined by Born et al. (2018) and Abadie et al. (2003) to construct a synthetic control for UK GDP. The synthetic control methodology is a constrained quadratic programming problem of which the counterfactual is more robust to model-selection than that of an OLS regression. See the Appendix for a detailed description.</w:t>
      </w:r>
    </w:p>
    <w:p>
      <w:pPr>
        <w:spacing w:line="240" w:lineRule="auto" w:before="0"/>
        <w:ind w:left="954" w:right="1124" w:firstLine="0"/>
        <w:jc w:val="left"/>
        <w:rPr>
          <w:sz w:val="16"/>
        </w:rPr>
      </w:pPr>
      <w:r>
        <w:rPr>
          <w:position w:val="6"/>
          <w:sz w:val="10"/>
        </w:rPr>
        <w:t>11 </w:t>
      </w:r>
      <w:r>
        <w:rPr>
          <w:sz w:val="16"/>
        </w:rPr>
        <w:t>GDP shortfall is calculated as the median (50</w:t>
      </w:r>
      <w:r>
        <w:rPr>
          <w:position w:val="6"/>
          <w:sz w:val="10"/>
        </w:rPr>
        <w:t>th </w:t>
      </w:r>
      <w:r>
        <w:rPr>
          <w:sz w:val="16"/>
        </w:rPr>
        <w:t>percentile) estimate from the bootstrap methodology described below. Sterling equivalents for the shortfall are calculated using annual 2018 nominal GDP for the UK.</w:t>
      </w:r>
    </w:p>
    <w:p>
      <w:pPr>
        <w:spacing w:line="240" w:lineRule="auto" w:before="0"/>
        <w:ind w:left="954" w:right="777" w:firstLine="0"/>
        <w:jc w:val="left"/>
        <w:rPr>
          <w:sz w:val="16"/>
        </w:rPr>
      </w:pPr>
      <w:r>
        <w:rPr>
          <w:position w:val="6"/>
          <w:sz w:val="10"/>
        </w:rPr>
        <w:t>12 </w:t>
      </w:r>
      <w:r>
        <w:rPr>
          <w:sz w:val="16"/>
        </w:rPr>
        <w:t>The pink swathe represents 95% confidence bands for the Brexit shortfall, obtained by bootstrapping 1,000 synthetic controls from a donor pool of 10 uniformly drawn countries (without replacement) from the 28 potential control units. Andrews (2000) shows that the traditional bootstrapping methodology is inconsistent in the case of a constrained minimisation when the constraint binds. Born et al. (2018) implements Andrews (2003)’s end-of-sample instability test as a solution to this problem and finds that Brexit has had a significant effect on the level of UK GDP</w:t>
      </w:r>
    </w:p>
    <w:p>
      <w:pPr>
        <w:spacing w:after="0" w:line="240" w:lineRule="auto"/>
        <w:jc w:val="left"/>
        <w:rPr>
          <w:sz w:val="16"/>
        </w:rPr>
        <w:sectPr>
          <w:footerReference w:type="default" r:id="rId23"/>
          <w:pgSz w:w="11910" w:h="16840"/>
          <w:pgMar w:footer="1338" w:header="0" w:top="1460" w:bottom="1520" w:left="180" w:right="440"/>
          <w:pgNumType w:start="8"/>
        </w:sectPr>
      </w:pPr>
    </w:p>
    <w:tbl>
      <w:tblPr>
        <w:tblW w:w="0" w:type="auto"/>
        <w:jc w:val="left"/>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7"/>
      </w:tblGrid>
      <w:tr>
        <w:trPr>
          <w:trHeight w:val="277" w:hRule="atLeast"/>
        </w:trPr>
        <w:tc>
          <w:tcPr>
            <w:tcW w:w="8227" w:type="dxa"/>
          </w:tcPr>
          <w:p>
            <w:pPr>
              <w:pStyle w:val="TableParagraph"/>
              <w:spacing w:line="199" w:lineRule="exact"/>
              <w:rPr>
                <w:b/>
                <w:sz w:val="18"/>
              </w:rPr>
            </w:pPr>
            <w:r>
              <w:rPr>
                <w:b/>
                <w:sz w:val="18"/>
              </w:rPr>
              <w:t>Figure 12 : UK Business Investment relative to other G7 countries</w:t>
            </w:r>
          </w:p>
        </w:tc>
      </w:tr>
      <w:tr>
        <w:trPr>
          <w:trHeight w:val="3577" w:hRule="atLeast"/>
        </w:trPr>
        <w:tc>
          <w:tcPr>
            <w:tcW w:w="8227" w:type="dxa"/>
          </w:tcPr>
          <w:p>
            <w:pPr>
              <w:pStyle w:val="TableParagraph"/>
              <w:spacing w:before="9"/>
              <w:ind w:left="0"/>
              <w:rPr>
                <w:sz w:val="14"/>
              </w:rPr>
            </w:pPr>
          </w:p>
          <w:p>
            <w:pPr>
              <w:pStyle w:val="TableParagraph"/>
              <w:ind w:left="807"/>
              <w:rPr>
                <w:sz w:val="20"/>
              </w:rPr>
            </w:pPr>
            <w:r>
              <w:rPr>
                <w:sz w:val="20"/>
              </w:rPr>
              <w:drawing>
                <wp:inline distT="0" distB="0" distL="0" distR="0">
                  <wp:extent cx="4559126" cy="2042160"/>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27" cstate="print"/>
                          <a:stretch>
                            <a:fillRect/>
                          </a:stretch>
                        </pic:blipFill>
                        <pic:spPr>
                          <a:xfrm>
                            <a:off x="0" y="0"/>
                            <a:ext cx="4559126" cy="2042160"/>
                          </a:xfrm>
                          <a:prstGeom prst="rect">
                            <a:avLst/>
                          </a:prstGeom>
                        </pic:spPr>
                      </pic:pic>
                    </a:graphicData>
                  </a:graphic>
                </wp:inline>
              </w:drawing>
            </w:r>
            <w:r>
              <w:rPr>
                <w:sz w:val="20"/>
              </w:rPr>
            </w:r>
          </w:p>
        </w:tc>
      </w:tr>
      <w:tr>
        <w:trPr>
          <w:trHeight w:val="544" w:hRule="atLeast"/>
        </w:trPr>
        <w:tc>
          <w:tcPr>
            <w:tcW w:w="8227" w:type="dxa"/>
          </w:tcPr>
          <w:p>
            <w:pPr>
              <w:pStyle w:val="TableParagraph"/>
              <w:spacing w:line="260" w:lineRule="atLeast" w:before="18"/>
              <w:ind w:right="1745"/>
              <w:rPr>
                <w:sz w:val="16"/>
              </w:rPr>
            </w:pPr>
            <w:r>
              <w:rPr>
                <w:sz w:val="16"/>
              </w:rPr>
              <w:t>Notes: Swathe denotes the range of business investment growth in G7 ex. UK countries. Sources: Eikon from Refinitiv, National Statistics sources, Bank calculations</w:t>
            </w:r>
          </w:p>
        </w:tc>
      </w:tr>
    </w:tbl>
    <w:p>
      <w:pPr>
        <w:pStyle w:val="BodyText"/>
      </w:pPr>
    </w:p>
    <w:p>
      <w:pPr>
        <w:pStyle w:val="BodyText"/>
        <w:spacing w:before="7"/>
        <w:rPr>
          <w:sz w:val="19"/>
        </w:rPr>
      </w:pPr>
    </w:p>
    <w:p>
      <w:pPr>
        <w:pStyle w:val="BodyText"/>
        <w:spacing w:line="352" w:lineRule="auto" w:before="1"/>
        <w:ind w:left="954" w:right="746"/>
        <w:jc w:val="both"/>
        <w:rPr>
          <w:sz w:val="13"/>
        </w:rPr>
      </w:pPr>
      <w:r>
        <w:rPr/>
        <w:t>Firms have been saying in a number of surveys that the uncertainty about our future relationship with the EU is a source of concern for them that has been weighing on their investment spending, as plans for expansion have, on average, been scaled back (</w:t>
      </w:r>
      <w:r>
        <w:rPr>
          <w:b/>
        </w:rPr>
        <w:t>Figure 13</w:t>
      </w:r>
      <w:r>
        <w:rPr/>
        <w:t>).</w:t>
      </w:r>
      <w:r>
        <w:rPr>
          <w:position w:val="7"/>
          <w:sz w:val="13"/>
        </w:rPr>
        <w:t>13</w:t>
      </w:r>
    </w:p>
    <w:p>
      <w:pPr>
        <w:pStyle w:val="BodyText"/>
        <w:spacing w:before="7"/>
        <w:rPr>
          <w:sz w:val="15"/>
        </w:rPr>
      </w:pPr>
    </w:p>
    <w:tbl>
      <w:tblPr>
        <w:tblW w:w="0" w:type="auto"/>
        <w:jc w:val="left"/>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4"/>
      </w:tblGrid>
      <w:tr>
        <w:trPr>
          <w:trHeight w:val="277" w:hRule="atLeast"/>
        </w:trPr>
        <w:tc>
          <w:tcPr>
            <w:tcW w:w="8394" w:type="dxa"/>
          </w:tcPr>
          <w:p>
            <w:pPr>
              <w:pStyle w:val="TableParagraph"/>
              <w:spacing w:line="201" w:lineRule="exact"/>
              <w:rPr>
                <w:b/>
                <w:sz w:val="18"/>
              </w:rPr>
            </w:pPr>
            <w:r>
              <w:rPr>
                <w:b/>
                <w:sz w:val="18"/>
              </w:rPr>
              <w:t>Figure 13: Decision Maker Panel results of Brexit as a source of uncertainty</w:t>
            </w:r>
          </w:p>
        </w:tc>
      </w:tr>
      <w:tr>
        <w:trPr>
          <w:trHeight w:val="3577" w:hRule="atLeast"/>
        </w:trPr>
        <w:tc>
          <w:tcPr>
            <w:tcW w:w="8394" w:type="dxa"/>
          </w:tcPr>
          <w:p>
            <w:pPr>
              <w:pStyle w:val="TableParagraph"/>
              <w:spacing w:before="5" w:after="1"/>
              <w:ind w:left="0"/>
              <w:rPr>
                <w:sz w:val="17"/>
              </w:rPr>
            </w:pPr>
          </w:p>
          <w:p>
            <w:pPr>
              <w:pStyle w:val="TableParagraph"/>
              <w:ind w:left="750"/>
              <w:rPr>
                <w:sz w:val="20"/>
              </w:rPr>
            </w:pPr>
            <w:r>
              <w:rPr>
                <w:sz w:val="20"/>
              </w:rPr>
              <w:drawing>
                <wp:inline distT="0" distB="0" distL="0" distR="0">
                  <wp:extent cx="4510366" cy="2036064"/>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28" cstate="print"/>
                          <a:stretch>
                            <a:fillRect/>
                          </a:stretch>
                        </pic:blipFill>
                        <pic:spPr>
                          <a:xfrm>
                            <a:off x="0" y="0"/>
                            <a:ext cx="4510366" cy="2036064"/>
                          </a:xfrm>
                          <a:prstGeom prst="rect">
                            <a:avLst/>
                          </a:prstGeom>
                        </pic:spPr>
                      </pic:pic>
                    </a:graphicData>
                  </a:graphic>
                </wp:inline>
              </w:drawing>
            </w:r>
            <w:r>
              <w:rPr>
                <w:sz w:val="20"/>
              </w:rPr>
            </w:r>
          </w:p>
        </w:tc>
      </w:tr>
      <w:tr>
        <w:trPr>
          <w:trHeight w:val="729" w:hRule="atLeast"/>
        </w:trPr>
        <w:tc>
          <w:tcPr>
            <w:tcW w:w="8394" w:type="dxa"/>
          </w:tcPr>
          <w:p>
            <w:pPr>
              <w:pStyle w:val="TableParagraph"/>
              <w:spacing w:before="96"/>
              <w:ind w:right="178"/>
              <w:rPr>
                <w:sz w:val="16"/>
              </w:rPr>
            </w:pPr>
            <w:r>
              <w:rPr>
                <w:sz w:val="16"/>
              </w:rPr>
              <w:t>Notes: Bars show responses to the question “How much has the result of the EU referendum affected the level of uncertainty affecting your business?”</w:t>
            </w:r>
          </w:p>
          <w:p>
            <w:pPr>
              <w:pStyle w:val="TableParagraph"/>
              <w:spacing w:line="164" w:lineRule="exact" w:before="81"/>
              <w:rPr>
                <w:sz w:val="16"/>
              </w:rPr>
            </w:pPr>
            <w:r>
              <w:rPr>
                <w:sz w:val="16"/>
              </w:rPr>
              <w:t>Source: Decision Maker Panel, Bank of England calculations</w:t>
            </w:r>
          </w:p>
        </w:tc>
      </w:tr>
    </w:tbl>
    <w:p>
      <w:pPr>
        <w:pStyle w:val="BodyText"/>
        <w:spacing w:before="11"/>
        <w:rPr>
          <w:sz w:val="19"/>
        </w:rPr>
      </w:pPr>
    </w:p>
    <w:p>
      <w:pPr>
        <w:pStyle w:val="BodyText"/>
        <w:spacing w:line="355" w:lineRule="auto"/>
        <w:ind w:left="954" w:right="844"/>
      </w:pPr>
      <w:r>
        <w:rPr/>
        <w:pict>
          <v:shape style="position:absolute;margin-left:56.700001pt;margin-top:58.219891pt;width:144.050pt;height:.1pt;mso-position-horizontal-relative:page;mso-position-vertical-relative:paragraph;z-index:-251649024;mso-wrap-distance-left:0;mso-wrap-distance-right:0" coordorigin="1134,1164" coordsize="2881,0" path="m1134,1164l4014,1164e" filled="false" stroked="true" strokeweight=".47998pt" strokecolor="#000000">
            <v:path arrowok="t"/>
            <v:stroke dashstyle="solid"/>
            <w10:wrap type="topAndBottom"/>
          </v:shape>
        </w:pict>
      </w:r>
      <w:r>
        <w:rPr/>
        <w:t>Moreover, as we approach the March 2019 deadline without a clear way forward, concerns have intensified and investment has weakened further. That is not too surprising: when any potential change to the future relationship was still many quarters away, there was relatively little firms could or wanted to do in</w:t>
      </w:r>
    </w:p>
    <w:p>
      <w:pPr>
        <w:spacing w:before="51"/>
        <w:ind w:left="954" w:right="772" w:firstLine="0"/>
        <w:jc w:val="left"/>
        <w:rPr>
          <w:sz w:val="16"/>
        </w:rPr>
      </w:pPr>
      <w:r>
        <w:rPr>
          <w:position w:val="6"/>
          <w:sz w:val="10"/>
        </w:rPr>
        <w:t>13 </w:t>
      </w:r>
      <w:r>
        <w:rPr>
          <w:sz w:val="16"/>
        </w:rPr>
        <w:t>Evidence from the Deloitte CFO survey confirms the significance of Brexit as a major driver of risk facing UK businesses, who continue to rank Brexit as the top risk facing their business. The survey also notes an increasing number of participants expect Brexit to weigh heavily on businesses’ decisions to invest and hire. In addition, the January 2019 IHS/Markit PMI press-release notes: “The survey results indicate that companies are becoming increasingly risk averse […] in the face of weakened customer demand and rising political uncertainty. Such worries were in turn most commonly linked to heightened Brexit anxiety, though wider global political and economic factors were also seen to have been taking their toll on demand”. See also Inflation Report – February 2019 for more details: </w:t>
      </w:r>
      <w:hyperlink r:id="rId29">
        <w:r>
          <w:rPr>
            <w:color w:val="0000FF"/>
            <w:sz w:val="16"/>
            <w:u w:val="single" w:color="0000FF"/>
          </w:rPr>
          <w:t>https://www.bankofengland.co.uk/inflation-report/2019/february-2019</w:t>
        </w:r>
      </w:hyperlink>
    </w:p>
    <w:p>
      <w:pPr>
        <w:spacing w:after="0"/>
        <w:jc w:val="left"/>
        <w:rPr>
          <w:sz w:val="16"/>
        </w:rPr>
        <w:sectPr>
          <w:footerReference w:type="default" r:id="rId26"/>
          <w:pgSz w:w="11910" w:h="16840"/>
          <w:pgMar w:footer="1338" w:header="0" w:top="1560" w:bottom="1520" w:left="180" w:right="440"/>
          <w:pgNumType w:start="9"/>
        </w:sectPr>
      </w:pPr>
    </w:p>
    <w:p>
      <w:pPr>
        <w:pStyle w:val="BodyText"/>
        <w:spacing w:line="355" w:lineRule="auto" w:before="69"/>
        <w:ind w:left="954" w:right="719"/>
      </w:pPr>
      <w:r>
        <w:rPr/>
        <w:t>anticipation. As many firms have told me during my regional visits in 2017, it was too costly for them to sit on their hands and postpone major investment decisions for long periods. Business must carry on. But as we get closer and closer to the moment when we will – or least might – learn more about what the future relationship looks like, and how smooth the transition is, it makes sense for firms to put more spending on hold. The cost of postponing investment by several years may be prohibitively high, but the cost of postponing investment by a few quarters is a precaution that many find worth taking given the vastly different scenarios possible.</w:t>
      </w:r>
    </w:p>
    <w:p>
      <w:pPr>
        <w:pStyle w:val="BodyText"/>
        <w:spacing w:line="355" w:lineRule="auto" w:before="117"/>
        <w:ind w:left="954" w:right="765"/>
      </w:pPr>
      <w:r>
        <w:rPr/>
        <w:t>The response of household consumption, on the other hand, has been quite different. Consumer confidence had been fairly steady in the post-referendum period, with only tentative signs of deterioration in recent months (</w:t>
      </w:r>
      <w:r>
        <w:rPr>
          <w:b/>
        </w:rPr>
        <w:t>Figure 14</w:t>
      </w:r>
      <w:r>
        <w:rPr/>
        <w:t>).</w:t>
      </w:r>
    </w:p>
    <w:p>
      <w:pPr>
        <w:pStyle w:val="BodyText"/>
        <w:spacing w:before="5"/>
        <w:rPr>
          <w:sz w:val="15"/>
        </w:rPr>
      </w:pPr>
    </w:p>
    <w:tbl>
      <w:tblPr>
        <w:tblW w:w="0" w:type="auto"/>
        <w:jc w:val="left"/>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3"/>
      </w:tblGrid>
      <w:tr>
        <w:trPr>
          <w:trHeight w:val="277" w:hRule="atLeast"/>
        </w:trPr>
        <w:tc>
          <w:tcPr>
            <w:tcW w:w="8653" w:type="dxa"/>
          </w:tcPr>
          <w:p>
            <w:pPr>
              <w:pStyle w:val="TableParagraph"/>
              <w:spacing w:line="201" w:lineRule="exact"/>
              <w:rPr>
                <w:b/>
                <w:sz w:val="18"/>
              </w:rPr>
            </w:pPr>
            <w:r>
              <w:rPr>
                <w:b/>
                <w:sz w:val="18"/>
              </w:rPr>
              <w:t>Figure 14: Consumer confidence in their own finances</w:t>
            </w:r>
          </w:p>
        </w:tc>
      </w:tr>
      <w:tr>
        <w:trPr>
          <w:trHeight w:val="3577" w:hRule="atLeast"/>
        </w:trPr>
        <w:tc>
          <w:tcPr>
            <w:tcW w:w="8653" w:type="dxa"/>
          </w:tcPr>
          <w:p>
            <w:pPr>
              <w:pStyle w:val="TableParagraph"/>
              <w:spacing w:before="2"/>
              <w:ind w:left="0"/>
              <w:rPr>
                <w:sz w:val="19"/>
              </w:rPr>
            </w:pPr>
          </w:p>
          <w:p>
            <w:pPr>
              <w:pStyle w:val="TableParagraph"/>
              <w:ind w:left="759"/>
              <w:rPr>
                <w:sz w:val="20"/>
              </w:rPr>
            </w:pPr>
            <w:r>
              <w:rPr>
                <w:sz w:val="20"/>
              </w:rPr>
              <w:drawing>
                <wp:inline distT="0" distB="0" distL="0" distR="0">
                  <wp:extent cx="4528651" cy="2005583"/>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30" cstate="print"/>
                          <a:stretch>
                            <a:fillRect/>
                          </a:stretch>
                        </pic:blipFill>
                        <pic:spPr>
                          <a:xfrm>
                            <a:off x="0" y="0"/>
                            <a:ext cx="4528651" cy="2005583"/>
                          </a:xfrm>
                          <a:prstGeom prst="rect">
                            <a:avLst/>
                          </a:prstGeom>
                        </pic:spPr>
                      </pic:pic>
                    </a:graphicData>
                  </a:graphic>
                </wp:inline>
              </w:drawing>
            </w:r>
            <w:r>
              <w:rPr>
                <w:sz w:val="20"/>
              </w:rPr>
            </w:r>
          </w:p>
        </w:tc>
      </w:tr>
      <w:tr>
        <w:trPr>
          <w:trHeight w:val="1096" w:hRule="atLeast"/>
        </w:trPr>
        <w:tc>
          <w:tcPr>
            <w:tcW w:w="8653" w:type="dxa"/>
          </w:tcPr>
          <w:p>
            <w:pPr>
              <w:pStyle w:val="TableParagraph"/>
              <w:spacing w:before="96"/>
              <w:ind w:right="65"/>
              <w:rPr>
                <w:sz w:val="16"/>
              </w:rPr>
            </w:pPr>
            <w:r>
              <w:rPr>
                <w:sz w:val="16"/>
              </w:rPr>
              <w:t>Notes: Average of the net balances of respondents reporting that: their financial situation has got better over the</w:t>
            </w:r>
            <w:r>
              <w:rPr>
                <w:spacing w:val="-24"/>
                <w:sz w:val="16"/>
              </w:rPr>
              <w:t> </w:t>
            </w:r>
            <w:r>
              <w:rPr>
                <w:sz w:val="16"/>
              </w:rPr>
              <w:t>past 12 months; their financial situation is expected to get better over the next 12 months; the general economic situation has got better over the past 12 months; the general economic situation is expected to get better over the next 12 months; and now is the right time to make major purchases, such as furniture or electrical</w:t>
            </w:r>
            <w:r>
              <w:rPr>
                <w:spacing w:val="-20"/>
                <w:sz w:val="16"/>
              </w:rPr>
              <w:t> </w:t>
            </w:r>
            <w:r>
              <w:rPr>
                <w:sz w:val="16"/>
              </w:rPr>
              <w:t>goods.</w:t>
            </w:r>
          </w:p>
          <w:p>
            <w:pPr>
              <w:pStyle w:val="TableParagraph"/>
              <w:spacing w:line="164" w:lineRule="exact" w:before="80"/>
              <w:rPr>
                <w:sz w:val="16"/>
              </w:rPr>
            </w:pPr>
            <w:r>
              <w:rPr>
                <w:sz w:val="16"/>
              </w:rPr>
              <w:t>Source: GfK (research carried out on behalf of the European Commission) and Bank</w:t>
            </w:r>
            <w:r>
              <w:rPr>
                <w:spacing w:val="-22"/>
                <w:sz w:val="16"/>
              </w:rPr>
              <w:t> </w:t>
            </w:r>
            <w:r>
              <w:rPr>
                <w:sz w:val="16"/>
              </w:rPr>
              <w:t>calculations</w:t>
            </w:r>
          </w:p>
        </w:tc>
      </w:tr>
    </w:tbl>
    <w:p>
      <w:pPr>
        <w:pStyle w:val="BodyText"/>
        <w:spacing w:before="11"/>
        <w:rPr>
          <w:sz w:val="19"/>
        </w:rPr>
      </w:pPr>
    </w:p>
    <w:p>
      <w:pPr>
        <w:pStyle w:val="BodyText"/>
        <w:spacing w:line="355" w:lineRule="auto"/>
        <w:ind w:left="954" w:right="742"/>
      </w:pPr>
      <w:r>
        <w:rPr/>
        <w:t>Even though households’ confidence was little changed for most of the post-referendum period, their real income has taken a hit. The mechanism by which this took place was as follows. After the vote financial markets took a dim view of the UK’s relative future economic prospects. Sterling fell by around 15%, and the share prices of UK-focused companies underperformed by a similar amount. A weaker exchange rate meant imports became more expensive. With some lags, this fed into consumer prices since around 30% of what we consume comes directly or indirectly from abroad. Higher consumer prices eroded households’ purchasing power. But what </w:t>
      </w:r>
      <w:r>
        <w:rPr>
          <w:b/>
        </w:rPr>
        <w:t>Figure 15 </w:t>
      </w:r>
      <w:r>
        <w:rPr/>
        <w:t>shows is that even though household spending growth eased back a little, it did not weaken nearly as much as real income. Households dipped into their savings to sustain their spending over this period. That may be a sensible thing to do if the reduction in purchasing power is temporary. But if it is permanent, we may at some point see households rebuilding their savings, which would mean weaker consumption demand for a period.</w:t>
      </w:r>
    </w:p>
    <w:p>
      <w:pPr>
        <w:spacing w:after="0" w:line="355" w:lineRule="auto"/>
        <w:sectPr>
          <w:pgSz w:w="11910" w:h="16840"/>
          <w:pgMar w:header="0" w:footer="1338" w:top="1460" w:bottom="1520" w:left="180" w:right="440"/>
        </w:sectPr>
      </w:pPr>
    </w:p>
    <w:tbl>
      <w:tblPr>
        <w:tblW w:w="0" w:type="auto"/>
        <w:jc w:val="left"/>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7"/>
      </w:tblGrid>
      <w:tr>
        <w:trPr>
          <w:trHeight w:val="277" w:hRule="atLeast"/>
        </w:trPr>
        <w:tc>
          <w:tcPr>
            <w:tcW w:w="8227" w:type="dxa"/>
          </w:tcPr>
          <w:p>
            <w:pPr>
              <w:pStyle w:val="TableParagraph"/>
              <w:spacing w:line="199" w:lineRule="exact"/>
              <w:rPr>
                <w:b/>
                <w:sz w:val="18"/>
              </w:rPr>
            </w:pPr>
            <w:r>
              <w:rPr>
                <w:b/>
                <w:sz w:val="18"/>
              </w:rPr>
              <w:t>Figure 15: Household consumption and real incomes</w:t>
            </w:r>
          </w:p>
        </w:tc>
      </w:tr>
      <w:tr>
        <w:trPr>
          <w:trHeight w:val="3577" w:hRule="atLeast"/>
        </w:trPr>
        <w:tc>
          <w:tcPr>
            <w:tcW w:w="8227" w:type="dxa"/>
          </w:tcPr>
          <w:p>
            <w:pPr>
              <w:pStyle w:val="TableParagraph"/>
              <w:spacing w:before="7"/>
              <w:ind w:left="0"/>
              <w:rPr>
                <w:sz w:val="15"/>
              </w:rPr>
            </w:pPr>
          </w:p>
          <w:p>
            <w:pPr>
              <w:pStyle w:val="TableParagraph"/>
              <w:ind w:left="865"/>
              <w:rPr>
                <w:sz w:val="20"/>
              </w:rPr>
            </w:pPr>
            <w:r>
              <w:rPr>
                <w:sz w:val="20"/>
              </w:rPr>
              <w:drawing>
                <wp:inline distT="0" distB="0" distL="0" distR="0">
                  <wp:extent cx="4510366" cy="2042160"/>
                  <wp:effectExtent l="0" t="0" r="0" b="0"/>
                  <wp:docPr id="29" name="image15.jpeg"/>
                  <wp:cNvGraphicFramePr>
                    <a:graphicFrameLocks noChangeAspect="1"/>
                  </wp:cNvGraphicFramePr>
                  <a:graphic>
                    <a:graphicData uri="http://schemas.openxmlformats.org/drawingml/2006/picture">
                      <pic:pic>
                        <pic:nvPicPr>
                          <pic:cNvPr id="30" name="image15.jpeg"/>
                          <pic:cNvPicPr/>
                        </pic:nvPicPr>
                        <pic:blipFill>
                          <a:blip r:embed="rId31" cstate="print"/>
                          <a:stretch>
                            <a:fillRect/>
                          </a:stretch>
                        </pic:blipFill>
                        <pic:spPr>
                          <a:xfrm>
                            <a:off x="0" y="0"/>
                            <a:ext cx="4510366" cy="2042160"/>
                          </a:xfrm>
                          <a:prstGeom prst="rect">
                            <a:avLst/>
                          </a:prstGeom>
                        </pic:spPr>
                      </pic:pic>
                    </a:graphicData>
                  </a:graphic>
                </wp:inline>
              </w:drawing>
            </w:r>
            <w:r>
              <w:rPr>
                <w:sz w:val="20"/>
              </w:rPr>
            </w:r>
          </w:p>
        </w:tc>
      </w:tr>
      <w:tr>
        <w:trPr>
          <w:trHeight w:val="280" w:hRule="atLeast"/>
        </w:trPr>
        <w:tc>
          <w:tcPr>
            <w:tcW w:w="8227" w:type="dxa"/>
          </w:tcPr>
          <w:p>
            <w:pPr>
              <w:pStyle w:val="TableParagraph"/>
              <w:spacing w:line="166" w:lineRule="exact" w:before="94"/>
              <w:rPr>
                <w:sz w:val="16"/>
              </w:rPr>
            </w:pPr>
            <w:r>
              <w:rPr>
                <w:sz w:val="16"/>
              </w:rPr>
              <w:t>Source: ONS, Bank of England calculations</w:t>
            </w:r>
          </w:p>
        </w:tc>
      </w:tr>
    </w:tbl>
    <w:p>
      <w:pPr>
        <w:pStyle w:val="BodyText"/>
        <w:spacing w:before="6"/>
        <w:rPr>
          <w:sz w:val="11"/>
        </w:rPr>
      </w:pPr>
    </w:p>
    <w:p>
      <w:pPr>
        <w:pStyle w:val="BodyText"/>
        <w:spacing w:line="355" w:lineRule="auto" w:before="94"/>
        <w:ind w:left="954" w:right="710"/>
      </w:pPr>
      <w:r>
        <w:rPr/>
        <w:t>So UK growth in the past two years has been weaker than we would have expected based on the performance of the global economy alone. Based on what happened in the rest of the world we would have expected UK growth to accelerate, but actually it slowed. Brexit uncertainty weighing on business investment was one factor. Brexit uncertainty weighing on the exchange rate, and therefore household spending power, was another factor.</w:t>
      </w:r>
    </w:p>
    <w:p>
      <w:pPr>
        <w:pStyle w:val="BodyText"/>
        <w:spacing w:line="355" w:lineRule="auto" w:before="118"/>
        <w:ind w:left="954" w:right="821"/>
      </w:pPr>
      <w:r>
        <w:rPr/>
        <w:t>But despite the slowing in the economy, the labour market performance has been remarkably robust. The unemployment rate has kept falling slowly over the past two years, reaching lows not seen since the 1970s.</w:t>
      </w:r>
    </w:p>
    <w:p>
      <w:pPr>
        <w:pStyle w:val="BodyText"/>
        <w:spacing w:line="355" w:lineRule="auto" w:before="120"/>
        <w:ind w:left="954" w:right="711"/>
      </w:pPr>
      <w:r>
        <w:rPr/>
        <w:t>Usually, as the unemployment rate falls, we would expect to see upward pressure on wages. It becomes increasingly difficult for firms to find additional workers, so they end up having to bid them away from their competitors. It becomes increasingly easy for workers to find jobs, so they feel more secure in making higher wage demands by threatening to go work elsewhere.</w:t>
      </w:r>
    </w:p>
    <w:p>
      <w:pPr>
        <w:pStyle w:val="BodyText"/>
        <w:spacing w:line="352" w:lineRule="auto" w:before="118"/>
        <w:ind w:left="954" w:right="698"/>
        <w:rPr>
          <w:sz w:val="13"/>
        </w:rPr>
      </w:pPr>
      <w:r>
        <w:rPr/>
        <w:t>In the initial phase of the labour market recovery, from 2012 to 2016, the MPC was generally surprised at how little upward pressure on wages there appeared to be, despite the steady decline in unemployment. And we have not been alone. This puzzling weakness of wages despite sharply lower unemployment has been seen in other countries as well.</w:t>
      </w:r>
      <w:r>
        <w:rPr>
          <w:position w:val="7"/>
          <w:sz w:val="13"/>
        </w:rPr>
        <w:t>14</w:t>
      </w:r>
    </w:p>
    <w:p>
      <w:pPr>
        <w:pStyle w:val="BodyText"/>
        <w:spacing w:line="352" w:lineRule="auto" w:before="120"/>
        <w:ind w:left="954" w:right="721"/>
        <w:rPr>
          <w:sz w:val="13"/>
        </w:rPr>
      </w:pPr>
      <w:r>
        <w:rPr/>
        <w:t>As I argued in an earlier speech,</w:t>
      </w:r>
      <w:r>
        <w:rPr>
          <w:position w:val="7"/>
          <w:sz w:val="13"/>
        </w:rPr>
        <w:t>15 </w:t>
      </w:r>
      <w:r>
        <w:rPr/>
        <w:t>my interpretation of this finding was not that wages had become permanently disconnected from unemployment. Rather, I highlighted a number of factors that had pushed down on wages for a given rate of unemployment. But I also showed evidence that, other things equal, lower unemployment still pushed up on wages. In economist terminology, I argued that the Phillips Curve had shifted down, but was still upward-sloping.</w:t>
      </w:r>
      <w:r>
        <w:rPr>
          <w:position w:val="7"/>
          <w:sz w:val="13"/>
        </w:rPr>
        <w:t>16</w:t>
      </w:r>
    </w:p>
    <w:p>
      <w:pPr>
        <w:pStyle w:val="BodyText"/>
      </w:pPr>
    </w:p>
    <w:p>
      <w:pPr>
        <w:pStyle w:val="BodyText"/>
      </w:pPr>
    </w:p>
    <w:p>
      <w:pPr>
        <w:pStyle w:val="BodyText"/>
      </w:pPr>
    </w:p>
    <w:p>
      <w:pPr>
        <w:pStyle w:val="BodyText"/>
      </w:pPr>
    </w:p>
    <w:p>
      <w:pPr>
        <w:pStyle w:val="BodyText"/>
        <w:spacing w:before="6"/>
        <w:rPr>
          <w:sz w:val="14"/>
        </w:rPr>
      </w:pPr>
      <w:r>
        <w:rPr/>
        <w:pict>
          <v:shape style="position:absolute;margin-left:56.700001pt;margin-top:10.553614pt;width:144.050pt;height:.1pt;mso-position-horizontal-relative:page;mso-position-vertical-relative:paragraph;z-index:-251648000;mso-wrap-distance-left:0;mso-wrap-distance-right:0" coordorigin="1134,211" coordsize="2881,0" path="m1134,211l4014,211e" filled="false" stroked="true" strokeweight=".47998pt" strokecolor="#000000">
            <v:path arrowok="t"/>
            <v:stroke dashstyle="solid"/>
            <w10:wrap type="topAndBottom"/>
          </v:shape>
        </w:pict>
      </w:r>
    </w:p>
    <w:p>
      <w:pPr>
        <w:spacing w:line="186" w:lineRule="exact" w:before="51"/>
        <w:ind w:left="954" w:right="0" w:firstLine="0"/>
        <w:jc w:val="left"/>
        <w:rPr>
          <w:sz w:val="16"/>
        </w:rPr>
      </w:pPr>
      <w:r>
        <w:rPr>
          <w:position w:val="6"/>
          <w:sz w:val="10"/>
        </w:rPr>
        <w:t>14 </w:t>
      </w:r>
      <w:r>
        <w:rPr>
          <w:sz w:val="16"/>
        </w:rPr>
        <w:t>See BIS (2017) and IMF (2017).</w:t>
      </w:r>
    </w:p>
    <w:p>
      <w:pPr>
        <w:spacing w:line="184" w:lineRule="exact" w:before="0"/>
        <w:ind w:left="954" w:right="0" w:firstLine="0"/>
        <w:jc w:val="left"/>
        <w:rPr>
          <w:sz w:val="16"/>
        </w:rPr>
      </w:pPr>
      <w:r>
        <w:rPr>
          <w:position w:val="6"/>
          <w:sz w:val="10"/>
        </w:rPr>
        <w:t>15 </w:t>
      </w:r>
      <w:r>
        <w:rPr>
          <w:sz w:val="16"/>
        </w:rPr>
        <w:t>See Vlieghe (2018).</w:t>
      </w:r>
    </w:p>
    <w:p>
      <w:pPr>
        <w:spacing w:line="186" w:lineRule="exact" w:before="0"/>
        <w:ind w:left="954" w:right="0" w:firstLine="0"/>
        <w:jc w:val="left"/>
        <w:rPr>
          <w:sz w:val="16"/>
        </w:rPr>
      </w:pPr>
      <w:r>
        <w:rPr>
          <w:position w:val="6"/>
          <w:sz w:val="10"/>
        </w:rPr>
        <w:t>16 </w:t>
      </w:r>
      <w:r>
        <w:rPr>
          <w:sz w:val="16"/>
        </w:rPr>
        <w:t>See also Broadbent (2017), Carney (2017) and Haldane (2017) among many others who have reached similar conclusions.</w:t>
      </w:r>
    </w:p>
    <w:p>
      <w:pPr>
        <w:spacing w:after="0" w:line="186" w:lineRule="exact"/>
        <w:jc w:val="left"/>
        <w:rPr>
          <w:sz w:val="16"/>
        </w:rPr>
        <w:sectPr>
          <w:pgSz w:w="11910" w:h="16840"/>
          <w:pgMar w:header="0" w:footer="1338" w:top="1560" w:bottom="1520" w:left="180" w:right="440"/>
        </w:sectPr>
      </w:pPr>
    </w:p>
    <w:p>
      <w:pPr>
        <w:pStyle w:val="BodyText"/>
        <w:spacing w:line="350" w:lineRule="auto" w:before="69"/>
        <w:ind w:left="954" w:right="709"/>
      </w:pPr>
      <w:r>
        <w:rPr/>
        <w:t>I also argued that some of the factors that had pushed down on wages for a given rate of unemployment had mostly run their course</w:t>
      </w:r>
      <w:r>
        <w:rPr>
          <w:position w:val="7"/>
          <w:sz w:val="13"/>
        </w:rPr>
        <w:t>17 </w:t>
      </w:r>
      <w:r>
        <w:rPr/>
        <w:t>so that upward pressure on wages should re-emerge.</w:t>
      </w:r>
    </w:p>
    <w:p>
      <w:pPr>
        <w:pStyle w:val="BodyText"/>
        <w:spacing w:line="355" w:lineRule="auto" w:before="124"/>
        <w:ind w:left="954" w:right="910"/>
      </w:pPr>
      <w:r>
        <w:rPr/>
        <w:t>Since the autumn of 2017, my MPC colleagues and I have described in successive Inflation Reports that evidence of upward wage pressure resulting from a tight labour market has become increasingly apparent. Wage growth accelerated from 2% in mid-2017 to 3% in mid-2018, and is now running at a pace close to 3½% on the most recent data (</w:t>
      </w:r>
      <w:r>
        <w:rPr>
          <w:b/>
        </w:rPr>
        <w:t>Figure 16</w:t>
      </w:r>
      <w:r>
        <w:rPr/>
        <w:t>).</w:t>
      </w:r>
    </w:p>
    <w:p>
      <w:pPr>
        <w:pStyle w:val="BodyText"/>
        <w:spacing w:line="355" w:lineRule="auto" w:before="119"/>
        <w:ind w:left="954" w:right="866"/>
      </w:pPr>
      <w:r>
        <w:rPr/>
        <w:t>This has been reassuring, in the sense that the mechanisms that have historically pushed up on wages still seem to matter.</w:t>
      </w:r>
    </w:p>
    <w:p>
      <w:pPr>
        <w:pStyle w:val="BodyText"/>
        <w:spacing w:before="5"/>
        <w:rPr>
          <w:sz w:val="15"/>
        </w:rPr>
      </w:pPr>
    </w:p>
    <w:tbl>
      <w:tblPr>
        <w:tblW w:w="0" w:type="auto"/>
        <w:jc w:val="left"/>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7"/>
      </w:tblGrid>
      <w:tr>
        <w:trPr>
          <w:trHeight w:val="277" w:hRule="atLeast"/>
        </w:trPr>
        <w:tc>
          <w:tcPr>
            <w:tcW w:w="8227" w:type="dxa"/>
          </w:tcPr>
          <w:p>
            <w:pPr>
              <w:pStyle w:val="TableParagraph"/>
              <w:spacing w:line="201" w:lineRule="exact"/>
              <w:rPr>
                <w:b/>
                <w:sz w:val="18"/>
              </w:rPr>
            </w:pPr>
            <w:r>
              <w:rPr>
                <w:b/>
                <w:sz w:val="18"/>
              </w:rPr>
              <w:t>Figure 16: Average Weekly Earnings growth</w:t>
            </w:r>
          </w:p>
        </w:tc>
      </w:tr>
      <w:tr>
        <w:trPr>
          <w:trHeight w:val="3576" w:hRule="atLeast"/>
        </w:trPr>
        <w:tc>
          <w:tcPr>
            <w:tcW w:w="8227" w:type="dxa"/>
          </w:tcPr>
          <w:p>
            <w:pPr>
              <w:pStyle w:val="TableParagraph"/>
              <w:spacing w:before="5"/>
              <w:ind w:left="0"/>
              <w:rPr>
                <w:sz w:val="12"/>
              </w:rPr>
            </w:pPr>
          </w:p>
          <w:p>
            <w:pPr>
              <w:pStyle w:val="TableParagraph"/>
              <w:ind w:left="663"/>
              <w:rPr>
                <w:sz w:val="20"/>
              </w:rPr>
            </w:pPr>
            <w:r>
              <w:rPr>
                <w:sz w:val="20"/>
              </w:rPr>
              <w:drawing>
                <wp:inline distT="0" distB="0" distL="0" distR="0">
                  <wp:extent cx="4626172" cy="2066544"/>
                  <wp:effectExtent l="0" t="0" r="0" b="0"/>
                  <wp:docPr id="31" name="image16.jpeg"/>
                  <wp:cNvGraphicFramePr>
                    <a:graphicFrameLocks noChangeAspect="1"/>
                  </wp:cNvGraphicFramePr>
                  <a:graphic>
                    <a:graphicData uri="http://schemas.openxmlformats.org/drawingml/2006/picture">
                      <pic:pic>
                        <pic:nvPicPr>
                          <pic:cNvPr id="32" name="image16.jpeg"/>
                          <pic:cNvPicPr/>
                        </pic:nvPicPr>
                        <pic:blipFill>
                          <a:blip r:embed="rId33" cstate="print"/>
                          <a:stretch>
                            <a:fillRect/>
                          </a:stretch>
                        </pic:blipFill>
                        <pic:spPr>
                          <a:xfrm>
                            <a:off x="0" y="0"/>
                            <a:ext cx="4626172" cy="2066544"/>
                          </a:xfrm>
                          <a:prstGeom prst="rect">
                            <a:avLst/>
                          </a:prstGeom>
                        </pic:spPr>
                      </pic:pic>
                    </a:graphicData>
                  </a:graphic>
                </wp:inline>
              </w:drawing>
            </w:r>
            <w:r>
              <w:rPr>
                <w:sz w:val="20"/>
              </w:rPr>
            </w:r>
          </w:p>
        </w:tc>
      </w:tr>
      <w:tr>
        <w:trPr>
          <w:trHeight w:val="280" w:hRule="atLeast"/>
        </w:trPr>
        <w:tc>
          <w:tcPr>
            <w:tcW w:w="8227" w:type="dxa"/>
          </w:tcPr>
          <w:p>
            <w:pPr>
              <w:pStyle w:val="TableParagraph"/>
              <w:spacing w:line="164" w:lineRule="exact" w:before="96"/>
              <w:rPr>
                <w:sz w:val="16"/>
              </w:rPr>
            </w:pPr>
            <w:r>
              <w:rPr>
                <w:sz w:val="16"/>
              </w:rPr>
              <w:t>Source: ONS, Bank of England calculations</w:t>
            </w:r>
          </w:p>
        </w:tc>
      </w:tr>
    </w:tbl>
    <w:p>
      <w:pPr>
        <w:pStyle w:val="BodyText"/>
        <w:spacing w:before="11"/>
        <w:rPr>
          <w:sz w:val="19"/>
        </w:rPr>
      </w:pPr>
    </w:p>
    <w:p>
      <w:pPr>
        <w:pStyle w:val="BodyText"/>
        <w:spacing w:line="355" w:lineRule="auto"/>
        <w:ind w:left="954" w:right="777"/>
      </w:pPr>
      <w:r>
        <w:rPr/>
        <w:t>What has been more surprising is that employment growth has remained robust even as business investment has been falling. I do not have a confident explanation for this divergence. Historically, although both data series are noisy, the two have moved together, as you would expect: when businesses are confident about their prospects, they hire new employees and they invest in new equipment and buildings.</w:t>
      </w:r>
    </w:p>
    <w:p>
      <w:pPr>
        <w:pStyle w:val="BodyText"/>
        <w:spacing w:line="355" w:lineRule="auto" w:before="119"/>
        <w:ind w:left="954" w:right="737"/>
      </w:pPr>
      <w:r>
        <w:rPr/>
        <w:t>My tentative explanation for why we have seen divergent trends between employment and investment in recent years is related to how firms deal with uncertainty: the reason why business investment is sensitive to uncertainty is because much of business investment is irreversible, or at least costly to reverse.</w:t>
      </w:r>
      <w:r>
        <w:rPr>
          <w:position w:val="7"/>
          <w:sz w:val="13"/>
        </w:rPr>
        <w:t>18 </w:t>
      </w:r>
      <w:r>
        <w:rPr/>
        <w:t>Buying specialised equipment, or spending on specialised fitting out of new buildings, are costs which cannot be fully recovered if economic circumstances change. Firms want to avoid making such investments at the wrong time or in the wrong sector, so when uncertainty rises, it pays to wait. But employment decisions are less costly to reverse. When uncertainty rises, but demand is still robust (from the world, from households), it makes sense for businesses to meet that demand by expanding their workforce rather than by increasing investment</w:t>
      </w:r>
      <w:r>
        <w:rPr>
          <w:spacing w:val="-1"/>
        </w:rPr>
        <w:t> </w:t>
      </w:r>
      <w:r>
        <w:rPr/>
        <w:t>spending.</w:t>
      </w:r>
    </w:p>
    <w:p>
      <w:pPr>
        <w:pStyle w:val="BodyText"/>
        <w:spacing w:before="2"/>
        <w:rPr>
          <w:sz w:val="29"/>
        </w:rPr>
      </w:pPr>
      <w:r>
        <w:rPr/>
        <w:pict>
          <v:shape style="position:absolute;margin-left:56.700001pt;margin-top:18.986612pt;width:144.050pt;height:.1pt;mso-position-horizontal-relative:page;mso-position-vertical-relative:paragraph;z-index:-251646976;mso-wrap-distance-left:0;mso-wrap-distance-right:0" coordorigin="1134,380" coordsize="2881,0" path="m1134,380l4014,380e" filled="false" stroked="true" strokeweight=".47998pt" strokecolor="#000000">
            <v:path arrowok="t"/>
            <v:stroke dashstyle="solid"/>
            <w10:wrap type="topAndBottom"/>
          </v:shape>
        </w:pict>
      </w:r>
    </w:p>
    <w:p>
      <w:pPr>
        <w:spacing w:before="51"/>
        <w:ind w:left="954" w:right="688" w:firstLine="0"/>
        <w:jc w:val="left"/>
        <w:rPr>
          <w:sz w:val="16"/>
        </w:rPr>
      </w:pPr>
      <w:r>
        <w:rPr>
          <w:position w:val="6"/>
          <w:sz w:val="10"/>
        </w:rPr>
        <w:t>17 </w:t>
      </w:r>
      <w:r>
        <w:rPr>
          <w:sz w:val="16"/>
        </w:rPr>
        <w:t>Among these were downward nominal wage rigidity (DNWR) no longer binding, underemployment falling towards pre-crisis level, and public sector wage growth starting to pick up. See Vlieghe (2018) for details.</w:t>
      </w:r>
    </w:p>
    <w:p>
      <w:pPr>
        <w:spacing w:line="240" w:lineRule="auto" w:before="0"/>
        <w:ind w:left="954" w:right="737" w:firstLine="0"/>
        <w:jc w:val="left"/>
        <w:rPr>
          <w:sz w:val="16"/>
        </w:rPr>
      </w:pPr>
      <w:r>
        <w:rPr>
          <w:position w:val="6"/>
          <w:sz w:val="10"/>
        </w:rPr>
        <w:t>18 </w:t>
      </w:r>
      <w:r>
        <w:rPr>
          <w:sz w:val="16"/>
        </w:rPr>
        <w:t>See Pyndick (1991), Abel and Eberly (1994) and Abel et al (1996) for the theory; Banerjee et al (2015) for some global evidence and Smietanka, Bloom and Mizen (2018) for UK evidence on investment in the aftermath of the Great Recession; and Redl (2018) and Jens (2017) for the role of political uncertainty.</w:t>
      </w:r>
    </w:p>
    <w:p>
      <w:pPr>
        <w:spacing w:after="0" w:line="240" w:lineRule="auto"/>
        <w:jc w:val="left"/>
        <w:rPr>
          <w:sz w:val="16"/>
        </w:rPr>
        <w:sectPr>
          <w:footerReference w:type="default" r:id="rId32"/>
          <w:pgSz w:w="11910" w:h="16840"/>
          <w:pgMar w:footer="1338" w:header="0" w:top="1460" w:bottom="1520" w:left="180" w:right="440"/>
          <w:pgNumType w:start="12"/>
        </w:sectPr>
      </w:pPr>
    </w:p>
    <w:p>
      <w:pPr>
        <w:pStyle w:val="BodyText"/>
        <w:spacing w:line="355" w:lineRule="auto" w:before="69"/>
        <w:ind w:left="954" w:right="754"/>
      </w:pPr>
      <w:r>
        <w:rPr/>
        <w:t>If that is the correct diagnosis, it has several implications: first, the robust employment growth relies on robust demand from the rest of the world and from households, at least one of which is slowing, so the continued strength of employment growth cannot be taken for granted. Second, if we do get some resolution of Brexit uncertainty, I would expect to see a pick-up in business investment growth, but not necessarily in employment growth. Our own Bank of England Agents’ survey is consistent with this interpretation: on the assumption of a Brexit deal, firms expect to expand output and investment, but not employment (</w:t>
      </w:r>
      <w:r>
        <w:rPr>
          <w:b/>
        </w:rPr>
        <w:t>Figure 17</w:t>
      </w:r>
      <w:r>
        <w:rPr/>
        <w:t>).</w:t>
      </w:r>
    </w:p>
    <w:p>
      <w:pPr>
        <w:pStyle w:val="BodyText"/>
        <w:spacing w:before="4"/>
        <w:rPr>
          <w:sz w:val="15"/>
        </w:rPr>
      </w:pPr>
    </w:p>
    <w:tbl>
      <w:tblPr>
        <w:tblW w:w="0" w:type="auto"/>
        <w:jc w:val="left"/>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70"/>
      </w:tblGrid>
      <w:tr>
        <w:trPr>
          <w:trHeight w:val="277" w:hRule="atLeast"/>
        </w:trPr>
        <w:tc>
          <w:tcPr>
            <w:tcW w:w="8670" w:type="dxa"/>
          </w:tcPr>
          <w:p>
            <w:pPr>
              <w:pStyle w:val="TableParagraph"/>
              <w:spacing w:line="201" w:lineRule="exact"/>
              <w:rPr>
                <w:b/>
                <w:sz w:val="18"/>
              </w:rPr>
            </w:pPr>
            <w:r>
              <w:rPr>
                <w:b/>
                <w:sz w:val="18"/>
              </w:rPr>
              <w:t>Figure 17 : Agents’ survey on Brexit expectations</w:t>
            </w:r>
          </w:p>
        </w:tc>
      </w:tr>
      <w:tr>
        <w:trPr>
          <w:trHeight w:val="3577" w:hRule="atLeast"/>
        </w:trPr>
        <w:tc>
          <w:tcPr>
            <w:tcW w:w="8670" w:type="dxa"/>
          </w:tcPr>
          <w:p>
            <w:pPr>
              <w:pStyle w:val="TableParagraph"/>
              <w:spacing w:before="9"/>
              <w:ind w:left="0"/>
              <w:rPr>
                <w:sz w:val="15"/>
              </w:rPr>
            </w:pPr>
          </w:p>
          <w:p>
            <w:pPr>
              <w:pStyle w:val="TableParagraph"/>
              <w:ind w:left="731"/>
              <w:rPr>
                <w:sz w:val="20"/>
              </w:rPr>
            </w:pPr>
            <w:r>
              <w:rPr>
                <w:sz w:val="20"/>
              </w:rPr>
              <w:drawing>
                <wp:inline distT="0" distB="0" distL="0" distR="0">
                  <wp:extent cx="4498175" cy="2036064"/>
                  <wp:effectExtent l="0" t="0" r="0" b="0"/>
                  <wp:docPr id="33" name="image17.png"/>
                  <wp:cNvGraphicFramePr>
                    <a:graphicFrameLocks noChangeAspect="1"/>
                  </wp:cNvGraphicFramePr>
                  <a:graphic>
                    <a:graphicData uri="http://schemas.openxmlformats.org/drawingml/2006/picture">
                      <pic:pic>
                        <pic:nvPicPr>
                          <pic:cNvPr id="34" name="image17.png"/>
                          <pic:cNvPicPr/>
                        </pic:nvPicPr>
                        <pic:blipFill>
                          <a:blip r:embed="rId35" cstate="print"/>
                          <a:stretch>
                            <a:fillRect/>
                          </a:stretch>
                        </pic:blipFill>
                        <pic:spPr>
                          <a:xfrm>
                            <a:off x="0" y="0"/>
                            <a:ext cx="4498175" cy="2036064"/>
                          </a:xfrm>
                          <a:prstGeom prst="rect">
                            <a:avLst/>
                          </a:prstGeom>
                        </pic:spPr>
                      </pic:pic>
                    </a:graphicData>
                  </a:graphic>
                </wp:inline>
              </w:drawing>
            </w:r>
            <w:r>
              <w:rPr>
                <w:sz w:val="20"/>
              </w:rPr>
            </w:r>
          </w:p>
        </w:tc>
      </w:tr>
      <w:tr>
        <w:trPr>
          <w:trHeight w:val="1463" w:hRule="atLeast"/>
        </w:trPr>
        <w:tc>
          <w:tcPr>
            <w:tcW w:w="8670" w:type="dxa"/>
          </w:tcPr>
          <w:p>
            <w:pPr>
              <w:pStyle w:val="TableParagraph"/>
              <w:spacing w:before="96"/>
              <w:ind w:right="178"/>
              <w:rPr>
                <w:sz w:val="16"/>
              </w:rPr>
            </w:pPr>
            <w:r>
              <w:rPr>
                <w:sz w:val="16"/>
              </w:rPr>
              <w:t>Notes: Companies were asked “Relative to the last 12 months, what is the likely impact on the following for your business over the next year in each scenario: (a) a deal and transition period and (b) no deal and no transition period?” For each relevant business factor, respondents were asked to choose between “Fall greater than 10%”; “-10 to -2%”; “Little change”; “+2 to+10%” and “Rise greater than 10%”. Net percentage balances of companies reporting increases or declines in each factor, weighted by employment. Half weight was given to the +/- 2-10% response and full weight was given to those that responded “Rise / fall greater than 10%”.</w:t>
            </w:r>
          </w:p>
          <w:p>
            <w:pPr>
              <w:pStyle w:val="TableParagraph"/>
              <w:spacing w:line="164" w:lineRule="exact" w:before="80"/>
              <w:rPr>
                <w:sz w:val="16"/>
              </w:rPr>
            </w:pPr>
            <w:r>
              <w:rPr>
                <w:sz w:val="16"/>
              </w:rPr>
              <w:t>Source: Bank of England Agents’ Survey</w:t>
            </w:r>
          </w:p>
        </w:tc>
      </w:tr>
    </w:tbl>
    <w:p>
      <w:pPr>
        <w:pStyle w:val="BodyText"/>
        <w:spacing w:before="11"/>
        <w:rPr>
          <w:sz w:val="19"/>
        </w:rPr>
      </w:pPr>
    </w:p>
    <w:p>
      <w:pPr>
        <w:pStyle w:val="BodyText"/>
        <w:spacing w:line="355" w:lineRule="auto"/>
        <w:ind w:left="954" w:right="766"/>
      </w:pPr>
      <w:r>
        <w:rPr/>
        <w:t>Note also that irrespective of the outcome of the negotiations, firms expect to increase investment outside of the UK. That is consistent with the idea that even though firms expect investment will be stronger under a deal scenario, we are unlikely to get back all of the investment that has been deferred over the past two years. For now, however, employment growth has remained resilient, and it is leading to a tightening in the labour market that is pushing up on wage inflation.</w:t>
      </w:r>
    </w:p>
    <w:p>
      <w:pPr>
        <w:pStyle w:val="BodyText"/>
        <w:spacing w:line="355" w:lineRule="auto" w:before="119"/>
        <w:ind w:left="954" w:right="756"/>
      </w:pPr>
      <w:r>
        <w:rPr/>
        <w:t>Ultimately, the MPC’s objective is consumer price inflation, not wage inflation. Consumer price inflation has been coming down since late 2017 from a peak of 3.1% to 1.8% on the most recent data referring to January. The decline reflects two factors: the temporary boost to imported price inflation from the 2016 depreciation is fading, as we expected. Second, the recent drop in oil prices is pushing down on inflation temporarily, largely via lower petrol prices. But the MPC is mostly focused on persistent trends in inflationary pressure, so the fact that one temporary upward effect (the weaker exchange rate) is fading, and another temporary downward effect (lower oil prices) is manifesting itself, is not the most important consideration for the medium-term inflation outlook. Much more important is the extent to which upward pressure on wage growth will continue, and the extent to which this will ultimately lead to sustained upward pressure on consumer price inflation as firms pass on the higher wage costs into the prices of their products and services.</w:t>
      </w:r>
    </w:p>
    <w:p>
      <w:pPr>
        <w:spacing w:after="0" w:line="355" w:lineRule="auto"/>
        <w:sectPr>
          <w:footerReference w:type="default" r:id="rId34"/>
          <w:pgSz w:w="11910" w:h="16840"/>
          <w:pgMar w:footer="1338" w:header="0" w:top="1460" w:bottom="1520" w:left="180" w:right="440"/>
          <w:pgNumType w:start="13"/>
        </w:sectPr>
      </w:pPr>
    </w:p>
    <w:p>
      <w:pPr>
        <w:pStyle w:val="BodyText"/>
        <w:spacing w:before="9"/>
        <w:rPr>
          <w:sz w:val="17"/>
        </w:rPr>
      </w:pPr>
    </w:p>
    <w:p>
      <w:pPr>
        <w:pStyle w:val="ListParagraph"/>
        <w:numPr>
          <w:ilvl w:val="0"/>
          <w:numId w:val="1"/>
        </w:numPr>
        <w:tabs>
          <w:tab w:pos="1675" w:val="left" w:leader="none"/>
        </w:tabs>
        <w:spacing w:line="240" w:lineRule="auto" w:before="94" w:after="0"/>
        <w:ind w:left="1674" w:right="0" w:hanging="361"/>
        <w:jc w:val="left"/>
        <w:rPr>
          <w:sz w:val="20"/>
        </w:rPr>
      </w:pPr>
      <w:r>
        <w:rPr>
          <w:sz w:val="20"/>
        </w:rPr>
        <w:t>Monetary</w:t>
      </w:r>
      <w:r>
        <w:rPr>
          <w:spacing w:val="-1"/>
          <w:sz w:val="20"/>
        </w:rPr>
        <w:t> </w:t>
      </w:r>
      <w:r>
        <w:rPr>
          <w:sz w:val="20"/>
        </w:rPr>
        <w:t>Policy</w:t>
      </w:r>
    </w:p>
    <w:p>
      <w:pPr>
        <w:pStyle w:val="BodyText"/>
        <w:spacing w:before="1"/>
        <w:rPr>
          <w:sz w:val="23"/>
        </w:rPr>
      </w:pPr>
    </w:p>
    <w:p>
      <w:pPr>
        <w:pStyle w:val="BodyText"/>
        <w:spacing w:line="355" w:lineRule="auto"/>
        <w:ind w:left="954" w:right="1122"/>
      </w:pPr>
      <w:r>
        <w:rPr/>
        <w:t>So far, the reduction in labour market slack and the rise in wage pressure, against a background of only modestly slowing domestic growth and robust global growth and the assumption of a smooth Brexit, had been sufficient to justify a modest tightening of monetary policy, with a first 0.25% hike in Bank Rate in November 2017, and another in August 2018.</w:t>
      </w:r>
    </w:p>
    <w:p>
      <w:pPr>
        <w:pStyle w:val="BodyText"/>
        <w:spacing w:line="355" w:lineRule="auto" w:before="118"/>
        <w:ind w:left="954" w:right="687"/>
      </w:pPr>
      <w:r>
        <w:rPr/>
        <w:t>When I first spoke about the future path of Bank Rate a year ago, I thought one to two quarter point hikes per year in Bank Rate was the most likely central case. But since then, the economic outlook has changed.</w:t>
      </w:r>
    </w:p>
    <w:p>
      <w:pPr>
        <w:pStyle w:val="BodyText"/>
        <w:spacing w:line="355" w:lineRule="auto"/>
        <w:ind w:left="954" w:right="688"/>
      </w:pPr>
      <w:r>
        <w:rPr/>
        <w:t>Global growth has slowed more than expected, and sooner than expected, so will contribute less to UK demand. Domestic growth has slowed somewhat more than expected, especially around the turn of the year. The only significant recent upside economic news has been the government’s announcement of increased fiscal spending over the coming years.</w:t>
      </w:r>
    </w:p>
    <w:p>
      <w:pPr>
        <w:pStyle w:val="BodyText"/>
        <w:spacing w:line="355" w:lineRule="auto" w:before="118"/>
        <w:ind w:left="954" w:right="839"/>
        <w:jc w:val="both"/>
      </w:pPr>
      <w:r>
        <w:rPr/>
        <w:t>And while pay growth has picked up broadly as expected, this has not so far led to any upward pressure on consumer price inflation. For example, services inflation, which is less affected by the exchange rate and oil prices, has remained close to historical lows.</w:t>
      </w:r>
    </w:p>
    <w:p>
      <w:pPr>
        <w:pStyle w:val="BodyText"/>
        <w:spacing w:line="355" w:lineRule="auto" w:before="119"/>
        <w:ind w:left="954" w:right="688"/>
      </w:pPr>
      <w:r>
        <w:rPr/>
        <w:t>I judge that the net balance of economic news has been to the downside. I therefore consider that the appropriate pace of monetary tightening is somewhat slower than I judged it to be a year ago. On the assumption that global growth does not slow materially further than it has so far, that the path to Brexit involves a lengthy transition period in line with the government’s stated objectives, that pay growth continues around its recent pace, and that we start to see some evidence of pay growth leading to upward consumer price pressure, a path of Bank Rate that involves around one quarter point hike per year seems a reasonable central case.</w:t>
      </w:r>
    </w:p>
    <w:p>
      <w:pPr>
        <w:pStyle w:val="BodyText"/>
        <w:spacing w:line="355" w:lineRule="auto" w:before="117"/>
        <w:ind w:left="954" w:right="1046"/>
        <w:jc w:val="both"/>
      </w:pPr>
      <w:r>
        <w:rPr/>
        <w:t>If a transition period is successfully negotiated, and a near term “no deal” scenario is therefore avoided, I would expect the exchange rate to appreciate somewhat. The degree of future monetary tightening will in part depend on how large this appreciation is.</w:t>
      </w:r>
    </w:p>
    <w:p>
      <w:pPr>
        <w:pStyle w:val="BodyText"/>
        <w:spacing w:line="355" w:lineRule="auto" w:before="119"/>
        <w:ind w:left="954" w:right="733"/>
      </w:pPr>
      <w:r>
        <w:rPr/>
        <w:t>As before, this future rate path is a forecast not a promise, and just as there is considerable uncertainty around the forecast for growth and inflation, there is considerable uncertainty around my forecast for the policy rate path. Given that the data even in the past few weeks are suggesting the slowdown is continuing into the early part of this year, both domestically and globally, a lot needs to go right for this forecast to come to pass. I feel I can probably wait to see evidence of growth stabilising and inflation pressure rising before considering the next hike in Bank Rate.</w:t>
      </w:r>
    </w:p>
    <w:p>
      <w:pPr>
        <w:pStyle w:val="BodyText"/>
        <w:spacing w:line="355" w:lineRule="auto" w:before="118"/>
        <w:ind w:left="954" w:right="700"/>
      </w:pPr>
      <w:r>
        <w:rPr/>
        <w:t>So far, I have discussed an economic outlook where the path to Brexit is smooth, i.e. involves a lengthy transition period. There is of course, the risk of a no deal outcome. Such an outcome is likely to lead to some economic disruption, which could possibly be severe. This will not be the case for all sectors of the economy, but some are clearly more exposed than others. The risk of a disruptive outcome, not just uncertainty per se, is one of the key factors that are affecting business investment and financial markets. Reducing uncertainty</w:t>
      </w:r>
    </w:p>
    <w:p>
      <w:pPr>
        <w:spacing w:after="0" w:line="355" w:lineRule="auto"/>
        <w:sectPr>
          <w:pgSz w:w="11910" w:h="16840"/>
          <w:pgMar w:header="0" w:footer="1338" w:top="1580" w:bottom="1520" w:left="180" w:right="440"/>
        </w:sectPr>
      </w:pPr>
    </w:p>
    <w:p>
      <w:pPr>
        <w:pStyle w:val="BodyText"/>
        <w:spacing w:line="355" w:lineRule="auto" w:before="69"/>
        <w:ind w:left="954" w:right="1088"/>
      </w:pPr>
      <w:r>
        <w:rPr/>
        <w:t>by making a no-deal scenario happen therefore does not produce net economic gains; it results in actual economic disruption.</w:t>
      </w:r>
    </w:p>
    <w:p>
      <w:pPr>
        <w:pStyle w:val="BodyText"/>
        <w:spacing w:line="355" w:lineRule="auto" w:before="120"/>
        <w:ind w:left="954" w:right="677"/>
      </w:pPr>
      <w:r>
        <w:rPr/>
        <w:t>The question for monetary policy will still be: how do businesses, households and financial markets react to such a scenario? The exchange rate is likely to fall further. That will create a temporary boost to inflation, just as it did after the 2016 depreciation. Our mandate allows us to balance the likely temporary inflation overshoot against the need to support the economy if a margin of slack were to open up. How much flexibility we have depends on how much slack opens up, which is to say, how much demand falls relative to the disrupted lower level of supply.</w:t>
      </w:r>
    </w:p>
    <w:p>
      <w:pPr>
        <w:pStyle w:val="BodyText"/>
        <w:spacing w:line="355" w:lineRule="auto" w:before="118"/>
        <w:ind w:left="954" w:right="732"/>
      </w:pPr>
      <w:r>
        <w:rPr/>
        <w:t>One can imagine scenarios where households and businesses expect the negative effect on the economy to be quite persistent, so would lower their consumption and investment demand by more than the supply disruption itself, given the extreme uncertainty and the fact that some disruption will actually be taking place, rather than being faced merely with the worry about potential future disruption. Such a scenario would imply that monetary policy should be kept on hold or even eased as long as inflation expectations remain well anchored, and the exchange-rate driven overshoot in inflation can be weighed against the actual or prospective economic slack, in line with the MPC’s mandate. One can also imagine scenarios where households and business spending remains robust, if they expect the economic disruptions to be only</w:t>
      </w:r>
    </w:p>
    <w:p>
      <w:pPr>
        <w:pStyle w:val="BodyText"/>
        <w:spacing w:line="355" w:lineRule="auto"/>
        <w:ind w:left="954" w:right="822"/>
      </w:pPr>
      <w:r>
        <w:rPr/>
        <w:t>short-lived, so demand and confidence is affected less. That might imply that monetary policy might have to be tightened.</w:t>
      </w:r>
    </w:p>
    <w:p>
      <w:pPr>
        <w:pStyle w:val="BodyText"/>
        <w:spacing w:line="355" w:lineRule="auto" w:before="116"/>
        <w:ind w:left="954" w:right="821"/>
      </w:pPr>
      <w:r>
        <w:rPr/>
        <w:t>All of these paths are possible, although not all are equally likely in my view. In the case of a no-deal scenario I judge that an easing or an extended pause in monetary policy is more likely to be the appropriate policy response than a tightening. We will have to judge in real time how well inflation expectations remain anchored, and how households and businesses are reacting to the disruptions. Even if the direction and scale of monetary policy changes are unknown beforehand, monetary policy will do what it needs to do to bring inflation back to target within a horizon that is consistent with our mandate.</w:t>
      </w:r>
    </w:p>
    <w:p>
      <w:pPr>
        <w:spacing w:after="0" w:line="355" w:lineRule="auto"/>
        <w:sectPr>
          <w:pgSz w:w="11910" w:h="16840"/>
          <w:pgMar w:header="0" w:footer="1338" w:top="1460" w:bottom="1520" w:left="180" w:right="440"/>
        </w:sectPr>
      </w:pPr>
    </w:p>
    <w:p>
      <w:pPr>
        <w:spacing w:before="81"/>
        <w:ind w:left="954" w:right="0" w:firstLine="0"/>
        <w:jc w:val="left"/>
        <w:rPr>
          <w:b/>
          <w:sz w:val="24"/>
        </w:rPr>
      </w:pPr>
      <w:r>
        <w:rPr>
          <w:b/>
          <w:sz w:val="24"/>
        </w:rPr>
        <w:t>References</w:t>
      </w:r>
    </w:p>
    <w:p>
      <w:pPr>
        <w:pStyle w:val="BodyText"/>
        <w:spacing w:before="4"/>
        <w:rPr>
          <w:b/>
          <w:sz w:val="21"/>
        </w:rPr>
      </w:pPr>
    </w:p>
    <w:p>
      <w:pPr>
        <w:spacing w:line="340" w:lineRule="auto" w:before="0"/>
        <w:ind w:left="954" w:right="1234" w:firstLine="0"/>
        <w:jc w:val="left"/>
        <w:rPr>
          <w:rFonts w:ascii="Tahoma" w:hAnsi="Tahoma"/>
          <w:sz w:val="20"/>
        </w:rPr>
      </w:pPr>
      <w:r>
        <w:rPr>
          <w:b/>
          <w:sz w:val="20"/>
        </w:rPr>
        <w:t>Abadie, A. and J. Gardeazabal (2003)</w:t>
      </w:r>
      <w:r>
        <w:rPr>
          <w:sz w:val="20"/>
        </w:rPr>
        <w:t>, “The Economic Costs of Conflict: A Case Study of the Basque Country”, </w:t>
      </w:r>
      <w:r>
        <w:rPr>
          <w:rFonts w:ascii="Tahoma" w:hAnsi="Tahoma"/>
          <w:sz w:val="20"/>
        </w:rPr>
        <w:t>American Economic Review, Vol. 93, no. 1 pages 113-132.</w:t>
      </w:r>
    </w:p>
    <w:p>
      <w:pPr>
        <w:spacing w:line="340" w:lineRule="auto" w:before="11"/>
        <w:ind w:left="954" w:right="1346" w:firstLine="0"/>
        <w:jc w:val="left"/>
        <w:rPr>
          <w:rFonts w:ascii="Tahoma" w:hAnsi="Tahoma"/>
          <w:sz w:val="20"/>
        </w:rPr>
      </w:pPr>
      <w:r>
        <w:rPr>
          <w:b/>
          <w:sz w:val="20"/>
        </w:rPr>
        <w:t>Abadie, A., A. Diamond and J. Hainmueller (2015)</w:t>
      </w:r>
      <w:r>
        <w:rPr>
          <w:sz w:val="20"/>
        </w:rPr>
        <w:t>, “Comparative Politics and the Synthetic Control Method”, </w:t>
      </w:r>
      <w:r>
        <w:rPr>
          <w:rFonts w:ascii="Tahoma" w:hAnsi="Tahoma"/>
          <w:sz w:val="20"/>
        </w:rPr>
        <w:t>American Journal of Political Science, Vol. 59, no. 2 pages 495-510.</w:t>
      </w:r>
    </w:p>
    <w:p>
      <w:pPr>
        <w:pStyle w:val="BodyText"/>
        <w:spacing w:line="343" w:lineRule="auto" w:before="9"/>
        <w:ind w:left="954" w:right="799"/>
        <w:rPr>
          <w:rFonts w:ascii="Tahoma" w:hAnsi="Tahoma"/>
        </w:rPr>
      </w:pPr>
      <w:r>
        <w:rPr>
          <w:b/>
        </w:rPr>
        <w:t>Andrews, D. (2000)</w:t>
      </w:r>
      <w:r>
        <w:rPr/>
        <w:t>, “Inconsistency of the bootstrap when a parameter is on the boundary of the parameter space”</w:t>
      </w:r>
      <w:r>
        <w:rPr>
          <w:rFonts w:ascii="Tahoma" w:hAnsi="Tahoma"/>
        </w:rPr>
        <w:t>,Econometrica, Vol. 68, no. 2 pages 399-405.</w:t>
      </w:r>
    </w:p>
    <w:p>
      <w:pPr>
        <w:pStyle w:val="BodyText"/>
        <w:spacing w:line="338" w:lineRule="auto"/>
        <w:ind w:left="954" w:right="1169"/>
        <w:rPr>
          <w:rFonts w:ascii="Tahoma" w:hAnsi="Tahoma"/>
        </w:rPr>
      </w:pPr>
      <w:r>
        <w:rPr>
          <w:b/>
        </w:rPr>
        <w:t>Andrews, D. (2003)</w:t>
      </w:r>
      <w:r>
        <w:rPr/>
        <w:t>, “End-Of-Sample Instability tests”</w:t>
      </w:r>
      <w:r>
        <w:rPr>
          <w:rFonts w:ascii="Tahoma" w:hAnsi="Tahoma"/>
        </w:rPr>
        <w:t>, Econometrica, Vol. 71, no. 1 pages 1661-1694. </w:t>
      </w:r>
      <w:r>
        <w:rPr>
          <w:b/>
        </w:rPr>
        <w:t>Abel, A., and J. Eberly (1994)</w:t>
      </w:r>
      <w:r>
        <w:rPr/>
        <w:t>, “A Unified Model of Investment Under Uncertainty”, </w:t>
      </w:r>
      <w:r>
        <w:rPr>
          <w:rFonts w:ascii="Tahoma" w:hAnsi="Tahoma"/>
        </w:rPr>
        <w:t>American Economic Review, Vol. 84, no. 1 pages 1369-1384.</w:t>
      </w:r>
    </w:p>
    <w:p>
      <w:pPr>
        <w:spacing w:line="355" w:lineRule="auto" w:before="2"/>
        <w:ind w:left="954" w:right="1378" w:firstLine="0"/>
        <w:jc w:val="left"/>
        <w:rPr>
          <w:sz w:val="20"/>
        </w:rPr>
      </w:pPr>
      <w:r>
        <w:rPr>
          <w:b/>
          <w:sz w:val="20"/>
        </w:rPr>
        <w:t>Abel, A., A. Dixit, J. Eberly and R. Pindyck (1996)</w:t>
      </w:r>
      <w:r>
        <w:rPr>
          <w:sz w:val="20"/>
        </w:rPr>
        <w:t>, “Options, the Value of Capital, and Investment”, Quarterly Journal of Economics, vol. 111, no. 3, pages 753-777</w:t>
      </w:r>
    </w:p>
    <w:p>
      <w:pPr>
        <w:spacing w:line="355" w:lineRule="auto" w:before="0"/>
        <w:ind w:left="954" w:right="1080" w:firstLine="0"/>
        <w:jc w:val="left"/>
        <w:rPr>
          <w:sz w:val="20"/>
        </w:rPr>
      </w:pPr>
      <w:r>
        <w:rPr>
          <w:b/>
          <w:sz w:val="20"/>
        </w:rPr>
        <w:t>Banerjee, R., J. Kearns and M. Lombardi (2015)</w:t>
      </w:r>
      <w:r>
        <w:rPr>
          <w:sz w:val="20"/>
        </w:rPr>
        <w:t>, “(Why) Is Investment Weak?”, BIS Quarterly Review, March, pages 67-82</w:t>
      </w:r>
    </w:p>
    <w:p>
      <w:pPr>
        <w:pStyle w:val="BodyText"/>
        <w:spacing w:line="355" w:lineRule="auto"/>
        <w:ind w:left="954" w:right="811"/>
      </w:pPr>
      <w:r>
        <w:rPr>
          <w:b/>
        </w:rPr>
        <w:t>BIS (2017), </w:t>
      </w:r>
      <w:r>
        <w:rPr/>
        <w:t>“Exploring the wage Phillips curve”, Bank for International Settlements 87th Annual Report, Box IV.A.</w:t>
      </w:r>
    </w:p>
    <w:p>
      <w:pPr>
        <w:spacing w:line="340" w:lineRule="auto" w:before="0"/>
        <w:ind w:left="954" w:right="679" w:firstLine="0"/>
        <w:jc w:val="left"/>
        <w:rPr>
          <w:rFonts w:ascii="Tahoma" w:hAnsi="Tahoma"/>
          <w:sz w:val="20"/>
        </w:rPr>
      </w:pPr>
      <w:r>
        <w:rPr>
          <w:b/>
          <w:sz w:val="20"/>
        </w:rPr>
        <w:t>Born, B., G. Muller, M. Schularick and P. Sedlacek (2018)</w:t>
      </w:r>
      <w:r>
        <w:rPr>
          <w:sz w:val="20"/>
        </w:rPr>
        <w:t>, “The Costs of Economic Nationalism: Evidence from the Brexit Experiment”, </w:t>
      </w:r>
      <w:r>
        <w:rPr>
          <w:rFonts w:ascii="Tahoma" w:hAnsi="Tahoma"/>
          <w:sz w:val="20"/>
        </w:rPr>
        <w:t>Centre for Economic Policy Research, Discussion Paper DP12454.</w:t>
      </w:r>
    </w:p>
    <w:p>
      <w:pPr>
        <w:pStyle w:val="BodyText"/>
        <w:spacing w:line="355" w:lineRule="auto" w:before="7"/>
        <w:ind w:left="954" w:right="1324"/>
      </w:pPr>
      <w:r>
        <w:rPr>
          <w:b/>
        </w:rPr>
        <w:t>Broadbent, B. (2017), </w:t>
      </w:r>
      <w:r>
        <w:rPr/>
        <w:t>“Brexit and interest rates”, speech available at: </w:t>
      </w:r>
      <w:hyperlink r:id="rId36">
        <w:r>
          <w:rPr>
            <w:color w:val="0000FF"/>
            <w:u w:val="single" w:color="0000FF"/>
          </w:rPr>
          <w:t>https://www.bankofengland.co.uk/speech/2017/ben-broadbent-speech-at-london-school-of-economics</w:t>
        </w:r>
      </w:hyperlink>
      <w:r>
        <w:rPr>
          <w:color w:val="0000FF"/>
        </w:rPr>
        <w:t> </w:t>
      </w:r>
      <w:r>
        <w:rPr>
          <w:b/>
        </w:rPr>
        <w:t>Carney, M. (2017), </w:t>
      </w:r>
      <w:r>
        <w:rPr/>
        <w:t>“[De]Globalisation and inflation”, speech available at: </w:t>
      </w:r>
      <w:hyperlink r:id="rId37">
        <w:r>
          <w:rPr>
            <w:color w:val="0000FF"/>
            <w:u w:val="single" w:color="0000FF"/>
          </w:rPr>
          <w:t>https://www.bankofengland.co.uk/speech/2017/de-globalisation-and-inflation</w:t>
        </w:r>
      </w:hyperlink>
    </w:p>
    <w:p>
      <w:pPr>
        <w:pStyle w:val="BodyText"/>
        <w:spacing w:line="355" w:lineRule="auto"/>
        <w:ind w:left="954" w:right="4314"/>
      </w:pPr>
      <w:r>
        <w:rPr>
          <w:b/>
        </w:rPr>
        <w:t>Carney, M. (2019), </w:t>
      </w:r>
      <w:r>
        <w:rPr/>
        <w:t>“The global outlook”, speech available at: </w:t>
      </w:r>
      <w:hyperlink r:id="rId38">
        <w:r>
          <w:rPr>
            <w:color w:val="0000FF"/>
            <w:u w:val="single" w:color="0000FF"/>
          </w:rPr>
          <w:t>https://www.bankofengland.co.uk/speech/2019/mark-carney-speech</w:t>
        </w:r>
      </w:hyperlink>
    </w:p>
    <w:p>
      <w:pPr>
        <w:spacing w:line="355" w:lineRule="auto" w:before="0"/>
        <w:ind w:left="954" w:right="720" w:firstLine="0"/>
        <w:jc w:val="left"/>
        <w:rPr>
          <w:sz w:val="20"/>
        </w:rPr>
      </w:pPr>
      <w:r>
        <w:rPr>
          <w:b/>
          <w:sz w:val="20"/>
        </w:rPr>
        <w:t>Cesa-Bianchi, A., G. Thwaites and A. Vicondoa (2016)</w:t>
      </w:r>
      <w:r>
        <w:rPr>
          <w:sz w:val="20"/>
        </w:rPr>
        <w:t>, “Monetary Policy Transmission in an Open Economy: New Data and Evidence from the United Kingdom”, Bank of England Staff Working Paper No. 615 </w:t>
      </w:r>
      <w:r>
        <w:rPr>
          <w:b/>
          <w:sz w:val="20"/>
        </w:rPr>
        <w:t>Gerko, E. and H. Rey (2017)</w:t>
      </w:r>
      <w:r>
        <w:rPr>
          <w:sz w:val="20"/>
        </w:rPr>
        <w:t>, “Monetary Policy in the Capitals of Capital”, Journal of the European Economic Association, Volume 15, Issue 4, pages 721–745</w:t>
      </w:r>
    </w:p>
    <w:p>
      <w:pPr>
        <w:pStyle w:val="BodyText"/>
        <w:spacing w:line="355" w:lineRule="auto"/>
        <w:ind w:left="954" w:right="1448"/>
      </w:pPr>
      <w:r>
        <w:rPr>
          <w:b/>
        </w:rPr>
        <w:t>Gertler, M. and P. Karadi (2015)</w:t>
      </w:r>
      <w:r>
        <w:rPr/>
        <w:t>, "Monetary Policy Surprises, Credit Costs, and Economic Activity", American Economic Journal: Macroeconomics, Volume 7, Issue 1, pages 44-76</w:t>
      </w:r>
    </w:p>
    <w:p>
      <w:pPr>
        <w:pStyle w:val="BodyText"/>
        <w:spacing w:line="355" w:lineRule="auto"/>
        <w:ind w:left="954" w:right="3191"/>
      </w:pPr>
      <w:r>
        <w:rPr>
          <w:b/>
        </w:rPr>
        <w:t>Haldane, A. (2017), </w:t>
      </w:r>
      <w:r>
        <w:rPr/>
        <w:t>“Work, Wages and Monetary Policy”, speech available at: </w:t>
      </w:r>
      <w:hyperlink r:id="rId39">
        <w:r>
          <w:rPr>
            <w:color w:val="0000FF"/>
            <w:u w:val="single" w:color="0000FF"/>
          </w:rPr>
          <w:t>https://www.bankofengland.co.uk/speech/2017/work-wages-and-monetary-policy</w:t>
        </w:r>
      </w:hyperlink>
    </w:p>
    <w:p>
      <w:pPr>
        <w:pStyle w:val="BodyText"/>
        <w:spacing w:line="355" w:lineRule="auto"/>
        <w:ind w:left="954" w:right="1012"/>
      </w:pPr>
      <w:r>
        <w:rPr>
          <w:b/>
        </w:rPr>
        <w:t>IMF (2017), </w:t>
      </w:r>
      <w:r>
        <w:rPr/>
        <w:t>“Recent wage dynamics in Advanced Economies: Drivers and Implications”, World Economic Outlook, Chapter 2.</w:t>
      </w:r>
      <w:r>
        <w:rPr>
          <w:b/>
        </w:rPr>
        <w:t>Jens, C. (2017), </w:t>
      </w:r>
      <w:r>
        <w:rPr/>
        <w:t>“Political uncertainty and investment: Causal evidence from U.S. gubernatorial elections”, Journal of Financial Economics, vol 124, pages 563-579.</w:t>
      </w:r>
    </w:p>
    <w:p>
      <w:pPr>
        <w:spacing w:line="355" w:lineRule="auto" w:before="0"/>
        <w:ind w:left="954" w:right="1126" w:firstLine="0"/>
        <w:jc w:val="left"/>
        <w:rPr>
          <w:sz w:val="20"/>
        </w:rPr>
      </w:pPr>
      <w:r>
        <w:rPr>
          <w:b/>
          <w:sz w:val="20"/>
        </w:rPr>
        <w:t>King, G. and L. Zeng (2006)</w:t>
      </w:r>
      <w:r>
        <w:rPr>
          <w:sz w:val="20"/>
        </w:rPr>
        <w:t>, "The Dangers of Extreme Counterfactuals", Political Analysis, Volume 14, pages 131-159</w:t>
      </w:r>
    </w:p>
    <w:p>
      <w:pPr>
        <w:pStyle w:val="BodyText"/>
        <w:spacing w:line="230" w:lineRule="exact"/>
        <w:ind w:left="954"/>
        <w:rPr>
          <w:rFonts w:ascii="Tahoma" w:hAnsi="Tahoma"/>
        </w:rPr>
      </w:pPr>
      <w:r>
        <w:rPr>
          <w:b/>
        </w:rPr>
        <w:t>Pindyck, R. (1991)</w:t>
      </w:r>
      <w:r>
        <w:rPr/>
        <w:t>, “Irreversibility, Uncertainty, and Investment”, </w:t>
      </w:r>
      <w:r>
        <w:rPr>
          <w:rFonts w:ascii="Tahoma" w:hAnsi="Tahoma"/>
        </w:rPr>
        <w:t>Journal of Economic Literature, Vol. 29,</w:t>
      </w:r>
    </w:p>
    <w:p>
      <w:pPr>
        <w:pStyle w:val="BodyText"/>
        <w:spacing w:before="94"/>
        <w:ind w:left="954"/>
        <w:rPr>
          <w:rFonts w:ascii="Tahoma"/>
        </w:rPr>
      </w:pPr>
      <w:r>
        <w:rPr>
          <w:rFonts w:ascii="Tahoma"/>
        </w:rPr>
        <w:t>pages 1110-1148</w:t>
      </w:r>
    </w:p>
    <w:p>
      <w:pPr>
        <w:spacing w:after="0"/>
        <w:rPr>
          <w:rFonts w:ascii="Tahoma"/>
        </w:rPr>
        <w:sectPr>
          <w:pgSz w:w="11910" w:h="16840"/>
          <w:pgMar w:header="0" w:footer="1338" w:top="1340" w:bottom="1520" w:left="180" w:right="440"/>
        </w:sectPr>
      </w:pPr>
    </w:p>
    <w:p>
      <w:pPr>
        <w:pStyle w:val="BodyText"/>
        <w:spacing w:line="355" w:lineRule="auto" w:before="69"/>
        <w:ind w:left="954" w:right="800"/>
      </w:pPr>
      <w:r>
        <w:rPr>
          <w:b/>
        </w:rPr>
        <w:t>Redl, C. (2018)</w:t>
      </w:r>
      <w:r>
        <w:rPr/>
        <w:t>, “Uncertainty matters: evidence from close elections”, Bank of England Staff Working Paper No. 722.</w:t>
      </w:r>
    </w:p>
    <w:p>
      <w:pPr>
        <w:pStyle w:val="BodyText"/>
        <w:spacing w:line="355" w:lineRule="auto"/>
        <w:ind w:left="954" w:right="2389"/>
      </w:pPr>
      <w:r>
        <w:rPr>
          <w:b/>
        </w:rPr>
        <w:t>Rodrik, D. (2007)</w:t>
      </w:r>
      <w:r>
        <w:rPr/>
        <w:t>, “The inescapable trilemma of the world economy”, weblog available at: </w:t>
      </w:r>
      <w:hyperlink r:id="rId40">
        <w:r>
          <w:rPr>
            <w:color w:val="0000FF"/>
            <w:u w:val="single" w:color="0000FF"/>
          </w:rPr>
          <w:t>https://rodrik.typepad.com/dani_rodriks_weblog/2007/06/the-inescapable.html</w:t>
        </w:r>
      </w:hyperlink>
    </w:p>
    <w:p>
      <w:pPr>
        <w:spacing w:line="355" w:lineRule="auto" w:before="0"/>
        <w:ind w:left="954" w:right="934" w:firstLine="0"/>
        <w:jc w:val="left"/>
        <w:rPr>
          <w:sz w:val="20"/>
        </w:rPr>
      </w:pPr>
      <w:r>
        <w:rPr>
          <w:b/>
          <w:sz w:val="20"/>
        </w:rPr>
        <w:t>Smietanka, P., N. Bloom and P. Mizen (2018), </w:t>
      </w:r>
      <w:r>
        <w:rPr>
          <w:sz w:val="20"/>
        </w:rPr>
        <w:t>“Business investment, cash holding and uncertainty since the Great Financial Crisis”, Bank of England Staff Working Paper No. 753.</w:t>
      </w:r>
    </w:p>
    <w:p>
      <w:pPr>
        <w:pStyle w:val="BodyText"/>
        <w:spacing w:line="355" w:lineRule="auto"/>
        <w:ind w:left="954" w:right="1460"/>
      </w:pPr>
      <w:r>
        <w:rPr>
          <w:b/>
        </w:rPr>
        <w:t>Vlieghe, G. (2017)</w:t>
      </w:r>
      <w:r>
        <w:rPr/>
        <w:t>, “Good policy vs accurate forecasts”, speech available at: </w:t>
      </w:r>
      <w:r>
        <w:rPr>
          <w:color w:val="0000FF"/>
          <w:u w:val="single" w:color="0000FF"/>
        </w:rPr>
        <w:t>https:/</w:t>
      </w:r>
      <w:hyperlink r:id="rId41">
        <w:r>
          <w:rPr>
            <w:color w:val="0000FF"/>
            <w:u w:val="single" w:color="0000FF"/>
          </w:rPr>
          <w:t>/www.bankofengland.co.uk/</w:t>
        </w:r>
      </w:hyperlink>
      <w:r>
        <w:rPr>
          <w:color w:val="0000FF"/>
          <w:u w:val="single" w:color="0000FF"/>
        </w:rPr>
        <w:t>-</w:t>
      </w:r>
      <w:hyperlink r:id="rId41">
        <w:r>
          <w:rPr>
            <w:color w:val="0000FF"/>
            <w:u w:val="single" w:color="0000FF"/>
          </w:rPr>
          <w:t>/media/boe/files/speech/2017/good-policy-vs-accurate-forecasts</w:t>
        </w:r>
      </w:hyperlink>
      <w:r>
        <w:rPr>
          <w:color w:val="0000FF"/>
        </w:rPr>
        <w:t> </w:t>
      </w:r>
      <w:r>
        <w:rPr>
          <w:b/>
        </w:rPr>
        <w:t>Vlieghe, G. (2018)</w:t>
      </w:r>
      <w:r>
        <w:rPr/>
        <w:t>, “From asymmetry to symmetry: changing risks to the economic outlook”, speech</w:t>
      </w:r>
    </w:p>
    <w:p>
      <w:pPr>
        <w:pStyle w:val="BodyText"/>
        <w:spacing w:line="355" w:lineRule="auto"/>
        <w:ind w:left="954" w:right="733"/>
      </w:pPr>
      <w:r>
        <w:rPr/>
        <w:t>available at: </w:t>
      </w:r>
      <w:hyperlink r:id="rId42">
        <w:r>
          <w:rPr>
            <w:color w:val="0000FF"/>
            <w:u w:val="single" w:color="0000FF"/>
          </w:rPr>
          <w:t>https://www.bankofengland.co.uk/speech/2018/gertjan-vlieghe-speech-at-birmingham-chamber-</w:t>
        </w:r>
      </w:hyperlink>
      <w:r>
        <w:rPr>
          <w:color w:val="0000FF"/>
        </w:rPr>
        <w:t> </w:t>
      </w:r>
      <w:hyperlink r:id="rId42">
        <w:r>
          <w:rPr>
            <w:color w:val="0000FF"/>
            <w:u w:val="single" w:color="0000FF"/>
          </w:rPr>
          <w:t>of-commerce</w:t>
        </w:r>
      </w:hyperlink>
    </w:p>
    <w:p>
      <w:pPr>
        <w:pStyle w:val="BodyText"/>
        <w:spacing w:line="355" w:lineRule="auto"/>
        <w:ind w:left="954" w:right="1390"/>
      </w:pPr>
      <w:r>
        <w:rPr>
          <w:b/>
        </w:rPr>
        <w:t>Yi, Gang. (2018)</w:t>
      </w:r>
      <w:r>
        <w:rPr/>
        <w:t>, “China’s Monetary Policy Framework: Supporting the Real Economy and Striking a Balance between Internal and External Equilibrium, speech available at: </w:t>
      </w:r>
      <w:hyperlink r:id="rId43">
        <w:r>
          <w:rPr>
            <w:color w:val="0000FF"/>
            <w:u w:val="single" w:color="0000FF"/>
          </w:rPr>
          <w:t>http://www.pbc.gov.cn/en/3688110/3688175/3733126/index.html</w:t>
        </w:r>
      </w:hyperlink>
    </w:p>
    <w:p>
      <w:pPr>
        <w:spacing w:after="0" w:line="355" w:lineRule="auto"/>
        <w:sectPr>
          <w:pgSz w:w="11910" w:h="16840"/>
          <w:pgMar w:header="0" w:footer="1338" w:top="1460" w:bottom="1520" w:left="180" w:right="440"/>
        </w:sectPr>
      </w:pPr>
    </w:p>
    <w:p>
      <w:pPr>
        <w:spacing w:before="60"/>
        <w:ind w:left="120" w:right="0" w:firstLine="0"/>
        <w:jc w:val="both"/>
        <w:rPr>
          <w:rFonts w:ascii="Georgia"/>
          <w:b/>
          <w:sz w:val="28"/>
        </w:rPr>
      </w:pPr>
      <w:bookmarkStart w:name="Appendix.pdf" w:id="2"/>
      <w:bookmarkEnd w:id="2"/>
      <w:r>
        <w:rPr/>
      </w:r>
      <w:bookmarkStart w:name="_bookmark0" w:id="3"/>
      <w:bookmarkEnd w:id="3"/>
      <w:r>
        <w:rPr/>
      </w:r>
      <w:r>
        <w:rPr>
          <w:rFonts w:ascii="Georgia"/>
          <w:b/>
          <w:sz w:val="28"/>
        </w:rPr>
        <w:t>Appendix: The Brexit counterfactual</w:t>
      </w:r>
    </w:p>
    <w:p>
      <w:pPr>
        <w:pStyle w:val="BodyText"/>
        <w:spacing w:before="1"/>
        <w:rPr>
          <w:rFonts w:ascii="Georgia"/>
          <w:b/>
          <w:sz w:val="26"/>
        </w:rPr>
      </w:pPr>
    </w:p>
    <w:p>
      <w:pPr>
        <w:pStyle w:val="BodyText"/>
        <w:spacing w:line="357" w:lineRule="auto"/>
        <w:ind w:left="120" w:right="135"/>
        <w:jc w:val="both"/>
        <w:rPr>
          <w:rFonts w:ascii="Century" w:hAnsi="Century"/>
        </w:rPr>
      </w:pPr>
      <w:r>
        <w:rPr>
          <w:rFonts w:ascii="Century" w:hAnsi="Century"/>
        </w:rPr>
        <w:t>Quantifying</w:t>
      </w:r>
      <w:r>
        <w:rPr>
          <w:rFonts w:ascii="Century" w:hAnsi="Century"/>
          <w:spacing w:val="-28"/>
        </w:rPr>
        <w:t> </w:t>
      </w:r>
      <w:r>
        <w:rPr>
          <w:rFonts w:ascii="Century" w:hAnsi="Century"/>
        </w:rPr>
        <w:t>the</w:t>
      </w:r>
      <w:r>
        <w:rPr>
          <w:rFonts w:ascii="Century" w:hAnsi="Century"/>
          <w:spacing w:val="-27"/>
        </w:rPr>
        <w:t> </w:t>
      </w:r>
      <w:r>
        <w:rPr>
          <w:rFonts w:ascii="Century" w:hAnsi="Century"/>
        </w:rPr>
        <w:t>causal</w:t>
      </w:r>
      <w:r>
        <w:rPr>
          <w:rFonts w:ascii="Century" w:hAnsi="Century"/>
          <w:spacing w:val="-27"/>
        </w:rPr>
        <w:t> </w:t>
      </w:r>
      <w:r>
        <w:rPr>
          <w:rFonts w:ascii="Century" w:hAnsi="Century"/>
        </w:rPr>
        <w:t>effect</w:t>
      </w:r>
      <w:r>
        <w:rPr>
          <w:rFonts w:ascii="Century" w:hAnsi="Century"/>
          <w:spacing w:val="-27"/>
        </w:rPr>
        <w:t> </w:t>
      </w:r>
      <w:r>
        <w:rPr>
          <w:rFonts w:ascii="Century" w:hAnsi="Century"/>
        </w:rPr>
        <w:t>of</w:t>
      </w:r>
      <w:r>
        <w:rPr>
          <w:rFonts w:ascii="Century" w:hAnsi="Century"/>
          <w:spacing w:val="-27"/>
        </w:rPr>
        <w:t> </w:t>
      </w:r>
      <w:r>
        <w:rPr>
          <w:rFonts w:ascii="Century" w:hAnsi="Century"/>
        </w:rPr>
        <w:t>the</w:t>
      </w:r>
      <w:r>
        <w:rPr>
          <w:rFonts w:ascii="Century" w:hAnsi="Century"/>
          <w:spacing w:val="-28"/>
        </w:rPr>
        <w:t> </w:t>
      </w:r>
      <w:r>
        <w:rPr>
          <w:rFonts w:ascii="Century" w:hAnsi="Century"/>
        </w:rPr>
        <w:t>Brexit</w:t>
      </w:r>
      <w:r>
        <w:rPr>
          <w:rFonts w:ascii="Century" w:hAnsi="Century"/>
          <w:spacing w:val="-27"/>
        </w:rPr>
        <w:t> </w:t>
      </w:r>
      <w:r>
        <w:rPr>
          <w:rFonts w:ascii="Century" w:hAnsi="Century"/>
        </w:rPr>
        <w:t>vote</w:t>
      </w:r>
      <w:r>
        <w:rPr>
          <w:rFonts w:ascii="Century" w:hAnsi="Century"/>
          <w:spacing w:val="-27"/>
        </w:rPr>
        <w:t> </w:t>
      </w:r>
      <w:r>
        <w:rPr>
          <w:rFonts w:ascii="Century" w:hAnsi="Century"/>
        </w:rPr>
        <w:t>on</w:t>
      </w:r>
      <w:r>
        <w:rPr>
          <w:rFonts w:ascii="Century" w:hAnsi="Century"/>
          <w:spacing w:val="-27"/>
        </w:rPr>
        <w:t> </w:t>
      </w:r>
      <w:r>
        <w:rPr>
          <w:rFonts w:ascii="Century" w:hAnsi="Century"/>
        </w:rPr>
        <w:t>the</w:t>
      </w:r>
      <w:r>
        <w:rPr>
          <w:rFonts w:ascii="Century" w:hAnsi="Century"/>
          <w:spacing w:val="-27"/>
        </w:rPr>
        <w:t> </w:t>
      </w:r>
      <w:r>
        <w:rPr>
          <w:rFonts w:ascii="Century" w:hAnsi="Century"/>
        </w:rPr>
        <w:t>UK</w:t>
      </w:r>
      <w:r>
        <w:rPr>
          <w:rFonts w:ascii="Century" w:hAnsi="Century"/>
          <w:spacing w:val="-28"/>
        </w:rPr>
        <w:t> </w:t>
      </w:r>
      <w:r>
        <w:rPr>
          <w:rFonts w:ascii="Century" w:hAnsi="Century"/>
        </w:rPr>
        <w:t>economy</w:t>
      </w:r>
      <w:r>
        <w:rPr>
          <w:rFonts w:ascii="Century" w:hAnsi="Century"/>
          <w:spacing w:val="-27"/>
        </w:rPr>
        <w:t> </w:t>
      </w:r>
      <w:r>
        <w:rPr>
          <w:rFonts w:ascii="Century" w:hAnsi="Century"/>
        </w:rPr>
        <w:t>naturally</w:t>
      </w:r>
      <w:r>
        <w:rPr>
          <w:rFonts w:ascii="Century" w:hAnsi="Century"/>
          <w:spacing w:val="-27"/>
        </w:rPr>
        <w:t> </w:t>
      </w:r>
      <w:r>
        <w:rPr>
          <w:rFonts w:ascii="Century" w:hAnsi="Century"/>
        </w:rPr>
        <w:t>requires</w:t>
      </w:r>
      <w:r>
        <w:rPr>
          <w:rFonts w:ascii="Century" w:hAnsi="Century"/>
          <w:spacing w:val="-27"/>
        </w:rPr>
        <w:t> </w:t>
      </w:r>
      <w:r>
        <w:rPr>
          <w:rFonts w:ascii="Century" w:hAnsi="Century"/>
        </w:rPr>
        <w:t>comparing</w:t>
      </w:r>
      <w:r>
        <w:rPr>
          <w:rFonts w:ascii="Century" w:hAnsi="Century"/>
          <w:spacing w:val="-27"/>
        </w:rPr>
        <w:t> </w:t>
      </w:r>
      <w:r>
        <w:rPr>
          <w:rFonts w:ascii="Century" w:hAnsi="Century"/>
        </w:rPr>
        <w:t>the</w:t>
      </w:r>
      <w:r>
        <w:rPr>
          <w:rFonts w:ascii="Century" w:hAnsi="Century"/>
          <w:spacing w:val="-28"/>
        </w:rPr>
        <w:t> </w:t>
      </w:r>
      <w:r>
        <w:rPr>
          <w:rFonts w:ascii="Century" w:hAnsi="Century"/>
        </w:rPr>
        <w:t>data outturn</w:t>
      </w:r>
      <w:r>
        <w:rPr>
          <w:rFonts w:ascii="Century" w:hAnsi="Century"/>
          <w:spacing w:val="-13"/>
        </w:rPr>
        <w:t> </w:t>
      </w:r>
      <w:r>
        <w:rPr>
          <w:rFonts w:ascii="Century" w:hAnsi="Century"/>
        </w:rPr>
        <w:t>to</w:t>
      </w:r>
      <w:r>
        <w:rPr>
          <w:rFonts w:ascii="Century" w:hAnsi="Century"/>
          <w:spacing w:val="-13"/>
        </w:rPr>
        <w:t> </w:t>
      </w:r>
      <w:r>
        <w:rPr>
          <w:rFonts w:ascii="Century" w:hAnsi="Century"/>
        </w:rPr>
        <w:t>a</w:t>
      </w:r>
      <w:r>
        <w:rPr>
          <w:rFonts w:ascii="Century" w:hAnsi="Century"/>
          <w:spacing w:val="-13"/>
        </w:rPr>
        <w:t> </w:t>
      </w:r>
      <w:r>
        <w:rPr>
          <w:rFonts w:ascii="Century" w:hAnsi="Century"/>
        </w:rPr>
        <w:t>counterfactual.</w:t>
      </w:r>
      <w:r>
        <w:rPr>
          <w:rFonts w:ascii="Century" w:hAnsi="Century"/>
          <w:spacing w:val="5"/>
        </w:rPr>
        <w:t> </w:t>
      </w:r>
      <w:r>
        <w:rPr>
          <w:rFonts w:ascii="Century" w:hAnsi="Century"/>
        </w:rPr>
        <w:t>I</w:t>
      </w:r>
      <w:r>
        <w:rPr>
          <w:rFonts w:ascii="Century" w:hAnsi="Century"/>
          <w:spacing w:val="-12"/>
        </w:rPr>
        <w:t> </w:t>
      </w:r>
      <w:r>
        <w:rPr>
          <w:rFonts w:ascii="Century" w:hAnsi="Century"/>
        </w:rPr>
        <w:t>address</w:t>
      </w:r>
      <w:r>
        <w:rPr>
          <w:rFonts w:ascii="Century" w:hAnsi="Century"/>
          <w:spacing w:val="-13"/>
        </w:rPr>
        <w:t> </w:t>
      </w:r>
      <w:r>
        <w:rPr>
          <w:rFonts w:ascii="Century" w:hAnsi="Century"/>
        </w:rPr>
        <w:t>this</w:t>
      </w:r>
      <w:r>
        <w:rPr>
          <w:rFonts w:ascii="Century" w:hAnsi="Century"/>
          <w:spacing w:val="-13"/>
        </w:rPr>
        <w:t> </w:t>
      </w:r>
      <w:r>
        <w:rPr>
          <w:rFonts w:ascii="Century" w:hAnsi="Century"/>
        </w:rPr>
        <w:t>problem,</w:t>
      </w:r>
      <w:r>
        <w:rPr>
          <w:rFonts w:ascii="Century" w:hAnsi="Century"/>
          <w:spacing w:val="-12"/>
        </w:rPr>
        <w:t> </w:t>
      </w:r>
      <w:r>
        <w:rPr>
          <w:rFonts w:ascii="Century" w:hAnsi="Century"/>
        </w:rPr>
        <w:t>following</w:t>
      </w:r>
      <w:r>
        <w:rPr>
          <w:rFonts w:ascii="Century" w:hAnsi="Century"/>
          <w:spacing w:val="-12"/>
        </w:rPr>
        <w:t> </w:t>
      </w:r>
      <w:r>
        <w:rPr>
          <w:rFonts w:ascii="Century" w:hAnsi="Century"/>
        </w:rPr>
        <w:t>Born</w:t>
      </w:r>
      <w:r>
        <w:rPr>
          <w:rFonts w:ascii="Century" w:hAnsi="Century"/>
          <w:spacing w:val="-13"/>
        </w:rPr>
        <w:t> </w:t>
      </w:r>
      <w:r>
        <w:rPr>
          <w:rFonts w:ascii="Century" w:hAnsi="Century"/>
        </w:rPr>
        <w:t>et</w:t>
      </w:r>
      <w:r>
        <w:rPr>
          <w:rFonts w:ascii="Century" w:hAnsi="Century"/>
          <w:spacing w:val="-13"/>
        </w:rPr>
        <w:t> </w:t>
      </w:r>
      <w:r>
        <w:rPr>
          <w:rFonts w:ascii="Century" w:hAnsi="Century"/>
        </w:rPr>
        <w:t>al.</w:t>
      </w:r>
      <w:r>
        <w:rPr>
          <w:rFonts w:ascii="Century" w:hAnsi="Century"/>
          <w:spacing w:val="5"/>
        </w:rPr>
        <w:t> </w:t>
      </w:r>
      <w:r>
        <w:rPr>
          <w:rFonts w:ascii="Century" w:hAnsi="Century"/>
        </w:rPr>
        <w:t>(2018),</w:t>
      </w:r>
      <w:r>
        <w:rPr>
          <w:rFonts w:ascii="Century" w:hAnsi="Century"/>
          <w:spacing w:val="-12"/>
        </w:rPr>
        <w:t> </w:t>
      </w:r>
      <w:r>
        <w:rPr>
          <w:rFonts w:ascii="Century" w:hAnsi="Century"/>
          <w:spacing w:val="-3"/>
        </w:rPr>
        <w:t>by</w:t>
      </w:r>
      <w:r>
        <w:rPr>
          <w:rFonts w:ascii="Century" w:hAnsi="Century"/>
          <w:spacing w:val="-13"/>
        </w:rPr>
        <w:t> </w:t>
      </w:r>
      <w:r>
        <w:rPr>
          <w:rFonts w:ascii="Century" w:hAnsi="Century"/>
        </w:rPr>
        <w:t>creating</w:t>
      </w:r>
      <w:r>
        <w:rPr>
          <w:rFonts w:ascii="Century" w:hAnsi="Century"/>
          <w:spacing w:val="-12"/>
        </w:rPr>
        <w:t> </w:t>
      </w:r>
      <w:r>
        <w:rPr>
          <w:rFonts w:ascii="Century" w:hAnsi="Century"/>
        </w:rPr>
        <w:t>a</w:t>
      </w:r>
      <w:r>
        <w:rPr>
          <w:rFonts w:ascii="Century" w:hAnsi="Century"/>
          <w:spacing w:val="-13"/>
        </w:rPr>
        <w:t> </w:t>
      </w:r>
      <w:r>
        <w:rPr>
          <w:rFonts w:ascii="Century" w:hAnsi="Century"/>
        </w:rPr>
        <w:t>synthetic </w:t>
      </w:r>
      <w:r>
        <w:rPr>
          <w:rFonts w:ascii="Century" w:hAnsi="Century"/>
          <w:w w:val="95"/>
        </w:rPr>
        <w:t>control</w:t>
      </w:r>
      <w:r>
        <w:rPr>
          <w:rFonts w:ascii="Century" w:hAnsi="Century"/>
          <w:spacing w:val="-7"/>
          <w:w w:val="95"/>
        </w:rPr>
        <w:t> </w:t>
      </w:r>
      <w:r>
        <w:rPr>
          <w:rFonts w:ascii="Century" w:hAnsi="Century"/>
          <w:w w:val="95"/>
        </w:rPr>
        <w:t>for</w:t>
      </w:r>
      <w:r>
        <w:rPr>
          <w:rFonts w:ascii="Century" w:hAnsi="Century"/>
          <w:spacing w:val="-6"/>
          <w:w w:val="95"/>
        </w:rPr>
        <w:t> </w:t>
      </w:r>
      <w:r>
        <w:rPr>
          <w:rFonts w:ascii="Century" w:hAnsi="Century"/>
          <w:w w:val="95"/>
        </w:rPr>
        <w:t>UK</w:t>
      </w:r>
      <w:r>
        <w:rPr>
          <w:rFonts w:ascii="Century" w:hAnsi="Century"/>
          <w:spacing w:val="-7"/>
          <w:w w:val="95"/>
        </w:rPr>
        <w:t> </w:t>
      </w:r>
      <w:r>
        <w:rPr>
          <w:rFonts w:ascii="Century" w:hAnsi="Century"/>
          <w:w w:val="95"/>
        </w:rPr>
        <w:t>GDP</w:t>
      </w:r>
      <w:r>
        <w:rPr>
          <w:rFonts w:ascii="Century" w:hAnsi="Century"/>
          <w:spacing w:val="-6"/>
          <w:w w:val="95"/>
        </w:rPr>
        <w:t> </w:t>
      </w:r>
      <w:r>
        <w:rPr>
          <w:rFonts w:ascii="Century" w:hAnsi="Century"/>
          <w:w w:val="95"/>
        </w:rPr>
        <w:t>using</w:t>
      </w:r>
      <w:r>
        <w:rPr>
          <w:rFonts w:ascii="Century" w:hAnsi="Century"/>
          <w:spacing w:val="-6"/>
          <w:w w:val="95"/>
        </w:rPr>
        <w:t> </w:t>
      </w:r>
      <w:r>
        <w:rPr>
          <w:rFonts w:ascii="Century" w:hAnsi="Century"/>
          <w:w w:val="95"/>
        </w:rPr>
        <w:t>a</w:t>
      </w:r>
      <w:r>
        <w:rPr>
          <w:rFonts w:ascii="Century" w:hAnsi="Century"/>
          <w:spacing w:val="-7"/>
          <w:w w:val="95"/>
        </w:rPr>
        <w:t> </w:t>
      </w:r>
      <w:r>
        <w:rPr>
          <w:rFonts w:ascii="Century" w:hAnsi="Century"/>
          <w:w w:val="95"/>
        </w:rPr>
        <w:t>weighted</w:t>
      </w:r>
      <w:r>
        <w:rPr>
          <w:rFonts w:ascii="Century" w:hAnsi="Century"/>
          <w:spacing w:val="-6"/>
          <w:w w:val="95"/>
        </w:rPr>
        <w:t> </w:t>
      </w:r>
      <w:r>
        <w:rPr>
          <w:rFonts w:ascii="Century" w:hAnsi="Century"/>
          <w:w w:val="95"/>
        </w:rPr>
        <w:t>average</w:t>
      </w:r>
      <w:r>
        <w:rPr>
          <w:rFonts w:ascii="Century" w:hAnsi="Century"/>
          <w:spacing w:val="-7"/>
          <w:w w:val="95"/>
        </w:rPr>
        <w:t> </w:t>
      </w:r>
      <w:r>
        <w:rPr>
          <w:rFonts w:ascii="Century" w:hAnsi="Century"/>
          <w:w w:val="95"/>
        </w:rPr>
        <w:t>of</w:t>
      </w:r>
      <w:r>
        <w:rPr>
          <w:rFonts w:ascii="Century" w:hAnsi="Century"/>
          <w:spacing w:val="-6"/>
          <w:w w:val="95"/>
        </w:rPr>
        <w:t> </w:t>
      </w:r>
      <w:r>
        <w:rPr>
          <w:rFonts w:ascii="Century" w:hAnsi="Century"/>
          <w:w w:val="95"/>
        </w:rPr>
        <w:t>a</w:t>
      </w:r>
      <w:r>
        <w:rPr>
          <w:rFonts w:ascii="Century" w:hAnsi="Century"/>
          <w:spacing w:val="-6"/>
          <w:w w:val="95"/>
        </w:rPr>
        <w:t> </w:t>
      </w:r>
      <w:r>
        <w:rPr>
          <w:rFonts w:ascii="Century" w:hAnsi="Century"/>
          <w:spacing w:val="2"/>
          <w:w w:val="95"/>
        </w:rPr>
        <w:t>pool</w:t>
      </w:r>
      <w:r>
        <w:rPr>
          <w:rFonts w:ascii="Century" w:hAnsi="Century"/>
          <w:spacing w:val="-7"/>
          <w:w w:val="95"/>
        </w:rPr>
        <w:t> </w:t>
      </w:r>
      <w:r>
        <w:rPr>
          <w:rFonts w:ascii="Century" w:hAnsi="Century"/>
          <w:w w:val="95"/>
        </w:rPr>
        <w:t>of</w:t>
      </w:r>
      <w:r>
        <w:rPr>
          <w:rFonts w:ascii="Century" w:hAnsi="Century"/>
          <w:spacing w:val="-6"/>
          <w:w w:val="95"/>
        </w:rPr>
        <w:t> </w:t>
      </w:r>
      <w:r>
        <w:rPr>
          <w:rFonts w:ascii="Century" w:hAnsi="Century"/>
          <w:w w:val="95"/>
        </w:rPr>
        <w:t>other</w:t>
      </w:r>
      <w:r>
        <w:rPr>
          <w:rFonts w:ascii="Century" w:hAnsi="Century"/>
          <w:spacing w:val="-7"/>
          <w:w w:val="95"/>
        </w:rPr>
        <w:t> </w:t>
      </w:r>
      <w:r>
        <w:rPr>
          <w:rFonts w:ascii="Century" w:hAnsi="Century"/>
          <w:w w:val="95"/>
        </w:rPr>
        <w:t>country</w:t>
      </w:r>
      <w:r>
        <w:rPr>
          <w:rFonts w:ascii="Century" w:hAnsi="Century"/>
          <w:spacing w:val="-6"/>
          <w:w w:val="95"/>
        </w:rPr>
        <w:t> </w:t>
      </w:r>
      <w:r>
        <w:rPr>
          <w:rFonts w:ascii="Century" w:hAnsi="Century"/>
          <w:w w:val="95"/>
        </w:rPr>
        <w:t>GDPs.</w:t>
      </w:r>
      <w:r>
        <w:rPr>
          <w:rFonts w:ascii="Century" w:hAnsi="Century"/>
          <w:spacing w:val="10"/>
          <w:w w:val="95"/>
        </w:rPr>
        <w:t> </w:t>
      </w:r>
      <w:r>
        <w:rPr>
          <w:rFonts w:ascii="Century" w:hAnsi="Century"/>
          <w:w w:val="95"/>
        </w:rPr>
        <w:t>The</w:t>
      </w:r>
      <w:r>
        <w:rPr>
          <w:rFonts w:ascii="Century" w:hAnsi="Century"/>
          <w:spacing w:val="-7"/>
          <w:w w:val="95"/>
        </w:rPr>
        <w:t> </w:t>
      </w:r>
      <w:r>
        <w:rPr>
          <w:rFonts w:ascii="Century" w:hAnsi="Century"/>
          <w:w w:val="95"/>
        </w:rPr>
        <w:t>identifying</w:t>
      </w:r>
      <w:r>
        <w:rPr>
          <w:rFonts w:ascii="Century" w:hAnsi="Century"/>
          <w:spacing w:val="-6"/>
          <w:w w:val="95"/>
        </w:rPr>
        <w:t> </w:t>
      </w:r>
      <w:r>
        <w:rPr>
          <w:rFonts w:ascii="Century" w:hAnsi="Century"/>
          <w:w w:val="95"/>
        </w:rPr>
        <w:t>assumptions </w:t>
      </w:r>
      <w:r>
        <w:rPr>
          <w:rFonts w:ascii="Century" w:hAnsi="Century"/>
        </w:rPr>
        <w:t>of</w:t>
      </w:r>
      <w:r>
        <w:rPr>
          <w:rFonts w:ascii="Century" w:hAnsi="Century"/>
          <w:spacing w:val="-13"/>
        </w:rPr>
        <w:t> </w:t>
      </w:r>
      <w:r>
        <w:rPr>
          <w:rFonts w:ascii="Century" w:hAnsi="Century"/>
        </w:rPr>
        <w:t>the</w:t>
      </w:r>
      <w:r>
        <w:rPr>
          <w:rFonts w:ascii="Century" w:hAnsi="Century"/>
          <w:spacing w:val="-12"/>
        </w:rPr>
        <w:t> </w:t>
      </w:r>
      <w:r>
        <w:rPr>
          <w:rFonts w:ascii="Century" w:hAnsi="Century"/>
        </w:rPr>
        <w:t>analysis</w:t>
      </w:r>
      <w:r>
        <w:rPr>
          <w:rFonts w:ascii="Century" w:hAnsi="Century"/>
          <w:spacing w:val="-13"/>
        </w:rPr>
        <w:t> </w:t>
      </w:r>
      <w:r>
        <w:rPr>
          <w:rFonts w:ascii="Century" w:hAnsi="Century"/>
        </w:rPr>
        <w:t>is</w:t>
      </w:r>
      <w:r>
        <w:rPr>
          <w:rFonts w:ascii="Century" w:hAnsi="Century"/>
          <w:spacing w:val="-12"/>
        </w:rPr>
        <w:t> </w:t>
      </w:r>
      <w:r>
        <w:rPr>
          <w:rFonts w:ascii="Century" w:hAnsi="Century"/>
        </w:rPr>
        <w:t>two-fold.</w:t>
      </w:r>
      <w:r>
        <w:rPr>
          <w:rFonts w:ascii="Century" w:hAnsi="Century"/>
          <w:spacing w:val="6"/>
        </w:rPr>
        <w:t> </w:t>
      </w:r>
      <w:r>
        <w:rPr>
          <w:rFonts w:ascii="Century" w:hAnsi="Century"/>
        </w:rPr>
        <w:t>First,</w:t>
      </w:r>
      <w:r>
        <w:rPr>
          <w:rFonts w:ascii="Century" w:hAnsi="Century"/>
          <w:spacing w:val="-12"/>
        </w:rPr>
        <w:t> </w:t>
      </w:r>
      <w:r>
        <w:rPr>
          <w:rFonts w:ascii="Century" w:hAnsi="Century"/>
        </w:rPr>
        <w:t>the</w:t>
      </w:r>
      <w:r>
        <w:rPr>
          <w:rFonts w:ascii="Century" w:hAnsi="Century"/>
          <w:spacing w:val="-12"/>
        </w:rPr>
        <w:t> </w:t>
      </w:r>
      <w:r>
        <w:rPr>
          <w:rFonts w:ascii="Century" w:hAnsi="Century"/>
        </w:rPr>
        <w:t>outcome</w:t>
      </w:r>
      <w:r>
        <w:rPr>
          <w:rFonts w:ascii="Century" w:hAnsi="Century"/>
          <w:spacing w:val="-13"/>
        </w:rPr>
        <w:t> </w:t>
      </w:r>
      <w:r>
        <w:rPr>
          <w:rFonts w:ascii="Century" w:hAnsi="Century"/>
        </w:rPr>
        <w:t>of</w:t>
      </w:r>
      <w:r>
        <w:rPr>
          <w:rFonts w:ascii="Century" w:hAnsi="Century"/>
          <w:spacing w:val="-13"/>
        </w:rPr>
        <w:t> </w:t>
      </w:r>
      <w:r>
        <w:rPr>
          <w:rFonts w:ascii="Century" w:hAnsi="Century"/>
        </w:rPr>
        <w:t>the</w:t>
      </w:r>
      <w:r>
        <w:rPr>
          <w:rFonts w:ascii="Century" w:hAnsi="Century"/>
          <w:spacing w:val="-12"/>
        </w:rPr>
        <w:t> </w:t>
      </w:r>
      <w:r>
        <w:rPr>
          <w:rFonts w:ascii="Century" w:hAnsi="Century"/>
        </w:rPr>
        <w:t>Brexit</w:t>
      </w:r>
      <w:r>
        <w:rPr>
          <w:rFonts w:ascii="Century" w:hAnsi="Century"/>
          <w:spacing w:val="-11"/>
        </w:rPr>
        <w:t> </w:t>
      </w:r>
      <w:r>
        <w:rPr>
          <w:rFonts w:ascii="Century" w:hAnsi="Century"/>
        </w:rPr>
        <w:t>vote</w:t>
      </w:r>
      <w:r>
        <w:rPr>
          <w:rFonts w:ascii="Century" w:hAnsi="Century"/>
          <w:spacing w:val="-13"/>
        </w:rPr>
        <w:t> </w:t>
      </w:r>
      <w:r>
        <w:rPr>
          <w:rFonts w:ascii="Century" w:hAnsi="Century"/>
        </w:rPr>
        <w:t>should</w:t>
      </w:r>
      <w:r>
        <w:rPr>
          <w:rFonts w:ascii="Century" w:hAnsi="Century"/>
          <w:spacing w:val="-12"/>
        </w:rPr>
        <w:t> </w:t>
      </w:r>
      <w:r>
        <w:rPr>
          <w:rFonts w:ascii="Century" w:hAnsi="Century"/>
        </w:rPr>
        <w:t>not</w:t>
      </w:r>
      <w:r>
        <w:rPr>
          <w:rFonts w:ascii="Century" w:hAnsi="Century"/>
          <w:spacing w:val="-12"/>
        </w:rPr>
        <w:t> </w:t>
      </w:r>
      <w:r>
        <w:rPr>
          <w:rFonts w:ascii="Century" w:hAnsi="Century"/>
          <w:spacing w:val="-3"/>
        </w:rPr>
        <w:t>have</w:t>
      </w:r>
      <w:r>
        <w:rPr>
          <w:rFonts w:ascii="Century" w:hAnsi="Century"/>
          <w:spacing w:val="-12"/>
        </w:rPr>
        <w:t> </w:t>
      </w:r>
      <w:r>
        <w:rPr>
          <w:rFonts w:ascii="Century" w:hAnsi="Century"/>
        </w:rPr>
        <w:t>had</w:t>
      </w:r>
      <w:r>
        <w:rPr>
          <w:rFonts w:ascii="Century" w:hAnsi="Century"/>
          <w:spacing w:val="-12"/>
        </w:rPr>
        <w:t> </w:t>
      </w:r>
      <w:r>
        <w:rPr>
          <w:rFonts w:ascii="Century" w:hAnsi="Century"/>
        </w:rPr>
        <w:t>a</w:t>
      </w:r>
      <w:r>
        <w:rPr>
          <w:rFonts w:ascii="Century" w:hAnsi="Century"/>
          <w:spacing w:val="-13"/>
        </w:rPr>
        <w:t> </w:t>
      </w:r>
      <w:r>
        <w:rPr>
          <w:rFonts w:ascii="Century" w:hAnsi="Century"/>
        </w:rPr>
        <w:t>meaningful</w:t>
      </w:r>
      <w:r>
        <w:rPr>
          <w:rFonts w:ascii="Century" w:hAnsi="Century"/>
          <w:spacing w:val="-12"/>
        </w:rPr>
        <w:t> </w:t>
      </w:r>
      <w:r>
        <w:rPr>
          <w:rFonts w:ascii="Century" w:hAnsi="Century"/>
        </w:rPr>
        <w:t>effect on</w:t>
      </w:r>
      <w:r>
        <w:rPr>
          <w:rFonts w:ascii="Century" w:hAnsi="Century"/>
          <w:spacing w:val="-14"/>
        </w:rPr>
        <w:t> </w:t>
      </w:r>
      <w:r>
        <w:rPr>
          <w:rFonts w:ascii="Century" w:hAnsi="Century"/>
        </w:rPr>
        <w:t>the</w:t>
      </w:r>
      <w:r>
        <w:rPr>
          <w:rFonts w:ascii="Century" w:hAnsi="Century"/>
          <w:spacing w:val="-14"/>
        </w:rPr>
        <w:t> </w:t>
      </w:r>
      <w:r>
        <w:rPr>
          <w:rFonts w:ascii="Century" w:hAnsi="Century"/>
        </w:rPr>
        <w:t>GDP</w:t>
      </w:r>
      <w:r>
        <w:rPr>
          <w:rFonts w:ascii="Century" w:hAnsi="Century"/>
          <w:spacing w:val="-13"/>
        </w:rPr>
        <w:t> </w:t>
      </w:r>
      <w:r>
        <w:rPr>
          <w:rFonts w:ascii="Century" w:hAnsi="Century"/>
        </w:rPr>
        <w:t>of</w:t>
      </w:r>
      <w:r>
        <w:rPr>
          <w:rFonts w:ascii="Century" w:hAnsi="Century"/>
          <w:spacing w:val="-14"/>
        </w:rPr>
        <w:t> </w:t>
      </w:r>
      <w:r>
        <w:rPr>
          <w:rFonts w:ascii="Century" w:hAnsi="Century"/>
        </w:rPr>
        <w:t>countries</w:t>
      </w:r>
      <w:r>
        <w:rPr>
          <w:rFonts w:ascii="Century" w:hAnsi="Century"/>
          <w:spacing w:val="-13"/>
        </w:rPr>
        <w:t> </w:t>
      </w:r>
      <w:r>
        <w:rPr>
          <w:rFonts w:ascii="Century" w:hAnsi="Century"/>
        </w:rPr>
        <w:t>in</w:t>
      </w:r>
      <w:r>
        <w:rPr>
          <w:rFonts w:ascii="Century" w:hAnsi="Century"/>
          <w:spacing w:val="-14"/>
        </w:rPr>
        <w:t> </w:t>
      </w:r>
      <w:r>
        <w:rPr>
          <w:rFonts w:ascii="Century" w:hAnsi="Century"/>
        </w:rPr>
        <w:t>the</w:t>
      </w:r>
      <w:r>
        <w:rPr>
          <w:rFonts w:ascii="Century" w:hAnsi="Century"/>
          <w:spacing w:val="-13"/>
        </w:rPr>
        <w:t> </w:t>
      </w:r>
      <w:r>
        <w:rPr>
          <w:rFonts w:ascii="Century" w:hAnsi="Century"/>
        </w:rPr>
        <w:t>control</w:t>
      </w:r>
      <w:r>
        <w:rPr>
          <w:rFonts w:ascii="Century" w:hAnsi="Century"/>
          <w:spacing w:val="-14"/>
        </w:rPr>
        <w:t> </w:t>
      </w:r>
      <w:r>
        <w:rPr>
          <w:rFonts w:ascii="Century" w:hAnsi="Century"/>
        </w:rPr>
        <w:t>pool.</w:t>
      </w:r>
      <w:r>
        <w:rPr>
          <w:rFonts w:ascii="Century" w:hAnsi="Century"/>
          <w:spacing w:val="1"/>
        </w:rPr>
        <w:t> </w:t>
      </w:r>
      <w:r>
        <w:rPr>
          <w:rFonts w:ascii="Century" w:hAnsi="Century"/>
        </w:rPr>
        <w:t>Second,</w:t>
      </w:r>
      <w:r>
        <w:rPr>
          <w:rFonts w:ascii="Century" w:hAnsi="Century"/>
          <w:spacing w:val="-13"/>
        </w:rPr>
        <w:t> </w:t>
      </w:r>
      <w:r>
        <w:rPr>
          <w:rFonts w:ascii="Century" w:hAnsi="Century"/>
        </w:rPr>
        <w:t>the</w:t>
      </w:r>
      <w:r>
        <w:rPr>
          <w:rFonts w:ascii="Century" w:hAnsi="Century"/>
          <w:spacing w:val="-13"/>
        </w:rPr>
        <w:t> </w:t>
      </w:r>
      <w:r>
        <w:rPr>
          <w:rFonts w:ascii="Century" w:hAnsi="Century"/>
        </w:rPr>
        <w:t>outcome</w:t>
      </w:r>
      <w:r>
        <w:rPr>
          <w:rFonts w:ascii="Century" w:hAnsi="Century"/>
          <w:spacing w:val="-14"/>
        </w:rPr>
        <w:t> </w:t>
      </w:r>
      <w:r>
        <w:rPr>
          <w:rFonts w:ascii="Century" w:hAnsi="Century"/>
        </w:rPr>
        <w:t>of</w:t>
      </w:r>
      <w:r>
        <w:rPr>
          <w:rFonts w:ascii="Century" w:hAnsi="Century"/>
          <w:spacing w:val="-14"/>
        </w:rPr>
        <w:t> </w:t>
      </w:r>
      <w:r>
        <w:rPr>
          <w:rFonts w:ascii="Century" w:hAnsi="Century"/>
        </w:rPr>
        <w:t>the</w:t>
      </w:r>
      <w:r>
        <w:rPr>
          <w:rFonts w:ascii="Century" w:hAnsi="Century"/>
          <w:spacing w:val="-13"/>
        </w:rPr>
        <w:t> </w:t>
      </w:r>
      <w:r>
        <w:rPr>
          <w:rFonts w:ascii="Century" w:hAnsi="Century"/>
        </w:rPr>
        <w:t>Brexit</w:t>
      </w:r>
      <w:r>
        <w:rPr>
          <w:rFonts w:ascii="Century" w:hAnsi="Century"/>
          <w:spacing w:val="-14"/>
        </w:rPr>
        <w:t> </w:t>
      </w:r>
      <w:r>
        <w:rPr>
          <w:rFonts w:ascii="Century" w:hAnsi="Century"/>
        </w:rPr>
        <w:t>vote</w:t>
      </w:r>
      <w:r>
        <w:rPr>
          <w:rFonts w:ascii="Century" w:hAnsi="Century"/>
          <w:spacing w:val="-14"/>
        </w:rPr>
        <w:t> </w:t>
      </w:r>
      <w:r>
        <w:rPr>
          <w:rFonts w:ascii="Century" w:hAnsi="Century"/>
        </w:rPr>
        <w:t>should</w:t>
      </w:r>
      <w:r>
        <w:rPr>
          <w:rFonts w:ascii="Century" w:hAnsi="Century"/>
          <w:spacing w:val="-13"/>
        </w:rPr>
        <w:t> </w:t>
      </w:r>
      <w:r>
        <w:rPr>
          <w:rFonts w:ascii="Century" w:hAnsi="Century"/>
        </w:rPr>
        <w:t>not</w:t>
      </w:r>
      <w:r>
        <w:rPr>
          <w:rFonts w:ascii="Century" w:hAnsi="Century"/>
          <w:spacing w:val="-14"/>
        </w:rPr>
        <w:t> </w:t>
      </w:r>
      <w:r>
        <w:rPr>
          <w:rFonts w:ascii="Century" w:hAnsi="Century"/>
          <w:spacing w:val="-3"/>
        </w:rPr>
        <w:t>have</w:t>
      </w:r>
      <w:r>
        <w:rPr>
          <w:rFonts w:ascii="Century" w:hAnsi="Century"/>
          <w:spacing w:val="-13"/>
        </w:rPr>
        <w:t> </w:t>
      </w:r>
      <w:r>
        <w:rPr>
          <w:rFonts w:ascii="Century" w:hAnsi="Century"/>
        </w:rPr>
        <w:t>been tied</w:t>
      </w:r>
      <w:r>
        <w:rPr>
          <w:rFonts w:ascii="Century" w:hAnsi="Century"/>
          <w:spacing w:val="-20"/>
        </w:rPr>
        <w:t> </w:t>
      </w:r>
      <w:r>
        <w:rPr>
          <w:rFonts w:ascii="Century" w:hAnsi="Century"/>
        </w:rPr>
        <w:t>to</w:t>
      </w:r>
      <w:r>
        <w:rPr>
          <w:rFonts w:ascii="Century" w:hAnsi="Century"/>
          <w:spacing w:val="-21"/>
        </w:rPr>
        <w:t> </w:t>
      </w:r>
      <w:r>
        <w:rPr>
          <w:rFonts w:ascii="Century" w:hAnsi="Century"/>
        </w:rPr>
        <w:t>the</w:t>
      </w:r>
      <w:r>
        <w:rPr>
          <w:rFonts w:ascii="Century" w:hAnsi="Century"/>
          <w:spacing w:val="-19"/>
        </w:rPr>
        <w:t> </w:t>
      </w:r>
      <w:r>
        <w:rPr>
          <w:rFonts w:ascii="Century" w:hAnsi="Century"/>
        </w:rPr>
        <w:t>UK’s</w:t>
      </w:r>
      <w:r>
        <w:rPr>
          <w:rFonts w:ascii="Century" w:hAnsi="Century"/>
          <w:spacing w:val="-21"/>
        </w:rPr>
        <w:t> </w:t>
      </w:r>
      <w:r>
        <w:rPr>
          <w:rFonts w:ascii="Century" w:hAnsi="Century"/>
        </w:rPr>
        <w:t>relative</w:t>
      </w:r>
      <w:r>
        <w:rPr>
          <w:rFonts w:ascii="Century" w:hAnsi="Century"/>
          <w:spacing w:val="-20"/>
        </w:rPr>
        <w:t> </w:t>
      </w:r>
      <w:r>
        <w:rPr>
          <w:rFonts w:ascii="Century" w:hAnsi="Century"/>
        </w:rPr>
        <w:t>economic</w:t>
      </w:r>
      <w:r>
        <w:rPr>
          <w:rFonts w:ascii="Century" w:hAnsi="Century"/>
          <w:spacing w:val="-20"/>
        </w:rPr>
        <w:t> </w:t>
      </w:r>
      <w:r>
        <w:rPr>
          <w:rFonts w:ascii="Century" w:hAnsi="Century"/>
        </w:rPr>
        <w:t>performance.</w:t>
      </w:r>
      <w:r>
        <w:rPr>
          <w:rFonts w:ascii="Century" w:hAnsi="Century"/>
          <w:spacing w:val="-8"/>
        </w:rPr>
        <w:t> </w:t>
      </w:r>
      <w:r>
        <w:rPr>
          <w:rFonts w:ascii="Century" w:hAnsi="Century"/>
        </w:rPr>
        <w:t>The</w:t>
      </w:r>
      <w:r>
        <w:rPr>
          <w:rFonts w:ascii="Century" w:hAnsi="Century"/>
          <w:spacing w:val="-21"/>
        </w:rPr>
        <w:t> </w:t>
      </w:r>
      <w:r>
        <w:rPr>
          <w:rFonts w:ascii="Century" w:hAnsi="Century"/>
        </w:rPr>
        <w:t>assumptions</w:t>
      </w:r>
      <w:r>
        <w:rPr>
          <w:rFonts w:ascii="Century" w:hAnsi="Century"/>
          <w:spacing w:val="-20"/>
        </w:rPr>
        <w:t> </w:t>
      </w:r>
      <w:r>
        <w:rPr>
          <w:rFonts w:ascii="Century" w:hAnsi="Century"/>
        </w:rPr>
        <w:t>appear</w:t>
      </w:r>
      <w:r>
        <w:rPr>
          <w:rFonts w:ascii="Century" w:hAnsi="Century"/>
          <w:spacing w:val="-20"/>
        </w:rPr>
        <w:t> </w:t>
      </w:r>
      <w:r>
        <w:rPr>
          <w:rFonts w:ascii="Century" w:hAnsi="Century"/>
        </w:rPr>
        <w:t>to</w:t>
      </w:r>
      <w:r>
        <w:rPr>
          <w:rFonts w:ascii="Century" w:hAnsi="Century"/>
          <w:spacing w:val="-20"/>
        </w:rPr>
        <w:t> </w:t>
      </w:r>
      <w:r>
        <w:rPr>
          <w:rFonts w:ascii="Century" w:hAnsi="Century"/>
          <w:spacing w:val="2"/>
        </w:rPr>
        <w:t>be</w:t>
      </w:r>
      <w:r>
        <w:rPr>
          <w:rFonts w:ascii="Century" w:hAnsi="Century"/>
          <w:spacing w:val="-20"/>
        </w:rPr>
        <w:t> </w:t>
      </w:r>
      <w:r>
        <w:rPr>
          <w:rFonts w:ascii="Century" w:hAnsi="Century"/>
        </w:rPr>
        <w:t>mild</w:t>
      </w:r>
      <w:r>
        <w:rPr>
          <w:rFonts w:ascii="Century" w:hAnsi="Century"/>
          <w:spacing w:val="-20"/>
        </w:rPr>
        <w:t> </w:t>
      </w:r>
      <w:r>
        <w:rPr>
          <w:rFonts w:ascii="Century" w:hAnsi="Century"/>
        </w:rPr>
        <w:t>given</w:t>
      </w:r>
      <w:r>
        <w:rPr>
          <w:rFonts w:ascii="Century" w:hAnsi="Century"/>
          <w:spacing w:val="-21"/>
        </w:rPr>
        <w:t> </w:t>
      </w:r>
      <w:r>
        <w:rPr>
          <w:rFonts w:ascii="Century" w:hAnsi="Century"/>
        </w:rPr>
        <w:t>the</w:t>
      </w:r>
      <w:r>
        <w:rPr>
          <w:rFonts w:ascii="Century" w:hAnsi="Century"/>
          <w:spacing w:val="-19"/>
        </w:rPr>
        <w:t> </w:t>
      </w:r>
      <w:r>
        <w:rPr>
          <w:rFonts w:ascii="Century" w:hAnsi="Century"/>
        </w:rPr>
        <w:t>plethora</w:t>
      </w:r>
      <w:r>
        <w:rPr>
          <w:rFonts w:ascii="Century" w:hAnsi="Century"/>
          <w:spacing w:val="-21"/>
        </w:rPr>
        <w:t> </w:t>
      </w:r>
      <w:r>
        <w:rPr>
          <w:rFonts w:ascii="Century" w:hAnsi="Century"/>
        </w:rPr>
        <w:t>of non-economic</w:t>
      </w:r>
      <w:r>
        <w:rPr>
          <w:rFonts w:ascii="Century" w:hAnsi="Century"/>
          <w:spacing w:val="-21"/>
        </w:rPr>
        <w:t> </w:t>
      </w:r>
      <w:r>
        <w:rPr>
          <w:rFonts w:ascii="Century" w:hAnsi="Century"/>
        </w:rPr>
        <w:t>reasons</w:t>
      </w:r>
      <w:r>
        <w:rPr>
          <w:rFonts w:ascii="Century" w:hAnsi="Century"/>
          <w:spacing w:val="-20"/>
        </w:rPr>
        <w:t> </w:t>
      </w:r>
      <w:r>
        <w:rPr>
          <w:rFonts w:ascii="Century" w:hAnsi="Century"/>
        </w:rPr>
        <w:t>provided</w:t>
      </w:r>
      <w:r>
        <w:rPr>
          <w:rFonts w:ascii="Century" w:hAnsi="Century"/>
          <w:spacing w:val="-21"/>
        </w:rPr>
        <w:t> </w:t>
      </w:r>
      <w:r>
        <w:rPr>
          <w:rFonts w:ascii="Century" w:hAnsi="Century"/>
        </w:rPr>
        <w:t>in</w:t>
      </w:r>
      <w:r>
        <w:rPr>
          <w:rFonts w:ascii="Century" w:hAnsi="Century"/>
          <w:spacing w:val="-20"/>
        </w:rPr>
        <w:t> </w:t>
      </w:r>
      <w:r>
        <w:rPr>
          <w:rFonts w:ascii="Century" w:hAnsi="Century"/>
        </w:rPr>
        <w:t>favour</w:t>
      </w:r>
      <w:r>
        <w:rPr>
          <w:rFonts w:ascii="Century" w:hAnsi="Century"/>
          <w:spacing w:val="-21"/>
        </w:rPr>
        <w:t> </w:t>
      </w:r>
      <w:r>
        <w:rPr>
          <w:rFonts w:ascii="Century" w:hAnsi="Century"/>
        </w:rPr>
        <w:t>of</w:t>
      </w:r>
      <w:r>
        <w:rPr>
          <w:rFonts w:ascii="Century" w:hAnsi="Century"/>
          <w:spacing w:val="-21"/>
        </w:rPr>
        <w:t> </w:t>
      </w:r>
      <w:r>
        <w:rPr>
          <w:rFonts w:ascii="Century" w:hAnsi="Century"/>
        </w:rPr>
        <w:t>exiting</w:t>
      </w:r>
      <w:r>
        <w:rPr>
          <w:rFonts w:ascii="Century" w:hAnsi="Century"/>
          <w:spacing w:val="-20"/>
        </w:rPr>
        <w:t> </w:t>
      </w:r>
      <w:r>
        <w:rPr>
          <w:rFonts w:ascii="Century" w:hAnsi="Century"/>
        </w:rPr>
        <w:t>the</w:t>
      </w:r>
      <w:r>
        <w:rPr>
          <w:rFonts w:ascii="Century" w:hAnsi="Century"/>
          <w:spacing w:val="-21"/>
        </w:rPr>
        <w:t> </w:t>
      </w:r>
      <w:r>
        <w:rPr>
          <w:rFonts w:ascii="Century" w:hAnsi="Century"/>
        </w:rPr>
        <w:t>EU</w:t>
      </w:r>
      <w:r>
        <w:rPr>
          <w:rFonts w:ascii="Century" w:hAnsi="Century"/>
          <w:spacing w:val="-21"/>
        </w:rPr>
        <w:t> </w:t>
      </w:r>
      <w:r>
        <w:rPr>
          <w:rFonts w:ascii="Century" w:hAnsi="Century"/>
        </w:rPr>
        <w:t>(see</w:t>
      </w:r>
      <w:r>
        <w:rPr>
          <w:rFonts w:ascii="Century" w:hAnsi="Century"/>
          <w:spacing w:val="-20"/>
        </w:rPr>
        <w:t> </w:t>
      </w:r>
      <w:r>
        <w:rPr>
          <w:rFonts w:ascii="Century" w:hAnsi="Century"/>
        </w:rPr>
        <w:t>Born</w:t>
      </w:r>
      <w:r>
        <w:rPr>
          <w:rFonts w:ascii="Century" w:hAnsi="Century"/>
          <w:spacing w:val="-21"/>
        </w:rPr>
        <w:t> </w:t>
      </w:r>
      <w:r>
        <w:rPr>
          <w:rFonts w:ascii="Century" w:hAnsi="Century"/>
        </w:rPr>
        <w:t>et</w:t>
      </w:r>
      <w:r>
        <w:rPr>
          <w:rFonts w:ascii="Century" w:hAnsi="Century"/>
          <w:spacing w:val="-21"/>
        </w:rPr>
        <w:t> </w:t>
      </w:r>
      <w:r>
        <w:rPr>
          <w:rFonts w:ascii="Century" w:hAnsi="Century"/>
        </w:rPr>
        <w:t>al.</w:t>
      </w:r>
      <w:r>
        <w:rPr>
          <w:rFonts w:ascii="Century" w:hAnsi="Century"/>
          <w:spacing w:val="-8"/>
        </w:rPr>
        <w:t> </w:t>
      </w:r>
      <w:r>
        <w:rPr>
          <w:rFonts w:ascii="Century" w:hAnsi="Century"/>
        </w:rPr>
        <w:t>(2018)</w:t>
      </w:r>
      <w:r>
        <w:rPr>
          <w:rFonts w:ascii="Century" w:hAnsi="Century"/>
          <w:spacing w:val="-20"/>
        </w:rPr>
        <w:t> </w:t>
      </w:r>
      <w:r>
        <w:rPr>
          <w:rFonts w:ascii="Century" w:hAnsi="Century"/>
        </w:rPr>
        <w:t>for</w:t>
      </w:r>
      <w:r>
        <w:rPr>
          <w:rFonts w:ascii="Century" w:hAnsi="Century"/>
          <w:spacing w:val="-21"/>
        </w:rPr>
        <w:t> </w:t>
      </w:r>
      <w:r>
        <w:rPr>
          <w:rFonts w:ascii="Century" w:hAnsi="Century"/>
        </w:rPr>
        <w:t>a</w:t>
      </w:r>
      <w:r>
        <w:rPr>
          <w:rFonts w:ascii="Century" w:hAnsi="Century"/>
          <w:spacing w:val="-21"/>
        </w:rPr>
        <w:t> </w:t>
      </w:r>
      <w:r>
        <w:rPr>
          <w:rFonts w:ascii="Century" w:hAnsi="Century"/>
        </w:rPr>
        <w:t>further</w:t>
      </w:r>
      <w:r>
        <w:rPr>
          <w:rFonts w:ascii="Century" w:hAnsi="Century"/>
          <w:spacing w:val="-20"/>
        </w:rPr>
        <w:t> </w:t>
      </w:r>
      <w:r>
        <w:rPr>
          <w:rFonts w:ascii="Century" w:hAnsi="Century"/>
        </w:rPr>
        <w:t>discussion on</w:t>
      </w:r>
      <w:r>
        <w:rPr>
          <w:rFonts w:ascii="Century" w:hAnsi="Century"/>
          <w:spacing w:val="-31"/>
        </w:rPr>
        <w:t> </w:t>
      </w:r>
      <w:r>
        <w:rPr>
          <w:rFonts w:ascii="Century" w:hAnsi="Century"/>
        </w:rPr>
        <w:t>the</w:t>
      </w:r>
      <w:r>
        <w:rPr>
          <w:rFonts w:ascii="Century" w:hAnsi="Century"/>
          <w:spacing w:val="-31"/>
        </w:rPr>
        <w:t> </w:t>
      </w:r>
      <w:r>
        <w:rPr>
          <w:rFonts w:ascii="Century" w:hAnsi="Century"/>
          <w:spacing w:val="-3"/>
        </w:rPr>
        <w:t>validity</w:t>
      </w:r>
      <w:r>
        <w:rPr>
          <w:rFonts w:ascii="Century" w:hAnsi="Century"/>
          <w:spacing w:val="-30"/>
        </w:rPr>
        <w:t> </w:t>
      </w:r>
      <w:r>
        <w:rPr>
          <w:rFonts w:ascii="Century" w:hAnsi="Century"/>
        </w:rPr>
        <w:t>of</w:t>
      </w:r>
      <w:r>
        <w:rPr>
          <w:rFonts w:ascii="Century" w:hAnsi="Century"/>
          <w:spacing w:val="-31"/>
        </w:rPr>
        <w:t> </w:t>
      </w:r>
      <w:r>
        <w:rPr>
          <w:rFonts w:ascii="Century" w:hAnsi="Century"/>
        </w:rPr>
        <w:t>the</w:t>
      </w:r>
      <w:r>
        <w:rPr>
          <w:rFonts w:ascii="Century" w:hAnsi="Century"/>
          <w:spacing w:val="-30"/>
        </w:rPr>
        <w:t> </w:t>
      </w:r>
      <w:r>
        <w:rPr>
          <w:rFonts w:ascii="Century" w:hAnsi="Century"/>
        </w:rPr>
        <w:t>assumptions).</w:t>
      </w:r>
      <w:r>
        <w:rPr>
          <w:rFonts w:ascii="Century" w:hAnsi="Century"/>
          <w:spacing w:val="-22"/>
        </w:rPr>
        <w:t> </w:t>
      </w:r>
      <w:r>
        <w:rPr>
          <w:rFonts w:ascii="Century" w:hAnsi="Century"/>
        </w:rPr>
        <w:t>Importantly,</w:t>
      </w:r>
      <w:r>
        <w:rPr>
          <w:rFonts w:ascii="Century" w:hAnsi="Century"/>
          <w:spacing w:val="-31"/>
        </w:rPr>
        <w:t> </w:t>
      </w:r>
      <w:r>
        <w:rPr>
          <w:rFonts w:ascii="Century" w:hAnsi="Century"/>
        </w:rPr>
        <w:t>this</w:t>
      </w:r>
      <w:r>
        <w:rPr>
          <w:rFonts w:ascii="Century" w:hAnsi="Century"/>
          <w:spacing w:val="-31"/>
        </w:rPr>
        <w:t> </w:t>
      </w:r>
      <w:r>
        <w:rPr>
          <w:rFonts w:ascii="Century" w:hAnsi="Century"/>
        </w:rPr>
        <w:t>approach</w:t>
      </w:r>
      <w:r>
        <w:rPr>
          <w:rFonts w:ascii="Century" w:hAnsi="Century"/>
          <w:spacing w:val="-30"/>
        </w:rPr>
        <w:t> </w:t>
      </w:r>
      <w:r>
        <w:rPr>
          <w:rFonts w:ascii="Century" w:hAnsi="Century"/>
        </w:rPr>
        <w:t>simply</w:t>
      </w:r>
      <w:r>
        <w:rPr>
          <w:rFonts w:ascii="Century" w:hAnsi="Century"/>
          <w:spacing w:val="-31"/>
        </w:rPr>
        <w:t> </w:t>
      </w:r>
      <w:r>
        <w:rPr>
          <w:rFonts w:ascii="Century" w:hAnsi="Century"/>
        </w:rPr>
        <w:t>exploits</w:t>
      </w:r>
      <w:r>
        <w:rPr>
          <w:rFonts w:ascii="Century" w:hAnsi="Century"/>
          <w:spacing w:val="-30"/>
        </w:rPr>
        <w:t> </w:t>
      </w:r>
      <w:r>
        <w:rPr>
          <w:rFonts w:ascii="Century" w:hAnsi="Century"/>
        </w:rPr>
        <w:t>the</w:t>
      </w:r>
      <w:r>
        <w:rPr>
          <w:rFonts w:ascii="Century" w:hAnsi="Century"/>
          <w:spacing w:val="-31"/>
        </w:rPr>
        <w:t> </w:t>
      </w:r>
      <w:r>
        <w:rPr>
          <w:rFonts w:ascii="Century" w:hAnsi="Century"/>
        </w:rPr>
        <w:t>statistical</w:t>
      </w:r>
      <w:r>
        <w:rPr>
          <w:rFonts w:ascii="Century" w:hAnsi="Century"/>
          <w:spacing w:val="-31"/>
        </w:rPr>
        <w:t> </w:t>
      </w:r>
      <w:r>
        <w:rPr>
          <w:rFonts w:ascii="Century" w:hAnsi="Century"/>
        </w:rPr>
        <w:t>relationship between</w:t>
      </w:r>
      <w:r>
        <w:rPr>
          <w:rFonts w:ascii="Century" w:hAnsi="Century"/>
          <w:spacing w:val="-32"/>
        </w:rPr>
        <w:t> </w:t>
      </w:r>
      <w:r>
        <w:rPr>
          <w:rFonts w:ascii="Century" w:hAnsi="Century"/>
        </w:rPr>
        <w:t>the</w:t>
      </w:r>
      <w:r>
        <w:rPr>
          <w:rFonts w:ascii="Century" w:hAnsi="Century"/>
          <w:spacing w:val="-31"/>
        </w:rPr>
        <w:t> </w:t>
      </w:r>
      <w:r>
        <w:rPr>
          <w:rFonts w:ascii="Century" w:hAnsi="Century"/>
        </w:rPr>
        <w:t>UK’s</w:t>
      </w:r>
      <w:r>
        <w:rPr>
          <w:rFonts w:ascii="Century" w:hAnsi="Century"/>
          <w:spacing w:val="-31"/>
        </w:rPr>
        <w:t> </w:t>
      </w:r>
      <w:r>
        <w:rPr>
          <w:rFonts w:ascii="Century" w:hAnsi="Century"/>
        </w:rPr>
        <w:t>and</w:t>
      </w:r>
      <w:r>
        <w:rPr>
          <w:rFonts w:ascii="Century" w:hAnsi="Century"/>
          <w:spacing w:val="-31"/>
        </w:rPr>
        <w:t> </w:t>
      </w:r>
      <w:r>
        <w:rPr>
          <w:rFonts w:ascii="Century" w:hAnsi="Century"/>
        </w:rPr>
        <w:t>other</w:t>
      </w:r>
      <w:r>
        <w:rPr>
          <w:rFonts w:ascii="Century" w:hAnsi="Century"/>
          <w:spacing w:val="-31"/>
        </w:rPr>
        <w:t> </w:t>
      </w:r>
      <w:r>
        <w:rPr>
          <w:rFonts w:ascii="Century" w:hAnsi="Century"/>
        </w:rPr>
        <w:t>countries’</w:t>
      </w:r>
      <w:r>
        <w:rPr>
          <w:rFonts w:ascii="Century" w:hAnsi="Century"/>
          <w:spacing w:val="-32"/>
        </w:rPr>
        <w:t> </w:t>
      </w:r>
      <w:r>
        <w:rPr>
          <w:rFonts w:ascii="Century" w:hAnsi="Century"/>
        </w:rPr>
        <w:t>GDP</w:t>
      </w:r>
      <w:r>
        <w:rPr>
          <w:rFonts w:ascii="Century" w:hAnsi="Century"/>
          <w:spacing w:val="-31"/>
        </w:rPr>
        <w:t> </w:t>
      </w:r>
      <w:r>
        <w:rPr>
          <w:rFonts w:ascii="Century" w:hAnsi="Century"/>
        </w:rPr>
        <w:t>and</w:t>
      </w:r>
      <w:r>
        <w:rPr>
          <w:rFonts w:ascii="Century" w:hAnsi="Century"/>
          <w:spacing w:val="-31"/>
        </w:rPr>
        <w:t> </w:t>
      </w:r>
      <w:r>
        <w:rPr>
          <w:rFonts w:ascii="Century" w:hAnsi="Century"/>
        </w:rPr>
        <w:t>does</w:t>
      </w:r>
      <w:r>
        <w:rPr>
          <w:rFonts w:ascii="Century" w:hAnsi="Century"/>
          <w:spacing w:val="-31"/>
        </w:rPr>
        <w:t> </w:t>
      </w:r>
      <w:r>
        <w:rPr>
          <w:rFonts w:ascii="Century" w:hAnsi="Century"/>
        </w:rPr>
        <w:t>not</w:t>
      </w:r>
      <w:r>
        <w:rPr>
          <w:rFonts w:ascii="Century" w:hAnsi="Century"/>
          <w:spacing w:val="-31"/>
        </w:rPr>
        <w:t> </w:t>
      </w:r>
      <w:r>
        <w:rPr>
          <w:rFonts w:ascii="Century" w:hAnsi="Century"/>
        </w:rPr>
        <w:t>require</w:t>
      </w:r>
      <w:r>
        <w:rPr>
          <w:rFonts w:ascii="Century" w:hAnsi="Century"/>
          <w:spacing w:val="-32"/>
        </w:rPr>
        <w:t> </w:t>
      </w:r>
      <w:r>
        <w:rPr>
          <w:rFonts w:ascii="Century" w:hAnsi="Century"/>
        </w:rPr>
        <w:t>having</w:t>
      </w:r>
      <w:r>
        <w:rPr>
          <w:rFonts w:ascii="Century" w:hAnsi="Century"/>
          <w:spacing w:val="-31"/>
        </w:rPr>
        <w:t> </w:t>
      </w:r>
      <w:r>
        <w:rPr>
          <w:rFonts w:ascii="Century" w:hAnsi="Century"/>
        </w:rPr>
        <w:t>the</w:t>
      </w:r>
      <w:r>
        <w:rPr>
          <w:rFonts w:ascii="Century" w:hAnsi="Century"/>
          <w:spacing w:val="-31"/>
        </w:rPr>
        <w:t> </w:t>
      </w:r>
      <w:r>
        <w:rPr>
          <w:rFonts w:ascii="Century" w:hAnsi="Century"/>
        </w:rPr>
        <w:t>correct</w:t>
      </w:r>
      <w:r>
        <w:rPr>
          <w:rFonts w:ascii="Century" w:hAnsi="Century"/>
          <w:spacing w:val="-31"/>
        </w:rPr>
        <w:t> </w:t>
      </w:r>
      <w:r>
        <w:rPr>
          <w:rFonts w:ascii="Century" w:hAnsi="Century"/>
        </w:rPr>
        <w:t>economic</w:t>
      </w:r>
      <w:r>
        <w:rPr>
          <w:rFonts w:ascii="Century" w:hAnsi="Century"/>
          <w:spacing w:val="-31"/>
        </w:rPr>
        <w:t> </w:t>
      </w:r>
      <w:r>
        <w:rPr>
          <w:rFonts w:ascii="Century" w:hAnsi="Century"/>
        </w:rPr>
        <w:t>model</w:t>
      </w:r>
      <w:r>
        <w:rPr>
          <w:rFonts w:ascii="Century" w:hAnsi="Century"/>
          <w:spacing w:val="-32"/>
        </w:rPr>
        <w:t> </w:t>
      </w:r>
      <w:r>
        <w:rPr>
          <w:rFonts w:ascii="Century" w:hAnsi="Century"/>
        </w:rPr>
        <w:t>for</w:t>
      </w:r>
      <w:r>
        <w:rPr>
          <w:rFonts w:ascii="Century" w:hAnsi="Century"/>
          <w:spacing w:val="-31"/>
        </w:rPr>
        <w:t> </w:t>
      </w:r>
      <w:r>
        <w:rPr>
          <w:rFonts w:ascii="Century" w:hAnsi="Century"/>
        </w:rPr>
        <w:t>the UK or the</w:t>
      </w:r>
      <w:r>
        <w:rPr>
          <w:rFonts w:ascii="Century" w:hAnsi="Century"/>
          <w:spacing w:val="28"/>
        </w:rPr>
        <w:t> </w:t>
      </w:r>
      <w:r>
        <w:rPr>
          <w:rFonts w:ascii="Century" w:hAnsi="Century"/>
          <w:spacing w:val="-3"/>
        </w:rPr>
        <w:t>World.</w:t>
      </w:r>
    </w:p>
    <w:p>
      <w:pPr>
        <w:pStyle w:val="BodyText"/>
        <w:spacing w:before="9"/>
        <w:rPr>
          <w:rFonts w:ascii="Century"/>
          <w:sz w:val="24"/>
        </w:rPr>
      </w:pPr>
    </w:p>
    <w:p>
      <w:pPr>
        <w:pStyle w:val="Heading1"/>
      </w:pPr>
      <w:r>
        <w:rPr/>
        <w:t>Data</w:t>
      </w:r>
    </w:p>
    <w:p>
      <w:pPr>
        <w:pStyle w:val="BodyText"/>
        <w:spacing w:line="360" w:lineRule="atLeast" w:before="126"/>
        <w:ind w:left="120" w:right="109" w:hanging="8"/>
        <w:jc w:val="both"/>
        <w:rPr>
          <w:rFonts w:ascii="Century" w:hAnsi="Century"/>
        </w:rPr>
      </w:pPr>
      <w:r>
        <w:rPr>
          <w:rFonts w:ascii="Century" w:hAnsi="Century"/>
        </w:rPr>
        <w:t>The</w:t>
      </w:r>
      <w:r>
        <w:rPr>
          <w:rFonts w:ascii="Century" w:hAnsi="Century"/>
          <w:spacing w:val="-28"/>
        </w:rPr>
        <w:t> </w:t>
      </w:r>
      <w:r>
        <w:rPr>
          <w:rFonts w:ascii="Century" w:hAnsi="Century"/>
        </w:rPr>
        <w:t>main</w:t>
      </w:r>
      <w:r>
        <w:rPr>
          <w:rFonts w:ascii="Century" w:hAnsi="Century"/>
          <w:spacing w:val="-28"/>
        </w:rPr>
        <w:t> </w:t>
      </w:r>
      <w:r>
        <w:rPr>
          <w:rFonts w:ascii="Century" w:hAnsi="Century"/>
        </w:rPr>
        <w:t>data</w:t>
      </w:r>
      <w:r>
        <w:rPr>
          <w:rFonts w:ascii="Century" w:hAnsi="Century"/>
          <w:spacing w:val="-27"/>
        </w:rPr>
        <w:t> </w:t>
      </w:r>
      <w:r>
        <w:rPr>
          <w:rFonts w:ascii="Century" w:hAnsi="Century"/>
        </w:rPr>
        <w:t>source</w:t>
      </w:r>
      <w:r>
        <w:rPr>
          <w:rFonts w:ascii="Century" w:hAnsi="Century"/>
          <w:spacing w:val="-28"/>
        </w:rPr>
        <w:t> </w:t>
      </w:r>
      <w:r>
        <w:rPr>
          <w:rFonts w:ascii="Century" w:hAnsi="Century"/>
        </w:rPr>
        <w:t>for</w:t>
      </w:r>
      <w:r>
        <w:rPr>
          <w:rFonts w:ascii="Century" w:hAnsi="Century"/>
          <w:spacing w:val="-27"/>
        </w:rPr>
        <w:t> </w:t>
      </w:r>
      <w:r>
        <w:rPr>
          <w:rFonts w:ascii="Century" w:hAnsi="Century"/>
        </w:rPr>
        <w:t>this</w:t>
      </w:r>
      <w:r>
        <w:rPr>
          <w:rFonts w:ascii="Century" w:hAnsi="Century"/>
          <w:spacing w:val="-27"/>
        </w:rPr>
        <w:t> </w:t>
      </w:r>
      <w:r>
        <w:rPr>
          <w:rFonts w:ascii="Century" w:hAnsi="Century"/>
        </w:rPr>
        <w:t>analysis</w:t>
      </w:r>
      <w:r>
        <w:rPr>
          <w:rFonts w:ascii="Century" w:hAnsi="Century"/>
          <w:spacing w:val="-28"/>
        </w:rPr>
        <w:t> </w:t>
      </w:r>
      <w:r>
        <w:rPr>
          <w:rFonts w:ascii="Century" w:hAnsi="Century"/>
        </w:rPr>
        <w:t>is</w:t>
      </w:r>
      <w:r>
        <w:rPr>
          <w:rFonts w:ascii="Century" w:hAnsi="Century"/>
          <w:spacing w:val="-27"/>
        </w:rPr>
        <w:t> </w:t>
      </w:r>
      <w:r>
        <w:rPr>
          <w:rFonts w:ascii="Century" w:hAnsi="Century"/>
        </w:rPr>
        <w:t>the</w:t>
      </w:r>
      <w:r>
        <w:rPr>
          <w:rFonts w:ascii="Century" w:hAnsi="Century"/>
          <w:spacing w:val="-27"/>
        </w:rPr>
        <w:t> </w:t>
      </w:r>
      <w:r>
        <w:rPr>
          <w:rFonts w:ascii="Century" w:hAnsi="Century"/>
        </w:rPr>
        <w:t>OECD</w:t>
      </w:r>
      <w:r>
        <w:rPr>
          <w:rFonts w:ascii="Century" w:hAnsi="Century"/>
          <w:spacing w:val="-27"/>
        </w:rPr>
        <w:t> </w:t>
      </w:r>
      <w:r>
        <w:rPr>
          <w:rFonts w:ascii="Century" w:hAnsi="Century"/>
        </w:rPr>
        <w:t>November</w:t>
      </w:r>
      <w:r>
        <w:rPr>
          <w:rFonts w:ascii="Century" w:hAnsi="Century"/>
          <w:spacing w:val="-28"/>
        </w:rPr>
        <w:t> </w:t>
      </w:r>
      <w:r>
        <w:rPr>
          <w:rFonts w:ascii="Century" w:hAnsi="Century"/>
        </w:rPr>
        <w:t>2018</w:t>
      </w:r>
      <w:r>
        <w:rPr>
          <w:rFonts w:ascii="Century" w:hAnsi="Century"/>
          <w:spacing w:val="-28"/>
        </w:rPr>
        <w:t> </w:t>
      </w:r>
      <w:r>
        <w:rPr>
          <w:rFonts w:ascii="Century" w:hAnsi="Century"/>
        </w:rPr>
        <w:t>Economic</w:t>
      </w:r>
      <w:r>
        <w:rPr>
          <w:rFonts w:ascii="Century" w:hAnsi="Century"/>
          <w:spacing w:val="-27"/>
        </w:rPr>
        <w:t> </w:t>
      </w:r>
      <w:r>
        <w:rPr>
          <w:rFonts w:ascii="Century" w:hAnsi="Century"/>
        </w:rPr>
        <w:t>Outlook</w:t>
      </w:r>
      <w:r>
        <w:rPr>
          <w:rFonts w:ascii="Century" w:hAnsi="Century"/>
          <w:spacing w:val="-27"/>
        </w:rPr>
        <w:t> </w:t>
      </w:r>
      <w:r>
        <w:rPr>
          <w:rFonts w:ascii="Century" w:hAnsi="Century"/>
        </w:rPr>
        <w:t>projections.</w:t>
      </w:r>
      <w:hyperlink w:history="true" w:anchor="_bookmark0">
        <w:r>
          <w:rPr>
            <w:rFonts w:ascii="Bauhaus 93" w:hAnsi="Bauhaus 93"/>
            <w:color w:val="FF0000"/>
            <w:sz w:val="14"/>
          </w:rPr>
          <w:t>1</w:t>
        </w:r>
      </w:hyperlink>
      <w:r>
        <w:rPr>
          <w:rFonts w:ascii="Bauhaus 93" w:hAnsi="Bauhaus 93"/>
          <w:color w:val="FF0000"/>
          <w:spacing w:val="6"/>
          <w:sz w:val="14"/>
        </w:rPr>
        <w:t> </w:t>
      </w:r>
      <w:r>
        <w:rPr>
          <w:rFonts w:ascii="Century" w:hAnsi="Century"/>
        </w:rPr>
        <w:t>I</w:t>
      </w:r>
      <w:r>
        <w:rPr>
          <w:rFonts w:ascii="Century" w:hAnsi="Century"/>
          <w:spacing w:val="-27"/>
        </w:rPr>
        <w:t> </w:t>
      </w:r>
      <w:r>
        <w:rPr>
          <w:rFonts w:ascii="Century" w:hAnsi="Century"/>
        </w:rPr>
        <w:t>take quarterly</w:t>
      </w:r>
      <w:r>
        <w:rPr>
          <w:rFonts w:ascii="Century" w:hAnsi="Century"/>
          <w:spacing w:val="-29"/>
        </w:rPr>
        <w:t> </w:t>
      </w:r>
      <w:r>
        <w:rPr>
          <w:rFonts w:ascii="Century" w:hAnsi="Century"/>
        </w:rPr>
        <w:t>data</w:t>
      </w:r>
      <w:r>
        <w:rPr>
          <w:rFonts w:ascii="Century" w:hAnsi="Century"/>
          <w:spacing w:val="-29"/>
        </w:rPr>
        <w:t> </w:t>
      </w:r>
      <w:r>
        <w:rPr>
          <w:rFonts w:ascii="Century" w:hAnsi="Century"/>
        </w:rPr>
        <w:t>of</w:t>
      </w:r>
      <w:r>
        <w:rPr>
          <w:rFonts w:ascii="Century" w:hAnsi="Century"/>
          <w:spacing w:val="-28"/>
        </w:rPr>
        <w:t> </w:t>
      </w:r>
      <w:r>
        <w:rPr>
          <w:rFonts w:ascii="Century" w:hAnsi="Century"/>
        </w:rPr>
        <w:t>real</w:t>
      </w:r>
      <w:r>
        <w:rPr>
          <w:rFonts w:ascii="Century" w:hAnsi="Century"/>
          <w:spacing w:val="-29"/>
        </w:rPr>
        <w:t> </w:t>
      </w:r>
      <w:r>
        <w:rPr>
          <w:rFonts w:ascii="Century" w:hAnsi="Century"/>
        </w:rPr>
        <w:t>GDP</w:t>
      </w:r>
      <w:r>
        <w:rPr>
          <w:rFonts w:ascii="Century" w:hAnsi="Century"/>
          <w:spacing w:val="-29"/>
        </w:rPr>
        <w:t> </w:t>
      </w:r>
      <w:r>
        <w:rPr>
          <w:rFonts w:ascii="Century" w:hAnsi="Century"/>
        </w:rPr>
        <w:t>in</w:t>
      </w:r>
      <w:r>
        <w:rPr>
          <w:rFonts w:ascii="Century" w:hAnsi="Century"/>
          <w:spacing w:val="-28"/>
        </w:rPr>
        <w:t> </w:t>
      </w:r>
      <w:r>
        <w:rPr>
          <w:rFonts w:ascii="Century" w:hAnsi="Century"/>
        </w:rPr>
        <w:t>market</w:t>
      </w:r>
      <w:r>
        <w:rPr>
          <w:rFonts w:ascii="Century" w:hAnsi="Century"/>
          <w:spacing w:val="-29"/>
        </w:rPr>
        <w:t> </w:t>
      </w:r>
      <w:r>
        <w:rPr>
          <w:rFonts w:ascii="Century" w:hAnsi="Century"/>
        </w:rPr>
        <w:t>prices</w:t>
      </w:r>
      <w:r>
        <w:rPr>
          <w:rFonts w:ascii="Century" w:hAnsi="Century"/>
          <w:spacing w:val="-28"/>
        </w:rPr>
        <w:t> </w:t>
      </w:r>
      <w:r>
        <w:rPr>
          <w:rFonts w:ascii="Century" w:hAnsi="Century"/>
        </w:rPr>
        <w:t>starting</w:t>
      </w:r>
      <w:r>
        <w:rPr>
          <w:rFonts w:ascii="Century" w:hAnsi="Century"/>
          <w:spacing w:val="-29"/>
        </w:rPr>
        <w:t> </w:t>
      </w:r>
      <w:r>
        <w:rPr>
          <w:rFonts w:ascii="Century" w:hAnsi="Century"/>
        </w:rPr>
        <w:t>from</w:t>
      </w:r>
      <w:r>
        <w:rPr>
          <w:rFonts w:ascii="Century" w:hAnsi="Century"/>
          <w:spacing w:val="-29"/>
        </w:rPr>
        <w:t> </w:t>
      </w:r>
      <w:r>
        <w:rPr>
          <w:rFonts w:ascii="Century" w:hAnsi="Century"/>
        </w:rPr>
        <w:t>Q1-1995</w:t>
      </w:r>
      <w:r>
        <w:rPr>
          <w:rFonts w:ascii="Century" w:hAnsi="Century"/>
          <w:spacing w:val="-28"/>
        </w:rPr>
        <w:t> </w:t>
      </w:r>
      <w:r>
        <w:rPr>
          <w:rFonts w:ascii="Century" w:hAnsi="Century"/>
        </w:rPr>
        <w:t>of</w:t>
      </w:r>
      <w:r>
        <w:rPr>
          <w:rFonts w:ascii="Century" w:hAnsi="Century"/>
          <w:spacing w:val="-29"/>
        </w:rPr>
        <w:t> </w:t>
      </w:r>
      <w:r>
        <w:rPr>
          <w:rFonts w:ascii="Century" w:hAnsi="Century"/>
        </w:rPr>
        <w:t>all</w:t>
      </w:r>
      <w:r>
        <w:rPr>
          <w:rFonts w:ascii="Century" w:hAnsi="Century"/>
          <w:spacing w:val="-28"/>
        </w:rPr>
        <w:t> </w:t>
      </w:r>
      <w:r>
        <w:rPr>
          <w:rFonts w:ascii="Century" w:hAnsi="Century"/>
        </w:rPr>
        <w:t>the</w:t>
      </w:r>
      <w:r>
        <w:rPr>
          <w:rFonts w:ascii="Century" w:hAnsi="Century"/>
          <w:spacing w:val="-29"/>
        </w:rPr>
        <w:t> </w:t>
      </w:r>
      <w:r>
        <w:rPr>
          <w:rFonts w:ascii="Century" w:hAnsi="Century"/>
        </w:rPr>
        <w:t>countries</w:t>
      </w:r>
      <w:r>
        <w:rPr>
          <w:rFonts w:ascii="Century" w:hAnsi="Century"/>
          <w:spacing w:val="-28"/>
        </w:rPr>
        <w:t> </w:t>
      </w:r>
      <w:r>
        <w:rPr>
          <w:rFonts w:ascii="Century" w:hAnsi="Century"/>
        </w:rPr>
        <w:t>for</w:t>
      </w:r>
      <w:r>
        <w:rPr>
          <w:rFonts w:ascii="Century" w:hAnsi="Century"/>
          <w:spacing w:val="-29"/>
        </w:rPr>
        <w:t> </w:t>
      </w:r>
      <w:r>
        <w:rPr>
          <w:rFonts w:ascii="Century" w:hAnsi="Century"/>
        </w:rPr>
        <w:t>which</w:t>
      </w:r>
      <w:r>
        <w:rPr>
          <w:rFonts w:ascii="Century" w:hAnsi="Century"/>
          <w:spacing w:val="-29"/>
        </w:rPr>
        <w:t> </w:t>
      </w:r>
      <w:r>
        <w:rPr>
          <w:rFonts w:ascii="Century" w:hAnsi="Century"/>
        </w:rPr>
        <w:t>data</w:t>
      </w:r>
      <w:r>
        <w:rPr>
          <w:rFonts w:ascii="Century" w:hAnsi="Century"/>
          <w:spacing w:val="-29"/>
        </w:rPr>
        <w:t> </w:t>
      </w:r>
      <w:r>
        <w:rPr>
          <w:rFonts w:ascii="Century" w:hAnsi="Century"/>
        </w:rPr>
        <w:t>exist, </w:t>
      </w:r>
      <w:r>
        <w:rPr>
          <w:rFonts w:ascii="Century" w:hAnsi="Century"/>
          <w:w w:val="95"/>
        </w:rPr>
        <w:t>and</w:t>
      </w:r>
      <w:r>
        <w:rPr>
          <w:rFonts w:ascii="Century" w:hAnsi="Century"/>
          <w:spacing w:val="-10"/>
          <w:w w:val="95"/>
        </w:rPr>
        <w:t> </w:t>
      </w:r>
      <w:r>
        <w:rPr>
          <w:rFonts w:ascii="Century" w:hAnsi="Century"/>
          <w:w w:val="95"/>
        </w:rPr>
        <w:t>transform</w:t>
      </w:r>
      <w:r>
        <w:rPr>
          <w:rFonts w:ascii="Century" w:hAnsi="Century"/>
          <w:spacing w:val="-10"/>
          <w:w w:val="95"/>
        </w:rPr>
        <w:t> </w:t>
      </w:r>
      <w:r>
        <w:rPr>
          <w:rFonts w:ascii="Century" w:hAnsi="Century"/>
          <w:w w:val="95"/>
        </w:rPr>
        <w:t>real</w:t>
      </w:r>
      <w:r>
        <w:rPr>
          <w:rFonts w:ascii="Century" w:hAnsi="Century"/>
          <w:spacing w:val="-10"/>
          <w:w w:val="95"/>
        </w:rPr>
        <w:t> </w:t>
      </w:r>
      <w:r>
        <w:rPr>
          <w:rFonts w:ascii="Century" w:hAnsi="Century"/>
          <w:w w:val="95"/>
        </w:rPr>
        <w:t>GDP</w:t>
      </w:r>
      <w:r>
        <w:rPr>
          <w:rFonts w:ascii="Century" w:hAnsi="Century"/>
          <w:spacing w:val="-10"/>
          <w:w w:val="95"/>
        </w:rPr>
        <w:t> </w:t>
      </w:r>
      <w:r>
        <w:rPr>
          <w:rFonts w:ascii="Century" w:hAnsi="Century"/>
          <w:w w:val="95"/>
        </w:rPr>
        <w:t>levels</w:t>
      </w:r>
      <w:r>
        <w:rPr>
          <w:rFonts w:ascii="Century" w:hAnsi="Century"/>
          <w:spacing w:val="-10"/>
          <w:w w:val="95"/>
        </w:rPr>
        <w:t> </w:t>
      </w:r>
      <w:r>
        <w:rPr>
          <w:rFonts w:ascii="Century" w:hAnsi="Century"/>
          <w:w w:val="95"/>
        </w:rPr>
        <w:t>into</w:t>
      </w:r>
      <w:r>
        <w:rPr>
          <w:rFonts w:ascii="Century" w:hAnsi="Century"/>
          <w:spacing w:val="-10"/>
          <w:w w:val="95"/>
        </w:rPr>
        <w:t> </w:t>
      </w:r>
      <w:r>
        <w:rPr>
          <w:rFonts w:ascii="Century" w:hAnsi="Century"/>
          <w:w w:val="95"/>
        </w:rPr>
        <w:t>log-deviations</w:t>
      </w:r>
      <w:r>
        <w:rPr>
          <w:rFonts w:ascii="Century" w:hAnsi="Century"/>
          <w:spacing w:val="-10"/>
          <w:w w:val="95"/>
        </w:rPr>
        <w:t> </w:t>
      </w:r>
      <w:r>
        <w:rPr>
          <w:rFonts w:ascii="Century" w:hAnsi="Century"/>
          <w:w w:val="95"/>
        </w:rPr>
        <w:t>from</w:t>
      </w:r>
      <w:r>
        <w:rPr>
          <w:rFonts w:ascii="Century" w:hAnsi="Century"/>
          <w:spacing w:val="-10"/>
          <w:w w:val="95"/>
        </w:rPr>
        <w:t> </w:t>
      </w:r>
      <w:r>
        <w:rPr>
          <w:rFonts w:ascii="Century" w:hAnsi="Century"/>
          <w:w w:val="95"/>
        </w:rPr>
        <w:t>the</w:t>
      </w:r>
      <w:r>
        <w:rPr>
          <w:rFonts w:ascii="Century" w:hAnsi="Century"/>
          <w:spacing w:val="-10"/>
          <w:w w:val="95"/>
        </w:rPr>
        <w:t> </w:t>
      </w:r>
      <w:r>
        <w:rPr>
          <w:rFonts w:ascii="Century" w:hAnsi="Century"/>
          <w:w w:val="95"/>
        </w:rPr>
        <w:t>1995</w:t>
      </w:r>
      <w:r>
        <w:rPr>
          <w:rFonts w:ascii="Century" w:hAnsi="Century"/>
          <w:spacing w:val="-10"/>
          <w:w w:val="95"/>
        </w:rPr>
        <w:t> </w:t>
      </w:r>
      <w:r>
        <w:rPr>
          <w:rFonts w:ascii="Century" w:hAnsi="Century"/>
          <w:w w:val="95"/>
        </w:rPr>
        <w:t>average.</w:t>
      </w:r>
      <w:r>
        <w:rPr>
          <w:rFonts w:ascii="Century" w:hAnsi="Century"/>
          <w:spacing w:val="6"/>
          <w:w w:val="95"/>
        </w:rPr>
        <w:t> </w:t>
      </w:r>
      <w:r>
        <w:rPr>
          <w:rFonts w:ascii="Century" w:hAnsi="Century"/>
          <w:w w:val="95"/>
        </w:rPr>
        <w:t>In</w:t>
      </w:r>
      <w:r>
        <w:rPr>
          <w:rFonts w:ascii="Century" w:hAnsi="Century"/>
          <w:spacing w:val="-10"/>
          <w:w w:val="95"/>
        </w:rPr>
        <w:t> </w:t>
      </w:r>
      <w:r>
        <w:rPr>
          <w:rFonts w:ascii="Century" w:hAnsi="Century"/>
          <w:w w:val="95"/>
        </w:rPr>
        <w:t>the</w:t>
      </w:r>
      <w:r>
        <w:rPr>
          <w:rFonts w:ascii="Century" w:hAnsi="Century"/>
          <w:spacing w:val="-10"/>
          <w:w w:val="95"/>
        </w:rPr>
        <w:t> </w:t>
      </w:r>
      <w:r>
        <w:rPr>
          <w:rFonts w:ascii="Century" w:hAnsi="Century"/>
          <w:w w:val="95"/>
        </w:rPr>
        <w:t>case</w:t>
      </w:r>
      <w:r>
        <w:rPr>
          <w:rFonts w:ascii="Century" w:hAnsi="Century"/>
          <w:spacing w:val="-10"/>
          <w:w w:val="95"/>
        </w:rPr>
        <w:t> </w:t>
      </w:r>
      <w:r>
        <w:rPr>
          <w:rFonts w:ascii="Century" w:hAnsi="Century"/>
          <w:w w:val="95"/>
        </w:rPr>
        <w:t>of</w:t>
      </w:r>
      <w:r>
        <w:rPr>
          <w:rFonts w:ascii="Century" w:hAnsi="Century"/>
          <w:spacing w:val="-10"/>
          <w:w w:val="95"/>
        </w:rPr>
        <w:t> </w:t>
      </w:r>
      <w:r>
        <w:rPr>
          <w:rFonts w:ascii="Century" w:hAnsi="Century"/>
          <w:w w:val="95"/>
        </w:rPr>
        <w:t>the</w:t>
      </w:r>
      <w:r>
        <w:rPr>
          <w:rFonts w:ascii="Century" w:hAnsi="Century"/>
          <w:spacing w:val="-10"/>
          <w:w w:val="95"/>
        </w:rPr>
        <w:t> </w:t>
      </w:r>
      <w:r>
        <w:rPr>
          <w:rFonts w:ascii="Century" w:hAnsi="Century"/>
          <w:w w:val="95"/>
        </w:rPr>
        <w:t>UK,</w:t>
      </w:r>
      <w:r>
        <w:rPr>
          <w:rFonts w:ascii="Century" w:hAnsi="Century"/>
          <w:spacing w:val="-10"/>
          <w:w w:val="95"/>
        </w:rPr>
        <w:t> </w:t>
      </w:r>
      <w:r>
        <w:rPr>
          <w:rFonts w:ascii="Century" w:hAnsi="Century"/>
          <w:w w:val="95"/>
        </w:rPr>
        <w:t>I</w:t>
      </w:r>
      <w:r>
        <w:rPr>
          <w:rFonts w:ascii="Century" w:hAnsi="Century"/>
          <w:spacing w:val="-10"/>
          <w:w w:val="95"/>
        </w:rPr>
        <w:t> </w:t>
      </w:r>
      <w:r>
        <w:rPr>
          <w:rFonts w:ascii="Century" w:hAnsi="Century"/>
          <w:w w:val="95"/>
        </w:rPr>
        <w:t>update</w:t>
      </w:r>
      <w:r>
        <w:rPr>
          <w:rFonts w:ascii="Century" w:hAnsi="Century"/>
          <w:spacing w:val="-10"/>
          <w:w w:val="95"/>
        </w:rPr>
        <w:t> </w:t>
      </w:r>
      <w:r>
        <w:rPr>
          <w:rFonts w:ascii="Century" w:hAnsi="Century"/>
          <w:w w:val="95"/>
        </w:rPr>
        <w:t>the </w:t>
      </w:r>
      <w:r>
        <w:rPr>
          <w:rFonts w:ascii="Century" w:hAnsi="Century"/>
        </w:rPr>
        <w:t>OECD</w:t>
      </w:r>
      <w:r>
        <w:rPr>
          <w:rFonts w:ascii="Century" w:hAnsi="Century"/>
          <w:spacing w:val="-8"/>
        </w:rPr>
        <w:t> </w:t>
      </w:r>
      <w:r>
        <w:rPr>
          <w:rFonts w:ascii="Century" w:hAnsi="Century"/>
        </w:rPr>
        <w:t>projections</w:t>
      </w:r>
      <w:r>
        <w:rPr>
          <w:rFonts w:ascii="Century" w:hAnsi="Century"/>
          <w:spacing w:val="-7"/>
        </w:rPr>
        <w:t> </w:t>
      </w:r>
      <w:r>
        <w:rPr>
          <w:rFonts w:ascii="Century" w:hAnsi="Century"/>
        </w:rPr>
        <w:t>for</w:t>
      </w:r>
      <w:r>
        <w:rPr>
          <w:rFonts w:ascii="Century" w:hAnsi="Century"/>
          <w:spacing w:val="-8"/>
        </w:rPr>
        <w:t> </w:t>
      </w:r>
      <w:r>
        <w:rPr>
          <w:rFonts w:ascii="Century" w:hAnsi="Century"/>
        </w:rPr>
        <w:t>Q3-</w:t>
      </w:r>
      <w:r>
        <w:rPr>
          <w:rFonts w:ascii="Century" w:hAnsi="Century"/>
          <w:spacing w:val="-7"/>
        </w:rPr>
        <w:t> </w:t>
      </w:r>
      <w:r>
        <w:rPr>
          <w:rFonts w:ascii="Century" w:hAnsi="Century"/>
        </w:rPr>
        <w:t>and</w:t>
      </w:r>
      <w:r>
        <w:rPr>
          <w:rFonts w:ascii="Century" w:hAnsi="Century"/>
          <w:spacing w:val="-8"/>
        </w:rPr>
        <w:t> </w:t>
      </w:r>
      <w:r>
        <w:rPr>
          <w:rFonts w:ascii="Century" w:hAnsi="Century"/>
        </w:rPr>
        <w:t>Q4-2018</w:t>
      </w:r>
      <w:r>
        <w:rPr>
          <w:rFonts w:ascii="Century" w:hAnsi="Century"/>
          <w:spacing w:val="-7"/>
        </w:rPr>
        <w:t> </w:t>
      </w:r>
      <w:r>
        <w:rPr>
          <w:rFonts w:ascii="Century" w:hAnsi="Century"/>
        </w:rPr>
        <w:t>with</w:t>
      </w:r>
      <w:r>
        <w:rPr>
          <w:rFonts w:ascii="Century" w:hAnsi="Century"/>
          <w:spacing w:val="-8"/>
        </w:rPr>
        <w:t> </w:t>
      </w:r>
      <w:r>
        <w:rPr>
          <w:rFonts w:ascii="Century" w:hAnsi="Century"/>
        </w:rPr>
        <w:t>the</w:t>
      </w:r>
      <w:r>
        <w:rPr>
          <w:rFonts w:ascii="Century" w:hAnsi="Century"/>
          <w:spacing w:val="-7"/>
        </w:rPr>
        <w:t> </w:t>
      </w:r>
      <w:r>
        <w:rPr>
          <w:rFonts w:ascii="Century" w:hAnsi="Century"/>
        </w:rPr>
        <w:t>ONS</w:t>
      </w:r>
      <w:r>
        <w:rPr>
          <w:rFonts w:ascii="Century" w:hAnsi="Century"/>
          <w:spacing w:val="-7"/>
        </w:rPr>
        <w:t> </w:t>
      </w:r>
      <w:r>
        <w:rPr>
          <w:rFonts w:ascii="Century" w:hAnsi="Century"/>
        </w:rPr>
        <w:t>data</w:t>
      </w:r>
      <w:r>
        <w:rPr>
          <w:rFonts w:ascii="Century" w:hAnsi="Century"/>
          <w:spacing w:val="-8"/>
        </w:rPr>
        <w:t> </w:t>
      </w:r>
      <w:r>
        <w:rPr>
          <w:rFonts w:ascii="Century" w:hAnsi="Century"/>
        </w:rPr>
        <w:t>outturn.</w:t>
      </w:r>
      <w:hyperlink w:history="true" w:anchor="_bookmark0">
        <w:r>
          <w:rPr>
            <w:rFonts w:ascii="Bauhaus 93" w:hAnsi="Bauhaus 93"/>
            <w:color w:val="FF0000"/>
            <w:sz w:val="14"/>
          </w:rPr>
          <w:t>2</w:t>
        </w:r>
      </w:hyperlink>
      <w:r>
        <w:rPr>
          <w:rFonts w:ascii="Bauhaus 93" w:hAnsi="Bauhaus 93"/>
          <w:color w:val="FF0000"/>
          <w:spacing w:val="6"/>
          <w:sz w:val="14"/>
        </w:rPr>
        <w:t> </w:t>
      </w:r>
      <w:r>
        <w:rPr>
          <w:rFonts w:ascii="Century" w:hAnsi="Century"/>
        </w:rPr>
        <w:t>I</w:t>
      </w:r>
      <w:r>
        <w:rPr>
          <w:rFonts w:ascii="Century" w:hAnsi="Century"/>
          <w:spacing w:val="-8"/>
        </w:rPr>
        <w:t> </w:t>
      </w:r>
      <w:r>
        <w:rPr>
          <w:rFonts w:ascii="Century" w:hAnsi="Century"/>
        </w:rPr>
        <w:t>redo</w:t>
      </w:r>
      <w:r>
        <w:rPr>
          <w:rFonts w:ascii="Century" w:hAnsi="Century"/>
          <w:spacing w:val="-7"/>
        </w:rPr>
        <w:t> </w:t>
      </w:r>
      <w:r>
        <w:rPr>
          <w:rFonts w:ascii="Century" w:hAnsi="Century"/>
        </w:rPr>
        <w:t>the</w:t>
      </w:r>
      <w:r>
        <w:rPr>
          <w:rFonts w:ascii="Century" w:hAnsi="Century"/>
          <w:spacing w:val="-8"/>
        </w:rPr>
        <w:t> </w:t>
      </w:r>
      <w:r>
        <w:rPr>
          <w:rFonts w:ascii="Century" w:hAnsi="Century"/>
        </w:rPr>
        <w:t>analysis</w:t>
      </w:r>
      <w:r>
        <w:rPr>
          <w:rFonts w:ascii="Century" w:hAnsi="Century"/>
          <w:spacing w:val="-7"/>
        </w:rPr>
        <w:t> </w:t>
      </w:r>
      <w:r>
        <w:rPr>
          <w:rFonts w:ascii="Century" w:hAnsi="Century"/>
        </w:rPr>
        <w:t>for</w:t>
      </w:r>
      <w:r>
        <w:rPr>
          <w:rFonts w:ascii="Century" w:hAnsi="Century"/>
          <w:spacing w:val="-8"/>
        </w:rPr>
        <w:t> </w:t>
      </w:r>
      <w:r>
        <w:rPr>
          <w:rFonts w:ascii="Century" w:hAnsi="Century"/>
          <w:spacing w:val="-4"/>
        </w:rPr>
        <w:t>two</w:t>
      </w:r>
      <w:r>
        <w:rPr>
          <w:rFonts w:ascii="Century" w:hAnsi="Century"/>
          <w:spacing w:val="-7"/>
        </w:rPr>
        <w:t> </w:t>
      </w:r>
      <w:r>
        <w:rPr>
          <w:rFonts w:ascii="Century" w:hAnsi="Century"/>
        </w:rPr>
        <w:t>control units</w:t>
      </w:r>
      <w:r>
        <w:rPr>
          <w:rFonts w:ascii="Century" w:hAnsi="Century"/>
          <w:spacing w:val="-31"/>
        </w:rPr>
        <w:t> </w:t>
      </w:r>
      <w:r>
        <w:rPr>
          <w:rFonts w:ascii="Century" w:hAnsi="Century"/>
        </w:rPr>
        <w:t>–</w:t>
      </w:r>
      <w:r>
        <w:rPr>
          <w:rFonts w:ascii="Century" w:hAnsi="Century"/>
          <w:spacing w:val="-31"/>
        </w:rPr>
        <w:t> </w:t>
      </w:r>
      <w:r>
        <w:rPr>
          <w:rFonts w:ascii="Century" w:hAnsi="Century"/>
        </w:rPr>
        <w:t>“All”</w:t>
      </w:r>
      <w:r>
        <w:rPr>
          <w:rFonts w:ascii="Century" w:hAnsi="Century"/>
          <w:spacing w:val="-30"/>
        </w:rPr>
        <w:t> </w:t>
      </w:r>
      <w:r>
        <w:rPr>
          <w:rFonts w:ascii="Century" w:hAnsi="Century"/>
        </w:rPr>
        <w:t>and</w:t>
      </w:r>
      <w:r>
        <w:rPr>
          <w:rFonts w:ascii="Century" w:hAnsi="Century"/>
          <w:spacing w:val="-31"/>
        </w:rPr>
        <w:t> </w:t>
      </w:r>
      <w:r>
        <w:rPr>
          <w:rFonts w:ascii="Century" w:hAnsi="Century"/>
        </w:rPr>
        <w:t>“G7”–</w:t>
      </w:r>
      <w:r>
        <w:rPr>
          <w:rFonts w:ascii="Century" w:hAnsi="Century"/>
          <w:spacing w:val="-31"/>
        </w:rPr>
        <w:t> </w:t>
      </w:r>
      <w:r>
        <w:rPr>
          <w:rFonts w:ascii="Century" w:hAnsi="Century"/>
        </w:rPr>
        <w:t>to</w:t>
      </w:r>
      <w:r>
        <w:rPr>
          <w:rFonts w:ascii="Century" w:hAnsi="Century"/>
          <w:spacing w:val="-30"/>
        </w:rPr>
        <w:t> </w:t>
      </w:r>
      <w:r>
        <w:rPr>
          <w:rFonts w:ascii="Century" w:hAnsi="Century"/>
          <w:spacing w:val="-3"/>
        </w:rPr>
        <w:t>check</w:t>
      </w:r>
      <w:r>
        <w:rPr>
          <w:rFonts w:ascii="Century" w:hAnsi="Century"/>
          <w:spacing w:val="-31"/>
        </w:rPr>
        <w:t> </w:t>
      </w:r>
      <w:r>
        <w:rPr>
          <w:rFonts w:ascii="Century" w:hAnsi="Century"/>
        </w:rPr>
        <w:t>for</w:t>
      </w:r>
      <w:r>
        <w:rPr>
          <w:rFonts w:ascii="Century" w:hAnsi="Century"/>
          <w:spacing w:val="-30"/>
        </w:rPr>
        <w:t> </w:t>
      </w:r>
      <w:r>
        <w:rPr>
          <w:rFonts w:ascii="Century" w:hAnsi="Century"/>
        </w:rPr>
        <w:t>robustness</w:t>
      </w:r>
      <w:r>
        <w:rPr>
          <w:rFonts w:ascii="Century" w:hAnsi="Century"/>
          <w:spacing w:val="-31"/>
        </w:rPr>
        <w:t> </w:t>
      </w:r>
      <w:r>
        <w:rPr>
          <w:rFonts w:ascii="Century" w:hAnsi="Century"/>
        </w:rPr>
        <w:t>against</w:t>
      </w:r>
      <w:r>
        <w:rPr>
          <w:rFonts w:ascii="Century" w:hAnsi="Century"/>
          <w:spacing w:val="-31"/>
        </w:rPr>
        <w:t> </w:t>
      </w:r>
      <w:r>
        <w:rPr>
          <w:rFonts w:ascii="Century" w:hAnsi="Century"/>
        </w:rPr>
        <w:t>control</w:t>
      </w:r>
      <w:r>
        <w:rPr>
          <w:rFonts w:ascii="Century" w:hAnsi="Century"/>
          <w:spacing w:val="-30"/>
        </w:rPr>
        <w:t> </w:t>
      </w:r>
      <w:r>
        <w:rPr>
          <w:rFonts w:ascii="Century" w:hAnsi="Century"/>
        </w:rPr>
        <w:t>pools.</w:t>
      </w:r>
      <w:r>
        <w:rPr>
          <w:rFonts w:ascii="Century" w:hAnsi="Century"/>
          <w:spacing w:val="-21"/>
        </w:rPr>
        <w:t> </w:t>
      </w:r>
      <w:r>
        <w:rPr>
          <w:rFonts w:ascii="Century" w:hAnsi="Century"/>
          <w:spacing w:val="-4"/>
        </w:rPr>
        <w:t>Table</w:t>
      </w:r>
      <w:r>
        <w:rPr>
          <w:rFonts w:ascii="Century" w:hAnsi="Century"/>
          <w:spacing w:val="-31"/>
        </w:rPr>
        <w:t> </w:t>
      </w:r>
      <w:r>
        <w:rPr>
          <w:rFonts w:ascii="Century" w:hAnsi="Century"/>
        </w:rPr>
        <w:t>1</w:t>
      </w:r>
      <w:r>
        <w:rPr>
          <w:rFonts w:ascii="Century" w:hAnsi="Century"/>
          <w:spacing w:val="-30"/>
        </w:rPr>
        <w:t> </w:t>
      </w:r>
      <w:r>
        <w:rPr>
          <w:rFonts w:ascii="Century" w:hAnsi="Century"/>
        </w:rPr>
        <w:t>shows</w:t>
      </w:r>
      <w:r>
        <w:rPr>
          <w:rFonts w:ascii="Century" w:hAnsi="Century"/>
          <w:spacing w:val="-31"/>
        </w:rPr>
        <w:t> </w:t>
      </w:r>
      <w:r>
        <w:rPr>
          <w:rFonts w:ascii="Century" w:hAnsi="Century"/>
        </w:rPr>
        <w:t>the</w:t>
      </w:r>
      <w:r>
        <w:rPr>
          <w:rFonts w:ascii="Century" w:hAnsi="Century"/>
          <w:spacing w:val="-30"/>
        </w:rPr>
        <w:t> </w:t>
      </w:r>
      <w:r>
        <w:rPr>
          <w:rFonts w:ascii="Century" w:hAnsi="Century"/>
        </w:rPr>
        <w:t>countries</w:t>
      </w:r>
      <w:r>
        <w:rPr>
          <w:rFonts w:ascii="Century" w:hAnsi="Century"/>
          <w:spacing w:val="-31"/>
        </w:rPr>
        <w:t> </w:t>
      </w:r>
      <w:r>
        <w:rPr>
          <w:rFonts w:ascii="Century" w:hAnsi="Century"/>
        </w:rPr>
        <w:t>that</w:t>
      </w:r>
      <w:r>
        <w:rPr>
          <w:rFonts w:ascii="Century" w:hAnsi="Century"/>
          <w:spacing w:val="-31"/>
        </w:rPr>
        <w:t> </w:t>
      </w:r>
      <w:r>
        <w:rPr>
          <w:rFonts w:ascii="Century" w:hAnsi="Century"/>
        </w:rPr>
        <w:t>make up the different control</w:t>
      </w:r>
      <w:r>
        <w:rPr>
          <w:rFonts w:ascii="Century" w:hAnsi="Century"/>
          <w:spacing w:val="35"/>
        </w:rPr>
        <w:t> </w:t>
      </w:r>
      <w:r>
        <w:rPr>
          <w:rFonts w:ascii="Century" w:hAnsi="Century"/>
        </w:rPr>
        <w:t>pools.</w:t>
      </w:r>
    </w:p>
    <w:p>
      <w:pPr>
        <w:pStyle w:val="BodyText"/>
        <w:rPr>
          <w:rFonts w:ascii="Century"/>
        </w:rPr>
      </w:pPr>
    </w:p>
    <w:p>
      <w:pPr>
        <w:pStyle w:val="Heading1"/>
        <w:spacing w:before="164"/>
      </w:pPr>
      <w:r>
        <w:rPr/>
        <w:t>Methodology</w:t>
      </w:r>
    </w:p>
    <w:p>
      <w:pPr>
        <w:pStyle w:val="BodyText"/>
        <w:spacing w:before="8"/>
        <w:rPr>
          <w:rFonts w:ascii="Georgia"/>
          <w:b/>
          <w:sz w:val="21"/>
        </w:rPr>
      </w:pPr>
    </w:p>
    <w:p>
      <w:pPr>
        <w:pStyle w:val="BodyText"/>
        <w:spacing w:line="352" w:lineRule="auto"/>
        <w:ind w:left="114" w:right="99" w:firstLine="5"/>
        <w:jc w:val="both"/>
        <w:rPr>
          <w:rFonts w:ascii="Century" w:hAnsi="Century"/>
        </w:rPr>
      </w:pPr>
      <w:r>
        <w:rPr>
          <w:rFonts w:ascii="Century" w:hAnsi="Century"/>
        </w:rPr>
        <w:t>Similar</w:t>
      </w:r>
      <w:r>
        <w:rPr>
          <w:rFonts w:ascii="Century" w:hAnsi="Century"/>
          <w:spacing w:val="-30"/>
        </w:rPr>
        <w:t> </w:t>
      </w:r>
      <w:r>
        <w:rPr>
          <w:rFonts w:ascii="Century" w:hAnsi="Century"/>
        </w:rPr>
        <w:t>to</w:t>
      </w:r>
      <w:r>
        <w:rPr>
          <w:rFonts w:ascii="Century" w:hAnsi="Century"/>
          <w:spacing w:val="-29"/>
        </w:rPr>
        <w:t> </w:t>
      </w:r>
      <w:r>
        <w:rPr>
          <w:rFonts w:ascii="Century" w:hAnsi="Century"/>
        </w:rPr>
        <w:t>Born</w:t>
      </w:r>
      <w:r>
        <w:rPr>
          <w:rFonts w:ascii="Century" w:hAnsi="Century"/>
          <w:spacing w:val="-30"/>
        </w:rPr>
        <w:t> </w:t>
      </w:r>
      <w:r>
        <w:rPr>
          <w:rFonts w:ascii="Century" w:hAnsi="Century"/>
        </w:rPr>
        <w:t>et</w:t>
      </w:r>
      <w:r>
        <w:rPr>
          <w:rFonts w:ascii="Century" w:hAnsi="Century"/>
          <w:spacing w:val="-29"/>
        </w:rPr>
        <w:t> </w:t>
      </w:r>
      <w:r>
        <w:rPr>
          <w:rFonts w:ascii="Century" w:hAnsi="Century"/>
        </w:rPr>
        <w:t>al.</w:t>
      </w:r>
      <w:r>
        <w:rPr>
          <w:rFonts w:ascii="Century" w:hAnsi="Century"/>
          <w:spacing w:val="-19"/>
        </w:rPr>
        <w:t> </w:t>
      </w:r>
      <w:r>
        <w:rPr>
          <w:rFonts w:ascii="Century" w:hAnsi="Century"/>
        </w:rPr>
        <w:t>(2018),</w:t>
      </w:r>
      <w:r>
        <w:rPr>
          <w:rFonts w:ascii="Century" w:hAnsi="Century"/>
          <w:spacing w:val="-29"/>
        </w:rPr>
        <w:t> </w:t>
      </w:r>
      <w:r>
        <w:rPr>
          <w:rFonts w:ascii="Century" w:hAnsi="Century"/>
          <w:spacing w:val="-3"/>
        </w:rPr>
        <w:t>we</w:t>
      </w:r>
      <w:r>
        <w:rPr>
          <w:rFonts w:ascii="Century" w:hAnsi="Century"/>
          <w:spacing w:val="-29"/>
        </w:rPr>
        <w:t> </w:t>
      </w:r>
      <w:r>
        <w:rPr>
          <w:rFonts w:ascii="Century" w:hAnsi="Century"/>
        </w:rPr>
        <w:t>use</w:t>
      </w:r>
      <w:r>
        <w:rPr>
          <w:rFonts w:ascii="Century" w:hAnsi="Century"/>
          <w:spacing w:val="-30"/>
        </w:rPr>
        <w:t> </w:t>
      </w:r>
      <w:r>
        <w:rPr>
          <w:rFonts w:ascii="Century" w:hAnsi="Century"/>
        </w:rPr>
        <w:t>the</w:t>
      </w:r>
      <w:r>
        <w:rPr>
          <w:rFonts w:ascii="Century" w:hAnsi="Century"/>
          <w:spacing w:val="-29"/>
        </w:rPr>
        <w:t> </w:t>
      </w:r>
      <w:r>
        <w:rPr>
          <w:rFonts w:ascii="Century" w:hAnsi="Century"/>
        </w:rPr>
        <w:t>methodology</w:t>
      </w:r>
      <w:r>
        <w:rPr>
          <w:rFonts w:ascii="Century" w:hAnsi="Century"/>
          <w:spacing w:val="-29"/>
        </w:rPr>
        <w:t> </w:t>
      </w:r>
      <w:r>
        <w:rPr>
          <w:rFonts w:ascii="Century" w:hAnsi="Century"/>
        </w:rPr>
        <w:t>in</w:t>
      </w:r>
      <w:r>
        <w:rPr>
          <w:rFonts w:ascii="Century" w:hAnsi="Century"/>
          <w:spacing w:val="-30"/>
        </w:rPr>
        <w:t> </w:t>
      </w:r>
      <w:r>
        <w:rPr>
          <w:rFonts w:ascii="Century" w:hAnsi="Century"/>
        </w:rPr>
        <w:t>Abadie</w:t>
      </w:r>
      <w:r>
        <w:rPr>
          <w:rFonts w:ascii="Century" w:hAnsi="Century"/>
          <w:spacing w:val="-29"/>
        </w:rPr>
        <w:t> </w:t>
      </w:r>
      <w:r>
        <w:rPr>
          <w:rFonts w:ascii="Century" w:hAnsi="Century"/>
        </w:rPr>
        <w:t>et</w:t>
      </w:r>
      <w:r>
        <w:rPr>
          <w:rFonts w:ascii="Century" w:hAnsi="Century"/>
          <w:spacing w:val="-30"/>
        </w:rPr>
        <w:t> </w:t>
      </w:r>
      <w:r>
        <w:rPr>
          <w:rFonts w:ascii="Century" w:hAnsi="Century"/>
        </w:rPr>
        <w:t>al.</w:t>
      </w:r>
      <w:r>
        <w:rPr>
          <w:rFonts w:ascii="Century" w:hAnsi="Century"/>
          <w:spacing w:val="-19"/>
        </w:rPr>
        <w:t> </w:t>
      </w:r>
      <w:r>
        <w:rPr>
          <w:rFonts w:ascii="Century" w:hAnsi="Century"/>
        </w:rPr>
        <w:t>(2003)</w:t>
      </w:r>
      <w:r>
        <w:rPr>
          <w:rFonts w:ascii="Century" w:hAnsi="Century"/>
          <w:spacing w:val="-29"/>
        </w:rPr>
        <w:t> </w:t>
      </w:r>
      <w:r>
        <w:rPr>
          <w:rFonts w:ascii="Century" w:hAnsi="Century"/>
        </w:rPr>
        <w:t>to</w:t>
      </w:r>
      <w:r>
        <w:rPr>
          <w:rFonts w:ascii="Century" w:hAnsi="Century"/>
          <w:spacing w:val="-29"/>
        </w:rPr>
        <w:t> </w:t>
      </w:r>
      <w:r>
        <w:rPr>
          <w:rFonts w:ascii="Century" w:hAnsi="Century"/>
        </w:rPr>
        <w:t>construct</w:t>
      </w:r>
      <w:r>
        <w:rPr>
          <w:rFonts w:ascii="Century" w:hAnsi="Century"/>
          <w:spacing w:val="-30"/>
        </w:rPr>
        <w:t> </w:t>
      </w:r>
      <w:r>
        <w:rPr>
          <w:rFonts w:ascii="Century" w:hAnsi="Century"/>
        </w:rPr>
        <w:t>a</w:t>
      </w:r>
      <w:r>
        <w:rPr>
          <w:rFonts w:ascii="Century" w:hAnsi="Century"/>
          <w:spacing w:val="-29"/>
        </w:rPr>
        <w:t> </w:t>
      </w:r>
      <w:r>
        <w:rPr>
          <w:rFonts w:ascii="Century" w:hAnsi="Century"/>
        </w:rPr>
        <w:t>synthetic</w:t>
      </w:r>
      <w:r>
        <w:rPr>
          <w:rFonts w:ascii="Century" w:hAnsi="Century"/>
          <w:spacing w:val="-29"/>
        </w:rPr>
        <w:t> </w:t>
      </w:r>
      <w:r>
        <w:rPr>
          <w:rFonts w:ascii="Century" w:hAnsi="Century"/>
        </w:rPr>
        <w:t>control for</w:t>
      </w:r>
      <w:r>
        <w:rPr>
          <w:rFonts w:ascii="Century" w:hAnsi="Century"/>
          <w:spacing w:val="-9"/>
        </w:rPr>
        <w:t> </w:t>
      </w:r>
      <w:r>
        <w:rPr>
          <w:rFonts w:ascii="Century" w:hAnsi="Century"/>
        </w:rPr>
        <w:t>UK</w:t>
      </w:r>
      <w:r>
        <w:rPr>
          <w:rFonts w:ascii="Century" w:hAnsi="Century"/>
          <w:spacing w:val="-8"/>
        </w:rPr>
        <w:t> </w:t>
      </w:r>
      <w:r>
        <w:rPr>
          <w:rFonts w:ascii="Century" w:hAnsi="Century"/>
          <w:spacing w:val="-5"/>
        </w:rPr>
        <w:t>GDP,</w:t>
      </w:r>
      <w:r>
        <w:rPr>
          <w:rFonts w:ascii="Century" w:hAnsi="Century"/>
          <w:spacing w:val="-8"/>
        </w:rPr>
        <w:t> </w:t>
      </w:r>
      <w:r>
        <w:rPr>
          <w:rFonts w:ascii="Century" w:hAnsi="Century"/>
        </w:rPr>
        <w:t>defining</w:t>
      </w:r>
      <w:r>
        <w:rPr>
          <w:rFonts w:ascii="Century" w:hAnsi="Century"/>
          <w:spacing w:val="-8"/>
        </w:rPr>
        <w:t> </w:t>
      </w:r>
      <w:r>
        <w:rPr>
          <w:rFonts w:ascii="Century" w:hAnsi="Century"/>
        </w:rPr>
        <w:t>Q2-2016</w:t>
      </w:r>
      <w:r>
        <w:rPr>
          <w:rFonts w:ascii="Century" w:hAnsi="Century"/>
          <w:spacing w:val="-8"/>
        </w:rPr>
        <w:t> </w:t>
      </w:r>
      <w:r>
        <w:rPr>
          <w:rFonts w:ascii="Century" w:hAnsi="Century"/>
        </w:rPr>
        <w:t>as</w:t>
      </w:r>
      <w:r>
        <w:rPr>
          <w:rFonts w:ascii="Century" w:hAnsi="Century"/>
          <w:spacing w:val="-8"/>
        </w:rPr>
        <w:t> </w:t>
      </w:r>
      <w:r>
        <w:rPr>
          <w:rFonts w:ascii="Century" w:hAnsi="Century"/>
        </w:rPr>
        <w:t>the</w:t>
      </w:r>
      <w:r>
        <w:rPr>
          <w:rFonts w:ascii="Century" w:hAnsi="Century"/>
          <w:spacing w:val="-8"/>
        </w:rPr>
        <w:t> </w:t>
      </w:r>
      <w:r>
        <w:rPr>
          <w:rFonts w:ascii="Century" w:hAnsi="Century"/>
        </w:rPr>
        <w:t>treatment</w:t>
      </w:r>
      <w:r>
        <w:rPr>
          <w:rFonts w:ascii="Century" w:hAnsi="Century"/>
          <w:spacing w:val="-8"/>
        </w:rPr>
        <w:t> </w:t>
      </w:r>
      <w:r>
        <w:rPr>
          <w:rFonts w:ascii="Century" w:hAnsi="Century"/>
        </w:rPr>
        <w:t>period.</w:t>
      </w:r>
      <w:r>
        <w:rPr>
          <w:rFonts w:ascii="Century" w:hAnsi="Century"/>
          <w:spacing w:val="9"/>
        </w:rPr>
        <w:t> </w:t>
      </w:r>
      <w:r>
        <w:rPr>
          <w:rFonts w:ascii="Century" w:hAnsi="Century"/>
        </w:rPr>
        <w:t>Let</w:t>
      </w:r>
      <w:r>
        <w:rPr>
          <w:rFonts w:ascii="Century" w:hAnsi="Century"/>
          <w:spacing w:val="-8"/>
        </w:rPr>
        <w:t> </w:t>
      </w:r>
      <w:r>
        <w:rPr>
          <w:rFonts w:ascii="Century" w:hAnsi="Century"/>
        </w:rPr>
        <w:t>the</w:t>
      </w:r>
      <w:r>
        <w:rPr>
          <w:rFonts w:ascii="Century" w:hAnsi="Century"/>
          <w:spacing w:val="-9"/>
        </w:rPr>
        <w:t> </w:t>
      </w:r>
      <w:r>
        <w:rPr>
          <w:rFonts w:ascii="Georgia" w:hAnsi="Georgia"/>
          <w:b/>
        </w:rPr>
        <w:t>X</w:t>
      </w:r>
      <w:r>
        <w:rPr>
          <w:b/>
          <w:vertAlign w:val="subscript"/>
        </w:rPr>
        <w:t>1</w:t>
      </w:r>
      <w:r>
        <w:rPr>
          <w:b/>
          <w:spacing w:val="-1"/>
          <w:vertAlign w:val="baseline"/>
        </w:rPr>
        <w:t> </w:t>
      </w:r>
      <w:r>
        <w:rPr>
          <w:rFonts w:ascii="Century" w:hAnsi="Century"/>
          <w:spacing w:val="2"/>
          <w:vertAlign w:val="baseline"/>
        </w:rPr>
        <w:t>be</w:t>
      </w:r>
      <w:r>
        <w:rPr>
          <w:rFonts w:ascii="Century" w:hAnsi="Century"/>
          <w:spacing w:val="-8"/>
          <w:vertAlign w:val="baseline"/>
        </w:rPr>
        <w:t> </w:t>
      </w:r>
      <w:r>
        <w:rPr>
          <w:rFonts w:ascii="Century" w:hAnsi="Century"/>
          <w:vertAlign w:val="baseline"/>
        </w:rPr>
        <w:t>a</w:t>
      </w:r>
      <w:r>
        <w:rPr>
          <w:rFonts w:ascii="Century" w:hAnsi="Century"/>
          <w:spacing w:val="-8"/>
          <w:vertAlign w:val="baseline"/>
        </w:rPr>
        <w:t> </w:t>
      </w:r>
      <w:r>
        <w:rPr>
          <w:vertAlign w:val="baseline"/>
        </w:rPr>
        <w:t>p</w:t>
      </w:r>
      <w:r>
        <w:rPr>
          <w:i/>
          <w:vertAlign w:val="baseline"/>
        </w:rPr>
        <w:t>T</w:t>
      </w:r>
      <w:r>
        <w:rPr>
          <w:i/>
          <w:spacing w:val="-4"/>
          <w:vertAlign w:val="baseline"/>
        </w:rPr>
        <w:t> </w:t>
      </w:r>
      <w:r>
        <w:rPr>
          <w:w w:val="205"/>
          <w:vertAlign w:val="baseline"/>
        </w:rPr>
        <w:t>ˆ</w:t>
      </w:r>
      <w:r>
        <w:rPr>
          <w:spacing w:val="-83"/>
          <w:w w:val="205"/>
          <w:vertAlign w:val="baseline"/>
        </w:rPr>
        <w:t> </w:t>
      </w:r>
      <w:r>
        <w:rPr>
          <w:rFonts w:ascii="Century" w:hAnsi="Century"/>
          <w:vertAlign w:val="baseline"/>
        </w:rPr>
        <w:t>1</w:t>
      </w:r>
      <w:r>
        <w:rPr>
          <w:vertAlign w:val="baseline"/>
        </w:rPr>
        <w:t>q</w:t>
      </w:r>
      <w:r>
        <w:rPr>
          <w:spacing w:val="-8"/>
          <w:vertAlign w:val="baseline"/>
        </w:rPr>
        <w:t> </w:t>
      </w:r>
      <w:r>
        <w:rPr>
          <w:rFonts w:ascii="Century" w:hAnsi="Century"/>
          <w:vertAlign w:val="baseline"/>
        </w:rPr>
        <w:t>vector</w:t>
      </w:r>
      <w:r>
        <w:rPr>
          <w:rFonts w:ascii="Century" w:hAnsi="Century"/>
          <w:spacing w:val="-8"/>
          <w:vertAlign w:val="baseline"/>
        </w:rPr>
        <w:t> </w:t>
      </w:r>
      <w:r>
        <w:rPr>
          <w:rFonts w:ascii="Century" w:hAnsi="Century"/>
          <w:vertAlign w:val="baseline"/>
        </w:rPr>
        <w:t>of</w:t>
      </w:r>
      <w:r>
        <w:rPr>
          <w:rFonts w:ascii="Century" w:hAnsi="Century"/>
          <w:spacing w:val="-8"/>
          <w:vertAlign w:val="baseline"/>
        </w:rPr>
        <w:t> </w:t>
      </w:r>
      <w:r>
        <w:rPr>
          <w:rFonts w:ascii="Century" w:hAnsi="Century"/>
          <w:vertAlign w:val="baseline"/>
        </w:rPr>
        <w:t>the</w:t>
      </w:r>
      <w:r>
        <w:rPr>
          <w:rFonts w:ascii="Century" w:hAnsi="Century"/>
          <w:spacing w:val="-9"/>
          <w:vertAlign w:val="baseline"/>
        </w:rPr>
        <w:t> </w:t>
      </w:r>
      <w:r>
        <w:rPr>
          <w:rFonts w:ascii="Century" w:hAnsi="Century"/>
          <w:vertAlign w:val="baseline"/>
        </w:rPr>
        <w:t>treatment variable,</w:t>
      </w:r>
      <w:r>
        <w:rPr>
          <w:rFonts w:ascii="Century" w:hAnsi="Century"/>
          <w:spacing w:val="5"/>
          <w:vertAlign w:val="baseline"/>
        </w:rPr>
        <w:t> </w:t>
      </w:r>
      <w:r>
        <w:rPr>
          <w:rFonts w:ascii="Georgia" w:hAnsi="Georgia"/>
          <w:b/>
          <w:vertAlign w:val="baseline"/>
        </w:rPr>
        <w:t>X</w:t>
      </w:r>
      <w:r>
        <w:rPr>
          <w:b/>
          <w:vertAlign w:val="subscript"/>
        </w:rPr>
        <w:t>0</w:t>
      </w:r>
      <w:r>
        <w:rPr>
          <w:b/>
          <w:spacing w:val="11"/>
          <w:vertAlign w:val="baseline"/>
        </w:rPr>
        <w:t> </w:t>
      </w:r>
      <w:r>
        <w:rPr>
          <w:rFonts w:ascii="Century" w:hAnsi="Century"/>
          <w:spacing w:val="2"/>
          <w:vertAlign w:val="baseline"/>
        </w:rPr>
        <w:t>be</w:t>
      </w:r>
      <w:r>
        <w:rPr>
          <w:rFonts w:ascii="Century" w:hAnsi="Century"/>
          <w:spacing w:val="3"/>
          <w:vertAlign w:val="baseline"/>
        </w:rPr>
        <w:t> </w:t>
      </w:r>
      <w:r>
        <w:rPr>
          <w:rFonts w:ascii="Century" w:hAnsi="Century"/>
          <w:vertAlign w:val="baseline"/>
        </w:rPr>
        <w:t>a</w:t>
      </w:r>
      <w:r>
        <w:rPr>
          <w:rFonts w:ascii="Century" w:hAnsi="Century"/>
          <w:spacing w:val="4"/>
          <w:vertAlign w:val="baseline"/>
        </w:rPr>
        <w:t> </w:t>
      </w:r>
      <w:r>
        <w:rPr>
          <w:vertAlign w:val="baseline"/>
        </w:rPr>
        <w:t>p</w:t>
      </w:r>
      <w:r>
        <w:rPr>
          <w:i/>
          <w:vertAlign w:val="baseline"/>
        </w:rPr>
        <w:t>T</w:t>
      </w:r>
      <w:r>
        <w:rPr>
          <w:i/>
          <w:spacing w:val="6"/>
          <w:vertAlign w:val="baseline"/>
        </w:rPr>
        <w:t> </w:t>
      </w:r>
      <w:r>
        <w:rPr>
          <w:w w:val="205"/>
          <w:vertAlign w:val="baseline"/>
        </w:rPr>
        <w:t>ˆ</w:t>
      </w:r>
      <w:r>
        <w:rPr>
          <w:spacing w:val="-75"/>
          <w:w w:val="205"/>
          <w:vertAlign w:val="baseline"/>
        </w:rPr>
        <w:t> </w:t>
      </w:r>
      <w:r>
        <w:rPr>
          <w:i/>
          <w:vertAlign w:val="baseline"/>
        </w:rPr>
        <w:t>N</w:t>
      </w:r>
      <w:r>
        <w:rPr>
          <w:i/>
          <w:spacing w:val="-39"/>
          <w:vertAlign w:val="baseline"/>
        </w:rPr>
        <w:t> </w:t>
      </w:r>
      <w:r>
        <w:rPr>
          <w:w w:val="95"/>
          <w:vertAlign w:val="baseline"/>
        </w:rPr>
        <w:t>q</w:t>
      </w:r>
      <w:r>
        <w:rPr>
          <w:spacing w:val="7"/>
          <w:w w:val="95"/>
          <w:vertAlign w:val="baseline"/>
        </w:rPr>
        <w:t> </w:t>
      </w:r>
      <w:r>
        <w:rPr>
          <w:rFonts w:ascii="Century" w:hAnsi="Century"/>
          <w:vertAlign w:val="baseline"/>
        </w:rPr>
        <w:t>data</w:t>
      </w:r>
      <w:r>
        <w:rPr>
          <w:rFonts w:ascii="Century" w:hAnsi="Century"/>
          <w:spacing w:val="3"/>
          <w:vertAlign w:val="baseline"/>
        </w:rPr>
        <w:t> </w:t>
      </w:r>
      <w:r>
        <w:rPr>
          <w:rFonts w:ascii="Century" w:hAnsi="Century"/>
          <w:vertAlign w:val="baseline"/>
        </w:rPr>
        <w:t>matrix</w:t>
      </w:r>
      <w:r>
        <w:rPr>
          <w:rFonts w:ascii="Century" w:hAnsi="Century"/>
          <w:spacing w:val="4"/>
          <w:vertAlign w:val="baseline"/>
        </w:rPr>
        <w:t> </w:t>
      </w:r>
      <w:r>
        <w:rPr>
          <w:rFonts w:ascii="Century" w:hAnsi="Century"/>
          <w:vertAlign w:val="baseline"/>
        </w:rPr>
        <w:t>of</w:t>
      </w:r>
      <w:r>
        <w:rPr>
          <w:rFonts w:ascii="Century" w:hAnsi="Century"/>
          <w:spacing w:val="3"/>
          <w:vertAlign w:val="baseline"/>
        </w:rPr>
        <w:t> </w:t>
      </w:r>
      <w:r>
        <w:rPr>
          <w:rFonts w:ascii="Century" w:hAnsi="Century"/>
          <w:vertAlign w:val="baseline"/>
        </w:rPr>
        <w:t>the</w:t>
      </w:r>
      <w:r>
        <w:rPr>
          <w:rFonts w:ascii="Century" w:hAnsi="Century"/>
          <w:spacing w:val="4"/>
          <w:vertAlign w:val="baseline"/>
        </w:rPr>
        <w:t> </w:t>
      </w:r>
      <w:r>
        <w:rPr>
          <w:rFonts w:ascii="Century" w:hAnsi="Century"/>
          <w:vertAlign w:val="baseline"/>
        </w:rPr>
        <w:t>units</w:t>
      </w:r>
      <w:r>
        <w:rPr>
          <w:rFonts w:ascii="Century" w:hAnsi="Century"/>
          <w:spacing w:val="3"/>
          <w:vertAlign w:val="baseline"/>
        </w:rPr>
        <w:t> </w:t>
      </w:r>
      <w:r>
        <w:rPr>
          <w:rFonts w:ascii="Century" w:hAnsi="Century"/>
          <w:vertAlign w:val="baseline"/>
        </w:rPr>
        <w:t>that</w:t>
      </w:r>
      <w:r>
        <w:rPr>
          <w:rFonts w:ascii="Century" w:hAnsi="Century"/>
          <w:spacing w:val="4"/>
          <w:vertAlign w:val="baseline"/>
        </w:rPr>
        <w:t> </w:t>
      </w:r>
      <w:r>
        <w:rPr>
          <w:rFonts w:ascii="Century" w:hAnsi="Century"/>
          <w:vertAlign w:val="baseline"/>
        </w:rPr>
        <w:t>make</w:t>
      </w:r>
      <w:r>
        <w:rPr>
          <w:rFonts w:ascii="Century" w:hAnsi="Century"/>
          <w:spacing w:val="3"/>
          <w:vertAlign w:val="baseline"/>
        </w:rPr>
        <w:t> </w:t>
      </w:r>
      <w:r>
        <w:rPr>
          <w:rFonts w:ascii="Century" w:hAnsi="Century"/>
          <w:vertAlign w:val="baseline"/>
        </w:rPr>
        <w:t>up</w:t>
      </w:r>
      <w:r>
        <w:rPr>
          <w:rFonts w:ascii="Century" w:hAnsi="Century"/>
          <w:spacing w:val="4"/>
          <w:vertAlign w:val="baseline"/>
        </w:rPr>
        <w:t> </w:t>
      </w:r>
      <w:r>
        <w:rPr>
          <w:rFonts w:ascii="Century" w:hAnsi="Century"/>
          <w:vertAlign w:val="baseline"/>
        </w:rPr>
        <w:t>the</w:t>
      </w:r>
      <w:r>
        <w:rPr>
          <w:rFonts w:ascii="Century" w:hAnsi="Century"/>
          <w:spacing w:val="3"/>
          <w:vertAlign w:val="baseline"/>
        </w:rPr>
        <w:t> </w:t>
      </w:r>
      <w:r>
        <w:rPr>
          <w:rFonts w:ascii="Century" w:hAnsi="Century"/>
          <w:vertAlign w:val="baseline"/>
        </w:rPr>
        <w:t>control</w:t>
      </w:r>
      <w:r>
        <w:rPr>
          <w:rFonts w:ascii="Century" w:hAnsi="Century"/>
          <w:spacing w:val="4"/>
          <w:vertAlign w:val="baseline"/>
        </w:rPr>
        <w:t> </w:t>
      </w:r>
      <w:r>
        <w:rPr>
          <w:rFonts w:ascii="Century" w:hAnsi="Century"/>
          <w:vertAlign w:val="baseline"/>
        </w:rPr>
        <w:t>pool,</w:t>
      </w:r>
      <w:r>
        <w:rPr>
          <w:rFonts w:ascii="Century" w:hAnsi="Century"/>
          <w:spacing w:val="5"/>
          <w:vertAlign w:val="baseline"/>
        </w:rPr>
        <w:t> </w:t>
      </w:r>
      <w:r>
        <w:rPr>
          <w:rFonts w:ascii="Century" w:hAnsi="Century"/>
          <w:vertAlign w:val="baseline"/>
        </w:rPr>
        <w:t>and</w:t>
      </w:r>
      <w:r>
        <w:rPr>
          <w:rFonts w:ascii="Century" w:hAnsi="Century"/>
          <w:spacing w:val="3"/>
          <w:vertAlign w:val="baseline"/>
        </w:rPr>
        <w:t> </w:t>
      </w:r>
      <w:r>
        <w:rPr>
          <w:rFonts w:ascii="Georgia" w:hAnsi="Georgia"/>
          <w:b/>
          <w:vertAlign w:val="baseline"/>
        </w:rPr>
        <w:t>V</w:t>
      </w:r>
      <w:r>
        <w:rPr>
          <w:rFonts w:ascii="Georgia" w:hAnsi="Georgia"/>
          <w:b/>
          <w:spacing w:val="11"/>
          <w:vertAlign w:val="baseline"/>
        </w:rPr>
        <w:t> </w:t>
      </w:r>
      <w:r>
        <w:rPr>
          <w:rFonts w:ascii="Century" w:hAnsi="Century"/>
          <w:spacing w:val="2"/>
          <w:vertAlign w:val="baseline"/>
        </w:rPr>
        <w:t>be</w:t>
      </w:r>
      <w:r>
        <w:rPr>
          <w:rFonts w:ascii="Century" w:hAnsi="Century"/>
          <w:spacing w:val="3"/>
          <w:vertAlign w:val="baseline"/>
        </w:rPr>
        <w:t> </w:t>
      </w:r>
      <w:r>
        <w:rPr>
          <w:rFonts w:ascii="Century" w:hAnsi="Century"/>
          <w:vertAlign w:val="baseline"/>
        </w:rPr>
        <w:t>a</w:t>
      </w:r>
      <w:r>
        <w:rPr>
          <w:rFonts w:ascii="Century" w:hAnsi="Century"/>
          <w:spacing w:val="4"/>
          <w:vertAlign w:val="baseline"/>
        </w:rPr>
        <w:t> </w:t>
      </w:r>
      <w:r>
        <w:rPr>
          <w:vertAlign w:val="baseline"/>
        </w:rPr>
        <w:t>p</w:t>
      </w:r>
      <w:r>
        <w:rPr>
          <w:i/>
          <w:vertAlign w:val="baseline"/>
        </w:rPr>
        <w:t>T</w:t>
      </w:r>
      <w:r>
        <w:rPr>
          <w:i/>
          <w:spacing w:val="6"/>
          <w:vertAlign w:val="baseline"/>
        </w:rPr>
        <w:t> </w:t>
      </w:r>
      <w:r>
        <w:rPr>
          <w:w w:val="205"/>
          <w:vertAlign w:val="baseline"/>
        </w:rPr>
        <w:t>ˆ</w:t>
      </w:r>
      <w:r>
        <w:rPr>
          <w:spacing w:val="-75"/>
          <w:w w:val="205"/>
          <w:vertAlign w:val="baseline"/>
        </w:rPr>
        <w:t> </w:t>
      </w:r>
      <w:r>
        <w:rPr>
          <w:i/>
          <w:vertAlign w:val="baseline"/>
        </w:rPr>
        <w:t>T</w:t>
      </w:r>
      <w:r>
        <w:rPr>
          <w:i/>
          <w:spacing w:val="-34"/>
          <w:vertAlign w:val="baseline"/>
        </w:rPr>
        <w:t> </w:t>
      </w:r>
      <w:r>
        <w:rPr>
          <w:w w:val="95"/>
          <w:vertAlign w:val="baseline"/>
        </w:rPr>
        <w:t>q </w:t>
      </w:r>
      <w:r>
        <w:rPr>
          <w:rFonts w:ascii="Century" w:hAnsi="Century"/>
          <w:vertAlign w:val="baseline"/>
        </w:rPr>
        <w:t>positive</w:t>
      </w:r>
      <w:r>
        <w:rPr>
          <w:rFonts w:ascii="Century" w:hAnsi="Century"/>
          <w:spacing w:val="-30"/>
          <w:vertAlign w:val="baseline"/>
        </w:rPr>
        <w:t> </w:t>
      </w:r>
      <w:r>
        <w:rPr>
          <w:rFonts w:ascii="Century" w:hAnsi="Century"/>
          <w:vertAlign w:val="baseline"/>
        </w:rPr>
        <w:t>definite</w:t>
      </w:r>
      <w:r>
        <w:rPr>
          <w:rFonts w:ascii="Century" w:hAnsi="Century"/>
          <w:spacing w:val="-30"/>
          <w:vertAlign w:val="baseline"/>
        </w:rPr>
        <w:t> </w:t>
      </w:r>
      <w:r>
        <w:rPr>
          <w:rFonts w:ascii="Century" w:hAnsi="Century"/>
          <w:vertAlign w:val="baseline"/>
        </w:rPr>
        <w:t>diagonal</w:t>
      </w:r>
      <w:r>
        <w:rPr>
          <w:rFonts w:ascii="Century" w:hAnsi="Century"/>
          <w:spacing w:val="-30"/>
          <w:vertAlign w:val="baseline"/>
        </w:rPr>
        <w:t> </w:t>
      </w:r>
      <w:r>
        <w:rPr>
          <w:rFonts w:ascii="Century" w:hAnsi="Century"/>
          <w:vertAlign w:val="baseline"/>
        </w:rPr>
        <w:t>matrix,</w:t>
      </w:r>
      <w:r>
        <w:rPr>
          <w:rFonts w:ascii="Century" w:hAnsi="Century"/>
          <w:spacing w:val="-31"/>
          <w:vertAlign w:val="baseline"/>
        </w:rPr>
        <w:t> </w:t>
      </w:r>
      <w:r>
        <w:rPr>
          <w:rFonts w:ascii="Century" w:hAnsi="Century"/>
          <w:vertAlign w:val="baseline"/>
        </w:rPr>
        <w:t>where</w:t>
      </w:r>
      <w:r>
        <w:rPr>
          <w:rFonts w:ascii="Century" w:hAnsi="Century"/>
          <w:spacing w:val="-29"/>
          <w:vertAlign w:val="baseline"/>
        </w:rPr>
        <w:t> </w:t>
      </w:r>
      <w:r>
        <w:rPr>
          <w:i/>
          <w:vertAlign w:val="baseline"/>
        </w:rPr>
        <w:t>T</w:t>
      </w:r>
      <w:r>
        <w:rPr>
          <w:i/>
          <w:spacing w:val="-19"/>
          <w:vertAlign w:val="baseline"/>
        </w:rPr>
        <w:t> </w:t>
      </w:r>
      <w:r>
        <w:rPr>
          <w:rFonts w:ascii="Century" w:hAnsi="Century"/>
          <w:vertAlign w:val="baseline"/>
        </w:rPr>
        <w:t>is</w:t>
      </w:r>
      <w:r>
        <w:rPr>
          <w:rFonts w:ascii="Century" w:hAnsi="Century"/>
          <w:spacing w:val="-30"/>
          <w:vertAlign w:val="baseline"/>
        </w:rPr>
        <w:t> </w:t>
      </w:r>
      <w:r>
        <w:rPr>
          <w:rFonts w:ascii="Century" w:hAnsi="Century"/>
          <w:vertAlign w:val="baseline"/>
        </w:rPr>
        <w:t>the</w:t>
      </w:r>
      <w:r>
        <w:rPr>
          <w:rFonts w:ascii="Century" w:hAnsi="Century"/>
          <w:spacing w:val="-31"/>
          <w:vertAlign w:val="baseline"/>
        </w:rPr>
        <w:t> </w:t>
      </w:r>
      <w:r>
        <w:rPr>
          <w:rFonts w:ascii="Century" w:hAnsi="Century"/>
          <w:vertAlign w:val="baseline"/>
        </w:rPr>
        <w:t>length</w:t>
      </w:r>
      <w:r>
        <w:rPr>
          <w:rFonts w:ascii="Century" w:hAnsi="Century"/>
          <w:spacing w:val="-30"/>
          <w:vertAlign w:val="baseline"/>
        </w:rPr>
        <w:t> </w:t>
      </w:r>
      <w:r>
        <w:rPr>
          <w:rFonts w:ascii="Century" w:hAnsi="Century"/>
          <w:vertAlign w:val="baseline"/>
        </w:rPr>
        <w:t>of</w:t>
      </w:r>
      <w:r>
        <w:rPr>
          <w:rFonts w:ascii="Century" w:hAnsi="Century"/>
          <w:spacing w:val="-30"/>
          <w:vertAlign w:val="baseline"/>
        </w:rPr>
        <w:t> </w:t>
      </w:r>
      <w:r>
        <w:rPr>
          <w:rFonts w:ascii="Century" w:hAnsi="Century"/>
          <w:vertAlign w:val="baseline"/>
        </w:rPr>
        <w:t>the</w:t>
      </w:r>
      <w:r>
        <w:rPr>
          <w:rFonts w:ascii="Century" w:hAnsi="Century"/>
          <w:spacing w:val="-30"/>
          <w:vertAlign w:val="baseline"/>
        </w:rPr>
        <w:t> </w:t>
      </w:r>
      <w:r>
        <w:rPr>
          <w:rFonts w:ascii="Century" w:hAnsi="Century"/>
          <w:vertAlign w:val="baseline"/>
        </w:rPr>
        <w:t>pre-treatment</w:t>
      </w:r>
      <w:r>
        <w:rPr>
          <w:rFonts w:ascii="Century" w:hAnsi="Century"/>
          <w:spacing w:val="-30"/>
          <w:vertAlign w:val="baseline"/>
        </w:rPr>
        <w:t> </w:t>
      </w:r>
      <w:r>
        <w:rPr>
          <w:rFonts w:ascii="Century" w:hAnsi="Century"/>
          <w:vertAlign w:val="baseline"/>
        </w:rPr>
        <w:t>sample</w:t>
      </w:r>
      <w:r>
        <w:rPr>
          <w:rFonts w:ascii="Century" w:hAnsi="Century"/>
          <w:spacing w:val="-30"/>
          <w:vertAlign w:val="baseline"/>
        </w:rPr>
        <w:t> </w:t>
      </w:r>
      <w:r>
        <w:rPr>
          <w:rFonts w:ascii="Century" w:hAnsi="Century"/>
          <w:vertAlign w:val="baseline"/>
        </w:rPr>
        <w:t>and</w:t>
      </w:r>
      <w:r>
        <w:rPr>
          <w:rFonts w:ascii="Century" w:hAnsi="Century"/>
          <w:spacing w:val="-30"/>
          <w:vertAlign w:val="baseline"/>
        </w:rPr>
        <w:t> </w:t>
      </w:r>
      <w:r>
        <w:rPr>
          <w:i/>
          <w:vertAlign w:val="baseline"/>
        </w:rPr>
        <w:t>N</w:t>
      </w:r>
      <w:r>
        <w:rPr>
          <w:i/>
          <w:spacing w:val="-22"/>
          <w:vertAlign w:val="baseline"/>
        </w:rPr>
        <w:t> </w:t>
      </w:r>
      <w:r>
        <w:rPr>
          <w:rFonts w:ascii="Century" w:hAnsi="Century"/>
          <w:vertAlign w:val="baseline"/>
        </w:rPr>
        <w:t>is</w:t>
      </w:r>
      <w:r>
        <w:rPr>
          <w:rFonts w:ascii="Century" w:hAnsi="Century"/>
          <w:spacing w:val="-30"/>
          <w:vertAlign w:val="baseline"/>
        </w:rPr>
        <w:t> </w:t>
      </w:r>
      <w:r>
        <w:rPr>
          <w:rFonts w:ascii="Century" w:hAnsi="Century"/>
          <w:vertAlign w:val="baseline"/>
        </w:rPr>
        <w:t>the</w:t>
      </w:r>
      <w:r>
        <w:rPr>
          <w:rFonts w:ascii="Century" w:hAnsi="Century"/>
          <w:spacing w:val="-30"/>
          <w:vertAlign w:val="baseline"/>
        </w:rPr>
        <w:t> </w:t>
      </w:r>
      <w:r>
        <w:rPr>
          <w:rFonts w:ascii="Century" w:hAnsi="Century"/>
          <w:vertAlign w:val="baseline"/>
        </w:rPr>
        <w:t>number</w:t>
      </w:r>
      <w:r>
        <w:rPr>
          <w:rFonts w:ascii="Century" w:hAnsi="Century"/>
          <w:spacing w:val="-30"/>
          <w:vertAlign w:val="baseline"/>
        </w:rPr>
        <w:t> </w:t>
      </w:r>
      <w:r>
        <w:rPr>
          <w:rFonts w:ascii="Century" w:hAnsi="Century"/>
          <w:vertAlign w:val="baseline"/>
        </w:rPr>
        <w:t>of units</w:t>
      </w:r>
      <w:r>
        <w:rPr>
          <w:rFonts w:ascii="Century" w:hAnsi="Century"/>
          <w:spacing w:val="-12"/>
          <w:vertAlign w:val="baseline"/>
        </w:rPr>
        <w:t> </w:t>
      </w:r>
      <w:r>
        <w:rPr>
          <w:rFonts w:ascii="Century" w:hAnsi="Century"/>
          <w:vertAlign w:val="baseline"/>
        </w:rPr>
        <w:t>in</w:t>
      </w:r>
      <w:r>
        <w:rPr>
          <w:rFonts w:ascii="Century" w:hAnsi="Century"/>
          <w:spacing w:val="-12"/>
          <w:vertAlign w:val="baseline"/>
        </w:rPr>
        <w:t> </w:t>
      </w:r>
      <w:r>
        <w:rPr>
          <w:rFonts w:ascii="Century" w:hAnsi="Century"/>
          <w:vertAlign w:val="baseline"/>
        </w:rPr>
        <w:t>the</w:t>
      </w:r>
      <w:r>
        <w:rPr>
          <w:rFonts w:ascii="Century" w:hAnsi="Century"/>
          <w:spacing w:val="-12"/>
          <w:vertAlign w:val="baseline"/>
        </w:rPr>
        <w:t> </w:t>
      </w:r>
      <w:r>
        <w:rPr>
          <w:rFonts w:ascii="Century" w:hAnsi="Century"/>
          <w:vertAlign w:val="baseline"/>
        </w:rPr>
        <w:t>control</w:t>
      </w:r>
      <w:r>
        <w:rPr>
          <w:rFonts w:ascii="Century" w:hAnsi="Century"/>
          <w:spacing w:val="-12"/>
          <w:vertAlign w:val="baseline"/>
        </w:rPr>
        <w:t> </w:t>
      </w:r>
      <w:r>
        <w:rPr>
          <w:rFonts w:ascii="Century" w:hAnsi="Century"/>
          <w:vertAlign w:val="baseline"/>
        </w:rPr>
        <w:t>pool.</w:t>
      </w:r>
      <w:r>
        <w:rPr>
          <w:rFonts w:ascii="Century" w:hAnsi="Century"/>
          <w:spacing w:val="2"/>
          <w:vertAlign w:val="baseline"/>
        </w:rPr>
        <w:t> </w:t>
      </w:r>
      <w:r>
        <w:rPr>
          <w:rFonts w:ascii="Century" w:hAnsi="Century"/>
          <w:vertAlign w:val="baseline"/>
        </w:rPr>
        <w:t>Define</w:t>
      </w:r>
      <w:r>
        <w:rPr>
          <w:rFonts w:ascii="Century" w:hAnsi="Century"/>
          <w:spacing w:val="-13"/>
          <w:vertAlign w:val="baseline"/>
        </w:rPr>
        <w:t> </w:t>
      </w:r>
      <w:r>
        <w:rPr>
          <w:rFonts w:ascii="Georgia" w:hAnsi="Georgia"/>
          <w:b/>
          <w:vertAlign w:val="baseline"/>
        </w:rPr>
        <w:t>Y</w:t>
      </w:r>
      <w:r>
        <w:rPr>
          <w:b/>
          <w:vertAlign w:val="subscript"/>
        </w:rPr>
        <w:t>0</w:t>
      </w:r>
      <w:r>
        <w:rPr>
          <w:b/>
          <w:spacing w:val="-5"/>
          <w:vertAlign w:val="baseline"/>
        </w:rPr>
        <w:t> </w:t>
      </w:r>
      <w:r>
        <w:rPr>
          <w:rFonts w:ascii="Century" w:hAnsi="Century"/>
          <w:vertAlign w:val="baseline"/>
        </w:rPr>
        <w:t>and</w:t>
      </w:r>
      <w:r>
        <w:rPr>
          <w:rFonts w:ascii="Century" w:hAnsi="Century"/>
          <w:spacing w:val="-12"/>
          <w:vertAlign w:val="baseline"/>
        </w:rPr>
        <w:t> </w:t>
      </w:r>
      <w:r>
        <w:rPr>
          <w:rFonts w:ascii="Georgia" w:hAnsi="Georgia"/>
          <w:b/>
          <w:vertAlign w:val="baseline"/>
        </w:rPr>
        <w:t>Y</w:t>
      </w:r>
      <w:r>
        <w:rPr>
          <w:b/>
          <w:vertAlign w:val="subscript"/>
        </w:rPr>
        <w:t>1</w:t>
      </w:r>
      <w:r>
        <w:rPr>
          <w:b/>
          <w:spacing w:val="-6"/>
          <w:vertAlign w:val="baseline"/>
        </w:rPr>
        <w:t> </w:t>
      </w:r>
      <w:r>
        <w:rPr>
          <w:rFonts w:ascii="Century" w:hAnsi="Century"/>
          <w:vertAlign w:val="baseline"/>
        </w:rPr>
        <w:t>as</w:t>
      </w:r>
      <w:r>
        <w:rPr>
          <w:rFonts w:ascii="Century" w:hAnsi="Century"/>
          <w:spacing w:val="-13"/>
          <w:vertAlign w:val="baseline"/>
        </w:rPr>
        <w:t> </w:t>
      </w:r>
      <w:r>
        <w:rPr>
          <w:rFonts w:ascii="Century" w:hAnsi="Century"/>
          <w:vertAlign w:val="baseline"/>
        </w:rPr>
        <w:t>the</w:t>
      </w:r>
      <w:r>
        <w:rPr>
          <w:rFonts w:ascii="Century" w:hAnsi="Century"/>
          <w:spacing w:val="-12"/>
          <w:vertAlign w:val="baseline"/>
        </w:rPr>
        <w:t> </w:t>
      </w:r>
      <w:r>
        <w:rPr>
          <w:rFonts w:ascii="Century" w:hAnsi="Century"/>
          <w:vertAlign w:val="baseline"/>
        </w:rPr>
        <w:t>post-treatment</w:t>
      </w:r>
      <w:r>
        <w:rPr>
          <w:rFonts w:ascii="Century" w:hAnsi="Century"/>
          <w:spacing w:val="-12"/>
          <w:vertAlign w:val="baseline"/>
        </w:rPr>
        <w:t> </w:t>
      </w:r>
      <w:r>
        <w:rPr>
          <w:rFonts w:ascii="Century" w:hAnsi="Century"/>
          <w:vertAlign w:val="baseline"/>
        </w:rPr>
        <w:t>analogues</w:t>
      </w:r>
      <w:r>
        <w:rPr>
          <w:rFonts w:ascii="Century" w:hAnsi="Century"/>
          <w:spacing w:val="-12"/>
          <w:vertAlign w:val="baseline"/>
        </w:rPr>
        <w:t> </w:t>
      </w:r>
      <w:r>
        <w:rPr>
          <w:rFonts w:ascii="Century" w:hAnsi="Century"/>
          <w:vertAlign w:val="baseline"/>
        </w:rPr>
        <w:t>of</w:t>
      </w:r>
      <w:r>
        <w:rPr>
          <w:rFonts w:ascii="Century" w:hAnsi="Century"/>
          <w:spacing w:val="-12"/>
          <w:vertAlign w:val="baseline"/>
        </w:rPr>
        <w:t> </w:t>
      </w:r>
      <w:r>
        <w:rPr>
          <w:rFonts w:ascii="Georgia" w:hAnsi="Georgia"/>
          <w:b/>
          <w:vertAlign w:val="baseline"/>
        </w:rPr>
        <w:t>X</w:t>
      </w:r>
      <w:r>
        <w:rPr>
          <w:b/>
          <w:vertAlign w:val="subscript"/>
        </w:rPr>
        <w:t>0</w:t>
      </w:r>
      <w:r>
        <w:rPr>
          <w:b/>
          <w:spacing w:val="-5"/>
          <w:vertAlign w:val="baseline"/>
        </w:rPr>
        <w:t> </w:t>
      </w:r>
      <w:r>
        <w:rPr>
          <w:rFonts w:ascii="Century" w:hAnsi="Century"/>
          <w:vertAlign w:val="baseline"/>
        </w:rPr>
        <w:t>and</w:t>
      </w:r>
      <w:r>
        <w:rPr>
          <w:rFonts w:ascii="Century" w:hAnsi="Century"/>
          <w:spacing w:val="-12"/>
          <w:vertAlign w:val="baseline"/>
        </w:rPr>
        <w:t> </w:t>
      </w:r>
      <w:r>
        <w:rPr>
          <w:rFonts w:ascii="Georgia" w:hAnsi="Georgia"/>
          <w:b/>
          <w:spacing w:val="3"/>
          <w:vertAlign w:val="baseline"/>
        </w:rPr>
        <w:t>X</w:t>
      </w:r>
      <w:r>
        <w:rPr>
          <w:b/>
          <w:spacing w:val="3"/>
          <w:vertAlign w:val="subscript"/>
        </w:rPr>
        <w:t>1</w:t>
      </w:r>
      <w:r>
        <w:rPr>
          <w:rFonts w:ascii="Century" w:hAnsi="Century"/>
          <w:spacing w:val="3"/>
          <w:vertAlign w:val="baseline"/>
        </w:rPr>
        <w:t>. </w:t>
      </w:r>
      <w:r>
        <w:rPr>
          <w:rFonts w:ascii="Century" w:hAnsi="Century"/>
          <w:vertAlign w:val="baseline"/>
        </w:rPr>
        <w:t>The</w:t>
      </w:r>
      <w:r>
        <w:rPr>
          <w:rFonts w:ascii="Century" w:hAnsi="Century"/>
          <w:spacing w:val="-12"/>
          <w:vertAlign w:val="baseline"/>
        </w:rPr>
        <w:t> </w:t>
      </w:r>
      <w:r>
        <w:rPr>
          <w:rFonts w:ascii="Century" w:hAnsi="Century"/>
          <w:vertAlign w:val="baseline"/>
        </w:rPr>
        <w:t>synthetic control</w:t>
      </w:r>
      <w:r>
        <w:rPr>
          <w:rFonts w:ascii="Century" w:hAnsi="Century"/>
          <w:spacing w:val="-25"/>
          <w:vertAlign w:val="baseline"/>
        </w:rPr>
        <w:t> </w:t>
      </w:r>
      <w:r>
        <w:rPr>
          <w:rFonts w:ascii="Century" w:hAnsi="Century"/>
          <w:vertAlign w:val="baseline"/>
        </w:rPr>
        <w:t>is</w:t>
      </w:r>
      <w:r>
        <w:rPr>
          <w:rFonts w:ascii="Century" w:hAnsi="Century"/>
          <w:spacing w:val="-24"/>
          <w:vertAlign w:val="baseline"/>
        </w:rPr>
        <w:t> </w:t>
      </w:r>
      <w:r>
        <w:rPr>
          <w:rFonts w:ascii="Century" w:hAnsi="Century"/>
          <w:vertAlign w:val="baseline"/>
        </w:rPr>
        <w:t>a</w:t>
      </w:r>
      <w:r>
        <w:rPr>
          <w:rFonts w:ascii="Century" w:hAnsi="Century"/>
          <w:spacing w:val="-24"/>
          <w:vertAlign w:val="baseline"/>
        </w:rPr>
        <w:t> </w:t>
      </w:r>
      <w:r>
        <w:rPr>
          <w:rFonts w:ascii="Century" w:hAnsi="Century"/>
          <w:vertAlign w:val="baseline"/>
        </w:rPr>
        <w:t>weighted</w:t>
      </w:r>
      <w:r>
        <w:rPr>
          <w:rFonts w:ascii="Century" w:hAnsi="Century"/>
          <w:spacing w:val="-24"/>
          <w:vertAlign w:val="baseline"/>
        </w:rPr>
        <w:t> </w:t>
      </w:r>
      <w:r>
        <w:rPr>
          <w:rFonts w:ascii="Century" w:hAnsi="Century"/>
          <w:vertAlign w:val="baseline"/>
        </w:rPr>
        <w:t>mean</w:t>
      </w:r>
      <w:r>
        <w:rPr>
          <w:rFonts w:ascii="Century" w:hAnsi="Century"/>
          <w:spacing w:val="-24"/>
          <w:vertAlign w:val="baseline"/>
        </w:rPr>
        <w:t> </w:t>
      </w:r>
      <w:r>
        <w:rPr>
          <w:rFonts w:ascii="Century" w:hAnsi="Century"/>
          <w:vertAlign w:val="baseline"/>
        </w:rPr>
        <w:t>of</w:t>
      </w:r>
      <w:r>
        <w:rPr>
          <w:rFonts w:ascii="Century" w:hAnsi="Century"/>
          <w:spacing w:val="-25"/>
          <w:vertAlign w:val="baseline"/>
        </w:rPr>
        <w:t> </w:t>
      </w:r>
      <w:r>
        <w:rPr>
          <w:rFonts w:ascii="Century" w:hAnsi="Century"/>
          <w:vertAlign w:val="baseline"/>
        </w:rPr>
        <w:t>the</w:t>
      </w:r>
      <w:r>
        <w:rPr>
          <w:rFonts w:ascii="Century" w:hAnsi="Century"/>
          <w:spacing w:val="-24"/>
          <w:vertAlign w:val="baseline"/>
        </w:rPr>
        <w:t> </w:t>
      </w:r>
      <w:r>
        <w:rPr>
          <w:rFonts w:ascii="Century" w:hAnsi="Century"/>
          <w:vertAlign w:val="baseline"/>
        </w:rPr>
        <w:t>units</w:t>
      </w:r>
      <w:r>
        <w:rPr>
          <w:rFonts w:ascii="Century" w:hAnsi="Century"/>
          <w:spacing w:val="-24"/>
          <w:vertAlign w:val="baseline"/>
        </w:rPr>
        <w:t> </w:t>
      </w:r>
      <w:r>
        <w:rPr>
          <w:rFonts w:ascii="Century" w:hAnsi="Century"/>
          <w:vertAlign w:val="baseline"/>
        </w:rPr>
        <w:t>in</w:t>
      </w:r>
      <w:r>
        <w:rPr>
          <w:rFonts w:ascii="Century" w:hAnsi="Century"/>
          <w:spacing w:val="-24"/>
          <w:vertAlign w:val="baseline"/>
        </w:rPr>
        <w:t> </w:t>
      </w:r>
      <w:r>
        <w:rPr>
          <w:rFonts w:ascii="Century" w:hAnsi="Century"/>
          <w:vertAlign w:val="baseline"/>
        </w:rPr>
        <w:t>the</w:t>
      </w:r>
      <w:r>
        <w:rPr>
          <w:rFonts w:ascii="Century" w:hAnsi="Century"/>
          <w:spacing w:val="-24"/>
          <w:vertAlign w:val="baseline"/>
        </w:rPr>
        <w:t> </w:t>
      </w:r>
      <w:r>
        <w:rPr>
          <w:rFonts w:ascii="Century" w:hAnsi="Century"/>
          <w:vertAlign w:val="baseline"/>
        </w:rPr>
        <w:t>control</w:t>
      </w:r>
      <w:r>
        <w:rPr>
          <w:rFonts w:ascii="Century" w:hAnsi="Century"/>
          <w:spacing w:val="-24"/>
          <w:vertAlign w:val="baseline"/>
        </w:rPr>
        <w:t> </w:t>
      </w:r>
      <w:r>
        <w:rPr>
          <w:rFonts w:ascii="Century" w:hAnsi="Century"/>
          <w:vertAlign w:val="baseline"/>
        </w:rPr>
        <w:t>pool,</w:t>
      </w:r>
      <w:r>
        <w:rPr>
          <w:rFonts w:ascii="Century" w:hAnsi="Century"/>
          <w:spacing w:val="-25"/>
          <w:vertAlign w:val="baseline"/>
        </w:rPr>
        <w:t> </w:t>
      </w:r>
      <w:r>
        <w:rPr>
          <w:rFonts w:ascii="Century" w:hAnsi="Century"/>
          <w:vertAlign w:val="baseline"/>
        </w:rPr>
        <w:t>with</w:t>
      </w:r>
      <w:r>
        <w:rPr>
          <w:rFonts w:ascii="Century" w:hAnsi="Century"/>
          <w:spacing w:val="-24"/>
          <w:vertAlign w:val="baseline"/>
        </w:rPr>
        <w:t> </w:t>
      </w:r>
      <w:r>
        <w:rPr>
          <w:rFonts w:ascii="Century" w:hAnsi="Century"/>
          <w:vertAlign w:val="baseline"/>
        </w:rPr>
        <w:t>weights</w:t>
      </w:r>
      <w:r>
        <w:rPr>
          <w:rFonts w:ascii="Century" w:hAnsi="Century"/>
          <w:spacing w:val="-24"/>
          <w:vertAlign w:val="baseline"/>
        </w:rPr>
        <w:t> </w:t>
      </w:r>
      <w:r>
        <w:rPr>
          <w:rFonts w:ascii="Georgia" w:hAnsi="Georgia"/>
          <w:b/>
          <w:vertAlign w:val="baseline"/>
        </w:rPr>
        <w:t>W</w:t>
      </w:r>
      <w:r>
        <w:rPr>
          <w:rFonts w:ascii="Georgia" w:hAnsi="Georgia"/>
          <w:b/>
          <w:spacing w:val="-22"/>
          <w:vertAlign w:val="baseline"/>
        </w:rPr>
        <w:t> </w:t>
      </w:r>
      <w:r>
        <w:rPr>
          <w:w w:val="205"/>
          <w:vertAlign w:val="baseline"/>
        </w:rPr>
        <w:t>“</w:t>
      </w:r>
      <w:r>
        <w:rPr>
          <w:spacing w:val="-86"/>
          <w:w w:val="205"/>
          <w:vertAlign w:val="baseline"/>
        </w:rPr>
        <w:t> </w:t>
      </w:r>
      <w:r>
        <w:rPr>
          <w:spacing w:val="2"/>
          <w:vertAlign w:val="baseline"/>
        </w:rPr>
        <w:t>p</w:t>
      </w:r>
      <w:r>
        <w:rPr>
          <w:i/>
          <w:spacing w:val="2"/>
          <w:vertAlign w:val="baseline"/>
        </w:rPr>
        <w:t>w</w:t>
      </w:r>
      <w:r>
        <w:rPr>
          <w:rFonts w:ascii="Bauhaus 93" w:hAnsi="Bauhaus 93"/>
          <w:spacing w:val="2"/>
          <w:sz w:val="14"/>
          <w:vertAlign w:val="baseline"/>
        </w:rPr>
        <w:t>1</w:t>
      </w:r>
      <w:r>
        <w:rPr>
          <w:i/>
          <w:spacing w:val="2"/>
          <w:vertAlign w:val="baseline"/>
        </w:rPr>
        <w:t>,</w:t>
      </w:r>
      <w:r>
        <w:rPr>
          <w:i/>
          <w:spacing w:val="-39"/>
          <w:vertAlign w:val="baseline"/>
        </w:rPr>
        <w:t> </w:t>
      </w:r>
      <w:r>
        <w:rPr>
          <w:i/>
          <w:vertAlign w:val="baseline"/>
        </w:rPr>
        <w:t>.</w:t>
      </w:r>
      <w:r>
        <w:rPr>
          <w:i/>
          <w:spacing w:val="-39"/>
          <w:vertAlign w:val="baseline"/>
        </w:rPr>
        <w:t> </w:t>
      </w:r>
      <w:r>
        <w:rPr>
          <w:i/>
          <w:vertAlign w:val="baseline"/>
        </w:rPr>
        <w:t>.</w:t>
      </w:r>
      <w:r>
        <w:rPr>
          <w:i/>
          <w:spacing w:val="-39"/>
          <w:vertAlign w:val="baseline"/>
        </w:rPr>
        <w:t> </w:t>
      </w:r>
      <w:r>
        <w:rPr>
          <w:i/>
          <w:vertAlign w:val="baseline"/>
        </w:rPr>
        <w:t>.</w:t>
      </w:r>
      <w:r>
        <w:rPr>
          <w:i/>
          <w:spacing w:val="-39"/>
          <w:vertAlign w:val="baseline"/>
        </w:rPr>
        <w:t> </w:t>
      </w:r>
      <w:r>
        <w:rPr>
          <w:i/>
          <w:vertAlign w:val="baseline"/>
        </w:rPr>
        <w:t>,</w:t>
      </w:r>
      <w:r>
        <w:rPr>
          <w:i/>
          <w:spacing w:val="-39"/>
          <w:vertAlign w:val="baseline"/>
        </w:rPr>
        <w:t> </w:t>
      </w:r>
      <w:r>
        <w:rPr>
          <w:i/>
          <w:vertAlign w:val="baseline"/>
        </w:rPr>
        <w:t>w</w:t>
      </w:r>
      <w:r>
        <w:rPr>
          <w:i/>
          <w:vertAlign w:val="subscript"/>
        </w:rPr>
        <w:t>N</w:t>
      </w:r>
      <w:r>
        <w:rPr>
          <w:i/>
          <w:spacing w:val="-43"/>
          <w:vertAlign w:val="baseline"/>
        </w:rPr>
        <w:t> </w:t>
      </w:r>
      <w:r>
        <w:rPr>
          <w:w w:val="95"/>
          <w:vertAlign w:val="baseline"/>
        </w:rPr>
        <w:t>q</w:t>
      </w:r>
      <w:r>
        <w:rPr>
          <w:w w:val="95"/>
          <w:position w:val="7"/>
          <w:sz w:val="14"/>
          <w:vertAlign w:val="baseline"/>
        </w:rPr>
        <w:t>1</w:t>
      </w:r>
      <w:r>
        <w:rPr>
          <w:spacing w:val="-1"/>
          <w:w w:val="95"/>
          <w:position w:val="7"/>
          <w:sz w:val="14"/>
          <w:vertAlign w:val="baseline"/>
        </w:rPr>
        <w:t> </w:t>
      </w:r>
      <w:r>
        <w:rPr>
          <w:rFonts w:ascii="Century" w:hAnsi="Century"/>
          <w:vertAlign w:val="baseline"/>
        </w:rPr>
        <w:t>a</w:t>
      </w:r>
      <w:r>
        <w:rPr>
          <w:rFonts w:ascii="Century" w:hAnsi="Century"/>
          <w:spacing w:val="-24"/>
          <w:vertAlign w:val="baseline"/>
        </w:rPr>
        <w:t> </w:t>
      </w:r>
      <w:r>
        <w:rPr>
          <w:vertAlign w:val="baseline"/>
        </w:rPr>
        <w:t>p</w:t>
      </w:r>
      <w:r>
        <w:rPr>
          <w:i/>
          <w:vertAlign w:val="baseline"/>
        </w:rPr>
        <w:t>N</w:t>
      </w:r>
      <w:r>
        <w:rPr>
          <w:i/>
          <w:spacing w:val="-27"/>
          <w:vertAlign w:val="baseline"/>
        </w:rPr>
        <w:t> </w:t>
      </w:r>
      <w:r>
        <w:rPr>
          <w:w w:val="205"/>
          <w:vertAlign w:val="baseline"/>
        </w:rPr>
        <w:t>ˆ</w:t>
      </w:r>
      <w:r>
        <w:rPr>
          <w:spacing w:val="-96"/>
          <w:w w:val="205"/>
          <w:vertAlign w:val="baseline"/>
        </w:rPr>
        <w:t> </w:t>
      </w:r>
      <w:r>
        <w:rPr>
          <w:rFonts w:ascii="Century" w:hAnsi="Century"/>
          <w:vertAlign w:val="baseline"/>
        </w:rPr>
        <w:t>1</w:t>
      </w:r>
      <w:r>
        <w:rPr>
          <w:vertAlign w:val="baseline"/>
        </w:rPr>
        <w:t>q</w:t>
      </w:r>
      <w:r>
        <w:rPr>
          <w:spacing w:val="-25"/>
          <w:vertAlign w:val="baseline"/>
        </w:rPr>
        <w:t> </w:t>
      </w:r>
      <w:r>
        <w:rPr>
          <w:rFonts w:ascii="Century" w:hAnsi="Century"/>
          <w:vertAlign w:val="baseline"/>
        </w:rPr>
        <w:t>vector. Choosing</w:t>
      </w:r>
      <w:r>
        <w:rPr>
          <w:rFonts w:ascii="Century" w:hAnsi="Century"/>
          <w:spacing w:val="-7"/>
          <w:vertAlign w:val="baseline"/>
        </w:rPr>
        <w:t> </w:t>
      </w:r>
      <w:r>
        <w:rPr>
          <w:rFonts w:ascii="Georgia" w:hAnsi="Georgia"/>
          <w:b/>
          <w:vertAlign w:val="baseline"/>
        </w:rPr>
        <w:t>W </w:t>
      </w:r>
      <w:r>
        <w:rPr>
          <w:rFonts w:ascii="Century" w:hAnsi="Century"/>
          <w:vertAlign w:val="baseline"/>
        </w:rPr>
        <w:t>is</w:t>
      </w:r>
      <w:r>
        <w:rPr>
          <w:rFonts w:ascii="Century" w:hAnsi="Century"/>
          <w:spacing w:val="-7"/>
          <w:vertAlign w:val="baseline"/>
        </w:rPr>
        <w:t> </w:t>
      </w:r>
      <w:r>
        <w:rPr>
          <w:rFonts w:ascii="Century" w:hAnsi="Century"/>
          <w:vertAlign w:val="baseline"/>
        </w:rPr>
        <w:t>therefore</w:t>
      </w:r>
      <w:r>
        <w:rPr>
          <w:rFonts w:ascii="Century" w:hAnsi="Century"/>
          <w:spacing w:val="-7"/>
          <w:vertAlign w:val="baseline"/>
        </w:rPr>
        <w:t> </w:t>
      </w:r>
      <w:r>
        <w:rPr>
          <w:rFonts w:ascii="Century" w:hAnsi="Century"/>
          <w:vertAlign w:val="baseline"/>
        </w:rPr>
        <w:t>equivalent</w:t>
      </w:r>
      <w:r>
        <w:rPr>
          <w:rFonts w:ascii="Century" w:hAnsi="Century"/>
          <w:spacing w:val="-7"/>
          <w:vertAlign w:val="baseline"/>
        </w:rPr>
        <w:t> </w:t>
      </w:r>
      <w:r>
        <w:rPr>
          <w:rFonts w:ascii="Century" w:hAnsi="Century"/>
          <w:vertAlign w:val="baseline"/>
        </w:rPr>
        <w:t>to</w:t>
      </w:r>
      <w:r>
        <w:rPr>
          <w:rFonts w:ascii="Century" w:hAnsi="Century"/>
          <w:spacing w:val="-7"/>
          <w:vertAlign w:val="baseline"/>
        </w:rPr>
        <w:t> </w:t>
      </w:r>
      <w:r>
        <w:rPr>
          <w:rFonts w:ascii="Century" w:hAnsi="Century"/>
          <w:vertAlign w:val="baseline"/>
        </w:rPr>
        <w:t>choosing</w:t>
      </w:r>
      <w:r>
        <w:rPr>
          <w:rFonts w:ascii="Century" w:hAnsi="Century"/>
          <w:spacing w:val="-7"/>
          <w:vertAlign w:val="baseline"/>
        </w:rPr>
        <w:t> </w:t>
      </w:r>
      <w:r>
        <w:rPr>
          <w:rFonts w:ascii="Century" w:hAnsi="Century"/>
          <w:vertAlign w:val="baseline"/>
        </w:rPr>
        <w:t>a</w:t>
      </w:r>
      <w:r>
        <w:rPr>
          <w:rFonts w:ascii="Century" w:hAnsi="Century"/>
          <w:spacing w:val="-7"/>
          <w:vertAlign w:val="baseline"/>
        </w:rPr>
        <w:t> </w:t>
      </w:r>
      <w:r>
        <w:rPr>
          <w:rFonts w:ascii="Century" w:hAnsi="Century"/>
          <w:vertAlign w:val="baseline"/>
        </w:rPr>
        <w:t>synthetic</w:t>
      </w:r>
      <w:r>
        <w:rPr>
          <w:rFonts w:ascii="Century" w:hAnsi="Century"/>
          <w:spacing w:val="-8"/>
          <w:vertAlign w:val="baseline"/>
        </w:rPr>
        <w:t> </w:t>
      </w:r>
      <w:r>
        <w:rPr>
          <w:rFonts w:ascii="Century" w:hAnsi="Century"/>
          <w:vertAlign w:val="baseline"/>
        </w:rPr>
        <w:t>control.</w:t>
      </w:r>
      <w:r>
        <w:rPr>
          <w:rFonts w:ascii="Century" w:hAnsi="Century"/>
          <w:spacing w:val="10"/>
          <w:vertAlign w:val="baseline"/>
        </w:rPr>
        <w:t> </w:t>
      </w:r>
      <w:r>
        <w:rPr>
          <w:rFonts w:ascii="Century" w:hAnsi="Century"/>
          <w:vertAlign w:val="baseline"/>
        </w:rPr>
        <w:t>I</w:t>
      </w:r>
      <w:r>
        <w:rPr>
          <w:rFonts w:ascii="Century" w:hAnsi="Century"/>
          <w:spacing w:val="-8"/>
          <w:vertAlign w:val="baseline"/>
        </w:rPr>
        <w:t> </w:t>
      </w:r>
      <w:r>
        <w:rPr>
          <w:rFonts w:ascii="Century" w:hAnsi="Century"/>
          <w:vertAlign w:val="baseline"/>
        </w:rPr>
        <w:t>estimate</w:t>
      </w:r>
      <w:r>
        <w:rPr>
          <w:rFonts w:ascii="Century" w:hAnsi="Century"/>
          <w:spacing w:val="-7"/>
          <w:vertAlign w:val="baseline"/>
        </w:rPr>
        <w:t> </w:t>
      </w:r>
      <w:r>
        <w:rPr>
          <w:rFonts w:ascii="Georgia" w:hAnsi="Georgia"/>
          <w:b/>
          <w:w w:val="130"/>
          <w:vertAlign w:val="baseline"/>
        </w:rPr>
        <w:t>W</w:t>
      </w:r>
      <w:r>
        <w:rPr>
          <w:w w:val="130"/>
          <w:vertAlign w:val="superscript"/>
        </w:rPr>
        <w:t>˚</w:t>
      </w:r>
      <w:r>
        <w:rPr>
          <w:spacing w:val="-17"/>
          <w:w w:val="130"/>
          <w:vertAlign w:val="baseline"/>
        </w:rPr>
        <w:t> </w:t>
      </w:r>
      <w:r>
        <w:rPr>
          <w:rFonts w:ascii="Century" w:hAnsi="Century"/>
          <w:vertAlign w:val="baseline"/>
        </w:rPr>
        <w:t>such</w:t>
      </w:r>
      <w:r>
        <w:rPr>
          <w:rFonts w:ascii="Century" w:hAnsi="Century"/>
          <w:spacing w:val="-6"/>
          <w:vertAlign w:val="baseline"/>
        </w:rPr>
        <w:t> </w:t>
      </w:r>
      <w:r>
        <w:rPr>
          <w:rFonts w:ascii="Century" w:hAnsi="Century"/>
          <w:vertAlign w:val="baseline"/>
        </w:rPr>
        <w:t>that:</w:t>
      </w:r>
    </w:p>
    <w:p>
      <w:pPr>
        <w:pStyle w:val="BodyText"/>
        <w:spacing w:before="6"/>
        <w:rPr>
          <w:rFonts w:ascii="Century"/>
          <w:sz w:val="29"/>
        </w:rPr>
      </w:pPr>
    </w:p>
    <w:p>
      <w:pPr>
        <w:tabs>
          <w:tab w:pos="9225" w:val="left" w:leader="none"/>
        </w:tabs>
        <w:spacing w:line="491" w:lineRule="auto" w:before="0"/>
        <w:ind w:left="418" w:right="137" w:firstLine="2413"/>
        <w:jc w:val="left"/>
        <w:rPr>
          <w:rFonts w:ascii="Century" w:hAnsi="Century"/>
          <w:sz w:val="20"/>
        </w:rPr>
      </w:pPr>
      <w:r>
        <w:rPr/>
        <w:pict>
          <v:line style="position:absolute;mso-position-horizontal-relative:page;mso-position-vertical-relative:paragraph;z-index:-252558336" from="72pt,52.608921pt" to="259.197pt,52.608921pt" stroked="true" strokeweight=".398pt" strokecolor="#000000">
            <v:stroke dashstyle="solid"/>
            <w10:wrap type="none"/>
          </v:line>
        </w:pict>
      </w:r>
      <w:r>
        <w:rPr/>
        <w:pict>
          <v:shape style="position:absolute;margin-left:243.880005pt;margin-top:12.309862pt;width:21.45pt;height:13.35pt;mso-position-horizontal-relative:page;mso-position-vertical-relative:paragraph;z-index:-252557312" type="#_x0000_t202" filled="false" stroked="false">
            <v:textbox inset="0,0,0,0">
              <w:txbxContent>
                <w:p>
                  <w:pPr>
                    <w:spacing w:before="1"/>
                    <w:ind w:left="0" w:right="0" w:firstLine="0"/>
                    <w:jc w:val="left"/>
                    <w:rPr>
                      <w:i/>
                      <w:sz w:val="14"/>
                    </w:rPr>
                  </w:pPr>
                  <w:r>
                    <w:rPr>
                      <w:b/>
                      <w:w w:val="115"/>
                      <w:sz w:val="14"/>
                    </w:rPr>
                    <w:t>W</w:t>
                  </w:r>
                  <w:r>
                    <w:rPr>
                      <w:w w:val="115"/>
                      <w:sz w:val="14"/>
                    </w:rPr>
                    <w:t>P</w:t>
                  </w:r>
                  <w:r>
                    <w:rPr>
                      <w:i/>
                      <w:w w:val="115"/>
                      <w:sz w:val="14"/>
                    </w:rPr>
                    <w:t>W</w:t>
                  </w:r>
                </w:p>
              </w:txbxContent>
            </v:textbox>
            <w10:wrap type="none"/>
          </v:shape>
        </w:pict>
      </w:r>
      <w:r>
        <w:rPr>
          <w:rFonts w:ascii="Georgia" w:hAnsi="Georgia"/>
          <w:b/>
          <w:spacing w:val="3"/>
          <w:w w:val="105"/>
          <w:sz w:val="20"/>
        </w:rPr>
        <w:t>W</w:t>
      </w:r>
      <w:r>
        <w:rPr>
          <w:w w:val="193"/>
          <w:sz w:val="20"/>
          <w:vertAlign w:val="superscript"/>
        </w:rPr>
        <w:t>˚</w:t>
      </w:r>
      <w:r>
        <w:rPr>
          <w:spacing w:val="9"/>
          <w:sz w:val="20"/>
          <w:vertAlign w:val="baseline"/>
        </w:rPr>
        <w:t> </w:t>
      </w:r>
      <w:r>
        <w:rPr>
          <w:w w:val="232"/>
          <w:sz w:val="20"/>
          <w:vertAlign w:val="baseline"/>
        </w:rPr>
        <w:t>“</w:t>
      </w:r>
      <w:r>
        <w:rPr>
          <w:spacing w:val="-1"/>
          <w:sz w:val="20"/>
          <w:vertAlign w:val="baseline"/>
        </w:rPr>
        <w:t> </w:t>
      </w:r>
      <w:r>
        <w:rPr>
          <w:i/>
          <w:w w:val="109"/>
          <w:sz w:val="20"/>
          <w:vertAlign w:val="baseline"/>
        </w:rPr>
        <w:t>a</w:t>
      </w:r>
      <w:r>
        <w:rPr>
          <w:i/>
          <w:spacing w:val="5"/>
          <w:w w:val="109"/>
          <w:sz w:val="20"/>
          <w:vertAlign w:val="baseline"/>
        </w:rPr>
        <w:t>r</w:t>
      </w:r>
      <w:r>
        <w:rPr>
          <w:i/>
          <w:spacing w:val="7"/>
          <w:w w:val="85"/>
          <w:sz w:val="20"/>
          <w:vertAlign w:val="baseline"/>
        </w:rPr>
        <w:t>g</w:t>
      </w:r>
      <w:r>
        <w:rPr>
          <w:i/>
          <w:w w:val="112"/>
          <w:sz w:val="20"/>
          <w:vertAlign w:val="baseline"/>
        </w:rPr>
        <w:t>min</w:t>
      </w:r>
      <w:r>
        <w:rPr>
          <w:i/>
          <w:spacing w:val="-1"/>
          <w:sz w:val="20"/>
          <w:vertAlign w:val="baseline"/>
        </w:rPr>
        <w:t> </w:t>
      </w:r>
      <w:r>
        <w:rPr>
          <w:spacing w:val="-1"/>
          <w:w w:val="69"/>
          <w:sz w:val="20"/>
          <w:vertAlign w:val="baseline"/>
        </w:rPr>
        <w:t>p</w:t>
      </w:r>
      <w:r>
        <w:rPr>
          <w:rFonts w:ascii="Georgia" w:hAnsi="Georgia"/>
          <w:b/>
          <w:w w:val="107"/>
          <w:sz w:val="20"/>
          <w:vertAlign w:val="baseline"/>
        </w:rPr>
        <w:t>X</w:t>
      </w:r>
      <w:r>
        <w:rPr>
          <w:b/>
          <w:w w:val="108"/>
          <w:sz w:val="20"/>
          <w:vertAlign w:val="subscript"/>
        </w:rPr>
        <w:t>1</w:t>
      </w:r>
      <w:r>
        <w:rPr>
          <w:b/>
          <w:spacing w:val="-2"/>
          <w:sz w:val="20"/>
          <w:vertAlign w:val="baseline"/>
        </w:rPr>
        <w:t> </w:t>
      </w:r>
      <w:r>
        <w:rPr>
          <w:w w:val="232"/>
          <w:sz w:val="20"/>
          <w:vertAlign w:val="baseline"/>
        </w:rPr>
        <w:t>´</w:t>
      </w:r>
      <w:r>
        <w:rPr>
          <w:spacing w:val="-12"/>
          <w:sz w:val="20"/>
          <w:vertAlign w:val="baseline"/>
        </w:rPr>
        <w:t> </w:t>
      </w:r>
      <w:r>
        <w:rPr>
          <w:rFonts w:ascii="Georgia" w:hAnsi="Georgia"/>
          <w:b/>
          <w:w w:val="107"/>
          <w:sz w:val="20"/>
          <w:vertAlign w:val="baseline"/>
        </w:rPr>
        <w:t>X</w:t>
      </w:r>
      <w:r>
        <w:rPr>
          <w:b/>
          <w:spacing w:val="10"/>
          <w:w w:val="108"/>
          <w:sz w:val="20"/>
          <w:vertAlign w:val="subscript"/>
        </w:rPr>
        <w:t>0</w:t>
      </w:r>
      <w:r>
        <w:rPr>
          <w:rFonts w:ascii="Georgia" w:hAnsi="Georgia"/>
          <w:b/>
          <w:spacing w:val="3"/>
          <w:w w:val="105"/>
          <w:sz w:val="20"/>
          <w:vertAlign w:val="baseline"/>
        </w:rPr>
        <w:t>W</w:t>
      </w:r>
      <w:r>
        <w:rPr>
          <w:spacing w:val="-1"/>
          <w:w w:val="69"/>
          <w:sz w:val="20"/>
          <w:vertAlign w:val="baseline"/>
        </w:rPr>
        <w:t>q</w:t>
      </w:r>
      <w:r>
        <w:rPr>
          <w:spacing w:val="10"/>
          <w:w w:val="56"/>
          <w:position w:val="8"/>
          <w:sz w:val="14"/>
          <w:vertAlign w:val="baseline"/>
        </w:rPr>
        <w:t>1</w:t>
      </w:r>
      <w:r>
        <w:rPr>
          <w:rFonts w:ascii="Georgia" w:hAnsi="Georgia"/>
          <w:b/>
          <w:spacing w:val="3"/>
          <w:w w:val="113"/>
          <w:sz w:val="20"/>
          <w:vertAlign w:val="baseline"/>
        </w:rPr>
        <w:t>V</w:t>
      </w:r>
      <w:r>
        <w:rPr>
          <w:spacing w:val="-1"/>
          <w:w w:val="69"/>
          <w:sz w:val="20"/>
          <w:vertAlign w:val="baseline"/>
        </w:rPr>
        <w:t>p</w:t>
      </w:r>
      <w:r>
        <w:rPr>
          <w:rFonts w:ascii="Georgia" w:hAnsi="Georgia"/>
          <w:b/>
          <w:w w:val="107"/>
          <w:sz w:val="20"/>
          <w:vertAlign w:val="baseline"/>
        </w:rPr>
        <w:t>X</w:t>
      </w:r>
      <w:r>
        <w:rPr>
          <w:b/>
          <w:w w:val="108"/>
          <w:sz w:val="20"/>
          <w:vertAlign w:val="subscript"/>
        </w:rPr>
        <w:t>1</w:t>
      </w:r>
      <w:r>
        <w:rPr>
          <w:b/>
          <w:spacing w:val="-2"/>
          <w:sz w:val="20"/>
          <w:vertAlign w:val="baseline"/>
        </w:rPr>
        <w:t> </w:t>
      </w:r>
      <w:r>
        <w:rPr>
          <w:w w:val="232"/>
          <w:sz w:val="20"/>
          <w:vertAlign w:val="baseline"/>
        </w:rPr>
        <w:t>´</w:t>
      </w:r>
      <w:r>
        <w:rPr>
          <w:spacing w:val="-12"/>
          <w:sz w:val="20"/>
          <w:vertAlign w:val="baseline"/>
        </w:rPr>
        <w:t> </w:t>
      </w:r>
      <w:r>
        <w:rPr>
          <w:rFonts w:ascii="Georgia" w:hAnsi="Georgia"/>
          <w:b/>
          <w:w w:val="107"/>
          <w:sz w:val="20"/>
          <w:vertAlign w:val="baseline"/>
        </w:rPr>
        <w:t>X</w:t>
      </w:r>
      <w:r>
        <w:rPr>
          <w:b/>
          <w:spacing w:val="10"/>
          <w:w w:val="108"/>
          <w:sz w:val="20"/>
          <w:vertAlign w:val="subscript"/>
        </w:rPr>
        <w:t>0</w:t>
      </w:r>
      <w:r>
        <w:rPr>
          <w:rFonts w:ascii="Georgia" w:hAnsi="Georgia"/>
          <w:b/>
          <w:spacing w:val="3"/>
          <w:w w:val="105"/>
          <w:sz w:val="20"/>
          <w:vertAlign w:val="baseline"/>
        </w:rPr>
        <w:t>W</w:t>
      </w:r>
      <w:r>
        <w:rPr>
          <w:w w:val="69"/>
          <w:sz w:val="20"/>
          <w:vertAlign w:val="baseline"/>
        </w:rPr>
        <w:t>q</w:t>
      </w:r>
      <w:r>
        <w:rPr>
          <w:sz w:val="20"/>
          <w:vertAlign w:val="baseline"/>
        </w:rPr>
        <w:tab/>
      </w:r>
      <w:r>
        <w:rPr>
          <w:rFonts w:ascii="Century" w:hAnsi="Century"/>
          <w:spacing w:val="-6"/>
          <w:w w:val="104"/>
          <w:sz w:val="20"/>
          <w:vertAlign w:val="baseline"/>
        </w:rPr>
        <w:t>(1)</w:t>
      </w:r>
      <w:r>
        <w:rPr>
          <w:rFonts w:ascii="Century" w:hAnsi="Century"/>
          <w:w w:val="104"/>
          <w:sz w:val="20"/>
          <w:vertAlign w:val="baseline"/>
        </w:rPr>
        <w:t> </w:t>
      </w:r>
      <w:r>
        <w:rPr>
          <w:rFonts w:ascii="Century" w:hAnsi="Century"/>
          <w:sz w:val="20"/>
          <w:vertAlign w:val="baseline"/>
        </w:rPr>
        <w:t>where</w:t>
      </w:r>
      <w:r>
        <w:rPr>
          <w:rFonts w:ascii="Century" w:hAnsi="Century"/>
          <w:spacing w:val="-18"/>
          <w:sz w:val="20"/>
          <w:vertAlign w:val="baseline"/>
        </w:rPr>
        <w:t> </w:t>
      </w:r>
      <w:r>
        <w:rPr>
          <w:i/>
          <w:sz w:val="20"/>
          <w:vertAlign w:val="baseline"/>
        </w:rPr>
        <w:t>W</w:t>
      </w:r>
      <w:r>
        <w:rPr>
          <w:i/>
          <w:spacing w:val="-8"/>
          <w:sz w:val="20"/>
          <w:vertAlign w:val="baseline"/>
        </w:rPr>
        <w:t> </w:t>
      </w:r>
      <w:r>
        <w:rPr>
          <w:w w:val="205"/>
          <w:sz w:val="20"/>
          <w:vertAlign w:val="baseline"/>
        </w:rPr>
        <w:t>“</w:t>
      </w:r>
      <w:r>
        <w:rPr>
          <w:spacing w:val="-79"/>
          <w:w w:val="205"/>
          <w:sz w:val="20"/>
          <w:vertAlign w:val="baseline"/>
        </w:rPr>
        <w:t> </w:t>
      </w:r>
      <w:r>
        <w:rPr>
          <w:w w:val="130"/>
          <w:sz w:val="20"/>
          <w:vertAlign w:val="baseline"/>
        </w:rPr>
        <w:t>t</w:t>
      </w:r>
      <w:r>
        <w:rPr>
          <w:rFonts w:ascii="Georgia" w:hAnsi="Georgia"/>
          <w:b/>
          <w:w w:val="130"/>
          <w:sz w:val="20"/>
          <w:vertAlign w:val="baseline"/>
        </w:rPr>
        <w:t>W</w:t>
      </w:r>
      <w:r>
        <w:rPr>
          <w:rFonts w:ascii="Georgia" w:hAnsi="Georgia"/>
          <w:b/>
          <w:spacing w:val="-28"/>
          <w:w w:val="130"/>
          <w:sz w:val="20"/>
          <w:vertAlign w:val="baseline"/>
        </w:rPr>
        <w:t> </w:t>
      </w:r>
      <w:r>
        <w:rPr>
          <w:rFonts w:ascii="Century" w:hAnsi="Century"/>
          <w:sz w:val="20"/>
          <w:vertAlign w:val="baseline"/>
        </w:rPr>
        <w:t>:</w:t>
      </w:r>
      <w:r>
        <w:rPr>
          <w:rFonts w:ascii="Century" w:hAnsi="Century"/>
          <w:spacing w:val="-20"/>
          <w:sz w:val="20"/>
          <w:vertAlign w:val="baseline"/>
        </w:rPr>
        <w:t> </w:t>
      </w:r>
      <w:r>
        <w:rPr>
          <w:rFonts w:ascii="Georgia" w:hAnsi="Georgia"/>
          <w:b/>
          <w:sz w:val="20"/>
          <w:vertAlign w:val="baseline"/>
        </w:rPr>
        <w:t>W</w:t>
      </w:r>
      <w:r>
        <w:rPr>
          <w:rFonts w:ascii="Georgia" w:hAnsi="Georgia"/>
          <w:b/>
          <w:spacing w:val="-13"/>
          <w:sz w:val="20"/>
          <w:vertAlign w:val="baseline"/>
        </w:rPr>
        <w:t> </w:t>
      </w:r>
      <w:r>
        <w:rPr>
          <w:w w:val="130"/>
          <w:sz w:val="20"/>
          <w:vertAlign w:val="baseline"/>
        </w:rPr>
        <w:t>ě</w:t>
      </w:r>
      <w:r>
        <w:rPr>
          <w:spacing w:val="-36"/>
          <w:w w:val="130"/>
          <w:sz w:val="20"/>
          <w:vertAlign w:val="baseline"/>
        </w:rPr>
        <w:t> </w:t>
      </w:r>
      <w:r>
        <w:rPr>
          <w:rFonts w:ascii="Century" w:hAnsi="Century"/>
          <w:sz w:val="20"/>
          <w:vertAlign w:val="baseline"/>
        </w:rPr>
        <w:t>0;</w:t>
      </w:r>
      <w:r>
        <w:rPr>
          <w:rFonts w:ascii="Century" w:hAnsi="Century"/>
          <w:spacing w:val="31"/>
          <w:sz w:val="20"/>
          <w:vertAlign w:val="baseline"/>
        </w:rPr>
        <w:t> </w:t>
      </w:r>
      <w:r>
        <w:rPr>
          <w:rFonts w:ascii="Georgia" w:hAnsi="Georgia"/>
          <w:b/>
          <w:spacing w:val="3"/>
          <w:sz w:val="20"/>
          <w:vertAlign w:val="baseline"/>
        </w:rPr>
        <w:t>W</w:t>
      </w:r>
      <w:r>
        <w:rPr>
          <w:rFonts w:ascii="Georgia" w:hAnsi="Georgia"/>
          <w:b/>
          <w:spacing w:val="14"/>
          <w:sz w:val="20"/>
          <w:vertAlign w:val="baseline"/>
        </w:rPr>
        <w:t> </w:t>
      </w:r>
      <w:r>
        <w:rPr>
          <w:rFonts w:ascii="Bauhaus 93" w:hAnsi="Bauhaus 93"/>
          <w:sz w:val="14"/>
          <w:vertAlign w:val="baseline"/>
        </w:rPr>
        <w:t>1</w:t>
      </w:r>
      <w:r>
        <w:rPr>
          <w:rFonts w:ascii="Bauhaus 93" w:hAnsi="Bauhaus 93"/>
          <w:spacing w:val="8"/>
          <w:sz w:val="14"/>
          <w:vertAlign w:val="baseline"/>
        </w:rPr>
        <w:t> </w:t>
      </w:r>
      <w:r>
        <w:rPr>
          <w:w w:val="205"/>
          <w:sz w:val="20"/>
          <w:vertAlign w:val="baseline"/>
        </w:rPr>
        <w:t>“</w:t>
      </w:r>
      <w:r>
        <w:rPr>
          <w:spacing w:val="-78"/>
          <w:w w:val="205"/>
          <w:sz w:val="20"/>
          <w:vertAlign w:val="baseline"/>
        </w:rPr>
        <w:t> </w:t>
      </w:r>
      <w:r>
        <w:rPr>
          <w:rFonts w:ascii="Century" w:hAnsi="Century"/>
          <w:sz w:val="20"/>
          <w:vertAlign w:val="baseline"/>
        </w:rPr>
        <w:t>1</w:t>
      </w:r>
      <w:r>
        <w:rPr>
          <w:sz w:val="20"/>
          <w:vertAlign w:val="baseline"/>
        </w:rPr>
        <w:t>u</w:t>
      </w:r>
      <w:r>
        <w:rPr>
          <w:rFonts w:ascii="Century" w:hAnsi="Century"/>
          <w:sz w:val="20"/>
          <w:vertAlign w:val="baseline"/>
        </w:rPr>
        <w:t>.</w:t>
      </w:r>
      <w:hyperlink w:history="true" w:anchor="_bookmark0">
        <w:r>
          <w:rPr>
            <w:rFonts w:ascii="Bauhaus 93" w:hAnsi="Bauhaus 93"/>
            <w:color w:val="FF0000"/>
            <w:sz w:val="14"/>
            <w:vertAlign w:val="baseline"/>
          </w:rPr>
          <w:t>3</w:t>
        </w:r>
      </w:hyperlink>
      <w:r>
        <w:rPr>
          <w:rFonts w:ascii="Bauhaus 93" w:hAnsi="Bauhaus 93"/>
          <w:color w:val="FF0000"/>
          <w:spacing w:val="28"/>
          <w:sz w:val="14"/>
          <w:vertAlign w:val="baseline"/>
        </w:rPr>
        <w:t> </w:t>
      </w:r>
      <w:r>
        <w:rPr>
          <w:rFonts w:ascii="Century" w:hAnsi="Century"/>
          <w:sz w:val="20"/>
          <w:vertAlign w:val="baseline"/>
        </w:rPr>
        <w:t>It</w:t>
      </w:r>
      <w:r>
        <w:rPr>
          <w:rFonts w:ascii="Century" w:hAnsi="Century"/>
          <w:spacing w:val="-18"/>
          <w:sz w:val="20"/>
          <w:vertAlign w:val="baseline"/>
        </w:rPr>
        <w:t> </w:t>
      </w:r>
      <w:r>
        <w:rPr>
          <w:rFonts w:ascii="Century" w:hAnsi="Century"/>
          <w:sz w:val="20"/>
          <w:vertAlign w:val="baseline"/>
        </w:rPr>
        <w:t>is</w:t>
      </w:r>
      <w:r>
        <w:rPr>
          <w:rFonts w:ascii="Century" w:hAnsi="Century"/>
          <w:spacing w:val="-17"/>
          <w:sz w:val="20"/>
          <w:vertAlign w:val="baseline"/>
        </w:rPr>
        <w:t> </w:t>
      </w:r>
      <w:r>
        <w:rPr>
          <w:rFonts w:ascii="Century" w:hAnsi="Century"/>
          <w:sz w:val="20"/>
          <w:vertAlign w:val="baseline"/>
        </w:rPr>
        <w:t>easy</w:t>
      </w:r>
      <w:r>
        <w:rPr>
          <w:rFonts w:ascii="Century" w:hAnsi="Century"/>
          <w:spacing w:val="-17"/>
          <w:sz w:val="20"/>
          <w:vertAlign w:val="baseline"/>
        </w:rPr>
        <w:t> </w:t>
      </w:r>
      <w:r>
        <w:rPr>
          <w:rFonts w:ascii="Century" w:hAnsi="Century"/>
          <w:sz w:val="20"/>
          <w:vertAlign w:val="baseline"/>
        </w:rPr>
        <w:t>to</w:t>
      </w:r>
      <w:r>
        <w:rPr>
          <w:rFonts w:ascii="Century" w:hAnsi="Century"/>
          <w:spacing w:val="-17"/>
          <w:sz w:val="20"/>
          <w:vertAlign w:val="baseline"/>
        </w:rPr>
        <w:t> </w:t>
      </w:r>
      <w:r>
        <w:rPr>
          <w:rFonts w:ascii="Century" w:hAnsi="Century"/>
          <w:sz w:val="20"/>
          <w:vertAlign w:val="baseline"/>
        </w:rPr>
        <w:t>see</w:t>
      </w:r>
      <w:r>
        <w:rPr>
          <w:rFonts w:ascii="Century" w:hAnsi="Century"/>
          <w:spacing w:val="-17"/>
          <w:sz w:val="20"/>
          <w:vertAlign w:val="baseline"/>
        </w:rPr>
        <w:t> </w:t>
      </w:r>
      <w:r>
        <w:rPr>
          <w:rFonts w:ascii="Century" w:hAnsi="Century"/>
          <w:sz w:val="20"/>
          <w:vertAlign w:val="baseline"/>
        </w:rPr>
        <w:t>that</w:t>
      </w:r>
      <w:r>
        <w:rPr>
          <w:rFonts w:ascii="Century" w:hAnsi="Century"/>
          <w:spacing w:val="-18"/>
          <w:sz w:val="20"/>
          <w:vertAlign w:val="baseline"/>
        </w:rPr>
        <w:t> </w:t>
      </w:r>
      <w:r>
        <w:rPr>
          <w:rFonts w:ascii="Century" w:hAnsi="Century"/>
          <w:sz w:val="20"/>
          <w:vertAlign w:val="baseline"/>
        </w:rPr>
        <w:t>the</w:t>
      </w:r>
      <w:r>
        <w:rPr>
          <w:rFonts w:ascii="Century" w:hAnsi="Century"/>
          <w:spacing w:val="-17"/>
          <w:sz w:val="20"/>
          <w:vertAlign w:val="baseline"/>
        </w:rPr>
        <w:t> </w:t>
      </w:r>
      <w:r>
        <w:rPr>
          <w:rFonts w:ascii="Century" w:hAnsi="Century"/>
          <w:sz w:val="20"/>
          <w:vertAlign w:val="baseline"/>
        </w:rPr>
        <w:t>solution</w:t>
      </w:r>
      <w:r>
        <w:rPr>
          <w:rFonts w:ascii="Century" w:hAnsi="Century"/>
          <w:spacing w:val="-17"/>
          <w:sz w:val="20"/>
          <w:vertAlign w:val="baseline"/>
        </w:rPr>
        <w:t> </w:t>
      </w:r>
      <w:r>
        <w:rPr>
          <w:rFonts w:ascii="Century" w:hAnsi="Century"/>
          <w:sz w:val="20"/>
          <w:vertAlign w:val="baseline"/>
        </w:rPr>
        <w:t>of</w:t>
      </w:r>
      <w:r>
        <w:rPr>
          <w:rFonts w:ascii="Century" w:hAnsi="Century"/>
          <w:spacing w:val="-17"/>
          <w:sz w:val="20"/>
          <w:vertAlign w:val="baseline"/>
        </w:rPr>
        <w:t> </w:t>
      </w:r>
      <w:r>
        <w:rPr>
          <w:rFonts w:ascii="Century" w:hAnsi="Century"/>
          <w:sz w:val="20"/>
          <w:vertAlign w:val="baseline"/>
        </w:rPr>
        <w:t>equation</w:t>
      </w:r>
      <w:r>
        <w:rPr>
          <w:rFonts w:ascii="Century" w:hAnsi="Century"/>
          <w:spacing w:val="-18"/>
          <w:sz w:val="20"/>
          <w:vertAlign w:val="baseline"/>
        </w:rPr>
        <w:t> </w:t>
      </w:r>
      <w:r>
        <w:rPr>
          <w:rFonts w:ascii="Century" w:hAnsi="Century"/>
          <w:sz w:val="20"/>
          <w:vertAlign w:val="baseline"/>
        </w:rPr>
        <w:t>(1),</w:t>
      </w:r>
      <w:r>
        <w:rPr>
          <w:rFonts w:ascii="Century" w:hAnsi="Century"/>
          <w:spacing w:val="-16"/>
          <w:sz w:val="20"/>
          <w:vertAlign w:val="baseline"/>
        </w:rPr>
        <w:t> </w:t>
      </w:r>
      <w:r>
        <w:rPr>
          <w:rFonts w:ascii="Georgia" w:hAnsi="Georgia"/>
          <w:b/>
          <w:spacing w:val="4"/>
          <w:w w:val="130"/>
          <w:sz w:val="20"/>
          <w:vertAlign w:val="baseline"/>
        </w:rPr>
        <w:t>W</w:t>
      </w:r>
      <w:r>
        <w:rPr>
          <w:spacing w:val="4"/>
          <w:w w:val="130"/>
          <w:sz w:val="20"/>
          <w:vertAlign w:val="superscript"/>
        </w:rPr>
        <w:t>˚</w:t>
      </w:r>
      <w:r>
        <w:rPr>
          <w:rFonts w:ascii="Century" w:hAnsi="Century"/>
          <w:spacing w:val="4"/>
          <w:w w:val="130"/>
          <w:sz w:val="20"/>
          <w:vertAlign w:val="baseline"/>
        </w:rPr>
        <w:t>,</w:t>
      </w:r>
      <w:r>
        <w:rPr>
          <w:rFonts w:ascii="Century" w:hAnsi="Century"/>
          <w:spacing w:val="-33"/>
          <w:w w:val="130"/>
          <w:sz w:val="20"/>
          <w:vertAlign w:val="baseline"/>
        </w:rPr>
        <w:t> </w:t>
      </w:r>
      <w:r>
        <w:rPr>
          <w:rFonts w:ascii="Century" w:hAnsi="Century"/>
          <w:sz w:val="20"/>
          <w:vertAlign w:val="baseline"/>
        </w:rPr>
        <w:t>depends</w:t>
      </w:r>
      <w:r>
        <w:rPr>
          <w:rFonts w:ascii="Century" w:hAnsi="Century"/>
          <w:spacing w:val="-17"/>
          <w:sz w:val="20"/>
          <w:vertAlign w:val="baseline"/>
        </w:rPr>
        <w:t> </w:t>
      </w:r>
      <w:r>
        <w:rPr>
          <w:rFonts w:ascii="Century" w:hAnsi="Century"/>
          <w:sz w:val="20"/>
          <w:vertAlign w:val="baseline"/>
        </w:rPr>
        <w:t>on</w:t>
      </w:r>
    </w:p>
    <w:p>
      <w:pPr>
        <w:spacing w:line="180" w:lineRule="exact" w:before="0"/>
        <w:ind w:left="395" w:right="0" w:firstLine="0"/>
        <w:jc w:val="left"/>
        <w:rPr>
          <w:rFonts w:ascii="Century"/>
          <w:sz w:val="16"/>
        </w:rPr>
      </w:pPr>
      <w:r>
        <w:rPr>
          <w:rFonts w:ascii="Lucida Sans Unicode"/>
          <w:position w:val="6"/>
          <w:sz w:val="12"/>
        </w:rPr>
        <w:t>1</w:t>
      </w:r>
      <w:r>
        <w:rPr>
          <w:rFonts w:ascii="Century"/>
          <w:sz w:val="16"/>
        </w:rPr>
        <w:t>Since</w:t>
      </w:r>
      <w:r>
        <w:rPr>
          <w:rFonts w:ascii="Century"/>
          <w:spacing w:val="16"/>
          <w:sz w:val="16"/>
        </w:rPr>
        <w:t> </w:t>
      </w:r>
      <w:r>
        <w:rPr>
          <w:rFonts w:ascii="Century"/>
          <w:sz w:val="16"/>
        </w:rPr>
        <w:t>OECD</w:t>
      </w:r>
      <w:r>
        <w:rPr>
          <w:rFonts w:ascii="Century"/>
          <w:spacing w:val="17"/>
          <w:sz w:val="16"/>
        </w:rPr>
        <w:t> </w:t>
      </w:r>
      <w:r>
        <w:rPr>
          <w:rFonts w:ascii="Century"/>
          <w:sz w:val="16"/>
        </w:rPr>
        <w:t>November</w:t>
      </w:r>
      <w:r>
        <w:rPr>
          <w:rFonts w:ascii="Century"/>
          <w:spacing w:val="17"/>
          <w:sz w:val="16"/>
        </w:rPr>
        <w:t> </w:t>
      </w:r>
      <w:r>
        <w:rPr>
          <w:rFonts w:ascii="Century"/>
          <w:sz w:val="16"/>
        </w:rPr>
        <w:t>2018</w:t>
      </w:r>
      <w:r>
        <w:rPr>
          <w:rFonts w:ascii="Century"/>
          <w:spacing w:val="17"/>
          <w:sz w:val="16"/>
        </w:rPr>
        <w:t> </w:t>
      </w:r>
      <w:r>
        <w:rPr>
          <w:rFonts w:ascii="Century"/>
          <w:sz w:val="16"/>
        </w:rPr>
        <w:t>outlook</w:t>
      </w:r>
      <w:r>
        <w:rPr>
          <w:rFonts w:ascii="Century"/>
          <w:spacing w:val="16"/>
          <w:sz w:val="16"/>
        </w:rPr>
        <w:t> </w:t>
      </w:r>
      <w:r>
        <w:rPr>
          <w:rFonts w:ascii="Century"/>
          <w:sz w:val="16"/>
        </w:rPr>
        <w:t>was</w:t>
      </w:r>
      <w:r>
        <w:rPr>
          <w:rFonts w:ascii="Century"/>
          <w:spacing w:val="17"/>
          <w:sz w:val="16"/>
        </w:rPr>
        <w:t> </w:t>
      </w:r>
      <w:r>
        <w:rPr>
          <w:rFonts w:ascii="Century"/>
          <w:sz w:val="16"/>
        </w:rPr>
        <w:t>released</w:t>
      </w:r>
      <w:r>
        <w:rPr>
          <w:rFonts w:ascii="Century"/>
          <w:spacing w:val="17"/>
          <w:sz w:val="16"/>
        </w:rPr>
        <w:t> </w:t>
      </w:r>
      <w:r>
        <w:rPr>
          <w:rFonts w:ascii="Century"/>
          <w:sz w:val="16"/>
        </w:rPr>
        <w:t>before</w:t>
      </w:r>
      <w:r>
        <w:rPr>
          <w:rFonts w:ascii="Century"/>
          <w:spacing w:val="17"/>
          <w:sz w:val="16"/>
        </w:rPr>
        <w:t> </w:t>
      </w:r>
      <w:r>
        <w:rPr>
          <w:rFonts w:ascii="Century"/>
          <w:sz w:val="16"/>
        </w:rPr>
        <w:t>the</w:t>
      </w:r>
      <w:r>
        <w:rPr>
          <w:rFonts w:ascii="Century"/>
          <w:spacing w:val="16"/>
          <w:sz w:val="16"/>
        </w:rPr>
        <w:t> </w:t>
      </w:r>
      <w:r>
        <w:rPr>
          <w:rFonts w:ascii="Century"/>
          <w:sz w:val="16"/>
        </w:rPr>
        <w:t>availability</w:t>
      </w:r>
      <w:r>
        <w:rPr>
          <w:rFonts w:ascii="Century"/>
          <w:spacing w:val="17"/>
          <w:sz w:val="16"/>
        </w:rPr>
        <w:t> </w:t>
      </w:r>
      <w:r>
        <w:rPr>
          <w:rFonts w:ascii="Century"/>
          <w:sz w:val="16"/>
        </w:rPr>
        <w:t>of</w:t>
      </w:r>
      <w:r>
        <w:rPr>
          <w:rFonts w:ascii="Century"/>
          <w:spacing w:val="17"/>
          <w:sz w:val="16"/>
        </w:rPr>
        <w:t> </w:t>
      </w:r>
      <w:r>
        <w:rPr>
          <w:rFonts w:ascii="Century"/>
          <w:sz w:val="16"/>
        </w:rPr>
        <w:t>Q3</w:t>
      </w:r>
      <w:r>
        <w:rPr>
          <w:rFonts w:ascii="Century"/>
          <w:spacing w:val="17"/>
          <w:sz w:val="16"/>
        </w:rPr>
        <w:t> </w:t>
      </w:r>
      <w:r>
        <w:rPr>
          <w:rFonts w:ascii="Century"/>
          <w:sz w:val="16"/>
        </w:rPr>
        <w:t>data,</w:t>
      </w:r>
      <w:r>
        <w:rPr>
          <w:rFonts w:ascii="Century"/>
          <w:spacing w:val="18"/>
          <w:sz w:val="16"/>
        </w:rPr>
        <w:t> </w:t>
      </w:r>
      <w:r>
        <w:rPr>
          <w:rFonts w:ascii="Century"/>
          <w:sz w:val="16"/>
        </w:rPr>
        <w:t>the</w:t>
      </w:r>
      <w:r>
        <w:rPr>
          <w:rFonts w:ascii="Century"/>
          <w:spacing w:val="16"/>
          <w:sz w:val="16"/>
        </w:rPr>
        <w:t> </w:t>
      </w:r>
      <w:r>
        <w:rPr>
          <w:rFonts w:ascii="Century"/>
          <w:sz w:val="16"/>
        </w:rPr>
        <w:t>synthetic</w:t>
      </w:r>
      <w:r>
        <w:rPr>
          <w:rFonts w:ascii="Century"/>
          <w:spacing w:val="17"/>
          <w:sz w:val="16"/>
        </w:rPr>
        <w:t> </w:t>
      </w:r>
      <w:r>
        <w:rPr>
          <w:rFonts w:ascii="Century"/>
          <w:sz w:val="16"/>
        </w:rPr>
        <w:t>control</w:t>
      </w:r>
      <w:r>
        <w:rPr>
          <w:rFonts w:ascii="Century"/>
          <w:spacing w:val="17"/>
          <w:sz w:val="16"/>
        </w:rPr>
        <w:t> </w:t>
      </w:r>
      <w:r>
        <w:rPr>
          <w:rFonts w:ascii="Century"/>
          <w:sz w:val="16"/>
        </w:rPr>
        <w:t>for</w:t>
      </w:r>
      <w:r>
        <w:rPr>
          <w:rFonts w:ascii="Century"/>
          <w:spacing w:val="17"/>
          <w:sz w:val="16"/>
        </w:rPr>
        <w:t> </w:t>
      </w:r>
      <w:r>
        <w:rPr>
          <w:rFonts w:ascii="Century"/>
          <w:sz w:val="16"/>
        </w:rPr>
        <w:t>Q3-</w:t>
      </w:r>
      <w:r>
        <w:rPr>
          <w:rFonts w:ascii="Century"/>
          <w:spacing w:val="16"/>
          <w:sz w:val="16"/>
        </w:rPr>
        <w:t> </w:t>
      </w:r>
      <w:r>
        <w:rPr>
          <w:rFonts w:ascii="Century"/>
          <w:sz w:val="16"/>
        </w:rPr>
        <w:t>and</w:t>
      </w:r>
    </w:p>
    <w:p>
      <w:pPr>
        <w:spacing w:line="173" w:lineRule="exact" w:before="0"/>
        <w:ind w:left="120" w:right="0" w:firstLine="0"/>
        <w:jc w:val="left"/>
        <w:rPr>
          <w:rFonts w:ascii="Century"/>
          <w:sz w:val="16"/>
        </w:rPr>
      </w:pPr>
      <w:r>
        <w:rPr>
          <w:rFonts w:ascii="Century"/>
          <w:sz w:val="16"/>
        </w:rPr>
        <w:t>Q4-2018 is calculated from OECD projections.</w:t>
      </w:r>
    </w:p>
    <w:p>
      <w:pPr>
        <w:spacing w:line="190" w:lineRule="exact" w:before="0"/>
        <w:ind w:left="395" w:right="0" w:firstLine="0"/>
        <w:jc w:val="left"/>
        <w:rPr>
          <w:rFonts w:ascii="Century"/>
          <w:sz w:val="16"/>
        </w:rPr>
      </w:pPr>
      <w:r>
        <w:rPr>
          <w:rFonts w:ascii="Lucida Sans Unicode"/>
          <w:position w:val="6"/>
          <w:sz w:val="12"/>
        </w:rPr>
        <w:t>2</w:t>
      </w:r>
      <w:r>
        <w:rPr>
          <w:rFonts w:ascii="Century"/>
          <w:sz w:val="16"/>
        </w:rPr>
        <w:t>The results are almost identical when using OECD projections for the UK.</w:t>
      </w:r>
    </w:p>
    <w:p>
      <w:pPr>
        <w:spacing w:line="209" w:lineRule="exact" w:before="0"/>
        <w:ind w:left="395" w:right="0" w:firstLine="0"/>
        <w:jc w:val="left"/>
        <w:rPr>
          <w:rFonts w:ascii="Century"/>
          <w:sz w:val="16"/>
        </w:rPr>
      </w:pPr>
      <w:r>
        <w:rPr>
          <w:rFonts w:ascii="Lucida Sans Unicode"/>
          <w:position w:val="6"/>
          <w:sz w:val="12"/>
        </w:rPr>
        <w:t>3</w:t>
      </w:r>
      <w:r>
        <w:rPr>
          <w:rFonts w:ascii="Century"/>
          <w:sz w:val="16"/>
        </w:rPr>
        <w:t>I implement this constrained minimisation in MATLAB using the </w:t>
      </w:r>
      <w:r>
        <w:rPr>
          <w:rFonts w:ascii="Trebuchet MS"/>
          <w:i/>
          <w:sz w:val="16"/>
        </w:rPr>
        <w:t>quadprog </w:t>
      </w:r>
      <w:r>
        <w:rPr>
          <w:rFonts w:ascii="Century"/>
          <w:sz w:val="16"/>
        </w:rPr>
        <w:t>function that is part of the Optimization</w:t>
      </w:r>
    </w:p>
    <w:p>
      <w:pPr>
        <w:spacing w:after="0" w:line="209" w:lineRule="exact"/>
        <w:jc w:val="left"/>
        <w:rPr>
          <w:rFonts w:ascii="Century"/>
          <w:sz w:val="16"/>
        </w:rPr>
        <w:sectPr>
          <w:footerReference w:type="default" r:id="rId44"/>
          <w:pgSz w:w="12240" w:h="15840"/>
          <w:pgMar w:footer="1080" w:header="0" w:top="1500" w:bottom="1260" w:left="1320" w:right="1300"/>
          <w:pgNumType w:start="1"/>
        </w:sectPr>
      </w:pPr>
    </w:p>
    <w:p>
      <w:pPr>
        <w:pStyle w:val="BodyText"/>
        <w:spacing w:line="357" w:lineRule="auto" w:before="42"/>
        <w:ind w:left="114" w:right="131" w:hanging="4"/>
        <w:jc w:val="both"/>
        <w:rPr>
          <w:rFonts w:ascii="Century" w:hAnsi="Century"/>
        </w:rPr>
      </w:pPr>
      <w:r>
        <w:rPr>
          <w:rFonts w:ascii="Georgia" w:hAnsi="Georgia"/>
          <w:b/>
        </w:rPr>
        <w:t>V</w:t>
      </w:r>
      <w:r>
        <w:rPr>
          <w:rFonts w:ascii="Century" w:hAnsi="Century"/>
        </w:rPr>
        <w:t>,</w:t>
      </w:r>
      <w:r>
        <w:rPr>
          <w:rFonts w:ascii="Century" w:hAnsi="Century"/>
          <w:spacing w:val="-25"/>
        </w:rPr>
        <w:t> </w:t>
      </w:r>
      <w:r>
        <w:rPr>
          <w:rFonts w:ascii="Century" w:hAnsi="Century"/>
        </w:rPr>
        <w:t>whose</w:t>
      </w:r>
      <w:r>
        <w:rPr>
          <w:rFonts w:ascii="Century" w:hAnsi="Century"/>
          <w:spacing w:val="-25"/>
        </w:rPr>
        <w:t> </w:t>
      </w:r>
      <w:r>
        <w:rPr>
          <w:rFonts w:ascii="Century" w:hAnsi="Century"/>
        </w:rPr>
        <w:t>diagonal</w:t>
      </w:r>
      <w:r>
        <w:rPr>
          <w:rFonts w:ascii="Century" w:hAnsi="Century"/>
          <w:spacing w:val="-25"/>
        </w:rPr>
        <w:t> </w:t>
      </w:r>
      <w:r>
        <w:rPr>
          <w:rFonts w:ascii="Century" w:hAnsi="Century"/>
        </w:rPr>
        <w:t>elements</w:t>
      </w:r>
      <w:r>
        <w:rPr>
          <w:rFonts w:ascii="Century" w:hAnsi="Century"/>
          <w:spacing w:val="-25"/>
        </w:rPr>
        <w:t> </w:t>
      </w:r>
      <w:r>
        <w:rPr>
          <w:rFonts w:ascii="Century" w:hAnsi="Century"/>
        </w:rPr>
        <w:t>reflect</w:t>
      </w:r>
      <w:r>
        <w:rPr>
          <w:rFonts w:ascii="Century" w:hAnsi="Century"/>
          <w:spacing w:val="-25"/>
        </w:rPr>
        <w:t> </w:t>
      </w:r>
      <w:r>
        <w:rPr>
          <w:rFonts w:ascii="Century" w:hAnsi="Century"/>
        </w:rPr>
        <w:t>the</w:t>
      </w:r>
      <w:r>
        <w:rPr>
          <w:rFonts w:ascii="Century" w:hAnsi="Century"/>
          <w:spacing w:val="-24"/>
        </w:rPr>
        <w:t> </w:t>
      </w:r>
      <w:r>
        <w:rPr>
          <w:rFonts w:ascii="Century" w:hAnsi="Century"/>
        </w:rPr>
        <w:t>relative</w:t>
      </w:r>
      <w:r>
        <w:rPr>
          <w:rFonts w:ascii="Century" w:hAnsi="Century"/>
          <w:spacing w:val="-25"/>
        </w:rPr>
        <w:t> </w:t>
      </w:r>
      <w:r>
        <w:rPr>
          <w:rFonts w:ascii="Century" w:hAnsi="Century"/>
        </w:rPr>
        <w:t>importance</w:t>
      </w:r>
      <w:r>
        <w:rPr>
          <w:rFonts w:ascii="Century" w:hAnsi="Century"/>
          <w:spacing w:val="-25"/>
        </w:rPr>
        <w:t> </w:t>
      </w:r>
      <w:r>
        <w:rPr>
          <w:rFonts w:ascii="Century" w:hAnsi="Century"/>
        </w:rPr>
        <w:t>of</w:t>
      </w:r>
      <w:r>
        <w:rPr>
          <w:rFonts w:ascii="Century" w:hAnsi="Century"/>
          <w:spacing w:val="-25"/>
        </w:rPr>
        <w:t> </w:t>
      </w:r>
      <w:r>
        <w:rPr>
          <w:rFonts w:ascii="Century" w:hAnsi="Century"/>
        </w:rPr>
        <w:t>the</w:t>
      </w:r>
      <w:r>
        <w:rPr>
          <w:rFonts w:ascii="Century" w:hAnsi="Century"/>
          <w:spacing w:val="-25"/>
        </w:rPr>
        <w:t> </w:t>
      </w:r>
      <w:r>
        <w:rPr>
          <w:rFonts w:ascii="Century" w:hAnsi="Century"/>
        </w:rPr>
        <w:t>data</w:t>
      </w:r>
      <w:r>
        <w:rPr>
          <w:rFonts w:ascii="Century" w:hAnsi="Century"/>
          <w:spacing w:val="-24"/>
        </w:rPr>
        <w:t> </w:t>
      </w:r>
      <w:r>
        <w:rPr>
          <w:rFonts w:ascii="Century" w:hAnsi="Century"/>
        </w:rPr>
        <w:t>in</w:t>
      </w:r>
      <w:r>
        <w:rPr>
          <w:rFonts w:ascii="Century" w:hAnsi="Century"/>
          <w:spacing w:val="-25"/>
        </w:rPr>
        <w:t> </w:t>
      </w:r>
      <w:r>
        <w:rPr>
          <w:rFonts w:ascii="Georgia" w:hAnsi="Georgia"/>
          <w:b/>
        </w:rPr>
        <w:t>X</w:t>
      </w:r>
      <w:r>
        <w:rPr>
          <w:b/>
          <w:vertAlign w:val="subscript"/>
        </w:rPr>
        <w:t>0</w:t>
      </w:r>
      <w:r>
        <w:rPr>
          <w:b/>
          <w:spacing w:val="-20"/>
          <w:vertAlign w:val="baseline"/>
        </w:rPr>
        <w:t> </w:t>
      </w:r>
      <w:r>
        <w:rPr>
          <w:rFonts w:ascii="Century" w:hAnsi="Century"/>
          <w:vertAlign w:val="baseline"/>
        </w:rPr>
        <w:t>and</w:t>
      </w:r>
      <w:r>
        <w:rPr>
          <w:rFonts w:ascii="Century" w:hAnsi="Century"/>
          <w:spacing w:val="-25"/>
          <w:vertAlign w:val="baseline"/>
        </w:rPr>
        <w:t> </w:t>
      </w:r>
      <w:r>
        <w:rPr>
          <w:rFonts w:ascii="Georgia" w:hAnsi="Georgia"/>
          <w:b/>
          <w:vertAlign w:val="baseline"/>
        </w:rPr>
        <w:t>X</w:t>
      </w:r>
      <w:r>
        <w:rPr>
          <w:b/>
          <w:vertAlign w:val="subscript"/>
        </w:rPr>
        <w:t>1</w:t>
      </w:r>
      <w:r>
        <w:rPr>
          <w:b/>
          <w:spacing w:val="-20"/>
          <w:vertAlign w:val="baseline"/>
        </w:rPr>
        <w:t> </w:t>
      </w:r>
      <w:r>
        <w:rPr>
          <w:rFonts w:ascii="Century" w:hAnsi="Century"/>
          <w:vertAlign w:val="baseline"/>
        </w:rPr>
        <w:t>in</w:t>
      </w:r>
      <w:r>
        <w:rPr>
          <w:rFonts w:ascii="Century" w:hAnsi="Century"/>
          <w:spacing w:val="-25"/>
          <w:vertAlign w:val="baseline"/>
        </w:rPr>
        <w:t> </w:t>
      </w:r>
      <w:r>
        <w:rPr>
          <w:rFonts w:ascii="Century" w:hAnsi="Century"/>
          <w:vertAlign w:val="baseline"/>
        </w:rPr>
        <w:t>the</w:t>
      </w:r>
      <w:r>
        <w:rPr>
          <w:rFonts w:ascii="Century" w:hAnsi="Century"/>
          <w:spacing w:val="-25"/>
          <w:vertAlign w:val="baseline"/>
        </w:rPr>
        <w:t> </w:t>
      </w:r>
      <w:r>
        <w:rPr>
          <w:i/>
          <w:vertAlign w:val="baseline"/>
        </w:rPr>
        <w:t>T</w:t>
      </w:r>
      <w:r>
        <w:rPr>
          <w:i/>
          <w:spacing w:val="-12"/>
          <w:vertAlign w:val="baseline"/>
        </w:rPr>
        <w:t> </w:t>
      </w:r>
      <w:r>
        <w:rPr>
          <w:rFonts w:ascii="Century" w:hAnsi="Century"/>
          <w:vertAlign w:val="baseline"/>
        </w:rPr>
        <w:t>dimension</w:t>
      </w:r>
      <w:r>
        <w:rPr>
          <w:rFonts w:ascii="Century" w:hAnsi="Century"/>
          <w:spacing w:val="-24"/>
          <w:vertAlign w:val="baseline"/>
        </w:rPr>
        <w:t> </w:t>
      </w:r>
      <w:r>
        <w:rPr>
          <w:rFonts w:ascii="Century" w:hAnsi="Century"/>
          <w:vertAlign w:val="baseline"/>
        </w:rPr>
        <w:t>for the</w:t>
      </w:r>
      <w:r>
        <w:rPr>
          <w:rFonts w:ascii="Century" w:hAnsi="Century"/>
          <w:spacing w:val="-27"/>
          <w:vertAlign w:val="baseline"/>
        </w:rPr>
        <w:t> </w:t>
      </w:r>
      <w:r>
        <w:rPr>
          <w:rFonts w:ascii="Century" w:hAnsi="Century"/>
          <w:vertAlign w:val="baseline"/>
        </w:rPr>
        <w:t>minimisation.</w:t>
      </w:r>
      <w:r>
        <w:rPr>
          <w:rFonts w:ascii="Century" w:hAnsi="Century"/>
          <w:spacing w:val="-16"/>
          <w:vertAlign w:val="baseline"/>
        </w:rPr>
        <w:t> </w:t>
      </w:r>
      <w:r>
        <w:rPr>
          <w:rFonts w:ascii="Century" w:hAnsi="Century"/>
          <w:vertAlign w:val="baseline"/>
        </w:rPr>
        <w:t>Abadie</w:t>
      </w:r>
      <w:r>
        <w:rPr>
          <w:rFonts w:ascii="Century" w:hAnsi="Century"/>
          <w:spacing w:val="-27"/>
          <w:vertAlign w:val="baseline"/>
        </w:rPr>
        <w:t> </w:t>
      </w:r>
      <w:r>
        <w:rPr>
          <w:rFonts w:ascii="Century" w:hAnsi="Century"/>
          <w:vertAlign w:val="baseline"/>
        </w:rPr>
        <w:t>et</w:t>
      </w:r>
      <w:r>
        <w:rPr>
          <w:rFonts w:ascii="Century" w:hAnsi="Century"/>
          <w:spacing w:val="-26"/>
          <w:vertAlign w:val="baseline"/>
        </w:rPr>
        <w:t> </w:t>
      </w:r>
      <w:r>
        <w:rPr>
          <w:rFonts w:ascii="Century" w:hAnsi="Century"/>
          <w:vertAlign w:val="baseline"/>
        </w:rPr>
        <w:t>al.</w:t>
      </w:r>
      <w:r>
        <w:rPr>
          <w:rFonts w:ascii="Century" w:hAnsi="Century"/>
          <w:spacing w:val="-16"/>
          <w:vertAlign w:val="baseline"/>
        </w:rPr>
        <w:t> </w:t>
      </w:r>
      <w:r>
        <w:rPr>
          <w:rFonts w:ascii="Century" w:hAnsi="Century"/>
          <w:vertAlign w:val="baseline"/>
        </w:rPr>
        <w:t>(2003)</w:t>
      </w:r>
      <w:r>
        <w:rPr>
          <w:rFonts w:ascii="Century" w:hAnsi="Century"/>
          <w:spacing w:val="-26"/>
          <w:vertAlign w:val="baseline"/>
        </w:rPr>
        <w:t> </w:t>
      </w:r>
      <w:r>
        <w:rPr>
          <w:rFonts w:ascii="Century" w:hAnsi="Century"/>
          <w:vertAlign w:val="baseline"/>
        </w:rPr>
        <w:t>estimate</w:t>
      </w:r>
      <w:r>
        <w:rPr>
          <w:rFonts w:ascii="Century" w:hAnsi="Century"/>
          <w:spacing w:val="-26"/>
          <w:vertAlign w:val="baseline"/>
        </w:rPr>
        <w:t> </w:t>
      </w:r>
      <w:r>
        <w:rPr>
          <w:rFonts w:ascii="Georgia" w:hAnsi="Georgia"/>
          <w:b/>
          <w:vertAlign w:val="baseline"/>
        </w:rPr>
        <w:t>V</w:t>
      </w:r>
      <w:r>
        <w:rPr>
          <w:rFonts w:ascii="Georgia" w:hAnsi="Georgia"/>
          <w:b/>
          <w:spacing w:val="-21"/>
          <w:vertAlign w:val="baseline"/>
        </w:rPr>
        <w:t> </w:t>
      </w:r>
      <w:r>
        <w:rPr>
          <w:rFonts w:ascii="Century" w:hAnsi="Century"/>
          <w:vertAlign w:val="baseline"/>
        </w:rPr>
        <w:t>consistent</w:t>
      </w:r>
      <w:r>
        <w:rPr>
          <w:rFonts w:ascii="Century" w:hAnsi="Century"/>
          <w:spacing w:val="-26"/>
          <w:vertAlign w:val="baseline"/>
        </w:rPr>
        <w:t> </w:t>
      </w:r>
      <w:r>
        <w:rPr>
          <w:rFonts w:ascii="Century" w:hAnsi="Century"/>
          <w:vertAlign w:val="baseline"/>
        </w:rPr>
        <w:t>with</w:t>
      </w:r>
      <w:r>
        <w:rPr>
          <w:rFonts w:ascii="Century" w:hAnsi="Century"/>
          <w:spacing w:val="-26"/>
          <w:vertAlign w:val="baseline"/>
        </w:rPr>
        <w:t> </w:t>
      </w:r>
      <w:r>
        <w:rPr>
          <w:rFonts w:ascii="Georgia" w:hAnsi="Georgia"/>
          <w:b/>
          <w:w w:val="130"/>
          <w:vertAlign w:val="baseline"/>
        </w:rPr>
        <w:t>W</w:t>
      </w:r>
      <w:r>
        <w:rPr>
          <w:w w:val="130"/>
          <w:vertAlign w:val="superscript"/>
        </w:rPr>
        <w:t>˚</w:t>
      </w:r>
      <w:r>
        <w:rPr>
          <w:spacing w:val="-38"/>
          <w:w w:val="130"/>
          <w:vertAlign w:val="baseline"/>
        </w:rPr>
        <w:t> </w:t>
      </w:r>
      <w:r>
        <w:rPr>
          <w:rFonts w:ascii="Century" w:hAnsi="Century"/>
          <w:vertAlign w:val="baseline"/>
        </w:rPr>
        <w:t>that</w:t>
      </w:r>
      <w:r>
        <w:rPr>
          <w:rFonts w:ascii="Century" w:hAnsi="Century"/>
          <w:spacing w:val="-27"/>
          <w:vertAlign w:val="baseline"/>
        </w:rPr>
        <w:t> </w:t>
      </w:r>
      <w:r>
        <w:rPr>
          <w:rFonts w:ascii="Century" w:hAnsi="Century"/>
          <w:vertAlign w:val="baseline"/>
        </w:rPr>
        <w:t>best</w:t>
      </w:r>
      <w:r>
        <w:rPr>
          <w:rFonts w:ascii="Century" w:hAnsi="Century"/>
          <w:spacing w:val="-26"/>
          <w:vertAlign w:val="baseline"/>
        </w:rPr>
        <w:t> </w:t>
      </w:r>
      <w:r>
        <w:rPr>
          <w:rFonts w:ascii="Century" w:hAnsi="Century"/>
          <w:vertAlign w:val="baseline"/>
        </w:rPr>
        <w:t>reproduces</w:t>
      </w:r>
      <w:r>
        <w:rPr>
          <w:rFonts w:ascii="Century" w:hAnsi="Century"/>
          <w:spacing w:val="-26"/>
          <w:vertAlign w:val="baseline"/>
        </w:rPr>
        <w:t> </w:t>
      </w:r>
      <w:r>
        <w:rPr>
          <w:rFonts w:ascii="Century" w:hAnsi="Century"/>
          <w:vertAlign w:val="baseline"/>
        </w:rPr>
        <w:t>the</w:t>
      </w:r>
      <w:r>
        <w:rPr>
          <w:rFonts w:ascii="Century" w:hAnsi="Century"/>
          <w:spacing w:val="-26"/>
          <w:vertAlign w:val="baseline"/>
        </w:rPr>
        <w:t> </w:t>
      </w:r>
      <w:r>
        <w:rPr>
          <w:rFonts w:ascii="Century" w:hAnsi="Century"/>
          <w:vertAlign w:val="baseline"/>
        </w:rPr>
        <w:t>treatment variable</w:t>
      </w:r>
      <w:r>
        <w:rPr>
          <w:rFonts w:ascii="Century" w:hAnsi="Century"/>
          <w:spacing w:val="-28"/>
          <w:vertAlign w:val="baseline"/>
        </w:rPr>
        <w:t> </w:t>
      </w:r>
      <w:r>
        <w:rPr>
          <w:rFonts w:ascii="Century" w:hAnsi="Century"/>
          <w:vertAlign w:val="baseline"/>
        </w:rPr>
        <w:t>in</w:t>
      </w:r>
      <w:r>
        <w:rPr>
          <w:rFonts w:ascii="Century" w:hAnsi="Century"/>
          <w:spacing w:val="-28"/>
          <w:vertAlign w:val="baseline"/>
        </w:rPr>
        <w:t> </w:t>
      </w:r>
      <w:r>
        <w:rPr>
          <w:rFonts w:ascii="Century" w:hAnsi="Century"/>
          <w:vertAlign w:val="baseline"/>
        </w:rPr>
        <w:t>the</w:t>
      </w:r>
      <w:r>
        <w:rPr>
          <w:rFonts w:ascii="Century" w:hAnsi="Century"/>
          <w:spacing w:val="-28"/>
          <w:vertAlign w:val="baseline"/>
        </w:rPr>
        <w:t> </w:t>
      </w:r>
      <w:r>
        <w:rPr>
          <w:rFonts w:ascii="Century" w:hAnsi="Century"/>
          <w:vertAlign w:val="baseline"/>
        </w:rPr>
        <w:t>pre-treatment</w:t>
      </w:r>
      <w:r>
        <w:rPr>
          <w:rFonts w:ascii="Century" w:hAnsi="Century"/>
          <w:spacing w:val="-28"/>
          <w:vertAlign w:val="baseline"/>
        </w:rPr>
        <w:t> </w:t>
      </w:r>
      <w:r>
        <w:rPr>
          <w:rFonts w:ascii="Century" w:hAnsi="Century"/>
          <w:vertAlign w:val="baseline"/>
        </w:rPr>
        <w:t>period.</w:t>
      </w:r>
      <w:r>
        <w:rPr>
          <w:rFonts w:ascii="Century" w:hAnsi="Century"/>
          <w:spacing w:val="-19"/>
          <w:vertAlign w:val="baseline"/>
        </w:rPr>
        <w:t> </w:t>
      </w:r>
      <w:r>
        <w:rPr>
          <w:rFonts w:ascii="Century" w:hAnsi="Century"/>
          <w:spacing w:val="-6"/>
          <w:vertAlign w:val="baseline"/>
        </w:rPr>
        <w:t>For</w:t>
      </w:r>
      <w:r>
        <w:rPr>
          <w:rFonts w:ascii="Century" w:hAnsi="Century"/>
          <w:spacing w:val="-28"/>
          <w:vertAlign w:val="baseline"/>
        </w:rPr>
        <w:t> </w:t>
      </w:r>
      <w:r>
        <w:rPr>
          <w:rFonts w:ascii="Century" w:hAnsi="Century"/>
          <w:spacing w:val="-3"/>
          <w:vertAlign w:val="baseline"/>
        </w:rPr>
        <w:t>simplicity,</w:t>
      </w:r>
      <w:r>
        <w:rPr>
          <w:rFonts w:ascii="Century" w:hAnsi="Century"/>
          <w:spacing w:val="-28"/>
          <w:vertAlign w:val="baseline"/>
        </w:rPr>
        <w:t> </w:t>
      </w:r>
      <w:r>
        <w:rPr>
          <w:rFonts w:ascii="Century" w:hAnsi="Century"/>
          <w:vertAlign w:val="baseline"/>
        </w:rPr>
        <w:t>I</w:t>
      </w:r>
      <w:r>
        <w:rPr>
          <w:rFonts w:ascii="Century" w:hAnsi="Century"/>
          <w:spacing w:val="-28"/>
          <w:vertAlign w:val="baseline"/>
        </w:rPr>
        <w:t> </w:t>
      </w:r>
      <w:r>
        <w:rPr>
          <w:rFonts w:ascii="Century" w:hAnsi="Century"/>
          <w:vertAlign w:val="baseline"/>
        </w:rPr>
        <w:t>set</w:t>
      </w:r>
      <w:r>
        <w:rPr>
          <w:rFonts w:ascii="Century" w:hAnsi="Century"/>
          <w:spacing w:val="-28"/>
          <w:vertAlign w:val="baseline"/>
        </w:rPr>
        <w:t> </w:t>
      </w:r>
      <w:r>
        <w:rPr>
          <w:rFonts w:ascii="Georgia" w:hAnsi="Georgia"/>
          <w:b/>
          <w:vertAlign w:val="baseline"/>
        </w:rPr>
        <w:t>V</w:t>
      </w:r>
      <w:r>
        <w:rPr>
          <w:rFonts w:ascii="Georgia" w:hAnsi="Georgia"/>
          <w:b/>
          <w:spacing w:val="-27"/>
          <w:vertAlign w:val="baseline"/>
        </w:rPr>
        <w:t> </w:t>
      </w:r>
      <w:r>
        <w:rPr>
          <w:w w:val="205"/>
          <w:vertAlign w:val="baseline"/>
        </w:rPr>
        <w:t>“</w:t>
      </w:r>
      <w:r>
        <w:rPr>
          <w:spacing w:val="-91"/>
          <w:w w:val="205"/>
          <w:vertAlign w:val="baseline"/>
        </w:rPr>
        <w:t> </w:t>
      </w:r>
      <w:r>
        <w:rPr>
          <w:rFonts w:ascii="Georgia" w:hAnsi="Georgia"/>
          <w:b/>
          <w:vertAlign w:val="baseline"/>
        </w:rPr>
        <w:t>I</w:t>
      </w:r>
      <w:r>
        <w:rPr>
          <w:i/>
          <w:vertAlign w:val="subscript"/>
        </w:rPr>
        <w:t>N</w:t>
      </w:r>
      <w:r>
        <w:rPr>
          <w:i/>
          <w:spacing w:val="-18"/>
          <w:vertAlign w:val="baseline"/>
        </w:rPr>
        <w:t> </w:t>
      </w:r>
      <w:r>
        <w:rPr>
          <w:rFonts w:ascii="Century" w:hAnsi="Century"/>
          <w:vertAlign w:val="baseline"/>
        </w:rPr>
        <w:t>in</w:t>
      </w:r>
      <w:r>
        <w:rPr>
          <w:rFonts w:ascii="Century" w:hAnsi="Century"/>
          <w:spacing w:val="-28"/>
          <w:vertAlign w:val="baseline"/>
        </w:rPr>
        <w:t> </w:t>
      </w:r>
      <w:r>
        <w:rPr>
          <w:rFonts w:ascii="Century" w:hAnsi="Century"/>
          <w:vertAlign w:val="baseline"/>
        </w:rPr>
        <w:t>the</w:t>
      </w:r>
      <w:r>
        <w:rPr>
          <w:rFonts w:ascii="Century" w:hAnsi="Century"/>
          <w:spacing w:val="-28"/>
          <w:vertAlign w:val="baseline"/>
        </w:rPr>
        <w:t> </w:t>
      </w:r>
      <w:r>
        <w:rPr>
          <w:rFonts w:ascii="Century" w:hAnsi="Century"/>
          <w:vertAlign w:val="baseline"/>
        </w:rPr>
        <w:t>preceeding</w:t>
      </w:r>
      <w:r>
        <w:rPr>
          <w:rFonts w:ascii="Century" w:hAnsi="Century"/>
          <w:spacing w:val="-28"/>
          <w:vertAlign w:val="baseline"/>
        </w:rPr>
        <w:t> </w:t>
      </w:r>
      <w:r>
        <w:rPr>
          <w:rFonts w:ascii="Century" w:hAnsi="Century"/>
          <w:vertAlign w:val="baseline"/>
        </w:rPr>
        <w:t>analysis.</w:t>
      </w:r>
      <w:r>
        <w:rPr>
          <w:rFonts w:ascii="Century" w:hAnsi="Century"/>
          <w:spacing w:val="-19"/>
          <w:vertAlign w:val="baseline"/>
        </w:rPr>
        <w:t> </w:t>
      </w:r>
      <w:r>
        <w:rPr>
          <w:rFonts w:ascii="Century" w:hAnsi="Century"/>
          <w:vertAlign w:val="baseline"/>
        </w:rPr>
        <w:t>The</w:t>
      </w:r>
      <w:r>
        <w:rPr>
          <w:rFonts w:ascii="Century" w:hAnsi="Century"/>
          <w:spacing w:val="-28"/>
          <w:vertAlign w:val="baseline"/>
        </w:rPr>
        <w:t> </w:t>
      </w:r>
      <w:r>
        <w:rPr>
          <w:rFonts w:ascii="Century" w:hAnsi="Century"/>
          <w:vertAlign w:val="baseline"/>
        </w:rPr>
        <w:t>results</w:t>
      </w:r>
      <w:r>
        <w:rPr>
          <w:rFonts w:ascii="Century" w:hAnsi="Century"/>
          <w:spacing w:val="-28"/>
          <w:vertAlign w:val="baseline"/>
        </w:rPr>
        <w:t> </w:t>
      </w:r>
      <w:r>
        <w:rPr>
          <w:rFonts w:ascii="Century" w:hAnsi="Century"/>
          <w:vertAlign w:val="baseline"/>
        </w:rPr>
        <w:t>are the</w:t>
      </w:r>
      <w:r>
        <w:rPr>
          <w:rFonts w:ascii="Century" w:hAnsi="Century"/>
          <w:spacing w:val="-8"/>
          <w:vertAlign w:val="baseline"/>
        </w:rPr>
        <w:t> </w:t>
      </w:r>
      <w:r>
        <w:rPr>
          <w:rFonts w:ascii="Century" w:hAnsi="Century"/>
          <w:vertAlign w:val="baseline"/>
        </w:rPr>
        <w:t>qualitatively</w:t>
      </w:r>
      <w:r>
        <w:rPr>
          <w:rFonts w:ascii="Century" w:hAnsi="Century"/>
          <w:spacing w:val="-7"/>
          <w:vertAlign w:val="baseline"/>
        </w:rPr>
        <w:t> </w:t>
      </w:r>
      <w:r>
        <w:rPr>
          <w:rFonts w:ascii="Century" w:hAnsi="Century"/>
          <w:vertAlign w:val="baseline"/>
        </w:rPr>
        <w:t>unchanged</w:t>
      </w:r>
      <w:r>
        <w:rPr>
          <w:rFonts w:ascii="Century" w:hAnsi="Century"/>
          <w:spacing w:val="-8"/>
          <w:vertAlign w:val="baseline"/>
        </w:rPr>
        <w:t> </w:t>
      </w:r>
      <w:r>
        <w:rPr>
          <w:rFonts w:ascii="Century" w:hAnsi="Century"/>
          <w:vertAlign w:val="baseline"/>
        </w:rPr>
        <w:t>if</w:t>
      </w:r>
      <w:r>
        <w:rPr>
          <w:rFonts w:ascii="Century" w:hAnsi="Century"/>
          <w:spacing w:val="-8"/>
          <w:vertAlign w:val="baseline"/>
        </w:rPr>
        <w:t> </w:t>
      </w:r>
      <w:r>
        <w:rPr>
          <w:rFonts w:ascii="Century" w:hAnsi="Century"/>
          <w:vertAlign w:val="baseline"/>
        </w:rPr>
        <w:t>I</w:t>
      </w:r>
      <w:r>
        <w:rPr>
          <w:rFonts w:ascii="Century" w:hAnsi="Century"/>
          <w:spacing w:val="-7"/>
          <w:vertAlign w:val="baseline"/>
        </w:rPr>
        <w:t> </w:t>
      </w:r>
      <w:r>
        <w:rPr>
          <w:rFonts w:ascii="Century" w:hAnsi="Century"/>
          <w:vertAlign w:val="baseline"/>
        </w:rPr>
        <w:t>also</w:t>
      </w:r>
      <w:r>
        <w:rPr>
          <w:rFonts w:ascii="Century" w:hAnsi="Century"/>
          <w:spacing w:val="-8"/>
          <w:vertAlign w:val="baseline"/>
        </w:rPr>
        <w:t> </w:t>
      </w:r>
      <w:r>
        <w:rPr>
          <w:rFonts w:ascii="Century" w:hAnsi="Century"/>
          <w:vertAlign w:val="baseline"/>
        </w:rPr>
        <w:t>estimate</w:t>
      </w:r>
      <w:r>
        <w:rPr>
          <w:rFonts w:ascii="Century" w:hAnsi="Century"/>
          <w:spacing w:val="-8"/>
          <w:vertAlign w:val="baseline"/>
        </w:rPr>
        <w:t> </w:t>
      </w:r>
      <w:r>
        <w:rPr>
          <w:rFonts w:ascii="Georgia" w:hAnsi="Georgia"/>
          <w:b/>
          <w:vertAlign w:val="baseline"/>
        </w:rPr>
        <w:t>V </w:t>
      </w:r>
      <w:r>
        <w:rPr>
          <w:rFonts w:ascii="Century" w:hAnsi="Century"/>
          <w:vertAlign w:val="baseline"/>
        </w:rPr>
        <w:t>as</w:t>
      </w:r>
      <w:r>
        <w:rPr>
          <w:rFonts w:ascii="Century" w:hAnsi="Century"/>
          <w:spacing w:val="-8"/>
          <w:vertAlign w:val="baseline"/>
        </w:rPr>
        <w:t> </w:t>
      </w:r>
      <w:r>
        <w:rPr>
          <w:rFonts w:ascii="Century" w:hAnsi="Century"/>
          <w:vertAlign w:val="baseline"/>
        </w:rPr>
        <w:t>in</w:t>
      </w:r>
      <w:r>
        <w:rPr>
          <w:rFonts w:ascii="Century" w:hAnsi="Century"/>
          <w:spacing w:val="-7"/>
          <w:vertAlign w:val="baseline"/>
        </w:rPr>
        <w:t> </w:t>
      </w:r>
      <w:r>
        <w:rPr>
          <w:rFonts w:ascii="Century" w:hAnsi="Century"/>
          <w:vertAlign w:val="baseline"/>
        </w:rPr>
        <w:t>Abadie</w:t>
      </w:r>
      <w:r>
        <w:rPr>
          <w:rFonts w:ascii="Century" w:hAnsi="Century"/>
          <w:spacing w:val="-8"/>
          <w:vertAlign w:val="baseline"/>
        </w:rPr>
        <w:t> </w:t>
      </w:r>
      <w:r>
        <w:rPr>
          <w:rFonts w:ascii="Century" w:hAnsi="Century"/>
          <w:vertAlign w:val="baseline"/>
        </w:rPr>
        <w:t>et</w:t>
      </w:r>
      <w:r>
        <w:rPr>
          <w:rFonts w:ascii="Century" w:hAnsi="Century"/>
          <w:spacing w:val="-8"/>
          <w:vertAlign w:val="baseline"/>
        </w:rPr>
        <w:t> </w:t>
      </w:r>
      <w:r>
        <w:rPr>
          <w:rFonts w:ascii="Century" w:hAnsi="Century"/>
          <w:vertAlign w:val="baseline"/>
        </w:rPr>
        <w:t>al.</w:t>
      </w:r>
      <w:r>
        <w:rPr>
          <w:rFonts w:ascii="Century" w:hAnsi="Century"/>
          <w:spacing w:val="9"/>
          <w:vertAlign w:val="baseline"/>
        </w:rPr>
        <w:t> </w:t>
      </w:r>
      <w:r>
        <w:rPr>
          <w:rFonts w:ascii="Century" w:hAnsi="Century"/>
          <w:vertAlign w:val="baseline"/>
        </w:rPr>
        <w:t>(2003)</w:t>
      </w:r>
      <w:r>
        <w:rPr>
          <w:rFonts w:ascii="Century" w:hAnsi="Century"/>
          <w:spacing w:val="-8"/>
          <w:vertAlign w:val="baseline"/>
        </w:rPr>
        <w:t> </w:t>
      </w:r>
      <w:r>
        <w:rPr>
          <w:rFonts w:ascii="Century" w:hAnsi="Century"/>
          <w:vertAlign w:val="baseline"/>
        </w:rPr>
        <w:t>and</w:t>
      </w:r>
      <w:r>
        <w:rPr>
          <w:rFonts w:ascii="Century" w:hAnsi="Century"/>
          <w:spacing w:val="-8"/>
          <w:vertAlign w:val="baseline"/>
        </w:rPr>
        <w:t> </w:t>
      </w:r>
      <w:r>
        <w:rPr>
          <w:rFonts w:ascii="Century" w:hAnsi="Century"/>
          <w:vertAlign w:val="baseline"/>
        </w:rPr>
        <w:t>Born</w:t>
      </w:r>
      <w:r>
        <w:rPr>
          <w:rFonts w:ascii="Century" w:hAnsi="Century"/>
          <w:spacing w:val="-7"/>
          <w:vertAlign w:val="baseline"/>
        </w:rPr>
        <w:t> </w:t>
      </w:r>
      <w:r>
        <w:rPr>
          <w:rFonts w:ascii="Century" w:hAnsi="Century"/>
          <w:vertAlign w:val="baseline"/>
        </w:rPr>
        <w:t>et</w:t>
      </w:r>
      <w:r>
        <w:rPr>
          <w:rFonts w:ascii="Century" w:hAnsi="Century"/>
          <w:spacing w:val="-8"/>
          <w:vertAlign w:val="baseline"/>
        </w:rPr>
        <w:t> </w:t>
      </w:r>
      <w:r>
        <w:rPr>
          <w:rFonts w:ascii="Century" w:hAnsi="Century"/>
          <w:vertAlign w:val="baseline"/>
        </w:rPr>
        <w:t>al.</w:t>
      </w:r>
      <w:r>
        <w:rPr>
          <w:rFonts w:ascii="Century" w:hAnsi="Century"/>
          <w:spacing w:val="9"/>
          <w:vertAlign w:val="baseline"/>
        </w:rPr>
        <w:t> </w:t>
      </w:r>
      <w:r>
        <w:rPr>
          <w:rFonts w:ascii="Century" w:hAnsi="Century"/>
          <w:vertAlign w:val="baseline"/>
        </w:rPr>
        <w:t>(2018).</w:t>
      </w:r>
    </w:p>
    <w:p>
      <w:pPr>
        <w:pStyle w:val="BodyText"/>
        <w:spacing w:line="316" w:lineRule="auto"/>
        <w:ind w:left="120" w:firstLine="298"/>
        <w:rPr>
          <w:rFonts w:ascii="Century" w:hAnsi="Century"/>
        </w:rPr>
      </w:pPr>
      <w:r>
        <w:rPr>
          <w:rFonts w:ascii="Century" w:hAnsi="Century"/>
          <w:w w:val="94"/>
        </w:rPr>
        <w:t>The</w:t>
      </w:r>
      <w:r>
        <w:rPr>
          <w:rFonts w:ascii="Century" w:hAnsi="Century"/>
          <w:spacing w:val="11"/>
        </w:rPr>
        <w:t> </w:t>
      </w:r>
      <w:r>
        <w:rPr>
          <w:rFonts w:ascii="Century" w:hAnsi="Century"/>
          <w:w w:val="89"/>
        </w:rPr>
        <w:t>sy</w:t>
      </w:r>
      <w:r>
        <w:rPr>
          <w:rFonts w:ascii="Century" w:hAnsi="Century"/>
          <w:spacing w:val="-6"/>
          <w:w w:val="89"/>
        </w:rPr>
        <w:t>n</w:t>
      </w:r>
      <w:r>
        <w:rPr>
          <w:rFonts w:ascii="Century" w:hAnsi="Century"/>
          <w:w w:val="92"/>
        </w:rPr>
        <w:t>thetic</w:t>
      </w:r>
      <w:r>
        <w:rPr>
          <w:rFonts w:ascii="Century" w:hAnsi="Century"/>
          <w:spacing w:val="11"/>
        </w:rPr>
        <w:t> </w:t>
      </w:r>
      <w:r>
        <w:rPr>
          <w:rFonts w:ascii="Century" w:hAnsi="Century"/>
          <w:w w:val="94"/>
        </w:rPr>
        <w:t>co</w:t>
      </w:r>
      <w:r>
        <w:rPr>
          <w:rFonts w:ascii="Century" w:hAnsi="Century"/>
          <w:spacing w:val="-6"/>
          <w:w w:val="94"/>
        </w:rPr>
        <w:t>n</w:t>
      </w:r>
      <w:r>
        <w:rPr>
          <w:rFonts w:ascii="Century" w:hAnsi="Century"/>
          <w:w w:val="92"/>
        </w:rPr>
        <w:t>trol</w:t>
      </w:r>
      <w:r>
        <w:rPr>
          <w:rFonts w:ascii="Century" w:hAnsi="Century"/>
          <w:spacing w:val="11"/>
        </w:rPr>
        <w:t> </w:t>
      </w:r>
      <w:r>
        <w:rPr>
          <w:rFonts w:ascii="Century" w:hAnsi="Century"/>
          <w:w w:val="91"/>
        </w:rPr>
        <w:t>for</w:t>
      </w:r>
      <w:r>
        <w:rPr>
          <w:rFonts w:ascii="Century" w:hAnsi="Century"/>
          <w:spacing w:val="11"/>
        </w:rPr>
        <w:t> </w:t>
      </w:r>
      <w:r>
        <w:rPr>
          <w:rFonts w:ascii="Century" w:hAnsi="Century"/>
          <w:w w:val="93"/>
        </w:rPr>
        <w:t>UK</w:t>
      </w:r>
      <w:r>
        <w:rPr>
          <w:rFonts w:ascii="Century" w:hAnsi="Century"/>
          <w:spacing w:val="11"/>
        </w:rPr>
        <w:t> </w:t>
      </w:r>
      <w:r>
        <w:rPr>
          <w:rFonts w:ascii="Century" w:hAnsi="Century"/>
          <w:w w:val="97"/>
        </w:rPr>
        <w:t>GDP</w:t>
      </w:r>
      <w:r>
        <w:rPr>
          <w:rFonts w:ascii="Century" w:hAnsi="Century"/>
          <w:spacing w:val="11"/>
        </w:rPr>
        <w:t> </w:t>
      </w:r>
      <w:r>
        <w:rPr>
          <w:rFonts w:ascii="Century" w:hAnsi="Century"/>
          <w:w w:val="84"/>
        </w:rPr>
        <w:t>is</w:t>
      </w:r>
      <w:r>
        <w:rPr>
          <w:rFonts w:ascii="Century" w:hAnsi="Century"/>
          <w:spacing w:val="11"/>
        </w:rPr>
        <w:t> </w:t>
      </w:r>
      <w:r>
        <w:rPr>
          <w:rFonts w:ascii="Century" w:hAnsi="Century"/>
          <w:w w:val="90"/>
        </w:rPr>
        <w:t>calculated</w:t>
      </w:r>
      <w:r>
        <w:rPr>
          <w:rFonts w:ascii="Century" w:hAnsi="Century"/>
          <w:spacing w:val="11"/>
        </w:rPr>
        <w:t> </w:t>
      </w:r>
      <w:r>
        <w:rPr>
          <w:rFonts w:ascii="Century" w:hAnsi="Century"/>
          <w:w w:val="85"/>
        </w:rPr>
        <w:t>as</w:t>
      </w:r>
      <w:r>
        <w:rPr>
          <w:rFonts w:ascii="Century" w:hAnsi="Century"/>
          <w:spacing w:val="10"/>
        </w:rPr>
        <w:t> </w:t>
      </w:r>
      <w:r>
        <w:rPr>
          <w:rFonts w:ascii="Georgia" w:hAnsi="Georgia"/>
          <w:b/>
          <w:w w:val="107"/>
        </w:rPr>
        <w:t>X</w:t>
      </w:r>
      <w:r>
        <w:rPr>
          <w:spacing w:val="-97"/>
          <w:w w:val="193"/>
          <w:vertAlign w:val="superscript"/>
        </w:rPr>
        <w:t>˚</w:t>
      </w:r>
      <w:r>
        <w:rPr>
          <w:b/>
          <w:w w:val="115"/>
          <w:position w:val="-4"/>
          <w:sz w:val="14"/>
          <w:vertAlign w:val="baseline"/>
        </w:rPr>
        <w:t>1</w:t>
      </w:r>
      <w:r>
        <w:rPr>
          <w:b/>
          <w:position w:val="-4"/>
          <w:sz w:val="14"/>
          <w:vertAlign w:val="baseline"/>
        </w:rPr>
        <w:t> </w:t>
      </w:r>
      <w:r>
        <w:rPr>
          <w:b/>
          <w:spacing w:val="-6"/>
          <w:position w:val="-4"/>
          <w:sz w:val="14"/>
          <w:vertAlign w:val="baseline"/>
        </w:rPr>
        <w:t> </w:t>
      </w:r>
      <w:r>
        <w:rPr>
          <w:w w:val="232"/>
          <w:vertAlign w:val="baseline"/>
        </w:rPr>
        <w:t>“</w:t>
      </w:r>
      <w:r>
        <w:rPr>
          <w:spacing w:val="-1"/>
          <w:vertAlign w:val="baseline"/>
        </w:rPr>
        <w:t> </w:t>
      </w:r>
      <w:r>
        <w:rPr>
          <w:rFonts w:ascii="Georgia" w:hAnsi="Georgia"/>
          <w:b/>
          <w:w w:val="107"/>
          <w:vertAlign w:val="baseline"/>
        </w:rPr>
        <w:t>X</w:t>
      </w:r>
      <w:r>
        <w:rPr>
          <w:b/>
          <w:spacing w:val="10"/>
          <w:w w:val="108"/>
          <w:vertAlign w:val="subscript"/>
        </w:rPr>
        <w:t>0</w:t>
      </w:r>
      <w:r>
        <w:rPr>
          <w:rFonts w:ascii="Georgia" w:hAnsi="Georgia"/>
          <w:b/>
          <w:spacing w:val="3"/>
          <w:w w:val="105"/>
          <w:vertAlign w:val="baseline"/>
        </w:rPr>
        <w:t>W</w:t>
      </w:r>
      <w:r>
        <w:rPr>
          <w:spacing w:val="10"/>
          <w:w w:val="193"/>
          <w:vertAlign w:val="superscript"/>
        </w:rPr>
        <w:t>˚</w:t>
      </w:r>
      <w:r>
        <w:rPr>
          <w:rFonts w:ascii="Century" w:hAnsi="Century"/>
          <w:w w:val="97"/>
          <w:vertAlign w:val="baseline"/>
        </w:rPr>
        <w:t>,</w:t>
      </w:r>
      <w:r>
        <w:rPr>
          <w:rFonts w:ascii="Century" w:hAnsi="Century"/>
          <w:spacing w:val="11"/>
          <w:vertAlign w:val="baseline"/>
        </w:rPr>
        <w:t> </w:t>
      </w:r>
      <w:r>
        <w:rPr>
          <w:rFonts w:ascii="Century" w:hAnsi="Century"/>
          <w:w w:val="90"/>
          <w:vertAlign w:val="baseline"/>
        </w:rPr>
        <w:t>and</w:t>
      </w:r>
      <w:r>
        <w:rPr>
          <w:rFonts w:ascii="Century" w:hAnsi="Century"/>
          <w:spacing w:val="11"/>
          <w:vertAlign w:val="baseline"/>
        </w:rPr>
        <w:t> </w:t>
      </w:r>
      <w:r>
        <w:rPr>
          <w:rFonts w:ascii="Century" w:hAnsi="Century"/>
          <w:w w:val="90"/>
          <w:vertAlign w:val="baseline"/>
        </w:rPr>
        <w:t>the</w:t>
      </w:r>
      <w:r>
        <w:rPr>
          <w:rFonts w:ascii="Century" w:hAnsi="Century"/>
          <w:spacing w:val="11"/>
          <w:vertAlign w:val="baseline"/>
        </w:rPr>
        <w:t> </w:t>
      </w:r>
      <w:r>
        <w:rPr>
          <w:rFonts w:ascii="Century" w:hAnsi="Century"/>
          <w:w w:val="88"/>
          <w:vertAlign w:val="baseline"/>
        </w:rPr>
        <w:t>causal</w:t>
      </w:r>
      <w:r>
        <w:rPr>
          <w:rFonts w:ascii="Century" w:hAnsi="Century"/>
          <w:spacing w:val="11"/>
          <w:vertAlign w:val="baseline"/>
        </w:rPr>
        <w:t> </w:t>
      </w:r>
      <w:r>
        <w:rPr>
          <w:rFonts w:ascii="Century" w:hAnsi="Century"/>
          <w:w w:val="89"/>
          <w:vertAlign w:val="baseline"/>
        </w:rPr>
        <w:t>effect</w:t>
      </w:r>
      <w:r>
        <w:rPr>
          <w:rFonts w:ascii="Century" w:hAnsi="Century"/>
          <w:spacing w:val="11"/>
          <w:vertAlign w:val="baseline"/>
        </w:rPr>
        <w:t> </w:t>
      </w:r>
      <w:r>
        <w:rPr>
          <w:rFonts w:ascii="Century" w:hAnsi="Century"/>
          <w:w w:val="94"/>
          <w:vertAlign w:val="baseline"/>
        </w:rPr>
        <w:t>of</w:t>
      </w:r>
      <w:r>
        <w:rPr>
          <w:rFonts w:ascii="Century" w:hAnsi="Century"/>
          <w:spacing w:val="11"/>
          <w:vertAlign w:val="baseline"/>
        </w:rPr>
        <w:t> </w:t>
      </w:r>
      <w:r>
        <w:rPr>
          <w:rFonts w:ascii="Century" w:hAnsi="Century"/>
          <w:w w:val="90"/>
          <w:vertAlign w:val="baseline"/>
        </w:rPr>
        <w:t>the</w:t>
      </w:r>
      <w:r>
        <w:rPr>
          <w:rFonts w:ascii="Century" w:hAnsi="Century"/>
          <w:spacing w:val="11"/>
          <w:vertAlign w:val="baseline"/>
        </w:rPr>
        <w:t> </w:t>
      </w:r>
      <w:r>
        <w:rPr>
          <w:rFonts w:ascii="Century" w:hAnsi="Century"/>
          <w:w w:val="91"/>
          <w:vertAlign w:val="baseline"/>
        </w:rPr>
        <w:t>Brexit</w:t>
      </w:r>
      <w:r>
        <w:rPr>
          <w:rFonts w:ascii="Century" w:hAnsi="Century"/>
          <w:spacing w:val="11"/>
          <w:vertAlign w:val="baseline"/>
        </w:rPr>
        <w:t> </w:t>
      </w:r>
      <w:r>
        <w:rPr>
          <w:rFonts w:ascii="Century" w:hAnsi="Century"/>
          <w:spacing w:val="-6"/>
          <w:w w:val="95"/>
          <w:vertAlign w:val="baseline"/>
        </w:rPr>
        <w:t>v</w:t>
      </w:r>
      <w:r>
        <w:rPr>
          <w:rFonts w:ascii="Century" w:hAnsi="Century"/>
          <w:w w:val="97"/>
          <w:vertAlign w:val="baseline"/>
        </w:rPr>
        <w:t>o</w:t>
      </w:r>
      <w:r>
        <w:rPr>
          <w:rFonts w:ascii="Century" w:hAnsi="Century"/>
          <w:spacing w:val="-1"/>
          <w:w w:val="97"/>
          <w:vertAlign w:val="baseline"/>
        </w:rPr>
        <w:t>t</w:t>
      </w:r>
      <w:r>
        <w:rPr>
          <w:rFonts w:ascii="Century" w:hAnsi="Century"/>
          <w:w w:val="86"/>
          <w:vertAlign w:val="baseline"/>
        </w:rPr>
        <w:t>e </w:t>
      </w:r>
      <w:r>
        <w:rPr>
          <w:rFonts w:ascii="Century" w:hAnsi="Century"/>
          <w:w w:val="94"/>
          <w:vertAlign w:val="baseline"/>
        </w:rPr>
        <w:t>on</w:t>
      </w:r>
      <w:r>
        <w:rPr>
          <w:rFonts w:ascii="Century" w:hAnsi="Century"/>
          <w:spacing w:val="10"/>
          <w:vertAlign w:val="baseline"/>
        </w:rPr>
        <w:t> </w:t>
      </w:r>
      <w:r>
        <w:rPr>
          <w:rFonts w:ascii="Century" w:hAnsi="Century"/>
          <w:w w:val="95"/>
          <w:vertAlign w:val="baseline"/>
        </w:rPr>
        <w:t>UK</w:t>
      </w:r>
      <w:r>
        <w:rPr>
          <w:rFonts w:ascii="Century" w:hAnsi="Century"/>
          <w:spacing w:val="10"/>
          <w:vertAlign w:val="baseline"/>
        </w:rPr>
        <w:t> </w:t>
      </w:r>
      <w:r>
        <w:rPr>
          <w:rFonts w:ascii="Century" w:hAnsi="Century"/>
          <w:w w:val="99"/>
          <w:vertAlign w:val="baseline"/>
        </w:rPr>
        <w:t>GDP</w:t>
      </w:r>
      <w:r>
        <w:rPr>
          <w:rFonts w:ascii="Century" w:hAnsi="Century"/>
          <w:spacing w:val="10"/>
          <w:vertAlign w:val="baseline"/>
        </w:rPr>
        <w:t> </w:t>
      </w:r>
      <w:r>
        <w:rPr>
          <w:rFonts w:ascii="Century" w:hAnsi="Century"/>
          <w:w w:val="85"/>
          <w:vertAlign w:val="baseline"/>
        </w:rPr>
        <w:t>is</w:t>
      </w:r>
      <w:r>
        <w:rPr>
          <w:rFonts w:ascii="Century" w:hAnsi="Century"/>
          <w:spacing w:val="10"/>
          <w:vertAlign w:val="baseline"/>
        </w:rPr>
        <w:t> </w:t>
      </w:r>
      <w:r>
        <w:rPr>
          <w:rFonts w:ascii="Century" w:hAnsi="Century"/>
          <w:w w:val="93"/>
          <w:vertAlign w:val="baseline"/>
        </w:rPr>
        <w:t>gi</w:t>
      </w:r>
      <w:r>
        <w:rPr>
          <w:rFonts w:ascii="Century" w:hAnsi="Century"/>
          <w:spacing w:val="-6"/>
          <w:w w:val="93"/>
          <w:vertAlign w:val="baseline"/>
        </w:rPr>
        <w:t>v</w:t>
      </w:r>
      <w:r>
        <w:rPr>
          <w:rFonts w:ascii="Century" w:hAnsi="Century"/>
          <w:w w:val="88"/>
          <w:vertAlign w:val="baseline"/>
        </w:rPr>
        <w:t>e</w:t>
      </w:r>
      <w:r>
        <w:rPr>
          <w:rFonts w:ascii="Century" w:hAnsi="Century"/>
          <w:w w:val="90"/>
          <w:vertAlign w:val="baseline"/>
        </w:rPr>
        <w:t>n</w:t>
      </w:r>
      <w:r>
        <w:rPr>
          <w:rFonts w:ascii="Century" w:hAnsi="Century"/>
          <w:spacing w:val="10"/>
          <w:vertAlign w:val="baseline"/>
        </w:rPr>
        <w:t> </w:t>
      </w:r>
      <w:r>
        <w:rPr>
          <w:rFonts w:ascii="Century" w:hAnsi="Century"/>
          <w:spacing w:val="-6"/>
          <w:w w:val="99"/>
          <w:vertAlign w:val="baseline"/>
        </w:rPr>
        <w:t>b</w:t>
      </w:r>
      <w:r>
        <w:rPr>
          <w:rFonts w:ascii="Century" w:hAnsi="Century"/>
          <w:w w:val="97"/>
          <w:vertAlign w:val="baseline"/>
        </w:rPr>
        <w:t>y</w:t>
      </w:r>
      <w:r>
        <w:rPr>
          <w:rFonts w:ascii="Century" w:hAnsi="Century"/>
          <w:spacing w:val="11"/>
          <w:vertAlign w:val="baseline"/>
        </w:rPr>
        <w:t> </w:t>
      </w:r>
      <w:r>
        <w:rPr>
          <w:rFonts w:ascii="Georgia" w:hAnsi="Georgia"/>
          <w:b/>
          <w:w w:val="118"/>
          <w:vertAlign w:val="baseline"/>
        </w:rPr>
        <w:t>Y</w:t>
      </w:r>
      <w:r>
        <w:rPr>
          <w:b/>
          <w:w w:val="108"/>
          <w:vertAlign w:val="subscript"/>
        </w:rPr>
        <w:t>1</w:t>
      </w:r>
      <w:r>
        <w:rPr>
          <w:b/>
          <w:spacing w:val="-2"/>
          <w:vertAlign w:val="baseline"/>
        </w:rPr>
        <w:t> </w:t>
      </w:r>
      <w:r>
        <w:rPr>
          <w:w w:val="232"/>
          <w:vertAlign w:val="baseline"/>
        </w:rPr>
        <w:t>´</w:t>
      </w:r>
      <w:r>
        <w:rPr>
          <w:spacing w:val="-12"/>
          <w:vertAlign w:val="baseline"/>
        </w:rPr>
        <w:t> </w:t>
      </w:r>
      <w:r>
        <w:rPr>
          <w:rFonts w:ascii="Georgia" w:hAnsi="Georgia"/>
          <w:b/>
          <w:w w:val="118"/>
          <w:vertAlign w:val="baseline"/>
        </w:rPr>
        <w:t>Y</w:t>
      </w:r>
      <w:r>
        <w:rPr>
          <w:b/>
          <w:spacing w:val="-85"/>
          <w:w w:val="115"/>
          <w:position w:val="-4"/>
          <w:sz w:val="14"/>
          <w:vertAlign w:val="baseline"/>
        </w:rPr>
        <w:t>1</w:t>
      </w:r>
      <w:r>
        <w:rPr>
          <w:spacing w:val="10"/>
          <w:w w:val="207"/>
          <w:position w:val="7"/>
          <w:sz w:val="14"/>
          <w:vertAlign w:val="baseline"/>
        </w:rPr>
        <w:t>˚</w:t>
      </w:r>
      <w:r>
        <w:rPr>
          <w:rFonts w:ascii="Century" w:hAnsi="Century"/>
          <w:w w:val="99"/>
          <w:vertAlign w:val="baseline"/>
        </w:rPr>
        <w:t>.</w:t>
      </w:r>
    </w:p>
    <w:p>
      <w:pPr>
        <w:pStyle w:val="Heading1"/>
        <w:spacing w:before="297"/>
        <w:jc w:val="both"/>
      </w:pPr>
      <w:r>
        <w:rPr/>
        <w:t>Comparison with OLS regression</w:t>
      </w:r>
    </w:p>
    <w:p>
      <w:pPr>
        <w:pStyle w:val="BodyText"/>
        <w:spacing w:before="7"/>
        <w:rPr>
          <w:rFonts w:ascii="Georgia"/>
          <w:b/>
          <w:sz w:val="21"/>
        </w:rPr>
      </w:pPr>
    </w:p>
    <w:p>
      <w:pPr>
        <w:pStyle w:val="BodyText"/>
        <w:spacing w:line="357" w:lineRule="auto"/>
        <w:ind w:left="120" w:right="132" w:hanging="8"/>
        <w:jc w:val="both"/>
        <w:rPr>
          <w:rFonts w:ascii="Century"/>
        </w:rPr>
      </w:pPr>
      <w:r>
        <w:rPr>
          <w:rFonts w:ascii="Century"/>
        </w:rPr>
        <w:t>A</w:t>
      </w:r>
      <w:r>
        <w:rPr>
          <w:rFonts w:ascii="Century"/>
          <w:spacing w:val="-17"/>
        </w:rPr>
        <w:t> </w:t>
      </w:r>
      <w:r>
        <w:rPr>
          <w:rFonts w:ascii="Century"/>
        </w:rPr>
        <w:t>natural</w:t>
      </w:r>
      <w:r>
        <w:rPr>
          <w:rFonts w:ascii="Century"/>
          <w:spacing w:val="-16"/>
        </w:rPr>
        <w:t> </w:t>
      </w:r>
      <w:r>
        <w:rPr>
          <w:rFonts w:ascii="Century"/>
        </w:rPr>
        <w:t>alternative</w:t>
      </w:r>
      <w:r>
        <w:rPr>
          <w:rFonts w:ascii="Century"/>
          <w:spacing w:val="-17"/>
        </w:rPr>
        <w:t> </w:t>
      </w:r>
      <w:r>
        <w:rPr>
          <w:rFonts w:ascii="Century"/>
        </w:rPr>
        <w:t>of</w:t>
      </w:r>
      <w:r>
        <w:rPr>
          <w:rFonts w:ascii="Century"/>
          <w:spacing w:val="-16"/>
        </w:rPr>
        <w:t> </w:t>
      </w:r>
      <w:r>
        <w:rPr>
          <w:rFonts w:ascii="Century"/>
        </w:rPr>
        <w:t>the</w:t>
      </w:r>
      <w:r>
        <w:rPr>
          <w:rFonts w:ascii="Century"/>
          <w:spacing w:val="-16"/>
        </w:rPr>
        <w:t> </w:t>
      </w:r>
      <w:r>
        <w:rPr>
          <w:rFonts w:ascii="Century"/>
        </w:rPr>
        <w:t>synthetic</w:t>
      </w:r>
      <w:r>
        <w:rPr>
          <w:rFonts w:ascii="Century"/>
          <w:spacing w:val="-16"/>
        </w:rPr>
        <w:t> </w:t>
      </w:r>
      <w:r>
        <w:rPr>
          <w:rFonts w:ascii="Century"/>
        </w:rPr>
        <w:t>control</w:t>
      </w:r>
      <w:r>
        <w:rPr>
          <w:rFonts w:ascii="Century"/>
          <w:spacing w:val="-17"/>
        </w:rPr>
        <w:t> </w:t>
      </w:r>
      <w:r>
        <w:rPr>
          <w:rFonts w:ascii="Century"/>
        </w:rPr>
        <w:t>methodology</w:t>
      </w:r>
      <w:r>
        <w:rPr>
          <w:rFonts w:ascii="Century"/>
          <w:spacing w:val="-16"/>
        </w:rPr>
        <w:t> </w:t>
      </w:r>
      <w:r>
        <w:rPr>
          <w:rFonts w:ascii="Century"/>
        </w:rPr>
        <w:t>is</w:t>
      </w:r>
      <w:r>
        <w:rPr>
          <w:rFonts w:ascii="Century"/>
          <w:spacing w:val="-17"/>
        </w:rPr>
        <w:t> </w:t>
      </w:r>
      <w:r>
        <w:rPr>
          <w:rFonts w:ascii="Century"/>
        </w:rPr>
        <w:t>a</w:t>
      </w:r>
      <w:r>
        <w:rPr>
          <w:rFonts w:ascii="Century"/>
          <w:spacing w:val="-16"/>
        </w:rPr>
        <w:t> </w:t>
      </w:r>
      <w:r>
        <w:rPr>
          <w:rFonts w:ascii="Century"/>
        </w:rPr>
        <w:t>simple</w:t>
      </w:r>
      <w:r>
        <w:rPr>
          <w:rFonts w:ascii="Century"/>
          <w:spacing w:val="-16"/>
        </w:rPr>
        <w:t> </w:t>
      </w:r>
      <w:r>
        <w:rPr>
          <w:rFonts w:ascii="Century"/>
        </w:rPr>
        <w:t>OLS</w:t>
      </w:r>
      <w:r>
        <w:rPr>
          <w:rFonts w:ascii="Century"/>
          <w:spacing w:val="-17"/>
        </w:rPr>
        <w:t> </w:t>
      </w:r>
      <w:r>
        <w:rPr>
          <w:rFonts w:ascii="Century"/>
        </w:rPr>
        <w:t>regression</w:t>
      </w:r>
      <w:r>
        <w:rPr>
          <w:rFonts w:ascii="Century"/>
          <w:spacing w:val="-16"/>
        </w:rPr>
        <w:t> </w:t>
      </w:r>
      <w:r>
        <w:rPr>
          <w:rFonts w:ascii="Century"/>
        </w:rPr>
        <w:t>of</w:t>
      </w:r>
      <w:r>
        <w:rPr>
          <w:rFonts w:ascii="Century"/>
          <w:spacing w:val="-17"/>
        </w:rPr>
        <w:t> </w:t>
      </w:r>
      <w:r>
        <w:rPr>
          <w:rFonts w:ascii="Century"/>
        </w:rPr>
        <w:t>UK</w:t>
      </w:r>
      <w:r>
        <w:rPr>
          <w:rFonts w:ascii="Century"/>
          <w:spacing w:val="-16"/>
        </w:rPr>
        <w:t> </w:t>
      </w:r>
      <w:r>
        <w:rPr>
          <w:rFonts w:ascii="Century"/>
        </w:rPr>
        <w:t>GDP</w:t>
      </w:r>
      <w:r>
        <w:rPr>
          <w:rFonts w:ascii="Century"/>
          <w:spacing w:val="-17"/>
        </w:rPr>
        <w:t> </w:t>
      </w:r>
      <w:r>
        <w:rPr>
          <w:rFonts w:ascii="Century"/>
        </w:rPr>
        <w:t>on</w:t>
      </w:r>
      <w:r>
        <w:rPr>
          <w:rFonts w:ascii="Century"/>
          <w:spacing w:val="-16"/>
        </w:rPr>
        <w:t> </w:t>
      </w:r>
      <w:r>
        <w:rPr>
          <w:rFonts w:ascii="Century"/>
        </w:rPr>
        <w:t>the </w:t>
      </w:r>
      <w:r>
        <w:rPr>
          <w:rFonts w:ascii="Century"/>
          <w:w w:val="95"/>
        </w:rPr>
        <w:t>control</w:t>
      </w:r>
      <w:r>
        <w:rPr>
          <w:rFonts w:ascii="Century"/>
          <w:spacing w:val="-19"/>
          <w:w w:val="95"/>
        </w:rPr>
        <w:t> </w:t>
      </w:r>
      <w:r>
        <w:rPr>
          <w:rFonts w:ascii="Century"/>
          <w:w w:val="95"/>
        </w:rPr>
        <w:t>pool,</w:t>
      </w:r>
      <w:r>
        <w:rPr>
          <w:rFonts w:ascii="Century"/>
          <w:spacing w:val="-17"/>
          <w:w w:val="95"/>
        </w:rPr>
        <w:t> </w:t>
      </w:r>
      <w:r>
        <w:rPr>
          <w:rFonts w:ascii="Century"/>
          <w:w w:val="95"/>
        </w:rPr>
        <w:t>defining</w:t>
      </w:r>
      <w:r>
        <w:rPr>
          <w:rFonts w:ascii="Century"/>
          <w:spacing w:val="-19"/>
          <w:w w:val="95"/>
        </w:rPr>
        <w:t> </w:t>
      </w:r>
      <w:r>
        <w:rPr>
          <w:rFonts w:ascii="Century"/>
          <w:w w:val="95"/>
        </w:rPr>
        <w:t>the</w:t>
      </w:r>
      <w:r>
        <w:rPr>
          <w:rFonts w:ascii="Century"/>
          <w:spacing w:val="-18"/>
          <w:w w:val="95"/>
        </w:rPr>
        <w:t> </w:t>
      </w:r>
      <w:r>
        <w:rPr>
          <w:rFonts w:ascii="Century"/>
          <w:w w:val="95"/>
        </w:rPr>
        <w:t>fitted</w:t>
      </w:r>
      <w:r>
        <w:rPr>
          <w:rFonts w:ascii="Century"/>
          <w:spacing w:val="-18"/>
          <w:w w:val="95"/>
        </w:rPr>
        <w:t> </w:t>
      </w:r>
      <w:r>
        <w:rPr>
          <w:rFonts w:ascii="Century"/>
          <w:w w:val="95"/>
        </w:rPr>
        <w:t>values</w:t>
      </w:r>
      <w:r>
        <w:rPr>
          <w:rFonts w:ascii="Century"/>
          <w:spacing w:val="-18"/>
          <w:w w:val="95"/>
        </w:rPr>
        <w:t> </w:t>
      </w:r>
      <w:r>
        <w:rPr>
          <w:rFonts w:ascii="Century"/>
          <w:w w:val="95"/>
        </w:rPr>
        <w:t>as</w:t>
      </w:r>
      <w:r>
        <w:rPr>
          <w:rFonts w:ascii="Century"/>
          <w:spacing w:val="-19"/>
          <w:w w:val="95"/>
        </w:rPr>
        <w:t> </w:t>
      </w:r>
      <w:r>
        <w:rPr>
          <w:rFonts w:ascii="Century"/>
          <w:w w:val="95"/>
        </w:rPr>
        <w:t>the</w:t>
      </w:r>
      <w:r>
        <w:rPr>
          <w:rFonts w:ascii="Century"/>
          <w:spacing w:val="-18"/>
          <w:w w:val="95"/>
        </w:rPr>
        <w:t> </w:t>
      </w:r>
      <w:r>
        <w:rPr>
          <w:rFonts w:ascii="Century"/>
          <w:w w:val="95"/>
        </w:rPr>
        <w:t>counterfactual.</w:t>
      </w:r>
      <w:r>
        <w:rPr>
          <w:rFonts w:ascii="Century"/>
          <w:spacing w:val="-4"/>
          <w:w w:val="95"/>
        </w:rPr>
        <w:t> </w:t>
      </w:r>
      <w:r>
        <w:rPr>
          <w:rFonts w:ascii="Century"/>
          <w:w w:val="95"/>
        </w:rPr>
        <w:t>The</w:t>
      </w:r>
      <w:r>
        <w:rPr>
          <w:rFonts w:ascii="Century"/>
          <w:spacing w:val="-18"/>
          <w:w w:val="95"/>
        </w:rPr>
        <w:t> </w:t>
      </w:r>
      <w:r>
        <w:rPr>
          <w:rFonts w:ascii="Century"/>
          <w:w w:val="95"/>
        </w:rPr>
        <w:t>key</w:t>
      </w:r>
      <w:r>
        <w:rPr>
          <w:rFonts w:ascii="Century"/>
          <w:spacing w:val="-18"/>
          <w:w w:val="95"/>
        </w:rPr>
        <w:t> </w:t>
      </w:r>
      <w:r>
        <w:rPr>
          <w:rFonts w:ascii="Century"/>
          <w:w w:val="95"/>
        </w:rPr>
        <w:t>difference</w:t>
      </w:r>
      <w:r>
        <w:rPr>
          <w:rFonts w:ascii="Century"/>
          <w:spacing w:val="-18"/>
          <w:w w:val="95"/>
        </w:rPr>
        <w:t> </w:t>
      </w:r>
      <w:r>
        <w:rPr>
          <w:rFonts w:ascii="Century"/>
          <w:w w:val="95"/>
        </w:rPr>
        <w:t>between</w:t>
      </w:r>
      <w:r>
        <w:rPr>
          <w:rFonts w:ascii="Century"/>
          <w:spacing w:val="-19"/>
          <w:w w:val="95"/>
        </w:rPr>
        <w:t> </w:t>
      </w:r>
      <w:r>
        <w:rPr>
          <w:rFonts w:ascii="Century"/>
          <w:w w:val="95"/>
        </w:rPr>
        <w:t>the</w:t>
      </w:r>
      <w:r>
        <w:rPr>
          <w:rFonts w:ascii="Century"/>
          <w:spacing w:val="-18"/>
          <w:w w:val="95"/>
        </w:rPr>
        <w:t> </w:t>
      </w:r>
      <w:r>
        <w:rPr>
          <w:rFonts w:ascii="Century"/>
          <w:w w:val="95"/>
        </w:rPr>
        <w:t>synthetic</w:t>
      </w:r>
      <w:r>
        <w:rPr>
          <w:rFonts w:ascii="Century"/>
          <w:spacing w:val="-18"/>
          <w:w w:val="95"/>
        </w:rPr>
        <w:t> </w:t>
      </w:r>
      <w:r>
        <w:rPr>
          <w:rFonts w:ascii="Century"/>
          <w:w w:val="95"/>
        </w:rPr>
        <w:t>control </w:t>
      </w:r>
      <w:r>
        <w:rPr>
          <w:rFonts w:ascii="Century"/>
        </w:rPr>
        <w:t>and</w:t>
      </w:r>
      <w:r>
        <w:rPr>
          <w:rFonts w:ascii="Century"/>
          <w:spacing w:val="-30"/>
        </w:rPr>
        <w:t> </w:t>
      </w:r>
      <w:r>
        <w:rPr>
          <w:rFonts w:ascii="Century"/>
        </w:rPr>
        <w:t>regression</w:t>
      </w:r>
      <w:r>
        <w:rPr>
          <w:rFonts w:ascii="Century"/>
          <w:spacing w:val="-28"/>
        </w:rPr>
        <w:t> </w:t>
      </w:r>
      <w:r>
        <w:rPr>
          <w:rFonts w:ascii="Century"/>
        </w:rPr>
        <w:t>methodology</w:t>
      </w:r>
      <w:r>
        <w:rPr>
          <w:rFonts w:ascii="Century"/>
          <w:spacing w:val="-29"/>
        </w:rPr>
        <w:t> </w:t>
      </w:r>
      <w:r>
        <w:rPr>
          <w:rFonts w:ascii="Century"/>
        </w:rPr>
        <w:t>is</w:t>
      </w:r>
      <w:r>
        <w:rPr>
          <w:rFonts w:ascii="Century"/>
          <w:spacing w:val="-29"/>
        </w:rPr>
        <w:t> </w:t>
      </w:r>
      <w:r>
        <w:rPr>
          <w:rFonts w:ascii="Century"/>
        </w:rPr>
        <w:t>that</w:t>
      </w:r>
      <w:r>
        <w:rPr>
          <w:rFonts w:ascii="Century"/>
          <w:spacing w:val="-29"/>
        </w:rPr>
        <w:t> </w:t>
      </w:r>
      <w:r>
        <w:rPr>
          <w:rFonts w:ascii="Century"/>
        </w:rPr>
        <w:t>the</w:t>
      </w:r>
      <w:r>
        <w:rPr>
          <w:rFonts w:ascii="Century"/>
          <w:spacing w:val="-29"/>
        </w:rPr>
        <w:t> </w:t>
      </w:r>
      <w:r>
        <w:rPr>
          <w:rFonts w:ascii="Century"/>
        </w:rPr>
        <w:t>synthetic</w:t>
      </w:r>
      <w:r>
        <w:rPr>
          <w:rFonts w:ascii="Century"/>
          <w:spacing w:val="-29"/>
        </w:rPr>
        <w:t> </w:t>
      </w:r>
      <w:r>
        <w:rPr>
          <w:rFonts w:ascii="Century"/>
        </w:rPr>
        <w:t>control</w:t>
      </w:r>
      <w:r>
        <w:rPr>
          <w:rFonts w:ascii="Century"/>
          <w:spacing w:val="-29"/>
        </w:rPr>
        <w:t> </w:t>
      </w:r>
      <w:r>
        <w:rPr>
          <w:rFonts w:ascii="Century"/>
        </w:rPr>
        <w:t>is</w:t>
      </w:r>
      <w:r>
        <w:rPr>
          <w:rFonts w:ascii="Century"/>
          <w:spacing w:val="-28"/>
        </w:rPr>
        <w:t> </w:t>
      </w:r>
      <w:r>
        <w:rPr>
          <w:rFonts w:ascii="Century"/>
        </w:rPr>
        <w:t>a</w:t>
      </w:r>
      <w:r>
        <w:rPr>
          <w:rFonts w:ascii="Century"/>
          <w:spacing w:val="-29"/>
        </w:rPr>
        <w:t> </w:t>
      </w:r>
      <w:r>
        <w:rPr>
          <w:rFonts w:ascii="Century"/>
        </w:rPr>
        <w:t>constrained</w:t>
      </w:r>
      <w:r>
        <w:rPr>
          <w:rFonts w:ascii="Century"/>
          <w:spacing w:val="-30"/>
        </w:rPr>
        <w:t> </w:t>
      </w:r>
      <w:r>
        <w:rPr>
          <w:rFonts w:ascii="Century"/>
        </w:rPr>
        <w:t>minimisation</w:t>
      </w:r>
      <w:r>
        <w:rPr>
          <w:rFonts w:ascii="Century"/>
          <w:spacing w:val="-29"/>
        </w:rPr>
        <w:t> </w:t>
      </w:r>
      <w:r>
        <w:rPr>
          <w:rFonts w:ascii="Century"/>
        </w:rPr>
        <w:t>with</w:t>
      </w:r>
      <w:r>
        <w:rPr>
          <w:rFonts w:ascii="Century"/>
          <w:spacing w:val="-29"/>
        </w:rPr>
        <w:t> </w:t>
      </w:r>
      <w:r>
        <w:rPr>
          <w:rFonts w:ascii="Century"/>
        </w:rPr>
        <w:t>non-negative coefficients</w:t>
      </w:r>
      <w:r>
        <w:rPr>
          <w:rFonts w:ascii="Century"/>
          <w:spacing w:val="-9"/>
        </w:rPr>
        <w:t> </w:t>
      </w:r>
      <w:r>
        <w:rPr>
          <w:rFonts w:ascii="Century"/>
        </w:rPr>
        <w:t>that</w:t>
      </w:r>
      <w:r>
        <w:rPr>
          <w:rFonts w:ascii="Century"/>
          <w:spacing w:val="-8"/>
        </w:rPr>
        <w:t> </w:t>
      </w:r>
      <w:r>
        <w:rPr>
          <w:rFonts w:ascii="Century"/>
        </w:rPr>
        <w:t>sum</w:t>
      </w:r>
      <w:r>
        <w:rPr>
          <w:rFonts w:ascii="Century"/>
          <w:spacing w:val="-8"/>
        </w:rPr>
        <w:t> </w:t>
      </w:r>
      <w:r>
        <w:rPr>
          <w:rFonts w:ascii="Century"/>
        </w:rPr>
        <w:t>to</w:t>
      </w:r>
      <w:r>
        <w:rPr>
          <w:rFonts w:ascii="Century"/>
          <w:spacing w:val="-8"/>
        </w:rPr>
        <w:t> </w:t>
      </w:r>
      <w:r>
        <w:rPr>
          <w:rFonts w:ascii="Century"/>
        </w:rPr>
        <w:t>one.</w:t>
      </w:r>
      <w:r>
        <w:rPr>
          <w:rFonts w:ascii="Century"/>
          <w:spacing w:val="19"/>
        </w:rPr>
        <w:t> </w:t>
      </w:r>
      <w:r>
        <w:rPr>
          <w:rFonts w:ascii="Century"/>
        </w:rPr>
        <w:t>The</w:t>
      </w:r>
      <w:r>
        <w:rPr>
          <w:rFonts w:ascii="Century"/>
          <w:spacing w:val="-9"/>
        </w:rPr>
        <w:t> </w:t>
      </w:r>
      <w:r>
        <w:rPr>
          <w:rFonts w:ascii="Century"/>
        </w:rPr>
        <w:t>importance</w:t>
      </w:r>
      <w:r>
        <w:rPr>
          <w:rFonts w:ascii="Century"/>
          <w:spacing w:val="-8"/>
        </w:rPr>
        <w:t> </w:t>
      </w:r>
      <w:r>
        <w:rPr>
          <w:rFonts w:ascii="Century"/>
        </w:rPr>
        <w:t>of</w:t>
      </w:r>
      <w:r>
        <w:rPr>
          <w:rFonts w:ascii="Century"/>
          <w:spacing w:val="-8"/>
        </w:rPr>
        <w:t> </w:t>
      </w:r>
      <w:r>
        <w:rPr>
          <w:rFonts w:ascii="Century"/>
        </w:rPr>
        <w:t>this</w:t>
      </w:r>
      <w:r>
        <w:rPr>
          <w:rFonts w:ascii="Century"/>
          <w:spacing w:val="-8"/>
        </w:rPr>
        <w:t> </w:t>
      </w:r>
      <w:r>
        <w:rPr>
          <w:rFonts w:ascii="Century"/>
        </w:rPr>
        <w:t>constraint</w:t>
      </w:r>
      <w:r>
        <w:rPr>
          <w:rFonts w:ascii="Century"/>
          <w:spacing w:val="-8"/>
        </w:rPr>
        <w:t> </w:t>
      </w:r>
      <w:r>
        <w:rPr>
          <w:rFonts w:ascii="Century"/>
        </w:rPr>
        <w:t>lies</w:t>
      </w:r>
      <w:r>
        <w:rPr>
          <w:rFonts w:ascii="Century"/>
          <w:spacing w:val="-8"/>
        </w:rPr>
        <w:t> </w:t>
      </w:r>
      <w:r>
        <w:rPr>
          <w:rFonts w:ascii="Century"/>
        </w:rPr>
        <w:t>in</w:t>
      </w:r>
      <w:r>
        <w:rPr>
          <w:rFonts w:ascii="Century"/>
          <w:spacing w:val="-9"/>
        </w:rPr>
        <w:t> </w:t>
      </w:r>
      <w:r>
        <w:rPr>
          <w:rFonts w:ascii="Century"/>
        </w:rPr>
        <w:t>the</w:t>
      </w:r>
      <w:r>
        <w:rPr>
          <w:rFonts w:ascii="Century"/>
          <w:spacing w:val="-8"/>
        </w:rPr>
        <w:t> </w:t>
      </w:r>
      <w:r>
        <w:rPr>
          <w:rFonts w:ascii="Century"/>
        </w:rPr>
        <w:t>possiblity</w:t>
      </w:r>
      <w:r>
        <w:rPr>
          <w:rFonts w:ascii="Century"/>
          <w:spacing w:val="-8"/>
        </w:rPr>
        <w:t> </w:t>
      </w:r>
      <w:r>
        <w:rPr>
          <w:rFonts w:ascii="Century"/>
        </w:rPr>
        <w:t>that</w:t>
      </w:r>
      <w:r>
        <w:rPr>
          <w:rFonts w:ascii="Century"/>
          <w:spacing w:val="-8"/>
        </w:rPr>
        <w:t> </w:t>
      </w:r>
      <w:r>
        <w:rPr>
          <w:rFonts w:ascii="Century"/>
        </w:rPr>
        <w:t>the</w:t>
      </w:r>
      <w:r>
        <w:rPr>
          <w:rFonts w:ascii="Century"/>
          <w:spacing w:val="-8"/>
        </w:rPr>
        <w:t> </w:t>
      </w:r>
      <w:r>
        <w:rPr>
          <w:rFonts w:ascii="Century"/>
        </w:rPr>
        <w:t>regression estimates</w:t>
      </w:r>
      <w:r>
        <w:rPr>
          <w:rFonts w:ascii="Century"/>
          <w:spacing w:val="-17"/>
        </w:rPr>
        <w:t> </w:t>
      </w:r>
      <w:r>
        <w:rPr>
          <w:rFonts w:ascii="Century"/>
        </w:rPr>
        <w:t>can</w:t>
      </w:r>
      <w:r>
        <w:rPr>
          <w:rFonts w:ascii="Century"/>
          <w:spacing w:val="-17"/>
        </w:rPr>
        <w:t> </w:t>
      </w:r>
      <w:r>
        <w:rPr>
          <w:rFonts w:ascii="Century"/>
          <w:spacing w:val="2"/>
        </w:rPr>
        <w:t>be</w:t>
      </w:r>
      <w:r>
        <w:rPr>
          <w:rFonts w:ascii="Century"/>
          <w:spacing w:val="-16"/>
        </w:rPr>
        <w:t> </w:t>
      </w:r>
      <w:r>
        <w:rPr>
          <w:rFonts w:ascii="Century"/>
        </w:rPr>
        <w:t>negative,</w:t>
      </w:r>
      <w:r>
        <w:rPr>
          <w:rFonts w:ascii="Century"/>
          <w:spacing w:val="-17"/>
        </w:rPr>
        <w:t> </w:t>
      </w:r>
      <w:r>
        <w:rPr>
          <w:rFonts w:ascii="Century"/>
        </w:rPr>
        <w:t>implying</w:t>
      </w:r>
      <w:r>
        <w:rPr>
          <w:rFonts w:ascii="Century"/>
          <w:spacing w:val="-16"/>
        </w:rPr>
        <w:t> </w:t>
      </w:r>
      <w:r>
        <w:rPr>
          <w:rFonts w:ascii="Century"/>
        </w:rPr>
        <w:t>fitted</w:t>
      </w:r>
      <w:r>
        <w:rPr>
          <w:rFonts w:ascii="Century"/>
          <w:spacing w:val="-17"/>
        </w:rPr>
        <w:t> </w:t>
      </w:r>
      <w:r>
        <w:rPr>
          <w:rFonts w:ascii="Century"/>
        </w:rPr>
        <w:t>values</w:t>
      </w:r>
      <w:r>
        <w:rPr>
          <w:rFonts w:ascii="Century"/>
          <w:spacing w:val="-16"/>
        </w:rPr>
        <w:t> </w:t>
      </w:r>
      <w:r>
        <w:rPr>
          <w:rFonts w:ascii="Century"/>
        </w:rPr>
        <w:t>that</w:t>
      </w:r>
      <w:r>
        <w:rPr>
          <w:rFonts w:ascii="Century"/>
          <w:spacing w:val="-17"/>
        </w:rPr>
        <w:t> </w:t>
      </w:r>
      <w:r>
        <w:rPr>
          <w:rFonts w:ascii="Century"/>
        </w:rPr>
        <w:t>are</w:t>
      </w:r>
      <w:r>
        <w:rPr>
          <w:rFonts w:ascii="Century"/>
          <w:spacing w:val="-17"/>
        </w:rPr>
        <w:t> </w:t>
      </w:r>
      <w:r>
        <w:rPr>
          <w:rFonts w:ascii="Century"/>
        </w:rPr>
        <w:t>outside</w:t>
      </w:r>
      <w:r>
        <w:rPr>
          <w:rFonts w:ascii="Century"/>
          <w:spacing w:val="-16"/>
        </w:rPr>
        <w:t> </w:t>
      </w:r>
      <w:r>
        <w:rPr>
          <w:rFonts w:ascii="Century"/>
        </w:rPr>
        <w:t>the</w:t>
      </w:r>
      <w:r>
        <w:rPr>
          <w:rFonts w:ascii="Century"/>
          <w:spacing w:val="-17"/>
        </w:rPr>
        <w:t> </w:t>
      </w:r>
      <w:r>
        <w:rPr>
          <w:rFonts w:ascii="Century"/>
        </w:rPr>
        <w:t>convex</w:t>
      </w:r>
      <w:r>
        <w:rPr>
          <w:rFonts w:ascii="Century"/>
          <w:spacing w:val="-17"/>
        </w:rPr>
        <w:t> </w:t>
      </w:r>
      <w:r>
        <w:rPr>
          <w:rFonts w:ascii="Century"/>
        </w:rPr>
        <w:t>hull</w:t>
      </w:r>
      <w:r>
        <w:rPr>
          <w:rFonts w:ascii="Century"/>
          <w:spacing w:val="-16"/>
        </w:rPr>
        <w:t> </w:t>
      </w:r>
      <w:r>
        <w:rPr>
          <w:rFonts w:ascii="Century"/>
        </w:rPr>
        <w:t>of</w:t>
      </w:r>
      <w:r>
        <w:rPr>
          <w:rFonts w:ascii="Century"/>
          <w:spacing w:val="-17"/>
        </w:rPr>
        <w:t> </w:t>
      </w:r>
      <w:r>
        <w:rPr>
          <w:rFonts w:ascii="Century"/>
        </w:rPr>
        <w:t>the</w:t>
      </w:r>
      <w:r>
        <w:rPr>
          <w:rFonts w:ascii="Century"/>
          <w:spacing w:val="-17"/>
        </w:rPr>
        <w:t> </w:t>
      </w:r>
      <w:r>
        <w:rPr>
          <w:rFonts w:ascii="Century"/>
        </w:rPr>
        <w:t>data. This</w:t>
      </w:r>
      <w:r>
        <w:rPr>
          <w:rFonts w:ascii="Century"/>
          <w:spacing w:val="-17"/>
        </w:rPr>
        <w:t> </w:t>
      </w:r>
      <w:r>
        <w:rPr>
          <w:rFonts w:ascii="Century"/>
        </w:rPr>
        <w:t>leads to</w:t>
      </w:r>
      <w:r>
        <w:rPr>
          <w:rFonts w:ascii="Century"/>
          <w:spacing w:val="-10"/>
        </w:rPr>
        <w:t> </w:t>
      </w:r>
      <w:r>
        <w:rPr>
          <w:rFonts w:ascii="Century"/>
        </w:rPr>
        <w:t>well-known</w:t>
      </w:r>
      <w:r>
        <w:rPr>
          <w:rFonts w:ascii="Century"/>
          <w:spacing w:val="-10"/>
        </w:rPr>
        <w:t> </w:t>
      </w:r>
      <w:r>
        <w:rPr>
          <w:rFonts w:ascii="Century"/>
        </w:rPr>
        <w:t>problems</w:t>
      </w:r>
      <w:r>
        <w:rPr>
          <w:rFonts w:ascii="Century"/>
          <w:spacing w:val="-10"/>
        </w:rPr>
        <w:t> </w:t>
      </w:r>
      <w:r>
        <w:rPr>
          <w:rFonts w:ascii="Century"/>
        </w:rPr>
        <w:t>of</w:t>
      </w:r>
      <w:r>
        <w:rPr>
          <w:rFonts w:ascii="Century"/>
          <w:spacing w:val="-9"/>
        </w:rPr>
        <w:t> </w:t>
      </w:r>
      <w:r>
        <w:rPr>
          <w:rFonts w:ascii="Century"/>
        </w:rPr>
        <w:t>extrapolation</w:t>
      </w:r>
      <w:r>
        <w:rPr>
          <w:rFonts w:ascii="Century"/>
          <w:spacing w:val="-10"/>
        </w:rPr>
        <w:t> </w:t>
      </w:r>
      <w:r>
        <w:rPr>
          <w:rFonts w:ascii="Century"/>
        </w:rPr>
        <w:t>with</w:t>
      </w:r>
      <w:r>
        <w:rPr>
          <w:rFonts w:ascii="Century"/>
          <w:spacing w:val="-10"/>
        </w:rPr>
        <w:t> </w:t>
      </w:r>
      <w:r>
        <w:rPr>
          <w:rFonts w:ascii="Century"/>
        </w:rPr>
        <w:t>regression</w:t>
      </w:r>
      <w:r>
        <w:rPr>
          <w:rFonts w:ascii="Century"/>
          <w:spacing w:val="-10"/>
        </w:rPr>
        <w:t> </w:t>
      </w:r>
      <w:r>
        <w:rPr>
          <w:rFonts w:ascii="Century"/>
        </w:rPr>
        <w:t>models.</w:t>
      </w:r>
      <w:r>
        <w:rPr>
          <w:rFonts w:ascii="Century"/>
          <w:spacing w:val="17"/>
        </w:rPr>
        <w:t> </w:t>
      </w:r>
      <w:r>
        <w:rPr>
          <w:rFonts w:ascii="Century"/>
        </w:rPr>
        <w:t>It</w:t>
      </w:r>
      <w:r>
        <w:rPr>
          <w:rFonts w:ascii="Century"/>
          <w:spacing w:val="-10"/>
        </w:rPr>
        <w:t> </w:t>
      </w:r>
      <w:r>
        <w:rPr>
          <w:rFonts w:ascii="Century"/>
        </w:rPr>
        <w:t>can</w:t>
      </w:r>
      <w:r>
        <w:rPr>
          <w:rFonts w:ascii="Century"/>
          <w:spacing w:val="-9"/>
        </w:rPr>
        <w:t> </w:t>
      </w:r>
      <w:r>
        <w:rPr>
          <w:rFonts w:ascii="Century"/>
        </w:rPr>
        <w:t>also</w:t>
      </w:r>
      <w:r>
        <w:rPr>
          <w:rFonts w:ascii="Century"/>
          <w:spacing w:val="-10"/>
        </w:rPr>
        <w:t> </w:t>
      </w:r>
      <w:r>
        <w:rPr>
          <w:rFonts w:ascii="Century"/>
          <w:spacing w:val="2"/>
        </w:rPr>
        <w:t>be</w:t>
      </w:r>
      <w:r>
        <w:rPr>
          <w:rFonts w:ascii="Century"/>
          <w:spacing w:val="-10"/>
        </w:rPr>
        <w:t> </w:t>
      </w:r>
      <w:r>
        <w:rPr>
          <w:rFonts w:ascii="Century"/>
        </w:rPr>
        <w:t>shown</w:t>
      </w:r>
      <w:r>
        <w:rPr>
          <w:rFonts w:ascii="Century"/>
          <w:spacing w:val="-10"/>
        </w:rPr>
        <w:t> </w:t>
      </w:r>
      <w:r>
        <w:rPr>
          <w:rFonts w:ascii="Century"/>
        </w:rPr>
        <w:t>that</w:t>
      </w:r>
      <w:r>
        <w:rPr>
          <w:rFonts w:ascii="Century"/>
          <w:spacing w:val="-9"/>
        </w:rPr>
        <w:t> </w:t>
      </w:r>
      <w:r>
        <w:rPr>
          <w:rFonts w:ascii="Century"/>
        </w:rPr>
        <w:t>inference</w:t>
      </w:r>
      <w:r>
        <w:rPr>
          <w:rFonts w:ascii="Century"/>
          <w:spacing w:val="-10"/>
        </w:rPr>
        <w:t> </w:t>
      </w:r>
      <w:r>
        <w:rPr>
          <w:rFonts w:ascii="Century"/>
        </w:rPr>
        <w:t>of </w:t>
      </w:r>
      <w:r>
        <w:rPr>
          <w:rFonts w:ascii="Century"/>
          <w:w w:val="95"/>
        </w:rPr>
        <w:t>counterfactuals</w:t>
      </w:r>
      <w:r>
        <w:rPr>
          <w:rFonts w:ascii="Century"/>
          <w:spacing w:val="-13"/>
          <w:w w:val="95"/>
        </w:rPr>
        <w:t> </w:t>
      </w:r>
      <w:r>
        <w:rPr>
          <w:rFonts w:ascii="Century"/>
          <w:w w:val="95"/>
        </w:rPr>
        <w:t>outside</w:t>
      </w:r>
      <w:r>
        <w:rPr>
          <w:rFonts w:ascii="Century"/>
          <w:spacing w:val="-14"/>
          <w:w w:val="95"/>
        </w:rPr>
        <w:t> </w:t>
      </w:r>
      <w:r>
        <w:rPr>
          <w:rFonts w:ascii="Century"/>
          <w:w w:val="95"/>
        </w:rPr>
        <w:t>the</w:t>
      </w:r>
      <w:r>
        <w:rPr>
          <w:rFonts w:ascii="Century"/>
          <w:spacing w:val="-13"/>
          <w:w w:val="95"/>
        </w:rPr>
        <w:t> </w:t>
      </w:r>
      <w:r>
        <w:rPr>
          <w:rFonts w:ascii="Century"/>
          <w:w w:val="95"/>
        </w:rPr>
        <w:t>convex</w:t>
      </w:r>
      <w:r>
        <w:rPr>
          <w:rFonts w:ascii="Century"/>
          <w:spacing w:val="-13"/>
          <w:w w:val="95"/>
        </w:rPr>
        <w:t> </w:t>
      </w:r>
      <w:r>
        <w:rPr>
          <w:rFonts w:ascii="Century"/>
          <w:w w:val="95"/>
        </w:rPr>
        <w:t>hull</w:t>
      </w:r>
      <w:r>
        <w:rPr>
          <w:rFonts w:ascii="Century"/>
          <w:spacing w:val="-13"/>
          <w:w w:val="95"/>
        </w:rPr>
        <w:t> </w:t>
      </w:r>
      <w:r>
        <w:rPr>
          <w:rFonts w:ascii="Century"/>
          <w:w w:val="95"/>
        </w:rPr>
        <w:t>are</w:t>
      </w:r>
      <w:r>
        <w:rPr>
          <w:rFonts w:ascii="Century"/>
          <w:spacing w:val="-14"/>
          <w:w w:val="95"/>
        </w:rPr>
        <w:t> </w:t>
      </w:r>
      <w:r>
        <w:rPr>
          <w:rFonts w:ascii="Century"/>
          <w:w w:val="95"/>
        </w:rPr>
        <w:t>more</w:t>
      </w:r>
      <w:r>
        <w:rPr>
          <w:rFonts w:ascii="Century"/>
          <w:spacing w:val="-13"/>
          <w:w w:val="95"/>
        </w:rPr>
        <w:t> </w:t>
      </w:r>
      <w:r>
        <w:rPr>
          <w:rFonts w:ascii="Century"/>
          <w:w w:val="95"/>
        </w:rPr>
        <w:t>model-dependent. By</w:t>
      </w:r>
      <w:r>
        <w:rPr>
          <w:rFonts w:ascii="Century"/>
          <w:spacing w:val="-13"/>
          <w:w w:val="95"/>
        </w:rPr>
        <w:t> </w:t>
      </w:r>
      <w:r>
        <w:rPr>
          <w:rFonts w:ascii="Century"/>
          <w:w w:val="95"/>
        </w:rPr>
        <w:t>constraining</w:t>
      </w:r>
      <w:r>
        <w:rPr>
          <w:rFonts w:ascii="Century"/>
          <w:spacing w:val="-13"/>
          <w:w w:val="95"/>
        </w:rPr>
        <w:t> </w:t>
      </w:r>
      <w:r>
        <w:rPr>
          <w:rFonts w:ascii="Century"/>
          <w:w w:val="95"/>
        </w:rPr>
        <w:t>the</w:t>
      </w:r>
      <w:r>
        <w:rPr>
          <w:rFonts w:ascii="Century"/>
          <w:spacing w:val="-13"/>
          <w:w w:val="95"/>
        </w:rPr>
        <w:t> </w:t>
      </w:r>
      <w:r>
        <w:rPr>
          <w:rFonts w:ascii="Century"/>
          <w:w w:val="95"/>
        </w:rPr>
        <w:t>regression</w:t>
      </w:r>
      <w:r>
        <w:rPr>
          <w:rFonts w:ascii="Century"/>
          <w:spacing w:val="-13"/>
          <w:w w:val="95"/>
        </w:rPr>
        <w:t> </w:t>
      </w:r>
      <w:r>
        <w:rPr>
          <w:rFonts w:ascii="Century"/>
          <w:w w:val="95"/>
        </w:rPr>
        <w:t>such</w:t>
      </w:r>
      <w:r>
        <w:rPr>
          <w:rFonts w:ascii="Century"/>
          <w:spacing w:val="-13"/>
          <w:w w:val="95"/>
        </w:rPr>
        <w:t> </w:t>
      </w:r>
      <w:r>
        <w:rPr>
          <w:rFonts w:ascii="Century"/>
          <w:w w:val="95"/>
        </w:rPr>
        <w:t>that the</w:t>
      </w:r>
      <w:r>
        <w:rPr>
          <w:rFonts w:ascii="Century"/>
          <w:spacing w:val="-15"/>
          <w:w w:val="95"/>
        </w:rPr>
        <w:t> </w:t>
      </w:r>
      <w:r>
        <w:rPr>
          <w:rFonts w:ascii="Century"/>
          <w:w w:val="95"/>
        </w:rPr>
        <w:t>weights</w:t>
      </w:r>
      <w:r>
        <w:rPr>
          <w:rFonts w:ascii="Century"/>
          <w:spacing w:val="-14"/>
          <w:w w:val="95"/>
        </w:rPr>
        <w:t> </w:t>
      </w:r>
      <w:r>
        <w:rPr>
          <w:rFonts w:ascii="Century"/>
          <w:w w:val="95"/>
        </w:rPr>
        <w:t>are</w:t>
      </w:r>
      <w:r>
        <w:rPr>
          <w:rFonts w:ascii="Century"/>
          <w:spacing w:val="-14"/>
          <w:w w:val="95"/>
        </w:rPr>
        <w:t> </w:t>
      </w:r>
      <w:r>
        <w:rPr>
          <w:rFonts w:ascii="Century"/>
          <w:w w:val="95"/>
        </w:rPr>
        <w:t>non-negative</w:t>
      </w:r>
      <w:r>
        <w:rPr>
          <w:rFonts w:ascii="Century"/>
          <w:spacing w:val="-15"/>
          <w:w w:val="95"/>
        </w:rPr>
        <w:t> </w:t>
      </w:r>
      <w:r>
        <w:rPr>
          <w:rFonts w:ascii="Century"/>
          <w:w w:val="95"/>
        </w:rPr>
        <w:t>and</w:t>
      </w:r>
      <w:r>
        <w:rPr>
          <w:rFonts w:ascii="Century"/>
          <w:spacing w:val="-15"/>
          <w:w w:val="95"/>
        </w:rPr>
        <w:t> </w:t>
      </w:r>
      <w:r>
        <w:rPr>
          <w:rFonts w:ascii="Century"/>
          <w:w w:val="95"/>
        </w:rPr>
        <w:t>sum</w:t>
      </w:r>
      <w:r>
        <w:rPr>
          <w:rFonts w:ascii="Century"/>
          <w:spacing w:val="-14"/>
          <w:w w:val="95"/>
        </w:rPr>
        <w:t> </w:t>
      </w:r>
      <w:r>
        <w:rPr>
          <w:rFonts w:ascii="Century"/>
          <w:w w:val="95"/>
        </w:rPr>
        <w:t>to</w:t>
      </w:r>
      <w:r>
        <w:rPr>
          <w:rFonts w:ascii="Century"/>
          <w:spacing w:val="-14"/>
          <w:w w:val="95"/>
        </w:rPr>
        <w:t> </w:t>
      </w:r>
      <w:r>
        <w:rPr>
          <w:rFonts w:ascii="Century"/>
          <w:w w:val="95"/>
        </w:rPr>
        <w:t>one</w:t>
      </w:r>
      <w:r>
        <w:rPr>
          <w:rFonts w:ascii="Century"/>
          <w:spacing w:val="-14"/>
          <w:w w:val="95"/>
        </w:rPr>
        <w:t> </w:t>
      </w:r>
      <w:r>
        <w:rPr>
          <w:rFonts w:ascii="Century"/>
          <w:w w:val="95"/>
        </w:rPr>
        <w:t>ensures</w:t>
      </w:r>
      <w:r>
        <w:rPr>
          <w:rFonts w:ascii="Century"/>
          <w:spacing w:val="-14"/>
          <w:w w:val="95"/>
        </w:rPr>
        <w:t> </w:t>
      </w:r>
      <w:r>
        <w:rPr>
          <w:rFonts w:ascii="Century"/>
          <w:w w:val="95"/>
        </w:rPr>
        <w:t>that</w:t>
      </w:r>
      <w:r>
        <w:rPr>
          <w:rFonts w:ascii="Century"/>
          <w:spacing w:val="-14"/>
          <w:w w:val="95"/>
        </w:rPr>
        <w:t> </w:t>
      </w:r>
      <w:r>
        <w:rPr>
          <w:rFonts w:ascii="Century"/>
          <w:w w:val="95"/>
        </w:rPr>
        <w:t>the</w:t>
      </w:r>
      <w:r>
        <w:rPr>
          <w:rFonts w:ascii="Century"/>
          <w:spacing w:val="-15"/>
          <w:w w:val="95"/>
        </w:rPr>
        <w:t> </w:t>
      </w:r>
      <w:r>
        <w:rPr>
          <w:rFonts w:ascii="Century"/>
          <w:w w:val="95"/>
        </w:rPr>
        <w:t>counterfactual</w:t>
      </w:r>
      <w:r>
        <w:rPr>
          <w:rFonts w:ascii="Century"/>
          <w:spacing w:val="-14"/>
          <w:w w:val="95"/>
        </w:rPr>
        <w:t> </w:t>
      </w:r>
      <w:r>
        <w:rPr>
          <w:rFonts w:ascii="Century"/>
          <w:w w:val="95"/>
        </w:rPr>
        <w:t>is</w:t>
      </w:r>
      <w:r>
        <w:rPr>
          <w:rFonts w:ascii="Century"/>
          <w:spacing w:val="-14"/>
          <w:w w:val="95"/>
        </w:rPr>
        <w:t> </w:t>
      </w:r>
      <w:r>
        <w:rPr>
          <w:rFonts w:ascii="Century"/>
          <w:w w:val="95"/>
        </w:rPr>
        <w:t>always</w:t>
      </w:r>
      <w:r>
        <w:rPr>
          <w:rFonts w:ascii="Century"/>
          <w:spacing w:val="-14"/>
          <w:w w:val="95"/>
        </w:rPr>
        <w:t> </w:t>
      </w:r>
      <w:r>
        <w:rPr>
          <w:rFonts w:ascii="Century"/>
          <w:w w:val="95"/>
        </w:rPr>
        <w:t>inside</w:t>
      </w:r>
      <w:r>
        <w:rPr>
          <w:rFonts w:ascii="Century"/>
          <w:spacing w:val="-14"/>
          <w:w w:val="95"/>
        </w:rPr>
        <w:t> </w:t>
      </w:r>
      <w:r>
        <w:rPr>
          <w:rFonts w:ascii="Century"/>
          <w:w w:val="95"/>
        </w:rPr>
        <w:t>the</w:t>
      </w:r>
      <w:r>
        <w:rPr>
          <w:rFonts w:ascii="Century"/>
          <w:spacing w:val="-15"/>
          <w:w w:val="95"/>
        </w:rPr>
        <w:t> </w:t>
      </w:r>
      <w:r>
        <w:rPr>
          <w:rFonts w:ascii="Century"/>
          <w:w w:val="95"/>
        </w:rPr>
        <w:t>convex</w:t>
      </w:r>
      <w:r>
        <w:rPr>
          <w:rFonts w:ascii="Century"/>
          <w:spacing w:val="-14"/>
          <w:w w:val="95"/>
        </w:rPr>
        <w:t> </w:t>
      </w:r>
      <w:r>
        <w:rPr>
          <w:rFonts w:ascii="Century"/>
          <w:w w:val="95"/>
        </w:rPr>
        <w:t>hull of</w:t>
      </w:r>
      <w:r>
        <w:rPr>
          <w:rFonts w:ascii="Century"/>
          <w:spacing w:val="-13"/>
          <w:w w:val="95"/>
        </w:rPr>
        <w:t> </w:t>
      </w:r>
      <w:r>
        <w:rPr>
          <w:rFonts w:ascii="Century"/>
          <w:w w:val="95"/>
        </w:rPr>
        <w:t>the</w:t>
      </w:r>
      <w:r>
        <w:rPr>
          <w:rFonts w:ascii="Century"/>
          <w:spacing w:val="-13"/>
          <w:w w:val="95"/>
        </w:rPr>
        <w:t> </w:t>
      </w:r>
      <w:r>
        <w:rPr>
          <w:rFonts w:ascii="Century"/>
          <w:w w:val="95"/>
        </w:rPr>
        <w:t>data,</w:t>
      </w:r>
      <w:r>
        <w:rPr>
          <w:rFonts w:ascii="Century"/>
          <w:spacing w:val="-12"/>
          <w:w w:val="95"/>
        </w:rPr>
        <w:t> </w:t>
      </w:r>
      <w:r>
        <w:rPr>
          <w:rFonts w:ascii="Century"/>
          <w:w w:val="95"/>
        </w:rPr>
        <w:t>and</w:t>
      </w:r>
      <w:r>
        <w:rPr>
          <w:rFonts w:ascii="Century"/>
          <w:spacing w:val="-13"/>
          <w:w w:val="95"/>
        </w:rPr>
        <w:t> </w:t>
      </w:r>
      <w:r>
        <w:rPr>
          <w:rFonts w:ascii="Century"/>
          <w:w w:val="95"/>
        </w:rPr>
        <w:t>hence</w:t>
      </w:r>
      <w:r>
        <w:rPr>
          <w:rFonts w:ascii="Century"/>
          <w:spacing w:val="-13"/>
          <w:w w:val="95"/>
        </w:rPr>
        <w:t> </w:t>
      </w:r>
      <w:r>
        <w:rPr>
          <w:rFonts w:ascii="Century"/>
          <w:w w:val="95"/>
        </w:rPr>
        <w:t>less</w:t>
      </w:r>
      <w:r>
        <w:rPr>
          <w:rFonts w:ascii="Century"/>
          <w:spacing w:val="-12"/>
          <w:w w:val="95"/>
        </w:rPr>
        <w:t> </w:t>
      </w:r>
      <w:r>
        <w:rPr>
          <w:rFonts w:ascii="Century"/>
          <w:w w:val="95"/>
        </w:rPr>
        <w:t>model-dependent.</w:t>
      </w:r>
      <w:r>
        <w:rPr>
          <w:rFonts w:ascii="Century"/>
          <w:spacing w:val="4"/>
          <w:w w:val="95"/>
        </w:rPr>
        <w:t> </w:t>
      </w:r>
      <w:r>
        <w:rPr>
          <w:rFonts w:ascii="Century"/>
          <w:w w:val="95"/>
        </w:rPr>
        <w:t>This</w:t>
      </w:r>
      <w:r>
        <w:rPr>
          <w:rFonts w:ascii="Century"/>
          <w:spacing w:val="-13"/>
          <w:w w:val="95"/>
        </w:rPr>
        <w:t> </w:t>
      </w:r>
      <w:r>
        <w:rPr>
          <w:rFonts w:ascii="Century"/>
          <w:w w:val="95"/>
        </w:rPr>
        <w:t>can</w:t>
      </w:r>
      <w:r>
        <w:rPr>
          <w:rFonts w:ascii="Century"/>
          <w:spacing w:val="-13"/>
          <w:w w:val="95"/>
        </w:rPr>
        <w:t> </w:t>
      </w:r>
      <w:r>
        <w:rPr>
          <w:rFonts w:ascii="Century"/>
          <w:spacing w:val="2"/>
          <w:w w:val="95"/>
        </w:rPr>
        <w:t>be</w:t>
      </w:r>
      <w:r>
        <w:rPr>
          <w:rFonts w:ascii="Century"/>
          <w:spacing w:val="-13"/>
          <w:w w:val="95"/>
        </w:rPr>
        <w:t> </w:t>
      </w:r>
      <w:r>
        <w:rPr>
          <w:rFonts w:ascii="Century"/>
          <w:w w:val="95"/>
        </w:rPr>
        <w:t>seen</w:t>
      </w:r>
      <w:r>
        <w:rPr>
          <w:rFonts w:ascii="Century"/>
          <w:spacing w:val="-13"/>
          <w:w w:val="95"/>
        </w:rPr>
        <w:t> </w:t>
      </w:r>
      <w:r>
        <w:rPr>
          <w:rFonts w:ascii="Century"/>
          <w:w w:val="95"/>
        </w:rPr>
        <w:t>from</w:t>
      </w:r>
      <w:r>
        <w:rPr>
          <w:rFonts w:ascii="Century"/>
          <w:spacing w:val="-12"/>
          <w:w w:val="95"/>
        </w:rPr>
        <w:t> </w:t>
      </w:r>
      <w:r>
        <w:rPr>
          <w:rFonts w:ascii="Century"/>
          <w:w w:val="95"/>
        </w:rPr>
        <w:t>the</w:t>
      </w:r>
      <w:r>
        <w:rPr>
          <w:rFonts w:ascii="Century"/>
          <w:spacing w:val="-13"/>
          <w:w w:val="95"/>
        </w:rPr>
        <w:t> </w:t>
      </w:r>
      <w:r>
        <w:rPr>
          <w:rFonts w:ascii="Century"/>
          <w:w w:val="95"/>
        </w:rPr>
        <w:t>robust</w:t>
      </w:r>
      <w:r>
        <w:rPr>
          <w:rFonts w:ascii="Century"/>
          <w:spacing w:val="-13"/>
          <w:w w:val="95"/>
        </w:rPr>
        <w:t> </w:t>
      </w:r>
      <w:r>
        <w:rPr>
          <w:rFonts w:ascii="Century"/>
          <w:w w:val="95"/>
        </w:rPr>
        <w:t>nature</w:t>
      </w:r>
      <w:r>
        <w:rPr>
          <w:rFonts w:ascii="Century"/>
          <w:spacing w:val="-13"/>
          <w:w w:val="95"/>
        </w:rPr>
        <w:t> </w:t>
      </w:r>
      <w:r>
        <w:rPr>
          <w:rFonts w:ascii="Century"/>
          <w:w w:val="95"/>
        </w:rPr>
        <w:t>of</w:t>
      </w:r>
      <w:r>
        <w:rPr>
          <w:rFonts w:ascii="Century"/>
          <w:spacing w:val="-12"/>
          <w:w w:val="95"/>
        </w:rPr>
        <w:t> </w:t>
      </w:r>
      <w:r>
        <w:rPr>
          <w:rFonts w:ascii="Century"/>
          <w:w w:val="95"/>
        </w:rPr>
        <w:t>the</w:t>
      </w:r>
      <w:r>
        <w:rPr>
          <w:rFonts w:ascii="Century"/>
          <w:spacing w:val="-13"/>
          <w:w w:val="95"/>
        </w:rPr>
        <w:t> </w:t>
      </w:r>
      <w:r>
        <w:rPr>
          <w:rFonts w:ascii="Century"/>
          <w:w w:val="95"/>
        </w:rPr>
        <w:t>results</w:t>
      </w:r>
      <w:r>
        <w:rPr>
          <w:rFonts w:ascii="Century"/>
          <w:spacing w:val="-13"/>
          <w:w w:val="95"/>
        </w:rPr>
        <w:t> </w:t>
      </w:r>
      <w:r>
        <w:rPr>
          <w:rFonts w:ascii="Century"/>
          <w:w w:val="95"/>
        </w:rPr>
        <w:t>in</w:t>
      </w:r>
      <w:r>
        <w:rPr>
          <w:rFonts w:ascii="Century"/>
          <w:spacing w:val="-13"/>
          <w:w w:val="95"/>
        </w:rPr>
        <w:t> </w:t>
      </w:r>
      <w:r>
        <w:rPr>
          <w:rFonts w:ascii="Century"/>
          <w:w w:val="95"/>
        </w:rPr>
        <w:t>Figure</w:t>
      </w:r>
    </w:p>
    <w:p>
      <w:pPr>
        <w:pStyle w:val="BodyText"/>
        <w:spacing w:before="4"/>
        <w:ind w:left="110"/>
        <w:jc w:val="both"/>
        <w:rPr>
          <w:rFonts w:ascii="Century"/>
        </w:rPr>
      </w:pPr>
      <w:r>
        <w:rPr>
          <w:rFonts w:ascii="Century"/>
        </w:rPr>
        <w:t>11. See Abadie et al. (2015) and King and Zeng (2005) for a fuller discussion and formal proofs.</w:t>
      </w: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spacing w:before="5"/>
        <w:rPr>
          <w:rFonts w:ascii="Century"/>
          <w:sz w:val="23"/>
        </w:rPr>
      </w:pPr>
      <w:r>
        <w:rPr/>
        <w:pict>
          <v:shape style="position:absolute;margin-left:72pt;margin-top:16.273548pt;width:187.2pt;height:.1pt;mso-position-horizontal-relative:page;mso-position-vertical-relative:paragraph;z-index:-251643904;mso-wrap-distance-left:0;mso-wrap-distance-right:0" coordorigin="1440,325" coordsize="3744,0" path="m1440,325l5184,325e" filled="false" stroked="true" strokeweight=".398pt" strokecolor="#000000">
            <v:path arrowok="t"/>
            <v:stroke dashstyle="solid"/>
            <w10:wrap type="topAndBottom"/>
          </v:shape>
        </w:pict>
      </w:r>
    </w:p>
    <w:p>
      <w:pPr>
        <w:spacing w:line="226" w:lineRule="exact" w:before="0"/>
        <w:ind w:left="120" w:right="0" w:firstLine="0"/>
        <w:jc w:val="left"/>
        <w:rPr>
          <w:rFonts w:ascii="Century" w:hAnsi="Century"/>
          <w:sz w:val="16"/>
        </w:rPr>
      </w:pPr>
      <w:r>
        <w:rPr>
          <w:rFonts w:ascii="Century" w:hAnsi="Century"/>
          <w:sz w:val="16"/>
        </w:rPr>
        <w:t>toolbox. </w:t>
      </w:r>
      <w:r>
        <w:rPr>
          <w:i/>
          <w:sz w:val="16"/>
        </w:rPr>
        <w:t>II</w:t>
      </w:r>
      <w:r>
        <w:rPr>
          <w:rFonts w:ascii="Informal Roman" w:hAnsi="Informal Roman"/>
          <w:sz w:val="16"/>
        </w:rPr>
        <w:t>¨</w:t>
      </w:r>
      <w:r>
        <w:rPr>
          <w:i/>
          <w:sz w:val="16"/>
        </w:rPr>
        <w:t>II</w:t>
      </w:r>
      <w:r>
        <w:rPr>
          <w:rFonts w:ascii="Lucida Sans Unicode" w:hAnsi="Lucida Sans Unicode"/>
          <w:sz w:val="16"/>
          <w:vertAlign w:val="subscript"/>
        </w:rPr>
        <w:t>1</w:t>
      </w:r>
      <w:r>
        <w:rPr>
          <w:rFonts w:ascii="Lucida Sans Unicode" w:hAnsi="Lucida Sans Unicode"/>
          <w:sz w:val="16"/>
          <w:vertAlign w:val="baseline"/>
        </w:rPr>
        <w:t> </w:t>
      </w:r>
      <w:r>
        <w:rPr>
          <w:rFonts w:ascii="Century" w:hAnsi="Century"/>
          <w:sz w:val="16"/>
          <w:vertAlign w:val="baseline"/>
        </w:rPr>
        <w:t>is usual 1-norm in the linear space </w:t>
      </w:r>
      <w:r>
        <w:rPr>
          <w:sz w:val="16"/>
          <w:vertAlign w:val="baseline"/>
        </w:rPr>
        <w:t>R</w:t>
      </w:r>
      <w:r>
        <w:rPr>
          <w:rFonts w:ascii="Verdana" w:hAnsi="Verdana"/>
          <w:i/>
          <w:position w:val="6"/>
          <w:sz w:val="12"/>
          <w:vertAlign w:val="baseline"/>
        </w:rPr>
        <w:t>n</w:t>
      </w:r>
      <w:r>
        <w:rPr>
          <w:rFonts w:ascii="Century" w:hAnsi="Century"/>
          <w:sz w:val="16"/>
          <w:vertAlign w:val="baseline"/>
        </w:rPr>
        <w:t>.</w:t>
      </w:r>
    </w:p>
    <w:p>
      <w:pPr>
        <w:spacing w:after="0" w:line="226" w:lineRule="exact"/>
        <w:jc w:val="left"/>
        <w:rPr>
          <w:rFonts w:ascii="Century" w:hAnsi="Century"/>
          <w:sz w:val="16"/>
        </w:rPr>
        <w:sectPr>
          <w:pgSz w:w="12240" w:h="15840"/>
          <w:pgMar w:header="0" w:footer="1080" w:top="1400" w:bottom="1260" w:left="1320" w:right="1300"/>
        </w:sect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rPr>
          <w:rFonts w:ascii="Century"/>
        </w:rPr>
      </w:pPr>
    </w:p>
    <w:p>
      <w:pPr>
        <w:pStyle w:val="BodyText"/>
        <w:spacing w:before="8"/>
        <w:rPr>
          <w:rFonts w:ascii="Century"/>
          <w:sz w:val="17"/>
        </w:rPr>
      </w:pPr>
    </w:p>
    <w:p>
      <w:pPr>
        <w:pStyle w:val="BodyText"/>
        <w:spacing w:before="52"/>
        <w:ind w:left="1868" w:right="1893"/>
        <w:jc w:val="center"/>
        <w:rPr>
          <w:rFonts w:ascii="Century"/>
        </w:rPr>
      </w:pPr>
      <w:r>
        <w:rPr>
          <w:rFonts w:ascii="Century"/>
        </w:rPr>
        <w:t>Table 1: Input countries used in estimation of synthetic control</w:t>
      </w:r>
    </w:p>
    <w:p>
      <w:pPr>
        <w:pStyle w:val="BodyText"/>
        <w:spacing w:before="8"/>
        <w:rPr>
          <w:rFonts w:ascii="Century"/>
          <w:sz w:val="15"/>
        </w:rPr>
      </w:pPr>
      <w:r>
        <w:rPr/>
        <w:pict>
          <v:group style="position:absolute;margin-left:221.063004pt;margin-top:11.400894pt;width:169.7pt;height:359.85pt;mso-position-horizontal-relative:page;mso-position-vertical-relative:paragraph;z-index:-251641856;mso-wrap-distance-left:0;mso-wrap-distance-right:0" coordorigin="4421,228" coordsize="3394,7197">
            <v:line style="position:absolute" from="4425,232" to="7815,232" stroked="true" strokeweight=".398pt" strokecolor="#000000">
              <v:stroke dashstyle="solid"/>
            </v:line>
            <v:line style="position:absolute" from="4425,475" to="4425,236" stroked="true" strokeweight=".398pt" strokecolor="#000000">
              <v:stroke dashstyle="solid"/>
            </v:line>
            <v:line style="position:absolute" from="4425,479" to="7815,479" stroked="true" strokeweight=".398pt" strokecolor="#000000">
              <v:stroke dashstyle="solid"/>
            </v:line>
            <v:line style="position:absolute" from="4425,483" to="4425,7417" stroked="true" strokeweight=".398pt" strokecolor="#000000">
              <v:stroke dashstyle="solid"/>
            </v:line>
            <v:line style="position:absolute" from="4425,7421" to="7815,7421" stroked="true" strokeweight=".398pt" strokecolor="#000000">
              <v:stroke dashstyle="solid"/>
            </v:line>
            <v:shape style="position:absolute;left:4421;top:228;width:3394;height:7197" type="#_x0000_t202" filled="false" stroked="false">
              <v:textbox inset="0,0,0,0">
                <w:txbxContent>
                  <w:p>
                    <w:pPr>
                      <w:tabs>
                        <w:tab w:pos="2417" w:val="left" w:leader="none"/>
                      </w:tabs>
                      <w:spacing w:line="219" w:lineRule="exact" w:before="0"/>
                      <w:ind w:left="721" w:right="0" w:firstLine="0"/>
                      <w:jc w:val="left"/>
                      <w:rPr>
                        <w:rFonts w:ascii="Century"/>
                        <w:sz w:val="20"/>
                      </w:rPr>
                    </w:pPr>
                    <w:r>
                      <w:rPr>
                        <w:rFonts w:ascii="Century"/>
                        <w:sz w:val="20"/>
                      </w:rPr>
                      <w:t>All</w:t>
                      <w:tab/>
                      <w:t>G7</w:t>
                    </w:r>
                  </w:p>
                  <w:p>
                    <w:pPr>
                      <w:tabs>
                        <w:tab w:pos="2213" w:val="left" w:leader="none"/>
                      </w:tabs>
                      <w:spacing w:line="240" w:lineRule="exact" w:before="6"/>
                      <w:ind w:left="449" w:right="0" w:firstLine="0"/>
                      <w:jc w:val="left"/>
                      <w:rPr>
                        <w:rFonts w:ascii="Century"/>
                        <w:sz w:val="20"/>
                      </w:rPr>
                    </w:pPr>
                    <w:r>
                      <w:rPr>
                        <w:rFonts w:ascii="Century"/>
                        <w:sz w:val="20"/>
                      </w:rPr>
                      <w:t>Australia</w:t>
                      <w:tab/>
                      <w:t>Canada</w:t>
                    </w:r>
                  </w:p>
                  <w:p>
                    <w:pPr>
                      <w:tabs>
                        <w:tab w:pos="2255" w:val="left" w:leader="none"/>
                      </w:tabs>
                      <w:spacing w:line="239" w:lineRule="exact" w:before="0"/>
                      <w:ind w:left="526" w:right="0" w:firstLine="0"/>
                      <w:jc w:val="left"/>
                      <w:rPr>
                        <w:rFonts w:ascii="Century"/>
                        <w:sz w:val="20"/>
                      </w:rPr>
                    </w:pPr>
                    <w:r>
                      <w:rPr>
                        <w:rFonts w:ascii="Century"/>
                        <w:sz w:val="20"/>
                      </w:rPr>
                      <w:t>Austria</w:t>
                      <w:tab/>
                    </w:r>
                    <w:r>
                      <w:rPr>
                        <w:rFonts w:ascii="Century"/>
                        <w:spacing w:val="-3"/>
                        <w:sz w:val="20"/>
                      </w:rPr>
                      <w:t>France</w:t>
                    </w:r>
                  </w:p>
                  <w:p>
                    <w:pPr>
                      <w:tabs>
                        <w:tab w:pos="2146" w:val="left" w:leader="none"/>
                      </w:tabs>
                      <w:spacing w:line="239" w:lineRule="exact" w:before="0"/>
                      <w:ind w:left="492" w:right="0" w:firstLine="0"/>
                      <w:jc w:val="left"/>
                      <w:rPr>
                        <w:rFonts w:ascii="Century"/>
                        <w:sz w:val="20"/>
                      </w:rPr>
                    </w:pPr>
                    <w:r>
                      <w:rPr>
                        <w:rFonts w:ascii="Century"/>
                        <w:sz w:val="20"/>
                      </w:rPr>
                      <w:t>Belgium</w:t>
                      <w:tab/>
                      <w:t>Germany</w:t>
                    </w:r>
                  </w:p>
                  <w:p>
                    <w:pPr>
                      <w:tabs>
                        <w:tab w:pos="2341" w:val="left" w:leader="none"/>
                      </w:tabs>
                      <w:spacing w:line="239" w:lineRule="exact" w:before="0"/>
                      <w:ind w:left="519" w:right="0" w:firstLine="0"/>
                      <w:jc w:val="left"/>
                      <w:rPr>
                        <w:rFonts w:ascii="Century"/>
                        <w:sz w:val="20"/>
                      </w:rPr>
                    </w:pPr>
                    <w:r>
                      <w:rPr>
                        <w:rFonts w:ascii="Century"/>
                        <w:sz w:val="20"/>
                      </w:rPr>
                      <w:t>Canada</w:t>
                      <w:tab/>
                      <w:t>Italy</w:t>
                    </w:r>
                  </w:p>
                  <w:p>
                    <w:pPr>
                      <w:tabs>
                        <w:tab w:pos="2284" w:val="left" w:leader="none"/>
                      </w:tabs>
                      <w:spacing w:line="239" w:lineRule="exact" w:before="0"/>
                      <w:ind w:left="624" w:right="0" w:firstLine="0"/>
                      <w:jc w:val="left"/>
                      <w:rPr>
                        <w:rFonts w:ascii="Century"/>
                        <w:sz w:val="20"/>
                      </w:rPr>
                    </w:pPr>
                    <w:r>
                      <w:rPr>
                        <w:rFonts w:ascii="Century"/>
                        <w:sz w:val="20"/>
                      </w:rPr>
                      <w:t>Chile</w:t>
                      <w:tab/>
                      <w:t>Japan</w:t>
                    </w:r>
                  </w:p>
                  <w:p>
                    <w:pPr>
                      <w:tabs>
                        <w:tab w:pos="1817" w:val="left" w:leader="none"/>
                        <w:tab w:pos="1942" w:val="left" w:leader="none"/>
                        <w:tab w:pos="2513" w:val="left" w:leader="none"/>
                      </w:tabs>
                      <w:spacing w:before="0"/>
                      <w:ind w:left="515" w:right="118" w:hanging="338"/>
                      <w:jc w:val="left"/>
                      <w:rPr>
                        <w:rFonts w:ascii="Century"/>
                        <w:sz w:val="20"/>
                      </w:rPr>
                    </w:pPr>
                    <w:r>
                      <w:rPr>
                        <w:rFonts w:ascii="Century"/>
                        <w:sz w:val="20"/>
                      </w:rPr>
                      <w:t>Czech</w:t>
                    </w:r>
                    <w:r>
                      <w:rPr>
                        <w:rFonts w:ascii="Century"/>
                        <w:spacing w:val="-18"/>
                        <w:sz w:val="20"/>
                      </w:rPr>
                      <w:t> </w:t>
                    </w:r>
                    <w:r>
                      <w:rPr>
                        <w:rFonts w:ascii="Century"/>
                        <w:sz w:val="20"/>
                      </w:rPr>
                      <w:t>Republic</w:t>
                      <w:tab/>
                    </w:r>
                    <w:r>
                      <w:rPr>
                        <w:rFonts w:ascii="Century"/>
                        <w:w w:val="95"/>
                        <w:sz w:val="20"/>
                      </w:rPr>
                      <w:t>United </w:t>
                    </w:r>
                    <w:r>
                      <w:rPr>
                        <w:rFonts w:ascii="Century"/>
                        <w:spacing w:val="-3"/>
                        <w:w w:val="95"/>
                        <w:sz w:val="20"/>
                      </w:rPr>
                      <w:t>Kingdom </w:t>
                    </w:r>
                    <w:r>
                      <w:rPr>
                        <w:rFonts w:ascii="Century"/>
                        <w:sz w:val="20"/>
                      </w:rPr>
                      <w:t>Estonia</w:t>
                      <w:tab/>
                      <w:tab/>
                      <w:t>United States Finland</w:t>
                      <w:tab/>
                      <w:tab/>
                      <w:tab/>
                      <w:t>-</w:t>
                    </w:r>
                  </w:p>
                  <w:p>
                    <w:pPr>
                      <w:tabs>
                        <w:tab w:pos="1951" w:val="left" w:leader="none"/>
                      </w:tabs>
                      <w:spacing w:line="236" w:lineRule="exact" w:before="0"/>
                      <w:ind w:left="0" w:right="811" w:firstLine="0"/>
                      <w:jc w:val="right"/>
                      <w:rPr>
                        <w:rFonts w:ascii="Century"/>
                        <w:sz w:val="20"/>
                      </w:rPr>
                    </w:pPr>
                    <w:r>
                      <w:rPr>
                        <w:rFonts w:ascii="Century"/>
                        <w:spacing w:val="-3"/>
                        <w:sz w:val="20"/>
                      </w:rPr>
                      <w:t>France</w:t>
                      <w:tab/>
                    </w:r>
                    <w:r>
                      <w:rPr>
                        <w:rFonts w:ascii="Century"/>
                        <w:spacing w:val="-1"/>
                        <w:sz w:val="20"/>
                      </w:rPr>
                      <w:t>-</w:t>
                    </w:r>
                  </w:p>
                  <w:p>
                    <w:pPr>
                      <w:tabs>
                        <w:tab w:pos="2061" w:val="left" w:leader="none"/>
                      </w:tabs>
                      <w:spacing w:line="239" w:lineRule="exact" w:before="0"/>
                      <w:ind w:left="0" w:right="812" w:firstLine="0"/>
                      <w:jc w:val="right"/>
                      <w:rPr>
                        <w:rFonts w:ascii="Century"/>
                        <w:sz w:val="20"/>
                      </w:rPr>
                    </w:pPr>
                    <w:r>
                      <w:rPr>
                        <w:rFonts w:ascii="Century"/>
                        <w:sz w:val="20"/>
                      </w:rPr>
                      <w:t>Germany</w:t>
                      <w:tab/>
                    </w:r>
                    <w:r>
                      <w:rPr>
                        <w:rFonts w:ascii="Century"/>
                        <w:spacing w:val="-1"/>
                        <w:sz w:val="20"/>
                      </w:rPr>
                      <w:t>-</w:t>
                    </w:r>
                  </w:p>
                  <w:p>
                    <w:pPr>
                      <w:tabs>
                        <w:tab w:pos="2037" w:val="left" w:leader="none"/>
                      </w:tabs>
                      <w:spacing w:line="239" w:lineRule="exact" w:before="0"/>
                      <w:ind w:left="0" w:right="812" w:firstLine="0"/>
                      <w:jc w:val="right"/>
                      <w:rPr>
                        <w:rFonts w:ascii="Century"/>
                        <w:sz w:val="20"/>
                      </w:rPr>
                    </w:pPr>
                    <w:r>
                      <w:rPr>
                        <w:rFonts w:ascii="Century"/>
                        <w:sz w:val="20"/>
                      </w:rPr>
                      <w:t>Hungary</w:t>
                      <w:tab/>
                    </w:r>
                    <w:r>
                      <w:rPr>
                        <w:rFonts w:ascii="Century"/>
                        <w:spacing w:val="-1"/>
                        <w:sz w:val="20"/>
                      </w:rPr>
                      <w:t>-</w:t>
                    </w:r>
                  </w:p>
                  <w:p>
                    <w:pPr>
                      <w:tabs>
                        <w:tab w:pos="1973" w:val="left" w:leader="none"/>
                      </w:tabs>
                      <w:spacing w:line="239" w:lineRule="exact" w:before="0"/>
                      <w:ind w:left="0" w:right="812" w:firstLine="0"/>
                      <w:jc w:val="right"/>
                      <w:rPr>
                        <w:rFonts w:ascii="Century"/>
                        <w:sz w:val="20"/>
                      </w:rPr>
                    </w:pPr>
                    <w:r>
                      <w:rPr>
                        <w:rFonts w:ascii="Century"/>
                        <w:sz w:val="20"/>
                      </w:rPr>
                      <w:t>Iceland</w:t>
                      <w:tab/>
                    </w:r>
                    <w:r>
                      <w:rPr>
                        <w:rFonts w:ascii="Century"/>
                        <w:spacing w:val="-1"/>
                        <w:sz w:val="20"/>
                      </w:rPr>
                      <w:t>-</w:t>
                    </w:r>
                  </w:p>
                  <w:p>
                    <w:pPr>
                      <w:tabs>
                        <w:tab w:pos="1968" w:val="left" w:leader="none"/>
                      </w:tabs>
                      <w:spacing w:line="239" w:lineRule="exact" w:before="0"/>
                      <w:ind w:left="0" w:right="812" w:firstLine="0"/>
                      <w:jc w:val="right"/>
                      <w:rPr>
                        <w:rFonts w:ascii="Century"/>
                        <w:sz w:val="20"/>
                      </w:rPr>
                    </w:pPr>
                    <w:r>
                      <w:rPr>
                        <w:rFonts w:ascii="Century"/>
                        <w:sz w:val="20"/>
                      </w:rPr>
                      <w:t>Ireland</w:t>
                      <w:tab/>
                    </w:r>
                    <w:r>
                      <w:rPr>
                        <w:rFonts w:ascii="Century"/>
                        <w:spacing w:val="-1"/>
                        <w:sz w:val="20"/>
                      </w:rPr>
                      <w:t>-</w:t>
                    </w:r>
                  </w:p>
                  <w:p>
                    <w:pPr>
                      <w:tabs>
                        <w:tab w:pos="1897" w:val="left" w:leader="none"/>
                      </w:tabs>
                      <w:spacing w:line="239" w:lineRule="exact" w:before="0"/>
                      <w:ind w:left="0" w:right="812" w:firstLine="0"/>
                      <w:jc w:val="right"/>
                      <w:rPr>
                        <w:rFonts w:ascii="Century"/>
                        <w:sz w:val="20"/>
                      </w:rPr>
                    </w:pPr>
                    <w:r>
                      <w:rPr>
                        <w:rFonts w:ascii="Century"/>
                        <w:sz w:val="20"/>
                      </w:rPr>
                      <w:t>Israel</w:t>
                      <w:tab/>
                    </w:r>
                    <w:r>
                      <w:rPr>
                        <w:rFonts w:ascii="Century"/>
                        <w:spacing w:val="-1"/>
                        <w:sz w:val="20"/>
                      </w:rPr>
                      <w:t>-</w:t>
                    </w:r>
                  </w:p>
                  <w:p>
                    <w:pPr>
                      <w:tabs>
                        <w:tab w:pos="1865" w:val="left" w:leader="none"/>
                      </w:tabs>
                      <w:spacing w:line="239" w:lineRule="exact" w:before="0"/>
                      <w:ind w:left="0" w:right="812" w:firstLine="0"/>
                      <w:jc w:val="right"/>
                      <w:rPr>
                        <w:rFonts w:ascii="Century"/>
                        <w:sz w:val="20"/>
                      </w:rPr>
                    </w:pPr>
                    <w:r>
                      <w:rPr>
                        <w:rFonts w:ascii="Century"/>
                        <w:sz w:val="20"/>
                      </w:rPr>
                      <w:t>Italy</w:t>
                      <w:tab/>
                    </w:r>
                    <w:r>
                      <w:rPr>
                        <w:rFonts w:ascii="Century"/>
                        <w:spacing w:val="-1"/>
                        <w:sz w:val="20"/>
                      </w:rPr>
                      <w:t>-</w:t>
                    </w:r>
                  </w:p>
                  <w:p>
                    <w:pPr>
                      <w:tabs>
                        <w:tab w:pos="1923" w:val="left" w:leader="none"/>
                      </w:tabs>
                      <w:spacing w:line="239" w:lineRule="exact" w:before="0"/>
                      <w:ind w:left="0" w:right="811" w:firstLine="0"/>
                      <w:jc w:val="right"/>
                      <w:rPr>
                        <w:rFonts w:ascii="Century"/>
                        <w:sz w:val="20"/>
                      </w:rPr>
                    </w:pPr>
                    <w:r>
                      <w:rPr>
                        <w:rFonts w:ascii="Century"/>
                        <w:sz w:val="20"/>
                      </w:rPr>
                      <w:t>Japan</w:t>
                      <w:tab/>
                    </w:r>
                    <w:r>
                      <w:rPr>
                        <w:rFonts w:ascii="Century"/>
                        <w:spacing w:val="-1"/>
                        <w:sz w:val="20"/>
                      </w:rPr>
                      <w:t>-</w:t>
                    </w:r>
                  </w:p>
                  <w:p>
                    <w:pPr>
                      <w:tabs>
                        <w:tab w:pos="1922" w:val="left" w:leader="none"/>
                      </w:tabs>
                      <w:spacing w:line="239" w:lineRule="exact" w:before="0"/>
                      <w:ind w:left="0" w:right="811" w:firstLine="0"/>
                      <w:jc w:val="right"/>
                      <w:rPr>
                        <w:rFonts w:ascii="Century"/>
                        <w:sz w:val="20"/>
                      </w:rPr>
                    </w:pPr>
                    <w:r>
                      <w:rPr>
                        <w:rFonts w:ascii="Century"/>
                        <w:sz w:val="20"/>
                      </w:rPr>
                      <w:t>Korea</w:t>
                      <w:tab/>
                    </w:r>
                    <w:r>
                      <w:rPr>
                        <w:rFonts w:ascii="Century"/>
                        <w:spacing w:val="-1"/>
                        <w:sz w:val="20"/>
                      </w:rPr>
                      <w:t>-</w:t>
                    </w:r>
                  </w:p>
                  <w:p>
                    <w:pPr>
                      <w:tabs>
                        <w:tab w:pos="2207" w:val="left" w:leader="none"/>
                      </w:tabs>
                      <w:spacing w:line="239" w:lineRule="exact" w:before="0"/>
                      <w:ind w:left="0" w:right="814" w:firstLine="0"/>
                      <w:jc w:val="right"/>
                      <w:rPr>
                        <w:rFonts w:ascii="Century"/>
                        <w:sz w:val="20"/>
                      </w:rPr>
                    </w:pPr>
                    <w:r>
                      <w:rPr>
                        <w:rFonts w:ascii="Century"/>
                        <w:sz w:val="20"/>
                      </w:rPr>
                      <w:t>Luxembourg</w:t>
                      <w:tab/>
                    </w:r>
                    <w:r>
                      <w:rPr>
                        <w:rFonts w:ascii="Century"/>
                        <w:spacing w:val="-1"/>
                        <w:sz w:val="20"/>
                      </w:rPr>
                      <w:t>-</w:t>
                    </w:r>
                  </w:p>
                  <w:p>
                    <w:pPr>
                      <w:tabs>
                        <w:tab w:pos="2184" w:val="left" w:leader="none"/>
                      </w:tabs>
                      <w:spacing w:line="239" w:lineRule="exact" w:before="0"/>
                      <w:ind w:left="0" w:right="813" w:firstLine="0"/>
                      <w:jc w:val="right"/>
                      <w:rPr>
                        <w:rFonts w:ascii="Century"/>
                        <w:sz w:val="20"/>
                      </w:rPr>
                    </w:pPr>
                    <w:r>
                      <w:rPr>
                        <w:rFonts w:ascii="Century"/>
                        <w:w w:val="95"/>
                        <w:sz w:val="20"/>
                      </w:rPr>
                      <w:t>Netherlands</w:t>
                      <w:tab/>
                    </w:r>
                    <w:r>
                      <w:rPr>
                        <w:rFonts w:ascii="Century"/>
                        <w:spacing w:val="-1"/>
                        <w:sz w:val="20"/>
                      </w:rPr>
                      <w:t>-</w:t>
                    </w:r>
                  </w:p>
                  <w:p>
                    <w:pPr>
                      <w:tabs>
                        <w:tab w:pos="2512" w:val="left" w:leader="none"/>
                      </w:tabs>
                      <w:spacing w:before="0"/>
                      <w:ind w:left="519" w:right="812" w:hanging="235"/>
                      <w:jc w:val="right"/>
                      <w:rPr>
                        <w:rFonts w:ascii="Century"/>
                        <w:sz w:val="20"/>
                      </w:rPr>
                    </w:pPr>
                    <w:r>
                      <w:rPr>
                        <w:rFonts w:ascii="Century"/>
                        <w:sz w:val="20"/>
                      </w:rPr>
                      <w:t>New</w:t>
                    </w:r>
                    <w:r>
                      <w:rPr>
                        <w:rFonts w:ascii="Century"/>
                        <w:spacing w:val="-24"/>
                        <w:sz w:val="20"/>
                      </w:rPr>
                      <w:t> </w:t>
                    </w:r>
                    <w:r>
                      <w:rPr>
                        <w:rFonts w:ascii="Century"/>
                        <w:sz w:val="20"/>
                      </w:rPr>
                      <w:t>Zealand</w:t>
                      <w:tab/>
                    </w:r>
                    <w:r>
                      <w:rPr>
                        <w:rFonts w:ascii="Century"/>
                        <w:spacing w:val="-17"/>
                        <w:w w:val="95"/>
                        <w:sz w:val="20"/>
                      </w:rPr>
                      <w:t>- </w:t>
                    </w:r>
                    <w:r>
                      <w:rPr>
                        <w:rFonts w:ascii="Century"/>
                        <w:sz w:val="20"/>
                      </w:rPr>
                      <w:t>Norway</w:t>
                      <w:tab/>
                    </w:r>
                    <w:r>
                      <w:rPr>
                        <w:rFonts w:ascii="Century"/>
                        <w:spacing w:val="-17"/>
                        <w:w w:val="95"/>
                        <w:sz w:val="20"/>
                      </w:rPr>
                      <w:t>-</w:t>
                    </w:r>
                  </w:p>
                  <w:p>
                    <w:pPr>
                      <w:tabs>
                        <w:tab w:pos="2036" w:val="left" w:leader="none"/>
                      </w:tabs>
                      <w:spacing w:line="237" w:lineRule="exact" w:before="0"/>
                      <w:ind w:left="0" w:right="812" w:firstLine="0"/>
                      <w:jc w:val="right"/>
                      <w:rPr>
                        <w:rFonts w:ascii="Century"/>
                        <w:sz w:val="20"/>
                      </w:rPr>
                    </w:pPr>
                    <w:r>
                      <w:rPr>
                        <w:rFonts w:ascii="Century"/>
                        <w:sz w:val="20"/>
                      </w:rPr>
                      <w:t>Portugal</w:t>
                      <w:tab/>
                    </w:r>
                    <w:r>
                      <w:rPr>
                        <w:rFonts w:ascii="Century"/>
                        <w:spacing w:val="-1"/>
                        <w:sz w:val="20"/>
                      </w:rPr>
                      <w:t>-</w:t>
                    </w:r>
                  </w:p>
                  <w:p>
                    <w:pPr>
                      <w:tabs>
                        <w:tab w:pos="2512" w:val="left" w:leader="none"/>
                      </w:tabs>
                      <w:spacing w:before="0"/>
                      <w:ind w:left="494" w:right="812" w:hanging="339"/>
                      <w:jc w:val="right"/>
                      <w:rPr>
                        <w:rFonts w:ascii="Century"/>
                        <w:sz w:val="20"/>
                      </w:rPr>
                    </w:pPr>
                    <w:r>
                      <w:rPr>
                        <w:rFonts w:ascii="Century"/>
                        <w:spacing w:val="-3"/>
                        <w:sz w:val="20"/>
                      </w:rPr>
                      <w:t>Slovak</w:t>
                    </w:r>
                    <w:r>
                      <w:rPr>
                        <w:rFonts w:ascii="Century"/>
                        <w:spacing w:val="-23"/>
                        <w:sz w:val="20"/>
                      </w:rPr>
                      <w:t> </w:t>
                    </w:r>
                    <w:r>
                      <w:rPr>
                        <w:rFonts w:ascii="Century"/>
                        <w:sz w:val="20"/>
                      </w:rPr>
                      <w:t>Republic</w:t>
                      <w:tab/>
                    </w:r>
                    <w:r>
                      <w:rPr>
                        <w:rFonts w:ascii="Century"/>
                        <w:spacing w:val="-17"/>
                        <w:w w:val="95"/>
                        <w:sz w:val="20"/>
                      </w:rPr>
                      <w:t>- </w:t>
                    </w:r>
                    <w:r>
                      <w:rPr>
                        <w:rFonts w:ascii="Century"/>
                        <w:w w:val="95"/>
                        <w:sz w:val="20"/>
                      </w:rPr>
                      <w:t>Slovenia</w:t>
                      <w:tab/>
                    </w:r>
                    <w:r>
                      <w:rPr>
                        <w:rFonts w:ascii="Century"/>
                        <w:spacing w:val="-17"/>
                        <w:w w:val="95"/>
                        <w:sz w:val="20"/>
                      </w:rPr>
                      <w:t>-</w:t>
                    </w:r>
                  </w:p>
                  <w:p>
                    <w:pPr>
                      <w:tabs>
                        <w:tab w:pos="1905" w:val="left" w:leader="none"/>
                      </w:tabs>
                      <w:spacing w:line="237" w:lineRule="exact" w:before="0"/>
                      <w:ind w:left="0" w:right="812" w:firstLine="0"/>
                      <w:jc w:val="right"/>
                      <w:rPr>
                        <w:rFonts w:ascii="Century"/>
                        <w:sz w:val="20"/>
                      </w:rPr>
                    </w:pPr>
                    <w:r>
                      <w:rPr>
                        <w:rFonts w:ascii="Century"/>
                        <w:sz w:val="20"/>
                      </w:rPr>
                      <w:t>Spain</w:t>
                      <w:tab/>
                    </w:r>
                    <w:r>
                      <w:rPr>
                        <w:rFonts w:ascii="Century"/>
                        <w:spacing w:val="-1"/>
                        <w:sz w:val="20"/>
                      </w:rPr>
                      <w:t>-</w:t>
                    </w:r>
                  </w:p>
                  <w:p>
                    <w:pPr>
                      <w:tabs>
                        <w:tab w:pos="1985" w:val="left" w:leader="none"/>
                      </w:tabs>
                      <w:spacing w:line="239" w:lineRule="exact" w:before="0"/>
                      <w:ind w:left="0" w:right="812" w:firstLine="0"/>
                      <w:jc w:val="right"/>
                      <w:rPr>
                        <w:rFonts w:ascii="Century"/>
                        <w:sz w:val="20"/>
                      </w:rPr>
                    </w:pPr>
                    <w:r>
                      <w:rPr>
                        <w:rFonts w:ascii="Century"/>
                        <w:sz w:val="20"/>
                      </w:rPr>
                      <w:t>Sweden</w:t>
                      <w:tab/>
                    </w:r>
                    <w:r>
                      <w:rPr>
                        <w:rFonts w:ascii="Century"/>
                        <w:spacing w:val="-1"/>
                        <w:sz w:val="20"/>
                      </w:rPr>
                      <w:t>-</w:t>
                    </w:r>
                  </w:p>
                  <w:p>
                    <w:pPr>
                      <w:tabs>
                        <w:tab w:pos="2171" w:val="left" w:leader="none"/>
                      </w:tabs>
                      <w:spacing w:line="239" w:lineRule="exact" w:before="0"/>
                      <w:ind w:left="0" w:right="812" w:firstLine="0"/>
                      <w:jc w:val="right"/>
                      <w:rPr>
                        <w:rFonts w:ascii="Century"/>
                        <w:sz w:val="20"/>
                      </w:rPr>
                    </w:pPr>
                    <w:r>
                      <w:rPr>
                        <w:rFonts w:ascii="Century"/>
                        <w:w w:val="95"/>
                        <w:sz w:val="20"/>
                      </w:rPr>
                      <w:t>Switzerland</w:t>
                      <w:tab/>
                    </w:r>
                    <w:r>
                      <w:rPr>
                        <w:rFonts w:ascii="Century"/>
                        <w:spacing w:val="-1"/>
                        <w:sz w:val="20"/>
                      </w:rPr>
                      <w:t>-</w:t>
                    </w:r>
                  </w:p>
                  <w:p>
                    <w:pPr>
                      <w:tabs>
                        <w:tab w:pos="2389" w:val="left" w:leader="none"/>
                      </w:tabs>
                      <w:spacing w:line="239" w:lineRule="exact" w:before="0"/>
                      <w:ind w:left="0" w:right="812" w:firstLine="0"/>
                      <w:jc w:val="right"/>
                      <w:rPr>
                        <w:rFonts w:ascii="Century"/>
                        <w:sz w:val="20"/>
                      </w:rPr>
                    </w:pPr>
                    <w:r>
                      <w:rPr>
                        <w:rFonts w:ascii="Century"/>
                        <w:sz w:val="20"/>
                      </w:rPr>
                      <w:t>United</w:t>
                    </w:r>
                    <w:r>
                      <w:rPr>
                        <w:rFonts w:ascii="Century"/>
                        <w:spacing w:val="-24"/>
                        <w:sz w:val="20"/>
                      </w:rPr>
                      <w:t> </w:t>
                    </w:r>
                    <w:r>
                      <w:rPr>
                        <w:rFonts w:ascii="Century"/>
                        <w:sz w:val="20"/>
                      </w:rPr>
                      <w:t>Kingdom</w:t>
                      <w:tab/>
                    </w:r>
                    <w:r>
                      <w:rPr>
                        <w:rFonts w:ascii="Century"/>
                        <w:spacing w:val="-1"/>
                        <w:sz w:val="20"/>
                      </w:rPr>
                      <w:t>-</w:t>
                    </w:r>
                  </w:p>
                  <w:p>
                    <w:pPr>
                      <w:tabs>
                        <w:tab w:pos="2256" w:val="left" w:leader="none"/>
                      </w:tabs>
                      <w:spacing w:line="240" w:lineRule="exact" w:before="0"/>
                      <w:ind w:left="0" w:right="812" w:firstLine="0"/>
                      <w:jc w:val="right"/>
                      <w:rPr>
                        <w:rFonts w:ascii="Century"/>
                        <w:sz w:val="20"/>
                      </w:rPr>
                    </w:pPr>
                    <w:r>
                      <w:rPr>
                        <w:rFonts w:ascii="Century"/>
                        <w:sz w:val="20"/>
                      </w:rPr>
                      <w:t>United</w:t>
                    </w:r>
                    <w:r>
                      <w:rPr>
                        <w:rFonts w:ascii="Century"/>
                        <w:spacing w:val="-27"/>
                        <w:sz w:val="20"/>
                      </w:rPr>
                      <w:t> </w:t>
                    </w:r>
                    <w:r>
                      <w:rPr>
                        <w:rFonts w:ascii="Century"/>
                        <w:sz w:val="20"/>
                      </w:rPr>
                      <w:t>States</w:t>
                      <w:tab/>
                    </w:r>
                    <w:r>
                      <w:rPr>
                        <w:rFonts w:ascii="Century"/>
                        <w:spacing w:val="-1"/>
                        <w:sz w:val="20"/>
                      </w:rPr>
                      <w:t>-</w:t>
                    </w:r>
                  </w:p>
                </w:txbxContent>
              </v:textbox>
              <w10:wrap type="none"/>
            </v:shape>
            <w10:wrap type="topAndBottom"/>
          </v:group>
        </w:pict>
      </w:r>
    </w:p>
    <w:sectPr>
      <w:pgSz w:w="12240" w:h="15840"/>
      <w:pgMar w:header="0" w:footer="1080" w:top="1500" w:bottom="126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Informal Roman">
    <w:altName w:val="Informal Roman"/>
    <w:charset w:val="0"/>
    <w:family w:val="script"/>
    <w:pitch w:val="variable"/>
  </w:font>
  <w:font w:name="Calibri">
    <w:altName w:val="Calibri"/>
    <w:charset w:val="0"/>
    <w:family w:val="swiss"/>
    <w:pitch w:val="variable"/>
  </w:font>
  <w:font w:name="Tahoma">
    <w:altName w:val="Tahoma"/>
    <w:charset w:val="0"/>
    <w:family w:val="swiss"/>
    <w:pitch w:val="variable"/>
  </w:font>
  <w:font w:name="Georgia">
    <w:altName w:val="Georgia"/>
    <w:charset w:val="0"/>
    <w:family w:val="roman"/>
    <w:pitch w:val="variable"/>
  </w:font>
  <w:font w:name="Century">
    <w:altName w:val="Century"/>
    <w:charset w:val="0"/>
    <w:family w:val="roman"/>
    <w:pitch w:val="variable"/>
  </w:font>
  <w:font w:name="Bauhaus 93">
    <w:altName w:val="Bauhaus 93"/>
    <w:charset w:val="0"/>
    <w:family w:val="decorative"/>
    <w:pitch w:val="variable"/>
  </w:font>
  <w:font w:name="Lucida Sans Unicode">
    <w:altName w:val="Lucida Sans Unicode"/>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7062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80005pt;margin-top:760.256592pt;width:2.6pt;height:3.15pt;mso-position-horizontal-relative:page;mso-position-vertical-relative:page;z-index:-252569600"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pt;margin-top:771.969116pt;width:323.8pt;height:13.2pt;mso-position-horizontal-relative:page;mso-position-vertical-relative:page;z-index:-25256857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3478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53376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pt;margin-top:771.969116pt;width:323.850pt;height:13.2pt;mso-position-horizontal-relative:page;mso-position-vertical-relative:page;z-index:-25253273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2531712" type="#_x0000_t202" filled="false" stroked="false">
          <v:textbox inset="0,0,0,0">
            <w:txbxContent>
              <w:p>
                <w:pPr>
                  <w:pStyle w:val="BodyText"/>
                  <w:spacing w:before="14"/>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3068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52966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34pt;margin-top:771.969116pt;width:323.850pt;height:13.2pt;mso-position-horizontal-relative:page;mso-position-vertical-relative:page;z-index:-25252864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2527616" type="#_x0000_t202" filled="false" stroked="false">
          <v:textbox inset="0,0,0,0">
            <w:txbxContent>
              <w:p>
                <w:pPr>
                  <w:pStyle w:val="BodyText"/>
                  <w:spacing w:before="14"/>
                  <w:ind w:left="20"/>
                </w:pPr>
                <w:r>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00.509003pt;margin-top:727.016052pt;width:11pt;height:12pt;mso-position-horizontal-relative:page;mso-position-vertical-relative:page;z-index:-252526592" type="#_x0000_t202" filled="false" stroked="false">
          <v:textbox inset="0,0,0,0">
            <w:txbxContent>
              <w:p>
                <w:pPr>
                  <w:pStyle w:val="BodyText"/>
                  <w:spacing w:line="213" w:lineRule="exact"/>
                  <w:ind w:left="60"/>
                  <w:rPr>
                    <w:rFonts w:ascii="Century"/>
                  </w:rPr>
                </w:pPr>
                <w:r>
                  <w:rPr/>
                  <w:fldChar w:fldCharType="begin"/>
                </w:r>
                <w:r>
                  <w:rPr>
                    <w:rFonts w:ascii="Century"/>
                    <w:w w:val="89"/>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6755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66528"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pt;margin-top:771.969116pt;width:323.850pt;height:13.2pt;mso-position-horizontal-relative:page;mso-position-vertical-relative:page;z-index:-25256550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56448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6345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62432"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pt;margin-top:771.969116pt;width:323.850pt;height:13.2pt;mso-position-horizontal-relative:page;mso-position-vertical-relative:page;z-index:-25256140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560384"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5936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58336"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pt;margin-top:771.969116pt;width:323.850pt;height:13.2pt;mso-position-horizontal-relative:page;mso-position-vertical-relative:page;z-index:-25255731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556288"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5526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54240"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43.34pt;margin-top:771.969116pt;width:323.850pt;height:13.2pt;mso-position-horizontal-relative:page;mso-position-vertical-relative:page;z-index:-25255321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552192"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5116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50144"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43.34pt;margin-top:771.969116pt;width:323.850pt;height:13.2pt;mso-position-horizontal-relative:page;mso-position-vertical-relative:page;z-index:-25254912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548096"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4707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46048" type="#_x0000_t202" filled="false" stroked="false">
          <v:textbox inset="0,0,0,0">
            <w:txbxContent>
              <w:p>
                <w:pPr>
                  <w:pStyle w:val="BodyText"/>
                  <w:rPr>
                    <w:sz w:val="2"/>
                  </w:rPr>
                </w:pPr>
              </w:p>
              <w:p>
                <w:pPr>
                  <w:spacing w:before="0"/>
                  <w:ind w:left="0" w:right="0" w:firstLine="0"/>
                  <w:jc w:val="center"/>
                  <w:rPr>
                    <w:sz w:val="2"/>
                  </w:rPr>
                </w:pPr>
                <w:r>
                  <w:rPr>
                    <w:w w:val="101"/>
                    <w:sz w:val="2"/>
                  </w:rPr>
                  <w:t>7</w:t>
                </w:r>
              </w:p>
            </w:txbxContent>
          </v:textbox>
          <w10:wrap type="none"/>
        </v:shape>
      </w:pict>
    </w:r>
    <w:r>
      <w:rPr/>
      <w:pict>
        <v:shape style="position:absolute;margin-left:43.34pt;margin-top:771.969116pt;width:323.850pt;height:13.2pt;mso-position-horizontal-relative:page;mso-position-vertical-relative:page;z-index:-25254502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544000"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4297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5419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43.34pt;margin-top:771.969116pt;width:323.850pt;height:13.2pt;mso-position-horizontal-relative:page;mso-position-vertical-relative:page;z-index:-25254092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539904"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3888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53785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pt;margin-top:771.969116pt;width:323.850pt;height:13.2pt;mso-position-horizontal-relative:page;mso-position-vertical-relative:page;z-index:-25253683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2535808"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674" w:hanging="361"/>
        <w:jc w:val="left"/>
      </w:pPr>
      <w:rPr>
        <w:rFonts w:hint="default" w:ascii="Arial" w:hAnsi="Arial" w:eastAsia="Arial" w:cs="Arial"/>
        <w:w w:val="100"/>
        <w:sz w:val="20"/>
        <w:szCs w:val="20"/>
      </w:rPr>
    </w:lvl>
    <w:lvl w:ilvl="1">
      <w:start w:val="0"/>
      <w:numFmt w:val="bullet"/>
      <w:lvlText w:val="•"/>
      <w:lvlJc w:val="left"/>
      <w:pPr>
        <w:ind w:left="2640" w:hanging="361"/>
      </w:pPr>
      <w:rPr>
        <w:rFonts w:hint="default"/>
      </w:rPr>
    </w:lvl>
    <w:lvl w:ilvl="2">
      <w:start w:val="0"/>
      <w:numFmt w:val="bullet"/>
      <w:lvlText w:val="•"/>
      <w:lvlJc w:val="left"/>
      <w:pPr>
        <w:ind w:left="3601" w:hanging="361"/>
      </w:pPr>
      <w:rPr>
        <w:rFonts w:hint="default"/>
      </w:rPr>
    </w:lvl>
    <w:lvl w:ilvl="3">
      <w:start w:val="0"/>
      <w:numFmt w:val="bullet"/>
      <w:lvlText w:val="•"/>
      <w:lvlJc w:val="left"/>
      <w:pPr>
        <w:ind w:left="4561" w:hanging="361"/>
      </w:pPr>
      <w:rPr>
        <w:rFonts w:hint="default"/>
      </w:rPr>
    </w:lvl>
    <w:lvl w:ilvl="4">
      <w:start w:val="0"/>
      <w:numFmt w:val="bullet"/>
      <w:lvlText w:val="•"/>
      <w:lvlJc w:val="left"/>
      <w:pPr>
        <w:ind w:left="5522" w:hanging="361"/>
      </w:pPr>
      <w:rPr>
        <w:rFonts w:hint="default"/>
      </w:rPr>
    </w:lvl>
    <w:lvl w:ilvl="5">
      <w:start w:val="0"/>
      <w:numFmt w:val="bullet"/>
      <w:lvlText w:val="•"/>
      <w:lvlJc w:val="left"/>
      <w:pPr>
        <w:ind w:left="6483" w:hanging="361"/>
      </w:pPr>
      <w:rPr>
        <w:rFonts w:hint="default"/>
      </w:rPr>
    </w:lvl>
    <w:lvl w:ilvl="6">
      <w:start w:val="0"/>
      <w:numFmt w:val="bullet"/>
      <w:lvlText w:val="•"/>
      <w:lvlJc w:val="left"/>
      <w:pPr>
        <w:ind w:left="7443" w:hanging="361"/>
      </w:pPr>
      <w:rPr>
        <w:rFonts w:hint="default"/>
      </w:rPr>
    </w:lvl>
    <w:lvl w:ilvl="7">
      <w:start w:val="0"/>
      <w:numFmt w:val="bullet"/>
      <w:lvlText w:val="•"/>
      <w:lvlJc w:val="left"/>
      <w:pPr>
        <w:ind w:left="8404" w:hanging="361"/>
      </w:pPr>
      <w:rPr>
        <w:rFonts w:hint="default"/>
      </w:rPr>
    </w:lvl>
    <w:lvl w:ilvl="8">
      <w:start w:val="0"/>
      <w:numFmt w:val="bullet"/>
      <w:lvlText w:val="•"/>
      <w:lvlJc w:val="left"/>
      <w:pPr>
        <w:ind w:left="9365"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20"/>
      <w:outlineLvl w:val="1"/>
    </w:pPr>
    <w:rPr>
      <w:rFonts w:ascii="Georgia" w:hAnsi="Georgia" w:eastAsia="Georgia" w:cs="Georgia"/>
      <w:b/>
      <w:bCs/>
      <w:sz w:val="20"/>
      <w:szCs w:val="20"/>
    </w:rPr>
  </w:style>
  <w:style w:styleId="ListParagraph" w:type="paragraph">
    <w:name w:val="List Paragraph"/>
    <w:basedOn w:val="Normal"/>
    <w:uiPriority w:val="1"/>
    <w:qFormat/>
    <w:pPr>
      <w:ind w:left="1674" w:hanging="361"/>
    </w:pPr>
    <w:rPr>
      <w:rFonts w:ascii="Arial" w:hAnsi="Arial" w:eastAsia="Arial" w:cs="Arial"/>
    </w:rPr>
  </w:style>
  <w:style w:styleId="TableParagraph" w:type="paragraph">
    <w:name w:val="Table Paragraph"/>
    <w:basedOn w:val="Normal"/>
    <w:uiPriority w:val="1"/>
    <w:qFormat/>
    <w:pPr>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policyuncertainty.com/"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www.bankofengland.co.uk/-/media/boe/files/quarterly-bulletin/2018/gauging-the-globe-the-banks-approach-to-nowcasting-world-gdp.pdf?la=en&amp;hash=55FCF308E270ACF4F0A62C1C32690AA906FB4362" TargetMode="External"/><Relationship Id="rId14" Type="http://schemas.openxmlformats.org/officeDocument/2006/relationships/image" Target="media/image4.png"/><Relationship Id="rId15" Type="http://schemas.openxmlformats.org/officeDocument/2006/relationships/footer" Target="footer5.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6.xml"/><Relationship Id="rId19" Type="http://schemas.openxmlformats.org/officeDocument/2006/relationships/image" Target="media/image7.png"/><Relationship Id="rId20" Type="http://schemas.openxmlformats.org/officeDocument/2006/relationships/image" Target="media/image8.jpeg"/><Relationship Id="rId21" Type="http://schemas.openxmlformats.org/officeDocument/2006/relationships/footer" Target="footer7.xml"/><Relationship Id="rId22" Type="http://schemas.openxmlformats.org/officeDocument/2006/relationships/image" Target="media/image9.png"/><Relationship Id="rId23" Type="http://schemas.openxmlformats.org/officeDocument/2006/relationships/footer" Target="footer8.xml"/><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footer" Target="footer9.xml"/><Relationship Id="rId27" Type="http://schemas.openxmlformats.org/officeDocument/2006/relationships/image" Target="media/image12.jpeg"/><Relationship Id="rId28" Type="http://schemas.openxmlformats.org/officeDocument/2006/relationships/image" Target="media/image13.png"/><Relationship Id="rId29" Type="http://schemas.openxmlformats.org/officeDocument/2006/relationships/hyperlink" Target="https://www.bankofengland.co.uk/inflation-report/2019/february-2019" TargetMode="External"/><Relationship Id="rId30" Type="http://schemas.openxmlformats.org/officeDocument/2006/relationships/image" Target="media/image14.jpeg"/><Relationship Id="rId31" Type="http://schemas.openxmlformats.org/officeDocument/2006/relationships/image" Target="media/image15.jpeg"/><Relationship Id="rId32" Type="http://schemas.openxmlformats.org/officeDocument/2006/relationships/footer" Target="footer10.xml"/><Relationship Id="rId33" Type="http://schemas.openxmlformats.org/officeDocument/2006/relationships/image" Target="media/image16.jpeg"/><Relationship Id="rId34" Type="http://schemas.openxmlformats.org/officeDocument/2006/relationships/footer" Target="footer11.xml"/><Relationship Id="rId35" Type="http://schemas.openxmlformats.org/officeDocument/2006/relationships/image" Target="media/image17.png"/><Relationship Id="rId36" Type="http://schemas.openxmlformats.org/officeDocument/2006/relationships/hyperlink" Target="https://www.bankofengland.co.uk/speech/2017/ben-broadbent-speech-at-london-school-of-economics" TargetMode="External"/><Relationship Id="rId37" Type="http://schemas.openxmlformats.org/officeDocument/2006/relationships/hyperlink" Target="https://www.bankofengland.co.uk/speech/2017/de-globalisation-and-inflation" TargetMode="External"/><Relationship Id="rId38" Type="http://schemas.openxmlformats.org/officeDocument/2006/relationships/hyperlink" Target="https://www.bankofengland.co.uk/speech/2019/mark-carney-speech" TargetMode="External"/><Relationship Id="rId39" Type="http://schemas.openxmlformats.org/officeDocument/2006/relationships/hyperlink" Target="https://www.bankofengland.co.uk/speech/2017/work-wages-and-monetary-policy" TargetMode="External"/><Relationship Id="rId40" Type="http://schemas.openxmlformats.org/officeDocument/2006/relationships/hyperlink" Target="https://rodrik.typepad.com/dani_rodriks_weblog/2007/06/the-inescapable.html" TargetMode="External"/><Relationship Id="rId41" Type="http://schemas.openxmlformats.org/officeDocument/2006/relationships/hyperlink" Target="http://www.bankofengland.co.uk/-/media/boe/files/speech/2017/good-policy-vs-accurate-forecasts" TargetMode="External"/><Relationship Id="rId42" Type="http://schemas.openxmlformats.org/officeDocument/2006/relationships/hyperlink" Target="https://www.bankofengland.co.uk/speech/2018/gertjan-vlieghe-speech-at-birmingham-chamber-of-commerce" TargetMode="External"/><Relationship Id="rId43" Type="http://schemas.openxmlformats.org/officeDocument/2006/relationships/hyperlink" Target="http://www.pbc.gov.cn/en/3688110/3688175/3733126/index.html" TargetMode="External"/><Relationship Id="rId44" Type="http://schemas.openxmlformats.org/officeDocument/2006/relationships/footer" Target="footer12.xml"/><Relationship Id="rId4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Gertjan Vlieghe - The Economic Outlook Fading Tailwinds - Thursday 14 February 2019</dc:subject>
  <dc:title>Speech by Gertjan Vlieghe - The Economic Outlook Fading Tailwinds - Thursday 14 February 2019</dc:title>
  <dcterms:created xsi:type="dcterms:W3CDTF">2020-06-02T18:38:17Z</dcterms:created>
  <dcterms:modified xsi:type="dcterms:W3CDTF">2020-06-02T18:38:17Z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2019-02-13T00:00:00Z</vt:filetime>
  </property>
  <property fmtid="{D5CDD505-2E9C-101B-9397-08002B2CF9AE}" pid="3" name="Creator">
    <vt:lpwstr>LaTeX with hyperref package</vt:lpwstr>
  </property>
  <property fmtid="{D5CDD505-2E9C-101B-9397-08002B2CF9AE}" pid="4" name="LastSaved">
    <vt:filetime>2020-06-02T00:00:00Z</vt:filetime>
  </property>
</Properties>
</file>