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9"/>
        <w:rPr>
          <w:rFonts w:ascii="Times New Roman"/>
          <w:sz w:val="23"/>
        </w:rPr>
      </w:pPr>
    </w:p>
    <w:p>
      <w:pPr>
        <w:spacing w:before="89"/>
        <w:ind w:left="233" w:right="0" w:firstLine="0"/>
        <w:jc w:val="left"/>
        <w:rPr>
          <w:b/>
          <w:sz w:val="32"/>
        </w:rPr>
      </w:pPr>
      <w:r>
        <w:rPr>
          <w:b/>
          <w:color w:val="6A709F"/>
          <w:sz w:val="32"/>
        </w:rPr>
        <w:t>The fall in productivity growth: causes and implications</w:t>
      </w:r>
    </w:p>
    <w:p>
      <w:pPr>
        <w:pStyle w:val="BodyText"/>
        <w:rPr>
          <w:b/>
          <w:sz w:val="36"/>
        </w:rPr>
      </w:pPr>
    </w:p>
    <w:p>
      <w:pPr>
        <w:spacing w:before="277"/>
        <w:ind w:left="233" w:right="0" w:firstLine="0"/>
        <w:jc w:val="left"/>
        <w:rPr>
          <w:sz w:val="24"/>
        </w:rPr>
      </w:pPr>
      <w:r>
        <w:rPr>
          <w:sz w:val="24"/>
        </w:rPr>
        <w:t>Speech given by</w:t>
      </w:r>
    </w:p>
    <w:p>
      <w:pPr>
        <w:spacing w:before="137"/>
        <w:ind w:left="233" w:right="0" w:firstLine="0"/>
        <w:jc w:val="left"/>
        <w:rPr>
          <w:sz w:val="23"/>
        </w:rPr>
      </w:pPr>
      <w:r>
        <w:rPr>
          <w:sz w:val="24"/>
        </w:rPr>
        <w:t>Silvana Tenreyro, </w:t>
      </w:r>
      <w:r>
        <w:rPr>
          <w:sz w:val="23"/>
        </w:rPr>
        <w:t>External MPC Member, Bank of England</w:t>
      </w:r>
    </w:p>
    <w:p>
      <w:pPr>
        <w:pStyle w:val="BodyText"/>
        <w:rPr>
          <w:sz w:val="26"/>
        </w:rPr>
      </w:pPr>
    </w:p>
    <w:p>
      <w:pPr>
        <w:pStyle w:val="BodyText"/>
        <w:rPr>
          <w:sz w:val="26"/>
        </w:rPr>
      </w:pPr>
    </w:p>
    <w:p>
      <w:pPr>
        <w:pStyle w:val="BodyText"/>
        <w:rPr>
          <w:sz w:val="26"/>
        </w:rPr>
      </w:pPr>
    </w:p>
    <w:p>
      <w:pPr>
        <w:pStyle w:val="BodyText"/>
        <w:spacing w:before="2"/>
        <w:rPr>
          <w:sz w:val="30"/>
        </w:rPr>
      </w:pPr>
    </w:p>
    <w:p>
      <w:pPr>
        <w:spacing w:line="360" w:lineRule="auto" w:before="0"/>
        <w:ind w:left="233" w:right="3520" w:firstLine="0"/>
        <w:jc w:val="left"/>
        <w:rPr>
          <w:sz w:val="24"/>
        </w:rPr>
      </w:pPr>
      <w:r>
        <w:rPr>
          <w:sz w:val="24"/>
        </w:rPr>
        <w:t>Peston Lecture Theatre, Queen Mary University of London 15 January 2018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4"/>
        </w:rPr>
      </w:pPr>
    </w:p>
    <w:p>
      <w:pPr>
        <w:pStyle w:val="BodyText"/>
        <w:spacing w:before="93"/>
        <w:ind w:left="233" w:right="1355"/>
      </w:pPr>
      <w:r>
        <w:rPr/>
        <w:t>The views are not necessarily those of the Bank of England or the Monetary Policy Committee. I would like to thank John Barrdear, Nikola Dacic, Gene Kindberg-Hanlon, Michael McLeay,</w:t>
      </w:r>
    </w:p>
    <w:p>
      <w:pPr>
        <w:pStyle w:val="BodyText"/>
        <w:spacing w:before="1"/>
        <w:ind w:left="233" w:right="1088"/>
      </w:pPr>
      <w:r>
        <w:rPr/>
        <w:t>Patrick Schneider, Manveer Sokhi, Michal Stelmach and Chris Young for research assistance and input into this speech. I am also grateful to Tom Belsham, Ben Broadbent, Lizzie Drapper,</w:t>
      </w:r>
    </w:p>
    <w:p>
      <w:pPr>
        <w:pStyle w:val="BodyText"/>
        <w:ind w:left="233" w:right="1689"/>
      </w:pPr>
      <w:r>
        <w:rPr/>
        <w:t>Perry Francis, Clare Macallan, Michael Saunders, Alex Tuckett and Gavin Wallis for helpful comments. All errors are mine.</w:t>
      </w:r>
    </w:p>
    <w:p>
      <w:pPr>
        <w:spacing w:after="0"/>
        <w:sectPr>
          <w:footerReference w:type="default" r:id="rId5"/>
          <w:type w:val="continuous"/>
          <w:pgSz w:w="11910" w:h="16840"/>
          <w:pgMar w:footer="1338" w:top="1180" w:bottom="1520" w:left="900" w:right="1020"/>
        </w:sectPr>
      </w:pPr>
    </w:p>
    <w:p>
      <w:pPr>
        <w:pStyle w:val="Heading1"/>
        <w:spacing w:before="76"/>
      </w:pPr>
      <w:r>
        <w:rPr/>
        <w:t>Introduction</w:t>
      </w:r>
    </w:p>
    <w:p>
      <w:pPr>
        <w:pStyle w:val="BodyText"/>
        <w:rPr>
          <w:b/>
          <w:sz w:val="22"/>
        </w:rPr>
      </w:pPr>
    </w:p>
    <w:p>
      <w:pPr>
        <w:pStyle w:val="BodyText"/>
        <w:spacing w:before="2"/>
        <w:rPr>
          <w:b/>
          <w:sz w:val="18"/>
        </w:rPr>
      </w:pPr>
    </w:p>
    <w:p>
      <w:pPr>
        <w:pStyle w:val="BodyText"/>
        <w:ind w:left="233"/>
      </w:pPr>
      <w:r>
        <w:rPr/>
        <w:t>Many thanks for the invitation.</w:t>
      </w:r>
    </w:p>
    <w:p>
      <w:pPr>
        <w:pStyle w:val="BodyText"/>
        <w:rPr>
          <w:sz w:val="22"/>
        </w:rPr>
      </w:pPr>
    </w:p>
    <w:p>
      <w:pPr>
        <w:pStyle w:val="BodyText"/>
        <w:spacing w:before="1"/>
        <w:rPr>
          <w:sz w:val="18"/>
        </w:rPr>
      </w:pPr>
    </w:p>
    <w:p>
      <w:pPr>
        <w:pStyle w:val="BodyText"/>
        <w:spacing w:line="360" w:lineRule="auto"/>
        <w:ind w:left="233" w:right="140"/>
      </w:pPr>
      <w:r>
        <w:rPr/>
        <w:t>Maurice Peston was an inspiration and role model for economists, having combined a distinguished career</w:t>
      </w:r>
      <w:r>
        <w:rPr>
          <w:spacing w:val="-31"/>
        </w:rPr>
        <w:t> </w:t>
      </w:r>
      <w:r>
        <w:rPr/>
        <w:t>in academia with an unwavering commitment to public policy. As well as his legacy here at Queen Mary, he also left a big mark at the LSE, both as a student and later as a faculty member. It is a true honour to be here to give the Peston Lecture.</w:t>
      </w:r>
    </w:p>
    <w:p>
      <w:pPr>
        <w:pStyle w:val="BodyText"/>
        <w:spacing w:before="1"/>
        <w:rPr>
          <w:sz w:val="30"/>
        </w:rPr>
      </w:pPr>
    </w:p>
    <w:p>
      <w:pPr>
        <w:pStyle w:val="BodyText"/>
        <w:spacing w:line="360" w:lineRule="auto"/>
        <w:ind w:left="233"/>
      </w:pPr>
      <w:r>
        <w:rPr/>
        <w:t>My talk today will be about productivity, and more specifically, about the UK productivity puzzle. Recently we have heard a lot about the productivity puzzle in the media, with policymakers, journalists and academics debating different reasons for the puzzle and many advancing ways to address it. Indeed, many of my colleagues and predecessors on the MPC have already given speeches about the UK productivity puzzle.</w:t>
      </w:r>
      <w:r>
        <w:rPr>
          <w:vertAlign w:val="superscript"/>
        </w:rPr>
        <w:t>1</w:t>
      </w:r>
    </w:p>
    <w:p>
      <w:pPr>
        <w:pStyle w:val="BodyText"/>
        <w:spacing w:before="10"/>
        <w:rPr>
          <w:sz w:val="29"/>
        </w:rPr>
      </w:pPr>
    </w:p>
    <w:p>
      <w:pPr>
        <w:pStyle w:val="BodyText"/>
        <w:spacing w:line="360" w:lineRule="auto"/>
        <w:ind w:left="233" w:right="231"/>
      </w:pPr>
      <w:r>
        <w:rPr/>
        <w:t>To those who have been around for a while, this debate might sound somewhat déjà vu, as it is not the first time that the UK economy has shown a “productivity puzzle”. Back in 2003, Basu, Fernald, Oulton and Srinivasan wrote an influential paper trying to explain the missing productivity in the UK economy during the second half of the 1990s. With hindsight, we know now that the productivity puzzle of the 1990s disappeared as measurement improved and as the data were revised.</w:t>
      </w:r>
    </w:p>
    <w:p>
      <w:pPr>
        <w:pStyle w:val="BodyText"/>
        <w:spacing w:before="1"/>
        <w:rPr>
          <w:sz w:val="30"/>
        </w:rPr>
      </w:pPr>
    </w:p>
    <w:p>
      <w:pPr>
        <w:pStyle w:val="BodyText"/>
        <w:spacing w:line="360" w:lineRule="auto" w:before="1"/>
        <w:ind w:left="233"/>
      </w:pPr>
      <w:r>
        <w:rPr/>
        <w:t>The current productivity puzzle, however, seems to be lasting longer than the one in the 1990s and it has certainly acquired a greater web-presence, judging by the large surge in the number of Google Scholar citations on the topic.</w:t>
      </w:r>
    </w:p>
    <w:p>
      <w:pPr>
        <w:pStyle w:val="BodyText"/>
        <w:rPr>
          <w:sz w:val="30"/>
        </w:rPr>
      </w:pPr>
    </w:p>
    <w:p>
      <w:pPr>
        <w:pStyle w:val="BodyText"/>
        <w:spacing w:line="360" w:lineRule="auto"/>
        <w:ind w:left="233"/>
      </w:pPr>
      <w:r>
        <w:rPr/>
        <w:t>But although much has been said and written on it before, given the importance of the current productivity puzzle, I will argue it is useful to take a fresh look using the latest vintage of data. I will use it to draw three main conclusions:</w:t>
      </w:r>
    </w:p>
    <w:p>
      <w:pPr>
        <w:pStyle w:val="BodyText"/>
        <w:spacing w:before="10"/>
        <w:rPr>
          <w:sz w:val="29"/>
        </w:rPr>
      </w:pPr>
    </w:p>
    <w:p>
      <w:pPr>
        <w:pStyle w:val="Heading1"/>
        <w:numPr>
          <w:ilvl w:val="0"/>
          <w:numId w:val="1"/>
        </w:numPr>
        <w:tabs>
          <w:tab w:pos="953" w:val="left" w:leader="none"/>
          <w:tab w:pos="954" w:val="left" w:leader="none"/>
        </w:tabs>
        <w:spacing w:line="350" w:lineRule="auto" w:before="0" w:after="0"/>
        <w:ind w:left="953" w:right="125" w:hanging="360"/>
        <w:jc w:val="left"/>
      </w:pPr>
      <w:r>
        <w:rPr/>
        <w:t>Just two sectors, finance and manufacturing, can account for most of the fall in UK</w:t>
      </w:r>
      <w:r>
        <w:rPr>
          <w:spacing w:val="-29"/>
        </w:rPr>
        <w:t> </w:t>
      </w:r>
      <w:r>
        <w:rPr/>
        <w:t>aggregate productivity</w:t>
      </w:r>
      <w:r>
        <w:rPr>
          <w:spacing w:val="-3"/>
        </w:rPr>
        <w:t> </w:t>
      </w:r>
      <w:r>
        <w:rPr/>
        <w:t>growth.</w:t>
      </w:r>
    </w:p>
    <w:p>
      <w:pPr>
        <w:pStyle w:val="ListParagraph"/>
        <w:numPr>
          <w:ilvl w:val="0"/>
          <w:numId w:val="1"/>
        </w:numPr>
        <w:tabs>
          <w:tab w:pos="953" w:val="left" w:leader="none"/>
          <w:tab w:pos="954" w:val="left" w:leader="none"/>
        </w:tabs>
        <w:spacing w:line="355" w:lineRule="auto" w:before="10" w:after="0"/>
        <w:ind w:left="953" w:right="229" w:hanging="360"/>
        <w:jc w:val="left"/>
        <w:rPr>
          <w:b/>
          <w:sz w:val="20"/>
        </w:rPr>
      </w:pPr>
      <w:r>
        <w:rPr>
          <w:b/>
          <w:sz w:val="20"/>
        </w:rPr>
        <w:t>The post-crisis productivity drag from finance should disappear as deleveraging runs its course. Slower manufacturing productivity growth may relate to a reduction in the impact of lower-priced imported inputs from China and other emerging</w:t>
      </w:r>
      <w:r>
        <w:rPr>
          <w:b/>
          <w:spacing w:val="-4"/>
          <w:sz w:val="20"/>
        </w:rPr>
        <w:t> </w:t>
      </w:r>
      <w:r>
        <w:rPr>
          <w:b/>
          <w:sz w:val="20"/>
        </w:rPr>
        <w:t>markets.</w:t>
      </w:r>
    </w:p>
    <w:p>
      <w:pPr>
        <w:pStyle w:val="ListParagraph"/>
        <w:numPr>
          <w:ilvl w:val="0"/>
          <w:numId w:val="1"/>
        </w:numPr>
        <w:tabs>
          <w:tab w:pos="953" w:val="left" w:leader="none"/>
          <w:tab w:pos="954" w:val="left" w:leader="none"/>
        </w:tabs>
        <w:spacing w:line="355" w:lineRule="auto" w:before="5" w:after="0"/>
        <w:ind w:left="953" w:right="519" w:hanging="360"/>
        <w:jc w:val="left"/>
        <w:rPr>
          <w:b/>
          <w:sz w:val="20"/>
        </w:rPr>
      </w:pPr>
      <w:r>
        <w:rPr>
          <w:b/>
          <w:sz w:val="20"/>
        </w:rPr>
        <w:t>Persistently weak investment has also been playing an increasingly important role in the weakness of manufacturing and aggregate productivity. But strong global growth should help support a recovery, especially if uncertainty were to be</w:t>
      </w:r>
      <w:r>
        <w:rPr>
          <w:b/>
          <w:spacing w:val="-8"/>
          <w:sz w:val="20"/>
        </w:rPr>
        <w:t> </w:t>
      </w:r>
      <w:r>
        <w:rPr>
          <w:b/>
          <w:sz w:val="20"/>
        </w:rPr>
        <w:t>resolved.</w:t>
      </w:r>
    </w:p>
    <w:p>
      <w:pPr>
        <w:pStyle w:val="BodyText"/>
        <w:rPr>
          <w:b/>
        </w:rPr>
      </w:pPr>
    </w:p>
    <w:p>
      <w:pPr>
        <w:pStyle w:val="BodyText"/>
        <w:rPr>
          <w:b/>
        </w:rPr>
      </w:pPr>
    </w:p>
    <w:p>
      <w:pPr>
        <w:pStyle w:val="BodyText"/>
        <w:rPr>
          <w:b/>
        </w:rPr>
      </w:pPr>
    </w:p>
    <w:p>
      <w:pPr>
        <w:pStyle w:val="BodyText"/>
        <w:spacing w:before="10"/>
        <w:rPr>
          <w:b/>
          <w:sz w:val="27"/>
        </w:rPr>
      </w:pPr>
      <w:r>
        <w:rPr/>
        <w:pict>
          <v:shape style="position:absolute;margin-left:56.664001pt;margin-top:18.247747pt;width:144.050pt;height:.1pt;mso-position-horizontal-relative:page;mso-position-vertical-relative:paragraph;z-index:-251657216;mso-wrap-distance-left:0;mso-wrap-distance-right:0" coordorigin="1133,365" coordsize="2881,0" path="m1133,365l4014,365e" filled="false" stroked="true" strokeweight=".47998pt" strokecolor="#000000">
            <v:path arrowok="t"/>
            <v:stroke dashstyle="solid"/>
            <w10:wrap type="topAndBottom"/>
          </v:shape>
        </w:pict>
      </w:r>
    </w:p>
    <w:p>
      <w:pPr>
        <w:spacing w:before="30"/>
        <w:ind w:left="233" w:right="0" w:firstLine="0"/>
        <w:jc w:val="left"/>
        <w:rPr>
          <w:sz w:val="16"/>
        </w:rPr>
      </w:pPr>
      <w:r>
        <w:rPr>
          <w:position w:val="8"/>
          <w:sz w:val="10"/>
        </w:rPr>
        <w:t>1 </w:t>
      </w:r>
      <w:r>
        <w:rPr>
          <w:sz w:val="16"/>
        </w:rPr>
        <w:t>For example, Dale (2011), Broadbent (2012), McCafferty (2014), Weale (2014) and Haldane (2017).</w:t>
      </w:r>
    </w:p>
    <w:p>
      <w:pPr>
        <w:spacing w:after="0"/>
        <w:jc w:val="left"/>
        <w:rPr>
          <w:sz w:val="16"/>
        </w:rPr>
        <w:sectPr>
          <w:footerReference w:type="default" r:id="rId7"/>
          <w:pgSz w:w="11910" w:h="16840"/>
          <w:pgMar w:footer="1338" w:header="0" w:top="1340" w:bottom="1520" w:left="900" w:right="1020"/>
          <w:pgNumType w:start="2"/>
        </w:sectPr>
      </w:pPr>
    </w:p>
    <w:p>
      <w:pPr>
        <w:pStyle w:val="BodyText"/>
        <w:spacing w:line="360" w:lineRule="auto" w:before="79"/>
        <w:ind w:left="233" w:right="231"/>
      </w:pPr>
      <w:r>
        <w:rPr/>
        <w:t>Before that, my plan is to first discuss concretely what I mean by the productivity puzzle, and to try to put it into context. Next, I will say a few words on why we care about productivity and why it is relevant for monetary policy. I will then explore the questions of where and why productivity got lost. And, although the MPC will not conclude our collective assessment of supply-side conditions until our February forecast, I would like to finish by offering some reflections of my own on what the data can tell us about future productivity growth and the direction of monetary policy.</w:t>
      </w:r>
    </w:p>
    <w:p>
      <w:pPr>
        <w:pStyle w:val="BodyText"/>
        <w:spacing w:before="8"/>
        <w:rPr>
          <w:sz w:val="29"/>
        </w:rPr>
      </w:pPr>
    </w:p>
    <w:p>
      <w:pPr>
        <w:pStyle w:val="Heading1"/>
        <w:numPr>
          <w:ilvl w:val="1"/>
          <w:numId w:val="2"/>
        </w:numPr>
        <w:tabs>
          <w:tab w:pos="594" w:val="left" w:leader="none"/>
        </w:tabs>
        <w:spacing w:line="240" w:lineRule="auto" w:before="1" w:after="0"/>
        <w:ind w:left="593" w:right="0" w:hanging="361"/>
        <w:jc w:val="left"/>
      </w:pPr>
      <w:r>
        <w:rPr/>
        <w:t>The</w:t>
      </w:r>
      <w:r>
        <w:rPr>
          <w:spacing w:val="-1"/>
        </w:rPr>
        <w:t> </w:t>
      </w:r>
      <w:r>
        <w:rPr/>
        <w:t>Puzzle</w:t>
      </w:r>
    </w:p>
    <w:p>
      <w:pPr>
        <w:pStyle w:val="BodyText"/>
        <w:rPr>
          <w:b/>
          <w:sz w:val="22"/>
        </w:rPr>
      </w:pPr>
    </w:p>
    <w:p>
      <w:pPr>
        <w:pStyle w:val="BodyText"/>
        <w:spacing w:before="3"/>
        <w:rPr>
          <w:b/>
          <w:sz w:val="18"/>
        </w:rPr>
      </w:pPr>
    </w:p>
    <w:p>
      <w:pPr>
        <w:pStyle w:val="BodyText"/>
        <w:spacing w:line="360" w:lineRule="auto"/>
        <w:ind w:left="233" w:right="231"/>
      </w:pPr>
      <w:r>
        <w:rPr/>
        <w:t>Let us first agree on a definition of the productivity puzzle. Though commentators have referred to different measures of productivity, most have focused on aggregate labour productivity, defined as the total value added of the UK economy divided by the total number of hours worked. In other words, it tells us how much a typical worker in the UK economy produces each hour.</w:t>
      </w:r>
    </w:p>
    <w:p>
      <w:pPr>
        <w:pStyle w:val="BodyText"/>
        <w:spacing w:before="11"/>
        <w:rPr>
          <w:sz w:val="29"/>
        </w:rPr>
      </w:pPr>
    </w:p>
    <w:p>
      <w:pPr>
        <w:pStyle w:val="BodyText"/>
        <w:spacing w:line="360" w:lineRule="auto"/>
        <w:ind w:left="233" w:right="231"/>
      </w:pPr>
      <w:r>
        <w:rPr/>
        <w:t>The so-called productivity puzzle is the observation that UK productivity has fallen well below its pre-crisis trend. Productivity fell sharply at the peak of the crisis, 2008 and 2009 – a level shock in the jargon. Since then, productivity has been growing, but at a rate significantly lower than its pre-crisis trend rate (Charts 1 and 2). And though this growth slowdown has been experienced by other advanced economies, it appears to be more accentuated in the UK.</w:t>
      </w:r>
    </w:p>
    <w:p>
      <w:pPr>
        <w:pStyle w:val="BodyText"/>
        <w:spacing w:before="1"/>
        <w:rPr>
          <w:sz w:val="30"/>
        </w:rPr>
      </w:pPr>
    </w:p>
    <w:p>
      <w:pPr>
        <w:pStyle w:val="BodyText"/>
        <w:ind w:left="233"/>
      </w:pPr>
      <w:r>
        <w:rPr/>
        <w:t>Let me illustrate these points with a few numbers.</w:t>
      </w:r>
    </w:p>
    <w:p>
      <w:pPr>
        <w:pStyle w:val="BodyText"/>
        <w:rPr>
          <w:sz w:val="22"/>
        </w:rPr>
      </w:pPr>
    </w:p>
    <w:p>
      <w:pPr>
        <w:pStyle w:val="BodyText"/>
        <w:spacing w:before="10"/>
        <w:rPr>
          <w:sz w:val="17"/>
        </w:rPr>
      </w:pPr>
    </w:p>
    <w:p>
      <w:pPr>
        <w:pStyle w:val="BodyText"/>
        <w:spacing w:line="360" w:lineRule="auto"/>
        <w:ind w:left="233" w:right="120"/>
      </w:pPr>
      <w:r>
        <w:rPr/>
        <w:t>Over the three decades before the global financial crisis, productivity growth averaged 2.3% per year. To get a sense of what this growth means in practical terms, the average UK worker in 2007, working the same number of hours, could produce </w:t>
      </w:r>
      <w:r>
        <w:rPr>
          <w:i/>
        </w:rPr>
        <w:t>twice </w:t>
      </w:r>
      <w:r>
        <w:rPr/>
        <w:t>as much as she could have just thirty years before.</w:t>
      </w:r>
    </w:p>
    <w:p>
      <w:pPr>
        <w:pStyle w:val="BodyText"/>
        <w:rPr>
          <w:sz w:val="22"/>
        </w:rPr>
      </w:pPr>
    </w:p>
    <w:p>
      <w:pPr>
        <w:pStyle w:val="BodyText"/>
        <w:spacing w:before="5"/>
        <w:rPr>
          <w:sz w:val="17"/>
        </w:rPr>
      </w:pPr>
    </w:p>
    <w:p>
      <w:pPr>
        <w:pStyle w:val="Heading1"/>
        <w:tabs>
          <w:tab w:pos="4921" w:val="left" w:leader="none"/>
        </w:tabs>
      </w:pPr>
      <w:r>
        <w:rPr/>
        <w:t>Chart 1 – Labour productivity, hours</w:t>
      </w:r>
      <w:r>
        <w:rPr>
          <w:spacing w:val="-12"/>
        </w:rPr>
        <w:t> </w:t>
      </w:r>
      <w:r>
        <w:rPr/>
        <w:t>and</w:t>
      </w:r>
      <w:r>
        <w:rPr>
          <w:spacing w:val="-2"/>
        </w:rPr>
        <w:t> </w:t>
      </w:r>
      <w:r>
        <w:rPr/>
        <w:t>GDP</w:t>
        <w:tab/>
        <w:t>Chart 2 – Labour productivity relative to</w:t>
      </w:r>
      <w:r>
        <w:rPr>
          <w:spacing w:val="-8"/>
        </w:rPr>
        <w:t> </w:t>
      </w:r>
      <w:r>
        <w:rPr/>
        <w:t>trend</w:t>
      </w:r>
    </w:p>
    <w:p>
      <w:pPr>
        <w:spacing w:after="0"/>
        <w:sectPr>
          <w:footerReference w:type="default" r:id="rId8"/>
          <w:pgSz w:w="11910" w:h="16840"/>
          <w:pgMar w:footer="1338" w:header="0" w:top="1340" w:bottom="1520" w:left="900" w:right="1020"/>
          <w:pgNumType w:start="3"/>
        </w:sectPr>
      </w:pPr>
    </w:p>
    <w:p>
      <w:pPr>
        <w:pStyle w:val="BodyText"/>
        <w:rPr>
          <w:b/>
          <w:sz w:val="15"/>
        </w:rPr>
      </w:pPr>
    </w:p>
    <w:p>
      <w:pPr>
        <w:spacing w:before="1"/>
        <w:ind w:left="835" w:right="0" w:firstLine="0"/>
        <w:jc w:val="left"/>
        <w:rPr>
          <w:rFonts w:ascii="Calibri"/>
          <w:sz w:val="18"/>
        </w:rPr>
      </w:pPr>
      <w:r>
        <w:rPr/>
        <w:pict>
          <v:group style="position:absolute;margin-left:64.440002pt;margin-top:2.669348pt;width:21.15pt;height:6.85pt;mso-position-horizontal-relative:page;mso-position-vertical-relative:paragraph;z-index:251664384" coordorigin="1289,53" coordsize="423,137">
            <v:line style="position:absolute" from="1308,122" to="1692,122" stroked="true" strokeweight="4.92pt" strokecolor="#ffc000">
              <v:stroke dashstyle="solid"/>
            </v:line>
            <v:rect style="position:absolute;left:1308;top:72;width:384;height:99" filled="false" stroked="true" strokeweight="1.92pt" strokecolor="#ffc000">
              <v:stroke dashstyle="solid"/>
            </v:rect>
            <w10:wrap type="none"/>
          </v:group>
        </w:pict>
      </w:r>
      <w:r>
        <w:rPr>
          <w:rFonts w:ascii="Calibri"/>
          <w:sz w:val="18"/>
        </w:rPr>
        <w:t>Productivity (GDP per hour </w:t>
      </w:r>
      <w:r>
        <w:rPr>
          <w:rFonts w:ascii="Calibri"/>
          <w:spacing w:val="-3"/>
          <w:sz w:val="18"/>
        </w:rPr>
        <w:t>worked)</w:t>
      </w:r>
    </w:p>
    <w:p>
      <w:pPr>
        <w:pStyle w:val="BodyText"/>
        <w:spacing w:before="5"/>
        <w:rPr>
          <w:rFonts w:ascii="Calibri"/>
          <w:sz w:val="8"/>
        </w:rPr>
      </w:pPr>
    </w:p>
    <w:p>
      <w:pPr>
        <w:pStyle w:val="BodyText"/>
        <w:spacing w:line="40" w:lineRule="exact"/>
        <w:ind w:left="388"/>
        <w:rPr>
          <w:rFonts w:ascii="Calibri"/>
          <w:sz w:val="4"/>
        </w:rPr>
      </w:pPr>
      <w:r>
        <w:rPr>
          <w:rFonts w:ascii="Calibri"/>
          <w:position w:val="0"/>
          <w:sz w:val="4"/>
        </w:rPr>
        <w:pict>
          <v:group style="width:19.2pt;height:1.95pt;mso-position-horizontal-relative:char;mso-position-vertical-relative:line" coordorigin="0,0" coordsize="384,39">
            <v:line style="position:absolute" from="0,19" to="384,19" stroked="true" strokeweight="1.92pt" strokecolor="#00af50">
              <v:stroke dashstyle="solid"/>
            </v:line>
          </v:group>
        </w:pict>
      </w:r>
      <w:r>
        <w:rPr>
          <w:rFonts w:ascii="Calibri"/>
          <w:position w:val="0"/>
          <w:sz w:val="4"/>
        </w:rPr>
      </w:r>
    </w:p>
    <w:p>
      <w:pPr>
        <w:spacing w:before="77"/>
        <w:ind w:left="233" w:right="43" w:firstLine="50"/>
        <w:jc w:val="right"/>
        <w:rPr>
          <w:rFonts w:ascii="Calibri"/>
          <w:sz w:val="16"/>
        </w:rPr>
      </w:pPr>
      <w:r>
        <w:rPr/>
        <w:br w:type="column"/>
      </w:r>
      <w:r>
        <w:rPr>
          <w:rFonts w:ascii="Calibri"/>
          <w:spacing w:val="-1"/>
          <w:sz w:val="16"/>
        </w:rPr>
        <w:t>Percentage </w:t>
      </w:r>
      <w:r>
        <w:rPr>
          <w:rFonts w:ascii="Calibri"/>
          <w:sz w:val="16"/>
        </w:rPr>
        <w:t>change on</w:t>
      </w:r>
      <w:r>
        <w:rPr>
          <w:rFonts w:ascii="Calibri"/>
          <w:spacing w:val="-5"/>
          <w:sz w:val="16"/>
        </w:rPr>
        <w:t> </w:t>
      </w:r>
      <w:r>
        <w:rPr>
          <w:rFonts w:ascii="Calibri"/>
          <w:spacing w:val="-12"/>
          <w:sz w:val="16"/>
        </w:rPr>
        <w:t>a</w:t>
      </w:r>
    </w:p>
    <w:p>
      <w:pPr>
        <w:spacing w:line="189" w:lineRule="exact" w:before="0"/>
        <w:ind w:left="0" w:right="43" w:firstLine="0"/>
        <w:jc w:val="right"/>
        <w:rPr>
          <w:rFonts w:ascii="Calibri"/>
          <w:sz w:val="16"/>
        </w:rPr>
      </w:pPr>
      <w:r>
        <w:rPr/>
        <w:pict>
          <v:group style="position:absolute;margin-left:65.400002pt;margin-top:-1.702799pt;width:195.85pt;height:156.4pt;mso-position-horizontal-relative:page;mso-position-vertical-relative:paragraph;z-index:-255086592" coordorigin="1308,-34" coordsize="3917,3128">
            <v:line style="position:absolute" from="1456,694" to="1456,1695" stroked="true" strokeweight=".36pt" strokecolor="#ffc000">
              <v:stroke dashstyle="solid"/>
            </v:line>
            <v:line style="position:absolute" from="1456,675" to="1456,1714" stroked="true" strokeweight="2.280pt" strokecolor="#ffc000">
              <v:stroke dashstyle="solid"/>
            </v:line>
            <v:line style="position:absolute" from="1508,653" to="1508,1695" stroked="true" strokeweight=".36pt" strokecolor="#ffc000">
              <v:stroke dashstyle="solid"/>
            </v:line>
            <v:line style="position:absolute" from="1508,634" to="1508,1714" stroked="true" strokeweight="2.280pt" strokecolor="#ffc000">
              <v:stroke dashstyle="solid"/>
            </v:line>
            <v:line style="position:absolute" from="1561,1003" to="1561,1695" stroked="true" strokeweight=".36pt" strokecolor="#ffc000">
              <v:stroke dashstyle="solid"/>
            </v:line>
            <v:line style="position:absolute" from="1561,984" to="1561,1714" stroked="true" strokeweight="2.280pt" strokecolor="#ffc000">
              <v:stroke dashstyle="solid"/>
            </v:line>
            <v:line style="position:absolute" from="1614,1507" to="1614,1695" stroked="true" strokeweight=".36pt" strokecolor="#ffc000">
              <v:stroke dashstyle="solid"/>
            </v:line>
            <v:line style="position:absolute" from="1614,1488" to="1614,1714" stroked="true" strokeweight="2.280pt" strokecolor="#ffc000">
              <v:stroke dashstyle="solid"/>
            </v:line>
            <v:rect style="position:absolute;left:1663;top:1564;width:8;height:130" filled="true" fillcolor="#ffc000" stroked="false">
              <v:fill type="solid"/>
            </v:rect>
            <v:line style="position:absolute" from="1667,1546" to="1667,1714" stroked="true" strokeweight="2.280pt" strokecolor="#ffc000">
              <v:stroke dashstyle="solid"/>
            </v:line>
            <v:line style="position:absolute" from="1720,1531" to="1720,1695" stroked="true" strokeweight=".36pt" strokecolor="#ffc000">
              <v:stroke dashstyle="solid"/>
            </v:line>
            <v:line style="position:absolute" from="1720,1512" to="1720,1714" stroked="true" strokeweight="2.280pt" strokecolor="#ffc000">
              <v:stroke dashstyle="solid"/>
            </v:line>
            <v:line style="position:absolute" from="1772,1366" to="1772,1695" stroked="true" strokeweight=".36pt" strokecolor="#ffc000">
              <v:stroke dashstyle="solid"/>
            </v:line>
            <v:line style="position:absolute" from="1772,1347" to="1772,1714" stroked="true" strokeweight="2.280pt" strokecolor="#ffc000">
              <v:stroke dashstyle="solid"/>
            </v:line>
            <v:line style="position:absolute" from="1825,1059" to="1825,1695" stroked="true" strokeweight=".36pt" strokecolor="#ffc000">
              <v:stroke dashstyle="solid"/>
            </v:line>
            <v:line style="position:absolute" from="1825,1039" to="1825,1714" stroked="true" strokeweight="2.280pt" strokecolor="#ffc000">
              <v:stroke dashstyle="solid"/>
            </v:line>
            <v:line style="position:absolute" from="1878,1246" to="1878,1695" stroked="true" strokeweight=".35999pt" strokecolor="#ffc000">
              <v:stroke dashstyle="solid"/>
            </v:line>
            <v:line style="position:absolute" from="1878,1227" to="1878,1714" stroked="true" strokeweight="2.279990pt" strokecolor="#ffc000">
              <v:stroke dashstyle="solid"/>
            </v:line>
            <v:line style="position:absolute" from="1931,1128" to="1931,1695" stroked="true" strokeweight=".36pt" strokecolor="#ffc000">
              <v:stroke dashstyle="solid"/>
            </v:line>
            <v:line style="position:absolute" from="1931,1109" to="1931,1714" stroked="true" strokeweight="2.280pt" strokecolor="#ffc000">
              <v:stroke dashstyle="solid"/>
            </v:line>
            <v:line style="position:absolute" from="1984,1061" to="1984,1695" stroked="true" strokeweight=".36pt" strokecolor="#ffc000">
              <v:stroke dashstyle="solid"/>
            </v:line>
            <v:line style="position:absolute" from="1984,1042" to="1984,1714" stroked="true" strokeweight="2.280pt" strokecolor="#ffc000">
              <v:stroke dashstyle="solid"/>
            </v:line>
            <v:line style="position:absolute" from="2036,1143" to="2036,1695" stroked="true" strokeweight=".36pt" strokecolor="#ffc000">
              <v:stroke dashstyle="solid"/>
            </v:line>
            <v:line style="position:absolute" from="2036,1123" to="2036,1714" stroked="true" strokeweight="2.280pt" strokecolor="#ffc000">
              <v:stroke dashstyle="solid"/>
            </v:line>
            <v:line style="position:absolute" from="2089,1020" to="2089,1695" stroked="true" strokeweight=".36pt" strokecolor="#ffc000">
              <v:stroke dashstyle="solid"/>
            </v:line>
            <v:line style="position:absolute" from="2089,1001" to="2089,1714" stroked="true" strokeweight="2.280pt" strokecolor="#ffc000">
              <v:stroke dashstyle="solid"/>
            </v:line>
            <v:line style="position:absolute" from="2142,1047" to="2142,1695" stroked="true" strokeweight=".36pt" strokecolor="#ffc000">
              <v:stroke dashstyle="solid"/>
            </v:line>
            <v:line style="position:absolute" from="2142,1027" to="2142,1714" stroked="true" strokeweight="2.280pt" strokecolor="#ffc000">
              <v:stroke dashstyle="solid"/>
            </v:line>
            <v:line style="position:absolute" from="2194,1075" to="2194,1695" stroked="true" strokeweight=".24pt" strokecolor="#ffc000">
              <v:stroke dashstyle="solid"/>
            </v:line>
            <v:line style="position:absolute" from="2194,1056" to="2194,1714" stroked="true" strokeweight="2.16pt" strokecolor="#ffc000">
              <v:stroke dashstyle="solid"/>
            </v:line>
            <v:line style="position:absolute" from="2246,888" to="2246,1695" stroked="true" strokeweight=".24pt" strokecolor="#ffc000">
              <v:stroke dashstyle="solid"/>
            </v:line>
            <v:line style="position:absolute" from="2246,869" to="2246,1714" stroked="true" strokeweight="2.16pt" strokecolor="#ffc000">
              <v:stroke dashstyle="solid"/>
            </v:line>
            <v:line style="position:absolute" from="2298,1150" to="2298,1695" stroked="true" strokeweight=".35999pt" strokecolor="#ffc000">
              <v:stroke dashstyle="solid"/>
            </v:line>
            <v:line style="position:absolute" from="2298,1131" to="2298,1714" stroked="true" strokeweight="2.279990pt" strokecolor="#ffc000">
              <v:stroke dashstyle="solid"/>
            </v:line>
            <v:line style="position:absolute" from="2351,1171" to="2351,1695" stroked="true" strokeweight=".35999pt" strokecolor="#ffc000">
              <v:stroke dashstyle="solid"/>
            </v:line>
            <v:line style="position:absolute" from="2351,1152" to="2351,1714" stroked="true" strokeweight="2.279990pt" strokecolor="#ffc000">
              <v:stroke dashstyle="solid"/>
            </v:line>
            <v:line style="position:absolute" from="2404,1407" to="2404,1695" stroked="true" strokeweight=".36pt" strokecolor="#ffc000">
              <v:stroke dashstyle="solid"/>
            </v:line>
            <v:line style="position:absolute" from="2404,1387" to="2404,1714" stroked="true" strokeweight="2.280pt" strokecolor="#ffc000">
              <v:stroke dashstyle="solid"/>
            </v:line>
            <v:line style="position:absolute" from="2456,1695" to="2456,1851" stroked="true" strokeweight=".36pt" strokecolor="#ffc000">
              <v:stroke dashstyle="solid"/>
            </v:line>
            <v:line style="position:absolute" from="2456,1675" to="2456,1870" stroked="true" strokeweight="2.280pt" strokecolor="#ffc000">
              <v:stroke dashstyle="solid"/>
            </v:line>
            <v:rect style="position:absolute;left:2505;top:1641;width:8;height:53" filled="false" stroked="true" strokeweight="1.92pt" strokecolor="#ffc000">
              <v:stroke dashstyle="solid"/>
            </v:rect>
            <v:line style="position:absolute" from="2562,1469" to="2562,1695" stroked="true" strokeweight=".36pt" strokecolor="#ffc000">
              <v:stroke dashstyle="solid"/>
            </v:line>
            <v:line style="position:absolute" from="2562,1450" to="2562,1714" stroked="true" strokeweight="2.280pt" strokecolor="#ffc000">
              <v:stroke dashstyle="solid"/>
            </v:line>
            <v:line style="position:absolute" from="2615,1193" to="2615,1695" stroked="true" strokeweight=".36pt" strokecolor="#ffc000">
              <v:stroke dashstyle="solid"/>
            </v:line>
            <v:line style="position:absolute" from="2615,1174" to="2615,1714" stroked="true" strokeweight="2.280pt" strokecolor="#ffc000">
              <v:stroke dashstyle="solid"/>
            </v:line>
            <v:line style="position:absolute" from="2668,648" to="2668,1695" stroked="true" strokeweight=".36pt" strokecolor="#ffc000">
              <v:stroke dashstyle="solid"/>
            </v:line>
            <v:line style="position:absolute" from="2668,629" to="2668,1714" stroked="true" strokeweight="2.280pt" strokecolor="#ffc000">
              <v:stroke dashstyle="solid"/>
            </v:line>
            <v:line style="position:absolute" from="2720,850" to="2720,1695" stroked="true" strokeweight=".36pt" strokecolor="#ffc000">
              <v:stroke dashstyle="solid"/>
            </v:line>
            <v:line style="position:absolute" from="2720,831" to="2720,1714" stroked="true" strokeweight="2.280pt" strokecolor="#ffc000">
              <v:stroke dashstyle="solid"/>
            </v:line>
            <v:line style="position:absolute" from="2773,1145" to="2773,1695" stroked="true" strokeweight=".36pt" strokecolor="#ffc000">
              <v:stroke dashstyle="solid"/>
            </v:line>
            <v:line style="position:absolute" from="2773,1126" to="2773,1714" stroked="true" strokeweight="2.280pt" strokecolor="#ffc000">
              <v:stroke dashstyle="solid"/>
            </v:line>
            <v:line style="position:absolute" from="2826,1371" to="2826,1695" stroked="true" strokeweight=".36pt" strokecolor="#ffc000">
              <v:stroke dashstyle="solid"/>
            </v:line>
            <v:line style="position:absolute" from="2826,1351" to="2826,1714" stroked="true" strokeweight="2.280pt" strokecolor="#ffc000">
              <v:stroke dashstyle="solid"/>
            </v:line>
            <v:rect style="position:absolute;left:2875;top:1692;width:8;height:3" filled="true" fillcolor="#ffc000" stroked="false">
              <v:fill type="solid"/>
            </v:rect>
            <v:rect style="position:absolute;left:2875;top:1692;width:8;height:3" filled="false" stroked="true" strokeweight="1.92pt" strokecolor="#ffc000">
              <v:stroke dashstyle="solid"/>
            </v:rect>
            <v:line style="position:absolute" from="2932,1462" to="2932,1695" stroked="true" strokeweight=".36pt" strokecolor="#ffc000">
              <v:stroke dashstyle="solid"/>
            </v:line>
            <v:rect style="position:absolute;left:2908;top:1442;width:46;height:272" filled="true" fillcolor="#ffc000" stroked="false">
              <v:fill type="solid"/>
            </v:rect>
            <v:line style="position:absolute" from="2984,1452" to="2984,1695" stroked="true" strokeweight=".36pt" strokecolor="#ffc000">
              <v:stroke dashstyle="solid"/>
            </v:line>
            <v:rect style="position:absolute;left:2961;top:1432;width:46;height:281" filled="true" fillcolor="#ffc000" stroked="false">
              <v:fill type="solid"/>
            </v:rect>
            <v:line style="position:absolute" from="3037,1378" to="3037,1695" stroked="true" strokeweight=".36pt" strokecolor="#ffc000">
              <v:stroke dashstyle="solid"/>
            </v:line>
            <v:line style="position:absolute" from="3037,1359" to="3037,1714" stroked="true" strokeweight="2.280pt" strokecolor="#ffc000">
              <v:stroke dashstyle="solid"/>
            </v:line>
            <v:line style="position:absolute" from="3090,1215" to="3090,1695" stroked="true" strokeweight=".36pt" strokecolor="#ffc000">
              <v:stroke dashstyle="solid"/>
            </v:line>
            <v:line style="position:absolute" from="3090,1195" to="3090,1714" stroked="true" strokeweight="2.280pt" strokecolor="#ffc000">
              <v:stroke dashstyle="solid"/>
            </v:line>
            <v:line style="position:absolute" from="3143,1486" to="3143,1695" stroked="true" strokeweight=".36pt" strokecolor="#ffc000">
              <v:stroke dashstyle="solid"/>
            </v:line>
            <v:line style="position:absolute" from="3143,1467" to="3143,1714" stroked="true" strokeweight="2.280pt" strokecolor="#ffc000">
              <v:stroke dashstyle="solid"/>
            </v:line>
            <v:rect style="position:absolute;left:3192;top:1596;width:8;height:99" filled="true" fillcolor="#ffc000" stroked="false">
              <v:fill type="solid"/>
            </v:rect>
            <v:line style="position:absolute" from="3196,1577" to="3196,1714" stroked="true" strokeweight="2.280pt" strokecolor="#ffc000">
              <v:stroke dashstyle="solid"/>
            </v:line>
            <v:line style="position:absolute" from="3248,1695" to="3248,1906" stroked="true" strokeweight=".36pt" strokecolor="#ffc000">
              <v:stroke dashstyle="solid"/>
            </v:line>
            <v:line style="position:absolute" from="3248,1675" to="3248,1925" stroked="true" strokeweight="2.280pt" strokecolor="#ffc000">
              <v:stroke dashstyle="solid"/>
            </v:line>
            <v:line style="position:absolute" from="3301,1695" to="3301,2458" stroked="true" strokeweight=".36pt" strokecolor="#ffc000">
              <v:stroke dashstyle="solid"/>
            </v:line>
            <v:line style="position:absolute" from="3301,1675" to="3301,2477" stroked="true" strokeweight="2.280pt" strokecolor="#ffc000">
              <v:stroke dashstyle="solid"/>
            </v:line>
            <v:line style="position:absolute" from="3353,1695" to="3353,2434" stroked="true" strokeweight=".24001pt" strokecolor="#ffc000">
              <v:stroke dashstyle="solid"/>
            </v:line>
            <v:line style="position:absolute" from="3353,1675" to="3353,2453" stroked="true" strokeweight="2.160010pt" strokecolor="#ffc000">
              <v:stroke dashstyle="solid"/>
            </v:line>
            <v:line style="position:absolute" from="3404,1695" to="3404,2275" stroked="true" strokeweight=".36pt" strokecolor="#ffc000">
              <v:stroke dashstyle="solid"/>
            </v:line>
            <v:line style="position:absolute" from="3404,1675" to="3404,2295" stroked="true" strokeweight="2.280pt" strokecolor="#ffc000">
              <v:stroke dashstyle="solid"/>
            </v:line>
            <v:line style="position:absolute" from="3457,1695" to="3457,1918" stroked="true" strokeweight=".36pt" strokecolor="#ffc000">
              <v:stroke dashstyle="solid"/>
            </v:line>
            <v:line style="position:absolute" from="3457,1675" to="3457,1937" stroked="true" strokeweight="2.280pt" strokecolor="#ffc000">
              <v:stroke dashstyle="solid"/>
            </v:line>
            <v:line style="position:absolute" from="3510,1512" to="3510,1695" stroked="true" strokeweight=".36pt" strokecolor="#ffc000">
              <v:stroke dashstyle="solid"/>
            </v:line>
            <v:line style="position:absolute" from="3510,1493" to="3510,1714" stroked="true" strokeweight="2.280pt" strokecolor="#ffc000">
              <v:stroke dashstyle="solid"/>
            </v:line>
            <v:line style="position:absolute" from="3563,1325" to="3563,1695" stroked="true" strokeweight=".36pt" strokecolor="#ffc000">
              <v:stroke dashstyle="solid"/>
            </v:line>
            <v:rect style="position:absolute;left:3540;top:1305;width:46;height:408" filled="true" fillcolor="#ffc000" stroked="false">
              <v:fill type="solid"/>
            </v:rect>
            <v:line style="position:absolute" from="3616,1337" to="3616,1695" stroked="true" strokeweight=".36pt" strokecolor="#ffc000">
              <v:stroke dashstyle="solid"/>
            </v:line>
            <v:rect style="position:absolute;left:3592;top:1317;width:46;height:396" filled="true" fillcolor="#ffc000" stroked="false">
              <v:fill type="solid"/>
            </v:rect>
            <v:line style="position:absolute" from="3668,1375" to="3668,1695" stroked="true" strokeweight=".36pt" strokecolor="#ffc000">
              <v:stroke dashstyle="solid"/>
            </v:line>
            <v:line style="position:absolute" from="3668,1356" to="3668,1714" stroked="true" strokeweight="2.280pt" strokecolor="#ffc000">
              <v:stroke dashstyle="solid"/>
            </v:line>
            <v:line style="position:absolute" from="3721,1423" to="3721,1695" stroked="true" strokeweight=".36pt" strokecolor="#ffc000">
              <v:stroke dashstyle="solid"/>
            </v:line>
            <v:line style="position:absolute" from="3721,1404" to="3721,1714" stroked="true" strokeweight="2.280pt" strokecolor="#ffc000">
              <v:stroke dashstyle="solid"/>
            </v:line>
            <v:line style="position:absolute" from="3774,1483" to="3774,1695" stroked="true" strokeweight=".36pt" strokecolor="#ffc000">
              <v:stroke dashstyle="solid"/>
            </v:line>
            <v:line style="position:absolute" from="3774,1464" to="3774,1714" stroked="true" strokeweight="2.280pt" strokecolor="#ffc000">
              <v:stroke dashstyle="solid"/>
            </v:line>
            <v:line style="position:absolute" from="3827,1407" to="3827,1695" stroked="true" strokeweight=".36pt" strokecolor="#ffc000">
              <v:stroke dashstyle="solid"/>
            </v:line>
            <v:line style="position:absolute" from="3827,1387" to="3827,1714" stroked="true" strokeweight="2.280pt" strokecolor="#ffc000">
              <v:stroke dashstyle="solid"/>
            </v:line>
            <v:rect style="position:absolute;left:3876;top:1567;width:8;height:128" filled="true" fillcolor="#ffc000" stroked="false">
              <v:fill type="solid"/>
            </v:rect>
            <v:line style="position:absolute" from="3880,1548" to="3880,1714" stroked="true" strokeweight="2.279990pt" strokecolor="#ffc000">
              <v:stroke dashstyle="solid"/>
            </v:line>
            <v:shape style="position:absolute;left:3928;top:1620;width:60;height:75" coordorigin="3929,1620" coordsize="60,75" path="m3929,1695l3936,1695,3936,1620,3929,1620,3929,1695xm3982,1695l3989,1695,3989,1635,3982,1635,3982,1695xe" filled="false" stroked="true" strokeweight="1.92pt" strokecolor="#ffc000">
              <v:path arrowok="t"/>
              <v:stroke dashstyle="solid"/>
            </v:shape>
            <v:line style="position:absolute" from="4038,1695" to="4038,1983" stroked="true" strokeweight=".36pt" strokecolor="#ffc000">
              <v:stroke dashstyle="solid"/>
            </v:line>
            <v:line style="position:absolute" from="4038,1675" to="4038,2002" stroked="true" strokeweight="2.280pt" strokecolor="#ffc000">
              <v:stroke dashstyle="solid"/>
            </v:line>
            <v:rect style="position:absolute;left:4087;top:1694;width:8;height:89" filled="false" stroked="true" strokeweight="1.92pt" strokecolor="#ffc000">
              <v:stroke dashstyle="solid"/>
            </v:rect>
            <v:line style="position:absolute" from="4144,1695" to="4144,1841" stroked="true" strokeweight=".36pt" strokecolor="#ffc000">
              <v:stroke dashstyle="solid"/>
            </v:line>
            <v:line style="position:absolute" from="4144,1675" to="4144,1860" stroked="true" strokeweight="2.280pt" strokecolor="#ffc000">
              <v:stroke dashstyle="solid"/>
            </v:line>
            <v:line style="position:absolute" from="4196,1695" to="4196,1875" stroked="true" strokeweight=".36pt" strokecolor="#ffc000">
              <v:stroke dashstyle="solid"/>
            </v:line>
            <v:line style="position:absolute" from="4196,1675" to="4196,1894" stroked="true" strokeweight="2.280pt" strokecolor="#ffc000">
              <v:stroke dashstyle="solid"/>
            </v:line>
            <v:rect style="position:absolute;left:4245;top:1694;width:8;height:27" filled="true" fillcolor="#ffc000" stroked="false">
              <v:fill type="solid"/>
            </v:rect>
            <v:rect style="position:absolute;left:4245;top:1694;width:8;height:27" filled="false" stroked="true" strokeweight="1.92pt" strokecolor="#ffc000">
              <v:stroke dashstyle="solid"/>
            </v:rect>
            <v:line style="position:absolute" from="4302,1695" to="4302,1906" stroked="true" strokeweight=".36pt" strokecolor="#ffc000">
              <v:stroke dashstyle="solid"/>
            </v:line>
            <v:line style="position:absolute" from="4302,1675" to="4302,1925" stroked="true" strokeweight="2.280pt" strokecolor="#ffc000">
              <v:stroke dashstyle="solid"/>
            </v:line>
            <v:rect style="position:absolute;left:4351;top:1694;width:8;height:12" filled="true" fillcolor="#ffc000" stroked="false">
              <v:fill type="solid"/>
            </v:rect>
            <v:rect style="position:absolute;left:4351;top:1694;width:8;height:12" filled="false" stroked="true" strokeweight="1.92pt" strokecolor="#ffc000">
              <v:stroke dashstyle="solid"/>
            </v:rect>
            <v:rect style="position:absolute;left:4404;top:1684;width:8;height:10" filled="true" fillcolor="#ffc000" stroked="false">
              <v:fill type="solid"/>
            </v:rect>
            <v:shape style="position:absolute;left:4404;top:1598;width:58;height:96" coordorigin="4404,1599" coordsize="58,96" path="m4404,1695l4411,1695,4411,1685,4404,1685,4404,1695xm4457,1695l4462,1695,4462,1599,4457,1599,4457,1695xe" filled="false" stroked="true" strokeweight="1.92pt" strokecolor="#ffc000">
              <v:path arrowok="t"/>
              <v:stroke dashstyle="solid"/>
            </v:shape>
            <v:line style="position:absolute" from="4512,1433" to="4512,1695" stroked="true" strokeweight=".24001pt" strokecolor="#ffc000">
              <v:stroke dashstyle="solid"/>
            </v:line>
            <v:line style="position:absolute" from="4512,1414" to="4512,1714" stroked="true" strokeweight="2.160010pt" strokecolor="#ffc000">
              <v:stroke dashstyle="solid"/>
            </v:line>
            <v:line style="position:absolute" from="4564,1351" to="4564,1695" stroked="true" strokeweight=".36pt" strokecolor="#ffc000">
              <v:stroke dashstyle="solid"/>
            </v:line>
            <v:line style="position:absolute" from="4564,1332" to="4564,1714" stroked="true" strokeweight="2.280pt" strokecolor="#ffc000">
              <v:stroke dashstyle="solid"/>
            </v:line>
            <v:line style="position:absolute" from="4616,1404" to="4616,1695" stroked="true" strokeweight=".36pt" strokecolor="#ffc000">
              <v:stroke dashstyle="solid"/>
            </v:line>
            <v:line style="position:absolute" from="4616,1385" to="4616,1714" stroked="true" strokeweight="2.280pt" strokecolor="#ffc000">
              <v:stroke dashstyle="solid"/>
            </v:line>
            <v:line style="position:absolute" from="4669,1272" to="4669,1695" stroked="true" strokeweight=".36pt" strokecolor="#ffc000">
              <v:stroke dashstyle="solid"/>
            </v:line>
            <v:line style="position:absolute" from="4669,1253" to="4669,1714" stroked="true" strokeweight="2.280pt" strokecolor="#ffc000">
              <v:stroke dashstyle="solid"/>
            </v:line>
            <v:line style="position:absolute" from="4722,1450" to="4722,1695" stroked="true" strokeweight=".36pt" strokecolor="#ffc000">
              <v:stroke dashstyle="solid"/>
            </v:line>
            <v:line style="position:absolute" from="4722,1431" to="4722,1714" stroked="true" strokeweight="2.280pt" strokecolor="#ffc000">
              <v:stroke dashstyle="solid"/>
            </v:line>
            <v:rect style="position:absolute;left:4771;top:1694;width:8;height:29" filled="true" fillcolor="#ffc000" stroked="false">
              <v:fill type="solid"/>
            </v:rect>
            <v:rect style="position:absolute;left:4771;top:1694;width:8;height:29" filled="false" stroked="true" strokeweight="1.92pt" strokecolor="#ffc000">
              <v:stroke dashstyle="solid"/>
            </v:rect>
            <v:rect style="position:absolute;left:4824;top:1663;width:8;height:32" filled="true" fillcolor="#ffc000" stroked="false">
              <v:fill type="solid"/>
            </v:rect>
            <v:rect style="position:absolute;left:4824;top:1663;width:8;height:32" filled="false" stroked="true" strokeweight="1.92pt" strokecolor="#ffc000">
              <v:stroke dashstyle="solid"/>
            </v:rect>
            <v:rect style="position:absolute;left:4876;top:1694;width:8;height:104" filled="true" fillcolor="#ffc000" stroked="false">
              <v:fill type="solid"/>
            </v:rect>
            <v:line style="position:absolute" from="4880,1675" to="4880,1817" stroked="true" strokeweight="2.280pt" strokecolor="#ffc000">
              <v:stroke dashstyle="solid"/>
            </v:line>
            <v:rect style="position:absolute;left:4929;top:1639;width:8;height:56" filled="false" stroked="true" strokeweight="1.92pt" strokecolor="#ffc000">
              <v:stroke dashstyle="solid"/>
            </v:rect>
            <v:line style="position:absolute" from="4986,1515" to="4986,1695" stroked="true" strokeweight=".36pt" strokecolor="#ffc000">
              <v:stroke dashstyle="solid"/>
            </v:line>
            <v:line style="position:absolute" from="4986,1495" to="4986,1714" stroked="true" strokeweight="2.280pt" strokecolor="#ffc000">
              <v:stroke dashstyle="solid"/>
            </v:line>
            <v:rect style="position:absolute;left:5035;top:1680;width:8;height:15" filled="true" fillcolor="#ffc000" stroked="false">
              <v:fill type="solid"/>
            </v:rect>
            <v:rect style="position:absolute;left:5035;top:1680;width:8;height:15" filled="false" stroked="true" strokeweight="1.92pt" strokecolor="#ffc000">
              <v:stroke dashstyle="solid"/>
            </v:rect>
            <v:rect style="position:absolute;left:5088;top:1694;width:8;height:5" filled="true" fillcolor="#ffc000" stroked="false">
              <v:fill type="solid"/>
            </v:rect>
            <v:rect style="position:absolute;left:5088;top:1694;width:8;height:5" filled="false" stroked="true" strokeweight="1.92pt" strokecolor="#ffc000">
              <v:stroke dashstyle="solid"/>
            </v:rect>
            <v:shape style="position:absolute;left:1447;top:302;width:3711;height:2784" coordorigin="1447,303" coordsize="3711,2784" path="m5100,3087l5100,303m5100,3087l5158,3087m5100,2623l5158,2623m5100,2158l5158,2158m5100,1695l5158,1695m5100,1231l5158,1231m5100,766l5158,766m5100,303l5158,303m1447,1695l5100,1695m1447,1637l1447,1695m2290,1637l2290,1695m3134,1637l3134,1695m3977,1637l3977,1695m4819,1637l4819,1695e" filled="false" stroked="true" strokeweight=".72pt" strokecolor="#858585">
              <v:path arrowok="t"/>
              <v:stroke dashstyle="solid"/>
            </v:shape>
            <v:shape style="position:absolute;left:1456;top:988;width:3634;height:1443" coordorigin="1457,989" coordsize="3634,1443" path="m1457,1615l1510,1570,1562,1611,1615,1464,1666,1373,1718,1399,1771,1481,1824,1707,1877,1721,1930,1815,1982,1807,2035,1623,2088,1642,2141,1551,2194,1510,2246,1702,2299,1505,2352,1627,2405,1584,2458,1248,2510,1354,2563,1339,2616,1306,2669,1505,2722,1510,2774,1507,2825,1565,2878,1551,2930,1570,2983,1455,3036,1421,3089,1493,3142,1354,3194,1500,3247,1659,3300,1805,3353,2314,3406,2417,3458,2431,3511,2280,3564,1939,3617,1630,3670,1447,3722,1361,3775,1335,3828,1649,3881,1613,3931,1635,3984,1548,4037,1236,4090,1179,4142,1179,4195,1243,4248,1282,4301,1229,4354,1236,4406,1080,4459,989,4512,1097,4565,1075,4618,1217,4670,1459,4723,1462,4776,1263,4829,1368,4882,1246,4934,1366,4987,1522,5040,1318,5090,1347e" filled="false" stroked="true" strokeweight="1.92pt" strokecolor="#00af50">
              <v:path arrowok="t"/>
              <v:stroke dashstyle="solid"/>
            </v:shape>
            <v:shape style="position:absolute;left:1456;top:451;width:3634;height:2583" coordorigin="1457,451" coordsize="3634,2583" path="m1457,610l1510,523,1562,915,1615,1275,1666,1241,1718,1236,1771,1150,1824,1071,1877,1275,1930,1251,1982,1176,2035,1068,2088,965,2141,898,2194,888,2246,895,2299,958,2352,1102,2405,1294,2458,1407,2510,1301,2563,1109,2616,797,2669,451,2722,658,2774,953,2825,1239,2878,1548,2930,1335,2983,1210,3036,1099,3089,1008,3142,1140,3194,1402,3247,1870,3300,2566,3353,3034,3406,2981,3458,2647,3511,2103,3564,1572,3617,1270,3670,1126,3722,1087,3775,1119,3828,1361,3881,1486,3931,1558,3984,1488,4037,1529,4090,1267,4142,1330,4195,1426,4248,1308,4301,1445,4354,1248,4406,1071,4459,888,4512,828,4565,720,4618,919,4670,1032,4723,1217,4776,1294,4829,1337,4882,1351,4934,1308,4987,1339,5040,1303,5090,1349e" filled="false" stroked="true" strokeweight="1.92pt" strokecolor="#0f243e">
              <v:path arrowok="t"/>
              <v:stroke dashstyle="solid"/>
            </v:shape>
            <v:shape style="position:absolute;left:1308;top:-35;width:2193;height:404" type="#_x0000_t202" filled="false" stroked="false">
              <v:textbox inset="0,0,0,0">
                <w:txbxContent>
                  <w:p>
                    <w:pPr>
                      <w:tabs>
                        <w:tab w:pos="420" w:val="left" w:leader="none"/>
                      </w:tabs>
                      <w:spacing w:line="183" w:lineRule="exact" w:before="0"/>
                      <w:ind w:left="0" w:right="0" w:firstLine="0"/>
                      <w:jc w:val="left"/>
                      <w:rPr>
                        <w:rFonts w:ascii="Calibri"/>
                        <w:sz w:val="18"/>
                      </w:rPr>
                    </w:pPr>
                    <w:r>
                      <w:rPr>
                        <w:rFonts w:ascii="Calibri"/>
                        <w:sz w:val="18"/>
                        <w:u w:val="thick" w:color="0F243E"/>
                      </w:rPr>
                      <w:t> </w:t>
                      <w:tab/>
                    </w:r>
                    <w:r>
                      <w:rPr>
                        <w:rFonts w:ascii="Calibri"/>
                        <w:sz w:val="18"/>
                      </w:rPr>
                      <w:t>Total hours</w:t>
                    </w:r>
                    <w:r>
                      <w:rPr>
                        <w:rFonts w:ascii="Calibri"/>
                        <w:spacing w:val="-4"/>
                        <w:sz w:val="18"/>
                      </w:rPr>
                      <w:t> </w:t>
                    </w:r>
                    <w:r>
                      <w:rPr>
                        <w:rFonts w:ascii="Calibri"/>
                        <w:sz w:val="18"/>
                      </w:rPr>
                      <w:t>worked</w:t>
                    </w:r>
                  </w:p>
                  <w:p>
                    <w:pPr>
                      <w:spacing w:line="216" w:lineRule="exact" w:before="4"/>
                      <w:ind w:left="427" w:right="0" w:firstLine="0"/>
                      <w:jc w:val="left"/>
                      <w:rPr>
                        <w:rFonts w:ascii="Calibri"/>
                        <w:sz w:val="18"/>
                      </w:rPr>
                    </w:pPr>
                    <w:r>
                      <w:rPr>
                        <w:rFonts w:ascii="Calibri"/>
                        <w:sz w:val="18"/>
                      </w:rPr>
                      <w:t>Real GDP at basic prices</w:t>
                    </w:r>
                  </w:p>
                </w:txbxContent>
              </v:textbox>
              <w10:wrap type="none"/>
            </v:shape>
            <v:shape style="position:absolute;left:4670;top:31;width:554;height:161" type="#_x0000_t202" filled="false" stroked="false">
              <v:textbox inset="0,0,0,0">
                <w:txbxContent>
                  <w:p>
                    <w:pPr>
                      <w:spacing w:line="161" w:lineRule="exact" w:before="0"/>
                      <w:ind w:left="0" w:right="0" w:firstLine="0"/>
                      <w:jc w:val="left"/>
                      <w:rPr>
                        <w:rFonts w:ascii="Calibri"/>
                        <w:sz w:val="16"/>
                      </w:rPr>
                    </w:pPr>
                    <w:r>
                      <w:rPr>
                        <w:rFonts w:ascii="Calibri"/>
                        <w:sz w:val="16"/>
                      </w:rPr>
                      <w:t>year ear</w:t>
                    </w:r>
                  </w:p>
                </w:txbxContent>
              </v:textbox>
              <w10:wrap type="none"/>
            </v:shape>
            <w10:wrap type="none"/>
          </v:group>
        </w:pict>
      </w:r>
      <w:r>
        <w:rPr>
          <w:rFonts w:ascii="Calibri"/>
          <w:spacing w:val="-1"/>
          <w:sz w:val="16"/>
        </w:rPr>
        <w:t>lier</w:t>
      </w:r>
    </w:p>
    <w:p>
      <w:pPr>
        <w:spacing w:line="213" w:lineRule="exact" w:before="0"/>
        <w:ind w:left="0" w:right="93" w:firstLine="0"/>
        <w:jc w:val="right"/>
        <w:rPr>
          <w:rFonts w:ascii="Calibri"/>
          <w:sz w:val="18"/>
        </w:rPr>
      </w:pPr>
      <w:r>
        <w:rPr>
          <w:rFonts w:ascii="Calibri"/>
          <w:sz w:val="18"/>
        </w:rPr>
        <w:t>6</w:t>
      </w:r>
    </w:p>
    <w:p>
      <w:pPr>
        <w:pStyle w:val="BodyText"/>
        <w:rPr>
          <w:rFonts w:ascii="Calibri"/>
        </w:rPr>
      </w:pPr>
    </w:p>
    <w:p>
      <w:pPr>
        <w:spacing w:before="0"/>
        <w:ind w:left="0" w:right="93" w:firstLine="0"/>
        <w:jc w:val="right"/>
        <w:rPr>
          <w:rFonts w:ascii="Calibri"/>
          <w:sz w:val="18"/>
        </w:rPr>
      </w:pPr>
      <w:r>
        <w:rPr>
          <w:rFonts w:ascii="Calibri"/>
          <w:sz w:val="18"/>
        </w:rPr>
        <w:t>4</w:t>
      </w:r>
    </w:p>
    <w:p>
      <w:pPr>
        <w:pStyle w:val="BodyText"/>
        <w:rPr>
          <w:rFonts w:ascii="Calibri"/>
        </w:rPr>
      </w:pPr>
    </w:p>
    <w:p>
      <w:pPr>
        <w:spacing w:before="1"/>
        <w:ind w:left="0" w:right="93" w:firstLine="0"/>
        <w:jc w:val="right"/>
        <w:rPr>
          <w:rFonts w:ascii="Calibri"/>
          <w:sz w:val="18"/>
        </w:rPr>
      </w:pPr>
      <w:r>
        <w:rPr>
          <w:rFonts w:ascii="Calibri"/>
          <w:sz w:val="18"/>
        </w:rPr>
        <w:t>2</w:t>
      </w:r>
    </w:p>
    <w:p>
      <w:pPr>
        <w:pStyle w:val="BodyText"/>
        <w:rPr>
          <w:rFonts w:ascii="Calibri"/>
        </w:rPr>
      </w:pPr>
    </w:p>
    <w:p>
      <w:pPr>
        <w:spacing w:before="0"/>
        <w:ind w:left="0" w:right="93" w:firstLine="0"/>
        <w:jc w:val="right"/>
        <w:rPr>
          <w:rFonts w:ascii="Calibri"/>
          <w:sz w:val="18"/>
        </w:rPr>
      </w:pPr>
      <w:r>
        <w:rPr>
          <w:rFonts w:ascii="Calibri"/>
          <w:sz w:val="18"/>
        </w:rPr>
        <w:t>0</w:t>
      </w:r>
    </w:p>
    <w:p>
      <w:pPr>
        <w:pStyle w:val="BodyText"/>
        <w:rPr>
          <w:rFonts w:ascii="Calibri"/>
        </w:rPr>
      </w:pPr>
    </w:p>
    <w:p>
      <w:pPr>
        <w:spacing w:before="0"/>
        <w:ind w:left="0" w:right="38" w:firstLine="0"/>
        <w:jc w:val="right"/>
        <w:rPr>
          <w:rFonts w:ascii="Calibri"/>
          <w:sz w:val="18"/>
        </w:rPr>
      </w:pPr>
      <w:r>
        <w:rPr>
          <w:rFonts w:ascii="Calibri"/>
          <w:sz w:val="18"/>
        </w:rPr>
        <w:t>-2</w:t>
      </w:r>
    </w:p>
    <w:p>
      <w:pPr>
        <w:pStyle w:val="BodyText"/>
        <w:rPr>
          <w:rFonts w:ascii="Calibri"/>
        </w:rPr>
      </w:pPr>
    </w:p>
    <w:p>
      <w:pPr>
        <w:spacing w:before="1"/>
        <w:ind w:left="0" w:right="38" w:firstLine="0"/>
        <w:jc w:val="right"/>
        <w:rPr>
          <w:rFonts w:ascii="Calibri"/>
          <w:sz w:val="18"/>
        </w:rPr>
      </w:pPr>
      <w:r>
        <w:rPr>
          <w:rFonts w:ascii="Calibri"/>
          <w:sz w:val="18"/>
        </w:rPr>
        <w:t>-4</w:t>
      </w:r>
    </w:p>
    <w:p>
      <w:pPr>
        <w:spacing w:before="77"/>
        <w:ind w:left="0" w:right="796" w:firstLine="0"/>
        <w:jc w:val="right"/>
        <w:rPr>
          <w:rFonts w:ascii="Calibri"/>
          <w:sz w:val="18"/>
        </w:rPr>
      </w:pPr>
      <w:r>
        <w:rPr/>
        <w:br w:type="column"/>
      </w:r>
      <w:r>
        <w:rPr>
          <w:rFonts w:ascii="Calibri"/>
          <w:sz w:val="18"/>
        </w:rPr>
        <w:t>Log scale, 1977=100</w:t>
      </w:r>
    </w:p>
    <w:p>
      <w:pPr>
        <w:pStyle w:val="BodyText"/>
        <w:spacing w:before="8"/>
        <w:rPr>
          <w:rFonts w:ascii="Calibri"/>
          <w:sz w:val="17"/>
        </w:rPr>
      </w:pPr>
    </w:p>
    <w:p>
      <w:pPr>
        <w:spacing w:before="0"/>
        <w:ind w:left="0" w:right="711" w:firstLine="0"/>
        <w:jc w:val="right"/>
        <w:rPr>
          <w:rFonts w:ascii="Calibri"/>
          <w:sz w:val="18"/>
        </w:rPr>
      </w:pPr>
      <w:r>
        <w:rPr/>
        <w:pict>
          <v:group style="position:absolute;margin-left:300.720001pt;margin-top:-8.110653pt;width:191.05pt;height:165.4pt;mso-position-horizontal-relative:page;mso-position-vertical-relative:paragraph;z-index:251666432" coordorigin="6014,-162" coordsize="3821,3308">
            <v:line style="position:absolute" from="9818,3087" to="9818,-162" stroked="true" strokeweight=".72pt" strokecolor="#858585">
              <v:stroke dashstyle="solid"/>
            </v:line>
            <v:line style="position:absolute" from="9822,3080" to="9822,3095" stroked="true" strokeweight=".36pt" strokecolor="#858585">
              <v:stroke dashstyle="solid"/>
            </v:line>
            <v:shape style="position:absolute;left:6031;top:3087;width:3788;height:58" coordorigin="6031,3087" coordsize="3788,58" path="m6031,3087l9818,3087m6031,3087l6031,3145m6516,3087l6516,3145m7001,3087l7001,3145m7486,3087l7486,3145m7970,3087l7970,3145m8455,3087l8455,3145m8940,3087l8940,3145m9425,3087l9425,3145e" filled="false" stroked="true" strokeweight=".72pt" strokecolor="#858585">
              <v:path arrowok="t"/>
              <v:stroke dashstyle="solid"/>
            </v:shape>
            <v:shape style="position:absolute;left:6033;top:732;width:3783;height:2355" coordorigin="6034,733" coordsize="3783,2355" path="m6034,3087l6132,2984,6228,2903,6326,2898,6422,2756,6518,2605,6617,2430,6713,2447,6809,2346,6907,2262,7003,2166,7102,2103,7198,2108,7294,2067,7392,1950,7488,1837,7586,1707,7682,1638,7778,1611,7877,1561,7973,1491,8071,1407,8167,1316,8263,1213,8362,1167,8458,1088,8556,987,8652,944,8748,877,8846,817,8942,769,9041,795,9137,846,9233,798,9331,771,9427,788,9526,805,9622,779,9718,745,9816,733e" filled="false" stroked="true" strokeweight="1.92pt" strokecolor="#000000">
              <v:path arrowok="t"/>
              <v:stroke dashstyle="solid"/>
            </v:shape>
            <v:shape style="position:absolute;left:6033;top:75;width:3783;height:3012" coordorigin="6034,75" coordsize="3783,3012" path="m6034,3087l6132,3011,6228,2934,6326,2857,6422,2780,6518,2701,6617,2624,6713,2547,6809,2471,6907,2394,7003,2315,7102,2238,7198,2161,7294,2084,7392,2007,7488,1928,7586,1851,7682,1775,7778,1698,7877,1621,7973,1542,8071,1465,8167,1388,8263,1311,8362,1235,8458,1155,8556,1079,8652,1002,8748,925,8846,848,8942,769,9041,692,9137,615,9233,539,9331,462,9427,383,9526,306,9622,229,9718,152,9816,75e" filled="false" stroked="true" strokeweight="1.92pt" strokecolor="#548ed4">
              <v:path arrowok="t"/>
              <v:stroke dashstyle="dash"/>
            </v:shape>
            <v:shape style="position:absolute;left:9136;top:732;width:680;height:113" coordorigin="9137,733" coordsize="680,113" path="m9137,846l9233,829,9331,815,9427,798,9526,781,9622,767,9718,750,9816,733e" filled="false" stroked="true" strokeweight="1.92pt" strokecolor="#ff0000">
              <v:path arrowok="t"/>
              <v:stroke dashstyle="dash"/>
            </v:shape>
            <v:line style="position:absolute" from="6036,455" to="6540,455" stroked="true" strokeweight="1.92pt" strokecolor="#548ed4">
              <v:stroke dashstyle="dash"/>
            </v:line>
            <v:shape style="position:absolute;left:6014;top:-163;width:3821;height:3308" type="#_x0000_t202" filled="false" stroked="false">
              <v:textbox inset="0,0,0,0">
                <w:txbxContent>
                  <w:p>
                    <w:pPr>
                      <w:tabs>
                        <w:tab w:pos="557" w:val="left" w:leader="none"/>
                      </w:tabs>
                      <w:spacing w:before="150"/>
                      <w:ind w:left="21" w:right="0" w:firstLine="0"/>
                      <w:jc w:val="left"/>
                      <w:rPr>
                        <w:rFonts w:ascii="Calibri"/>
                        <w:sz w:val="18"/>
                      </w:rPr>
                    </w:pPr>
                    <w:r>
                      <w:rPr>
                        <w:rFonts w:ascii="Calibri"/>
                        <w:w w:val="100"/>
                        <w:position w:val="5"/>
                        <w:sz w:val="16"/>
                        <w:u w:val="thick"/>
                      </w:rPr>
                      <w:t> </w:t>
                    </w:r>
                    <w:r>
                      <w:rPr>
                        <w:rFonts w:ascii="Calibri"/>
                        <w:position w:val="5"/>
                        <w:sz w:val="16"/>
                        <w:u w:val="thick"/>
                      </w:rPr>
                      <w:tab/>
                    </w:r>
                    <w:r>
                      <w:rPr>
                        <w:rFonts w:ascii="Calibri"/>
                        <w:spacing w:val="-10"/>
                        <w:position w:val="5"/>
                        <w:sz w:val="16"/>
                      </w:rPr>
                      <w:t> </w:t>
                    </w:r>
                    <w:r>
                      <w:rPr>
                        <w:rFonts w:ascii="Calibri"/>
                        <w:sz w:val="18"/>
                      </w:rPr>
                      <w:t>Productivity (GDP per hour</w:t>
                    </w:r>
                    <w:r>
                      <w:rPr>
                        <w:rFonts w:ascii="Calibri"/>
                        <w:spacing w:val="-7"/>
                        <w:sz w:val="18"/>
                      </w:rPr>
                      <w:t> </w:t>
                    </w:r>
                    <w:r>
                      <w:rPr>
                        <w:rFonts w:ascii="Calibri"/>
                        <w:sz w:val="18"/>
                      </w:rPr>
                      <w:t>worked)</w:t>
                    </w:r>
                  </w:p>
                  <w:p>
                    <w:pPr>
                      <w:tabs>
                        <w:tab w:pos="583" w:val="left" w:leader="none"/>
                      </w:tabs>
                      <w:spacing w:before="127"/>
                      <w:ind w:left="21" w:right="0" w:firstLine="0"/>
                      <w:jc w:val="left"/>
                      <w:rPr>
                        <w:rFonts w:ascii="Calibri"/>
                        <w:sz w:val="18"/>
                      </w:rPr>
                    </w:pPr>
                    <w:r>
                      <w:rPr>
                        <w:rFonts w:ascii="Calibri"/>
                        <w:sz w:val="18"/>
                      </w:rPr>
                      <w:t> </w:t>
                      <w:tab/>
                      <w:t>1977-2007</w:t>
                    </w:r>
                    <w:r>
                      <w:rPr>
                        <w:rFonts w:ascii="Calibri"/>
                        <w:spacing w:val="-2"/>
                        <w:sz w:val="18"/>
                      </w:rPr>
                      <w:t> </w:t>
                    </w:r>
                    <w:r>
                      <w:rPr>
                        <w:rFonts w:ascii="Calibri"/>
                        <w:sz w:val="18"/>
                      </w:rPr>
                      <w:t>trend</w:t>
                    </w:r>
                  </w:p>
                  <w:p>
                    <w:pPr>
                      <w:tabs>
                        <w:tab w:pos="561" w:val="left" w:leader="none"/>
                      </w:tabs>
                      <w:spacing w:before="127"/>
                      <w:ind w:left="21" w:right="0" w:firstLine="0"/>
                      <w:jc w:val="left"/>
                      <w:rPr>
                        <w:rFonts w:ascii="Calibri"/>
                        <w:sz w:val="18"/>
                      </w:rPr>
                    </w:pPr>
                    <w:r>
                      <w:rPr>
                        <w:rFonts w:ascii="Calibri"/>
                        <w:position w:val="8"/>
                        <w:sz w:val="18"/>
                        <w:u w:val="thick" w:color="FF0000"/>
                      </w:rPr>
                      <w:t> </w:t>
                      <w:tab/>
                    </w:r>
                    <w:r>
                      <w:rPr>
                        <w:rFonts w:ascii="Calibri"/>
                        <w:spacing w:val="-19"/>
                        <w:position w:val="8"/>
                        <w:sz w:val="18"/>
                      </w:rPr>
                      <w:t> </w:t>
                    </w:r>
                    <w:r>
                      <w:rPr>
                        <w:rFonts w:ascii="Calibri"/>
                        <w:sz w:val="18"/>
                      </w:rPr>
                      <w:t>2009-16</w:t>
                    </w:r>
                    <w:r>
                      <w:rPr>
                        <w:rFonts w:ascii="Calibri"/>
                        <w:spacing w:val="-2"/>
                        <w:sz w:val="18"/>
                      </w:rPr>
                      <w:t> </w:t>
                    </w:r>
                    <w:r>
                      <w:rPr>
                        <w:rFonts w:ascii="Calibri"/>
                        <w:sz w:val="18"/>
                      </w:rPr>
                      <w:t>trend</w:t>
                    </w:r>
                  </w:p>
                </w:txbxContent>
              </v:textbox>
              <w10:wrap type="none"/>
            </v:shape>
            <w10:wrap type="none"/>
          </v:group>
        </w:pict>
      </w:r>
      <w:r>
        <w:rPr>
          <w:rFonts w:ascii="Calibri"/>
          <w:spacing w:val="-1"/>
          <w:sz w:val="18"/>
        </w:rPr>
        <w:t>240</w:t>
      </w:r>
    </w:p>
    <w:p>
      <w:pPr>
        <w:spacing w:before="77"/>
        <w:ind w:left="0" w:right="711" w:firstLine="0"/>
        <w:jc w:val="right"/>
        <w:rPr>
          <w:rFonts w:ascii="Calibri"/>
          <w:sz w:val="18"/>
        </w:rPr>
      </w:pPr>
      <w:r>
        <w:rPr>
          <w:rFonts w:ascii="Calibri"/>
          <w:spacing w:val="-1"/>
          <w:sz w:val="18"/>
        </w:rPr>
        <w:t>220</w:t>
      </w:r>
    </w:p>
    <w:p>
      <w:pPr>
        <w:spacing w:before="104"/>
        <w:ind w:left="0" w:right="711" w:firstLine="0"/>
        <w:jc w:val="right"/>
        <w:rPr>
          <w:rFonts w:ascii="Calibri"/>
          <w:sz w:val="18"/>
        </w:rPr>
      </w:pPr>
      <w:r>
        <w:rPr>
          <w:rFonts w:ascii="Calibri"/>
          <w:spacing w:val="-1"/>
          <w:sz w:val="18"/>
        </w:rPr>
        <w:t>200</w:t>
      </w:r>
    </w:p>
    <w:p>
      <w:pPr>
        <w:spacing w:before="139"/>
        <w:ind w:left="0" w:right="711" w:firstLine="0"/>
        <w:jc w:val="right"/>
        <w:rPr>
          <w:rFonts w:ascii="Calibri"/>
          <w:sz w:val="18"/>
        </w:rPr>
      </w:pPr>
      <w:r>
        <w:rPr>
          <w:rFonts w:ascii="Calibri"/>
          <w:spacing w:val="-1"/>
          <w:sz w:val="18"/>
        </w:rPr>
        <w:t>180</w:t>
      </w:r>
    </w:p>
    <w:p>
      <w:pPr>
        <w:pStyle w:val="BodyText"/>
        <w:spacing w:before="10"/>
        <w:rPr>
          <w:rFonts w:ascii="Calibri"/>
          <w:sz w:val="14"/>
        </w:rPr>
      </w:pPr>
    </w:p>
    <w:p>
      <w:pPr>
        <w:spacing w:before="0"/>
        <w:ind w:left="0" w:right="711" w:firstLine="0"/>
        <w:jc w:val="right"/>
        <w:rPr>
          <w:rFonts w:ascii="Calibri"/>
          <w:sz w:val="18"/>
        </w:rPr>
      </w:pPr>
      <w:r>
        <w:rPr>
          <w:rFonts w:ascii="Calibri"/>
          <w:spacing w:val="-1"/>
          <w:sz w:val="18"/>
        </w:rPr>
        <w:t>160</w:t>
      </w:r>
    </w:p>
    <w:p>
      <w:pPr>
        <w:pStyle w:val="BodyText"/>
        <w:spacing w:before="3"/>
        <w:rPr>
          <w:rFonts w:ascii="Calibri"/>
          <w:sz w:val="19"/>
        </w:rPr>
      </w:pPr>
    </w:p>
    <w:p>
      <w:pPr>
        <w:spacing w:before="0"/>
        <w:ind w:left="0" w:right="711" w:firstLine="0"/>
        <w:jc w:val="right"/>
        <w:rPr>
          <w:rFonts w:ascii="Calibri"/>
          <w:sz w:val="18"/>
        </w:rPr>
      </w:pPr>
      <w:r>
        <w:rPr>
          <w:rFonts w:ascii="Calibri"/>
          <w:spacing w:val="-1"/>
          <w:sz w:val="18"/>
        </w:rPr>
        <w:t>140</w:t>
      </w:r>
    </w:p>
    <w:p>
      <w:pPr>
        <w:pStyle w:val="BodyText"/>
        <w:spacing w:before="12"/>
        <w:rPr>
          <w:rFonts w:ascii="Calibri"/>
          <w:sz w:val="24"/>
        </w:rPr>
      </w:pPr>
    </w:p>
    <w:p>
      <w:pPr>
        <w:spacing w:before="0"/>
        <w:ind w:left="0" w:right="711" w:firstLine="0"/>
        <w:jc w:val="right"/>
        <w:rPr>
          <w:rFonts w:ascii="Calibri"/>
          <w:sz w:val="18"/>
        </w:rPr>
      </w:pPr>
      <w:r>
        <w:rPr>
          <w:rFonts w:ascii="Calibri"/>
          <w:spacing w:val="-1"/>
          <w:sz w:val="18"/>
        </w:rPr>
        <w:t>120</w:t>
      </w:r>
    </w:p>
    <w:p>
      <w:pPr>
        <w:spacing w:after="0"/>
        <w:jc w:val="right"/>
        <w:rPr>
          <w:rFonts w:ascii="Calibri"/>
          <w:sz w:val="18"/>
        </w:rPr>
        <w:sectPr>
          <w:type w:val="continuous"/>
          <w:pgSz w:w="11910" w:h="16840"/>
          <w:pgMar w:top="1180" w:bottom="1520" w:left="900" w:right="1020"/>
          <w:cols w:num="3" w:equalWidth="0">
            <w:col w:w="3452" w:space="40"/>
            <w:col w:w="1065" w:space="2284"/>
            <w:col w:w="3149"/>
          </w:cols>
        </w:sectPr>
      </w:pPr>
    </w:p>
    <w:p>
      <w:pPr>
        <w:pStyle w:val="BodyText"/>
        <w:spacing w:before="9"/>
        <w:rPr>
          <w:rFonts w:ascii="Calibri"/>
          <w:sz w:val="14"/>
        </w:rPr>
      </w:pPr>
    </w:p>
    <w:p>
      <w:pPr>
        <w:spacing w:after="0"/>
        <w:rPr>
          <w:rFonts w:ascii="Calibri"/>
          <w:sz w:val="14"/>
        </w:rPr>
        <w:sectPr>
          <w:type w:val="continuous"/>
          <w:pgSz w:w="11910" w:h="16840"/>
          <w:pgMar w:top="1180" w:bottom="1520" w:left="900" w:right="1020"/>
        </w:sectPr>
      </w:pPr>
    </w:p>
    <w:p>
      <w:pPr>
        <w:spacing w:before="64"/>
        <w:ind w:left="4369" w:right="0" w:firstLine="0"/>
        <w:jc w:val="left"/>
        <w:rPr>
          <w:rFonts w:ascii="Calibri"/>
          <w:sz w:val="18"/>
        </w:rPr>
      </w:pPr>
      <w:r>
        <w:rPr>
          <w:rFonts w:ascii="Calibri"/>
          <w:sz w:val="18"/>
        </w:rPr>
        <w:t>-6</w:t>
      </w:r>
    </w:p>
    <w:p>
      <w:pPr>
        <w:tabs>
          <w:tab w:pos="1218" w:val="left" w:leader="none"/>
          <w:tab w:pos="2061" w:val="left" w:leader="none"/>
          <w:tab w:pos="2904" w:val="left" w:leader="none"/>
          <w:tab w:pos="3747" w:val="left" w:leader="none"/>
        </w:tabs>
        <w:spacing w:before="15"/>
        <w:ind w:left="374" w:right="0" w:firstLine="0"/>
        <w:jc w:val="left"/>
        <w:rPr>
          <w:rFonts w:ascii="Calibri"/>
          <w:sz w:val="18"/>
        </w:rPr>
      </w:pPr>
      <w:r>
        <w:rPr>
          <w:rFonts w:ascii="Calibri"/>
          <w:sz w:val="18"/>
        </w:rPr>
        <w:t>2000</w:t>
        <w:tab/>
        <w:t>2004</w:t>
        <w:tab/>
        <w:t>2008</w:t>
        <w:tab/>
        <w:t>2012</w:t>
        <w:tab/>
        <w:t>2016</w:t>
      </w:r>
    </w:p>
    <w:p>
      <w:pPr>
        <w:pStyle w:val="BodyText"/>
        <w:rPr>
          <w:rFonts w:ascii="Calibri"/>
          <w:sz w:val="18"/>
        </w:rPr>
      </w:pPr>
      <w:r>
        <w:rPr/>
        <w:br w:type="column"/>
      </w:r>
      <w:r>
        <w:rPr>
          <w:rFonts w:ascii="Calibri"/>
          <w:sz w:val="18"/>
        </w:rPr>
      </w:r>
    </w:p>
    <w:p>
      <w:pPr>
        <w:spacing w:before="125"/>
        <w:ind w:left="374" w:right="0" w:firstLine="0"/>
        <w:jc w:val="left"/>
        <w:rPr>
          <w:rFonts w:ascii="Calibri"/>
          <w:sz w:val="18"/>
        </w:rPr>
      </w:pPr>
      <w:r>
        <w:rPr>
          <w:rFonts w:ascii="Calibri"/>
          <w:sz w:val="18"/>
        </w:rPr>
        <w:t>1977 1982 1987 1992 1997 2002 2007 2012</w:t>
      </w:r>
    </w:p>
    <w:p>
      <w:pPr>
        <w:spacing w:before="120"/>
        <w:ind w:left="186" w:right="0" w:firstLine="0"/>
        <w:jc w:val="left"/>
        <w:rPr>
          <w:rFonts w:ascii="Calibri"/>
          <w:sz w:val="18"/>
        </w:rPr>
      </w:pPr>
      <w:r>
        <w:rPr/>
        <w:br w:type="column"/>
      </w:r>
      <w:r>
        <w:rPr>
          <w:rFonts w:ascii="Calibri"/>
          <w:color w:val="FFFFFF"/>
          <w:w w:val="120"/>
          <w:position w:val="7"/>
          <w:sz w:val="2"/>
        </w:rPr>
        <w:t>9 </w:t>
      </w:r>
      <w:r>
        <w:rPr>
          <w:rFonts w:ascii="Calibri"/>
          <w:w w:val="120"/>
          <w:sz w:val="18"/>
        </w:rPr>
        <w:t>100</w:t>
      </w:r>
    </w:p>
    <w:p>
      <w:pPr>
        <w:spacing w:after="0"/>
        <w:jc w:val="left"/>
        <w:rPr>
          <w:rFonts w:ascii="Calibri"/>
          <w:sz w:val="18"/>
        </w:rPr>
        <w:sectPr>
          <w:type w:val="continuous"/>
          <w:pgSz w:w="11910" w:h="16840"/>
          <w:pgMar w:top="1180" w:bottom="1520" w:left="900" w:right="1020"/>
          <w:cols w:num="3" w:equalWidth="0">
            <w:col w:w="4516" w:space="62"/>
            <w:col w:w="4134" w:space="40"/>
            <w:col w:w="1238"/>
          </w:cols>
        </w:sectPr>
      </w:pPr>
    </w:p>
    <w:p>
      <w:pPr>
        <w:pStyle w:val="BodyText"/>
        <w:rPr>
          <w:rFonts w:ascii="Calibri"/>
          <w:sz w:val="15"/>
        </w:rPr>
      </w:pPr>
    </w:p>
    <w:p>
      <w:pPr>
        <w:tabs>
          <w:tab w:pos="4921" w:val="left" w:leader="none"/>
        </w:tabs>
        <w:spacing w:before="0"/>
        <w:ind w:left="233" w:right="0" w:firstLine="0"/>
        <w:jc w:val="left"/>
        <w:rPr>
          <w:sz w:val="16"/>
        </w:rPr>
      </w:pPr>
      <w:r>
        <w:rPr>
          <w:sz w:val="16"/>
        </w:rPr>
        <w:t>Sources:  ONS and</w:t>
      </w:r>
      <w:r>
        <w:rPr>
          <w:spacing w:val="-11"/>
          <w:sz w:val="16"/>
        </w:rPr>
        <w:t> </w:t>
      </w:r>
      <w:r>
        <w:rPr>
          <w:sz w:val="16"/>
        </w:rPr>
        <w:t>Bank</w:t>
      </w:r>
      <w:r>
        <w:rPr>
          <w:spacing w:val="-3"/>
          <w:sz w:val="16"/>
        </w:rPr>
        <w:t> </w:t>
      </w:r>
      <w:r>
        <w:rPr>
          <w:sz w:val="16"/>
        </w:rPr>
        <w:t>calculations.</w:t>
        <w:tab/>
        <w:t>Sources: ONS and Bank</w:t>
      </w:r>
      <w:r>
        <w:rPr>
          <w:spacing w:val="-5"/>
          <w:sz w:val="16"/>
        </w:rPr>
        <w:t> </w:t>
      </w:r>
      <w:r>
        <w:rPr>
          <w:sz w:val="16"/>
        </w:rPr>
        <w:t>calculations.</w:t>
      </w:r>
    </w:p>
    <w:p>
      <w:pPr>
        <w:spacing w:after="0"/>
        <w:jc w:val="left"/>
        <w:rPr>
          <w:sz w:val="16"/>
        </w:rPr>
        <w:sectPr>
          <w:type w:val="continuous"/>
          <w:pgSz w:w="11910" w:h="16840"/>
          <w:pgMar w:top="1180" w:bottom="1520" w:left="900" w:right="1020"/>
        </w:sectPr>
      </w:pPr>
    </w:p>
    <w:p>
      <w:pPr>
        <w:pStyle w:val="BodyText"/>
        <w:spacing w:line="360" w:lineRule="auto" w:before="76"/>
        <w:ind w:left="233"/>
      </w:pPr>
      <w:r>
        <w:rPr/>
        <w:t>Since then, labour productivity growth has dropped significantly. Productivity </w:t>
      </w:r>
      <w:r>
        <w:rPr>
          <w:i/>
        </w:rPr>
        <w:t>fell </w:t>
      </w:r>
      <w:r>
        <w:rPr/>
        <w:t>in 2008 and 2009 as the financial crisis hit, and, in the seven years since, it has only grown by an average 0.4% per year. As a result, the typical worker in 2016, while still twice as productive as the 1970s, could only produce 1% more than in 2007.</w:t>
      </w:r>
    </w:p>
    <w:p>
      <w:pPr>
        <w:pStyle w:val="BodyText"/>
        <w:spacing w:before="1"/>
        <w:rPr>
          <w:sz w:val="30"/>
        </w:rPr>
      </w:pPr>
    </w:p>
    <w:p>
      <w:pPr>
        <w:pStyle w:val="Heading1"/>
        <w:numPr>
          <w:ilvl w:val="1"/>
          <w:numId w:val="2"/>
        </w:numPr>
        <w:tabs>
          <w:tab w:pos="594" w:val="left" w:leader="none"/>
        </w:tabs>
        <w:spacing w:line="240" w:lineRule="auto" w:before="0" w:after="0"/>
        <w:ind w:left="593" w:right="0" w:hanging="361"/>
        <w:jc w:val="left"/>
      </w:pPr>
      <w:r>
        <w:rPr/>
        <w:t>Productivity: over the years and across the</w:t>
      </w:r>
      <w:r>
        <w:rPr>
          <w:spacing w:val="-1"/>
        </w:rPr>
        <w:t> </w:t>
      </w:r>
      <w:r>
        <w:rPr/>
        <w:t>world</w:t>
      </w:r>
    </w:p>
    <w:p>
      <w:pPr>
        <w:pStyle w:val="BodyText"/>
        <w:rPr>
          <w:b/>
          <w:sz w:val="22"/>
        </w:rPr>
      </w:pPr>
    </w:p>
    <w:p>
      <w:pPr>
        <w:pStyle w:val="BodyText"/>
        <w:spacing w:before="1"/>
        <w:rPr>
          <w:b/>
          <w:sz w:val="18"/>
        </w:rPr>
      </w:pPr>
    </w:p>
    <w:p>
      <w:pPr>
        <w:pStyle w:val="BodyText"/>
        <w:spacing w:line="360" w:lineRule="auto" w:before="1"/>
        <w:ind w:left="233" w:right="231"/>
      </w:pPr>
      <w:r>
        <w:rPr/>
        <w:t>Focusing just on the past half-century, the decade since the crisis looks like an aberration. Productivity growth barely deviated from its 2% trend until 2007 (Chart 2). It is little wonder, therefore – looking at these data – that forecasters (the Bank of England included) consistently predicted that productivity growth would recover to a rate close to its 1970s-2000s average.</w:t>
      </w:r>
    </w:p>
    <w:p>
      <w:pPr>
        <w:pStyle w:val="BodyText"/>
        <w:spacing w:before="1"/>
        <w:rPr>
          <w:sz w:val="30"/>
        </w:rPr>
      </w:pPr>
    </w:p>
    <w:p>
      <w:pPr>
        <w:pStyle w:val="BodyText"/>
        <w:spacing w:line="360" w:lineRule="auto"/>
        <w:ind w:left="233"/>
      </w:pPr>
      <w:r>
        <w:rPr/>
        <w:t>Over a longer sweep of history, the past decade is far from unusual. Chart 3 shows annual UK labour productivity growth since 1760. Prior to the 1970s, there were often large shifts in the average growth rate of productivity from one decade to the next. Depending on how you interpret the chart, that could be a</w:t>
      </w:r>
    </w:p>
    <w:p>
      <w:pPr>
        <w:pStyle w:val="BodyText"/>
        <w:spacing w:line="229" w:lineRule="exact"/>
        <w:ind w:left="233"/>
      </w:pPr>
      <w:r>
        <w:rPr/>
        <w:t>good-news or a bad-news story.</w:t>
      </w:r>
    </w:p>
    <w:p>
      <w:pPr>
        <w:pStyle w:val="BodyText"/>
      </w:pPr>
    </w:p>
    <w:p>
      <w:pPr>
        <w:pStyle w:val="BodyText"/>
        <w:spacing w:before="5"/>
        <w:rPr>
          <w:sz w:val="21"/>
        </w:rPr>
      </w:pPr>
    </w:p>
    <w:p>
      <w:pPr>
        <w:pStyle w:val="Heading1"/>
        <w:spacing w:before="93"/>
        <w:ind w:left="538"/>
      </w:pPr>
      <w:r>
        <w:rPr/>
        <w:t>Chart 3 – Historical labour productivity (GDP per hour worked)</w:t>
      </w:r>
    </w:p>
    <w:p>
      <w:pPr>
        <w:spacing w:before="49"/>
        <w:ind w:left="7603" w:right="844" w:firstLine="170"/>
        <w:jc w:val="left"/>
        <w:rPr>
          <w:rFonts w:ascii="Calibri"/>
          <w:sz w:val="18"/>
        </w:rPr>
      </w:pPr>
      <w:r>
        <w:rPr>
          <w:rFonts w:ascii="Calibri"/>
          <w:sz w:val="18"/>
        </w:rPr>
        <w:t>Annual growth, 10 year moving average</w:t>
      </w:r>
    </w:p>
    <w:p>
      <w:pPr>
        <w:pStyle w:val="BodyText"/>
        <w:spacing w:line="139" w:lineRule="exact"/>
        <w:ind w:left="9350"/>
        <w:rPr>
          <w:rFonts w:ascii="Calibri"/>
        </w:rPr>
      </w:pPr>
      <w:r>
        <w:rPr/>
        <w:pict>
          <v:group style="position:absolute;margin-left:86.040001pt;margin-top:1.096678pt;width:420.25pt;height:135.25pt;mso-position-horizontal-relative:page;mso-position-vertical-relative:paragraph;z-index:251667456" coordorigin="1721,22" coordsize="8405,2705">
            <v:shape style="position:absolute;left:1742;top:29;width:8384;height:2691" coordorigin="1742,29" coordsize="8384,2691" path="m10063,2720l10063,29m10063,2720l10126,2720m10063,2336l10126,2336m10063,1952l10126,1952m10063,1565l10126,1565m10063,1181l10126,1181m10063,797l10126,797m10063,413l10126,413m10063,29l10126,29m1742,1952l10063,1952m1742,1952l1742,2014m2419,1952l2419,2014m3096,1952l3096,2014m3773,1952l3773,2014m4450,1952l4450,2014m5126,1952l5126,2014m5801,1952l5801,2014m6478,1952l6478,2014m7154,1952l7154,2014m7831,1952l7831,2014m8508,1952l8508,2014m9182,1952l9182,2014m9859,1952l9859,2014e" filled="false" stroked="true" strokeweight=".72pt" strokecolor="#858585">
              <v:path arrowok="t"/>
              <v:stroke dashstyle="solid"/>
            </v:shape>
            <v:shape style="position:absolute;left:1742;top:218;width:8321;height:2060" coordorigin="1742,219" coordsize="8321,2060" path="m1742,2165l1778,2228,1812,2235,1846,2201,1879,2278,1913,2151,1946,2079,1980,2009,2014,2038,2047,2184,2081,1937,2114,1904,2150,1848,2184,1949,2218,1848,2251,1971,2285,2031,2318,2184,2352,2189,2386,2139,2419,2086,2453,2170,2486,2038,2522,2016,2556,2098,2590,1791,2623,1784,2657,1736,2690,1731,2724,1702,2758,1791,2791,1738,2825,1779,2858,1760,2894,1685,2928,1815,2962,1872,2995,1692,3029,1820,3062,1793,3096,1728,3130,1786,3163,1935,3197,1743,3230,1781,3266,1719,3300,1812,3334,1901,3367,1762,3401,1884,3434,1901,3468,1863,3502,1745,3535,1872,3569,1707,3602,1848,3638,1810,3672,1680,3706,1630,3739,1584,3773,1649,3806,1604,3840,1551,3874,1589,3907,1649,3941,1534,3974,1385,4010,1560,4044,1467,4078,1467,4111,1383,4145,1484,4178,1587,4212,1630,4246,1524,4279,1594,4313,1508,4346,1476,4382,1464,4416,1397,4450,1520,4483,1426,4517,1325,4550,1275,4584,1328,4618,1484,4651,1431,4685,1472,4718,1589,4754,1577,4788,1594,4822,1544,4855,1580,4889,1421,4922,1551,4956,1344,4990,1479,5023,1414,5057,1272,5090,1280,5126,1052,5160,977,5194,972,5227,1032,5261,814,5294,888,5328,905,5362,881,5395,980,5429,1119,5462,1203,5498,1335,5532,1354,5566,1368,5599,1584,5633,1644,5666,1688,5700,1666,5734,1685,5767,1584,5801,1750,5834,1683,5870,1762,5904,1848,5938,1704,5971,1604,6005,1498,6038,1596,6072,1491,6106,1474,6139,1527,6173,1522,6206,1404,6242,1450,6276,1508,6310,1529,6343,1611,6377,1596,6410,1798,6444,1748,6478,1680,6511,1728,6545,1760,6578,1587,6614,1604,6648,1551,6682,1541,6715,1539,6749,1419,6782,1474,6816,1700,6850,1503,6883,1306,6917,1311,6950,1181,6986,1244,7020,1352,7054,1280,7087,1316,7121,1277,7154,1004,7188,1349,7222,1556,7255,1618,7289,1680,7322,1688,7358,1553,7392,1644,7426,1479,7459,1613,7493,1457,7526,1143,7560,1179,7594,1176,7627,1421,7661,1457,7694,1354,7730,1280,7764,1287,7798,1076,7831,1220,7865,1373,7898,1203,7932,1064,7966,826,7999,740,8033,826,8066,773,8102,819,8136,761,8170,624,8203,550,8237,593,8270,572,8304,512,8338,509,8371,430,8405,377,8438,257,8474,377,8508,372m8508,372l8542,236,8575,219,8609,252,8642,488,8676,564,8710,562,8743,668,8777,804,8810,807,8846,1008,8880,1116,8914,1049,8947,1025,8981,980,9014,891,9048,936,9082,886,9115,934,9149,1032,9182,989,9218,1018,9252,1066,9286,1126,9319,1020,9353,1102,9386,1143,9420,1212,9454,1186,9487,1085,9521,994,9554,1073,9588,1112,9624,1136,9658,1169,9691,1126,9725,1114,9758,1097,9792,1232,9826,1390,9859,1467,9893,1486,9926,1608,9960,1745,9996,1774,10030,1817,10063,1870e" filled="false" stroked="true" strokeweight="2.16pt" strokecolor="#c00000">
              <v:path arrowok="t"/>
              <v:stroke dashstyle="solid"/>
            </v:shape>
            <w10:wrap type="none"/>
          </v:group>
        </w:pict>
      </w:r>
      <w:r>
        <w:rPr>
          <w:rFonts w:ascii="Calibri"/>
          <w:w w:val="99"/>
        </w:rPr>
        <w:t>5</w:t>
      </w:r>
    </w:p>
    <w:p>
      <w:pPr>
        <w:pStyle w:val="BodyText"/>
        <w:spacing w:before="141"/>
        <w:ind w:right="533"/>
        <w:jc w:val="right"/>
        <w:rPr>
          <w:rFonts w:ascii="Calibri"/>
        </w:rPr>
      </w:pPr>
      <w:r>
        <w:rPr>
          <w:rFonts w:ascii="Calibri"/>
          <w:w w:val="99"/>
        </w:rPr>
        <w:t>4</w:t>
      </w:r>
    </w:p>
    <w:p>
      <w:pPr>
        <w:pStyle w:val="BodyText"/>
        <w:spacing w:before="140"/>
        <w:ind w:right="533"/>
        <w:jc w:val="right"/>
        <w:rPr>
          <w:rFonts w:ascii="Calibri"/>
        </w:rPr>
      </w:pPr>
      <w:r>
        <w:rPr>
          <w:rFonts w:ascii="Calibri"/>
          <w:w w:val="99"/>
        </w:rPr>
        <w:t>3</w:t>
      </w:r>
    </w:p>
    <w:p>
      <w:pPr>
        <w:pStyle w:val="BodyText"/>
        <w:spacing w:before="140"/>
        <w:ind w:right="533"/>
        <w:jc w:val="right"/>
        <w:rPr>
          <w:rFonts w:ascii="Calibri"/>
        </w:rPr>
      </w:pPr>
      <w:r>
        <w:rPr>
          <w:rFonts w:ascii="Calibri"/>
          <w:w w:val="99"/>
        </w:rPr>
        <w:t>2</w:t>
      </w:r>
    </w:p>
    <w:p>
      <w:pPr>
        <w:pStyle w:val="BodyText"/>
        <w:spacing w:before="140"/>
        <w:ind w:right="533"/>
        <w:jc w:val="right"/>
        <w:rPr>
          <w:rFonts w:ascii="Calibri"/>
        </w:rPr>
      </w:pPr>
      <w:r>
        <w:rPr>
          <w:rFonts w:ascii="Calibri"/>
          <w:w w:val="99"/>
        </w:rPr>
        <w:t>1</w:t>
      </w:r>
    </w:p>
    <w:p>
      <w:pPr>
        <w:pStyle w:val="BodyText"/>
        <w:spacing w:before="141"/>
        <w:ind w:right="533"/>
        <w:jc w:val="right"/>
        <w:rPr>
          <w:rFonts w:ascii="Calibri"/>
        </w:rPr>
      </w:pPr>
      <w:r>
        <w:rPr>
          <w:rFonts w:ascii="Calibri"/>
          <w:w w:val="99"/>
        </w:rPr>
        <w:t>0</w:t>
      </w:r>
    </w:p>
    <w:p>
      <w:pPr>
        <w:pStyle w:val="BodyText"/>
        <w:spacing w:before="140"/>
        <w:ind w:right="469"/>
        <w:jc w:val="right"/>
        <w:rPr>
          <w:rFonts w:ascii="Calibri"/>
        </w:rPr>
      </w:pPr>
      <w:r>
        <w:rPr>
          <w:rFonts w:ascii="Calibri"/>
        </w:rPr>
        <w:t>-1</w:t>
      </w:r>
    </w:p>
    <w:p>
      <w:pPr>
        <w:pStyle w:val="BodyText"/>
        <w:spacing w:before="141"/>
        <w:ind w:right="469"/>
        <w:jc w:val="right"/>
        <w:rPr>
          <w:rFonts w:ascii="Calibri"/>
        </w:rPr>
      </w:pPr>
      <w:r>
        <w:rPr>
          <w:rFonts w:ascii="Calibri"/>
        </w:rPr>
        <w:t>-2</w:t>
      </w:r>
    </w:p>
    <w:p>
      <w:pPr>
        <w:pStyle w:val="BodyText"/>
        <w:tabs>
          <w:tab w:pos="1317" w:val="left" w:leader="none"/>
          <w:tab w:pos="1994" w:val="left" w:leader="none"/>
          <w:tab w:pos="2670" w:val="left" w:leader="none"/>
          <w:tab w:pos="3346" w:val="left" w:leader="none"/>
          <w:tab w:pos="4023" w:val="left" w:leader="none"/>
          <w:tab w:pos="4700" w:val="left" w:leader="none"/>
          <w:tab w:pos="5376" w:val="left" w:leader="none"/>
          <w:tab w:pos="6053" w:val="left" w:leader="none"/>
          <w:tab w:pos="6729" w:val="left" w:leader="none"/>
          <w:tab w:pos="7406" w:val="left" w:leader="none"/>
          <w:tab w:pos="8082" w:val="left" w:leader="none"/>
          <w:tab w:pos="8758" w:val="left" w:leader="none"/>
        </w:tabs>
        <w:spacing w:before="15"/>
        <w:ind w:left="641"/>
        <w:rPr>
          <w:rFonts w:ascii="Calibri"/>
        </w:rPr>
      </w:pPr>
      <w:r>
        <w:rPr>
          <w:rFonts w:ascii="Calibri"/>
        </w:rPr>
        <w:t>1770</w:t>
        <w:tab/>
        <w:t>1790</w:t>
        <w:tab/>
        <w:t>1810</w:t>
        <w:tab/>
        <w:t>1830</w:t>
        <w:tab/>
        <w:t>1850</w:t>
        <w:tab/>
        <w:t>1870</w:t>
        <w:tab/>
        <w:t>1890</w:t>
        <w:tab/>
        <w:t>1910</w:t>
        <w:tab/>
        <w:t>1930</w:t>
        <w:tab/>
        <w:t>1950</w:t>
        <w:tab/>
        <w:t>1970</w:t>
        <w:tab/>
        <w:t>1990</w:t>
        <w:tab/>
        <w:t>2010</w:t>
      </w:r>
    </w:p>
    <w:p>
      <w:pPr>
        <w:pStyle w:val="BodyText"/>
        <w:spacing w:before="1"/>
        <w:rPr>
          <w:rFonts w:ascii="Calibri"/>
          <w:sz w:val="15"/>
        </w:rPr>
      </w:pPr>
    </w:p>
    <w:p>
      <w:pPr>
        <w:spacing w:before="0"/>
        <w:ind w:left="538" w:right="0" w:firstLine="0"/>
        <w:jc w:val="left"/>
        <w:rPr>
          <w:sz w:val="16"/>
        </w:rPr>
      </w:pPr>
      <w:r>
        <w:rPr>
          <w:sz w:val="16"/>
        </w:rPr>
        <w:t>Sources: Thomas and Dimsdale (2017) and Bank calculations.</w:t>
      </w:r>
    </w:p>
    <w:p>
      <w:pPr>
        <w:pStyle w:val="BodyText"/>
        <w:rPr>
          <w:sz w:val="18"/>
        </w:rPr>
      </w:pPr>
    </w:p>
    <w:p>
      <w:pPr>
        <w:pStyle w:val="BodyText"/>
        <w:spacing w:line="360" w:lineRule="auto" w:before="138"/>
        <w:ind w:left="233"/>
      </w:pPr>
      <w:r>
        <w:rPr/>
        <w:t>The ‘glass half full’ reading might note that we have been through several temporary periods of weak productivity growth before, but have always recovered. But there is also a ‘glass half empty’ interpretation.</w:t>
      </w:r>
    </w:p>
    <w:p>
      <w:pPr>
        <w:pStyle w:val="BodyText"/>
        <w:spacing w:line="360" w:lineRule="auto" w:before="1"/>
        <w:ind w:left="233" w:right="120"/>
      </w:pPr>
      <w:r>
        <w:rPr/>
        <w:t>Robert Gordon from Northwestern University has argued that the hundred years spanning from 1870 to 1970 were exceptional in the number and scope of life-changing break-through innovations and there is absolutely no reason to expect growth to be as high and broad-based now. The progress since 1970, he argues, has been concentrated in a relatively narrow part of the economy: entertainment, communication and information processing. But in other essential areas like food, clothing and shelter, progress has been much slower.</w:t>
      </w:r>
    </w:p>
    <w:p>
      <w:pPr>
        <w:spacing w:after="0" w:line="360" w:lineRule="auto"/>
        <w:sectPr>
          <w:pgSz w:w="11910" w:h="16840"/>
          <w:pgMar w:header="0" w:footer="1338" w:top="1340" w:bottom="1520" w:left="900" w:right="1020"/>
        </w:sectPr>
      </w:pPr>
    </w:p>
    <w:p>
      <w:pPr>
        <w:pStyle w:val="BodyText"/>
        <w:spacing w:line="360" w:lineRule="auto" w:before="79"/>
        <w:ind w:left="233" w:right="120"/>
      </w:pPr>
      <w:r>
        <w:rPr/>
        <w:t>Gordon’s ideas could explain why productivity growth has slowed down globally. But even if they are correct, all is not lost for the UK. That is because of what some have described as the second aspect of the productivity puzzle, namely, that the recent level and growth rates of labour productivity in the UK have been lower than in many of its international peers.</w:t>
      </w:r>
      <w:r>
        <w:rPr>
          <w:vertAlign w:val="superscript"/>
        </w:rPr>
        <w:t>2</w:t>
      </w:r>
      <w:r>
        <w:rPr>
          <w:vertAlign w:val="baseline"/>
        </w:rPr>
        <w:t> So even if productivity in other advanced economies were to stall completely, UK productivity could still grow rapidly for some time, if it were possible to catch-up to other countries’ levels.</w:t>
      </w:r>
    </w:p>
    <w:p>
      <w:pPr>
        <w:pStyle w:val="BodyText"/>
        <w:spacing w:before="11"/>
        <w:rPr>
          <w:sz w:val="29"/>
        </w:rPr>
      </w:pPr>
    </w:p>
    <w:p>
      <w:pPr>
        <w:pStyle w:val="BodyText"/>
        <w:spacing w:line="360" w:lineRule="auto"/>
        <w:ind w:left="233" w:right="98"/>
      </w:pPr>
      <w:r>
        <w:rPr/>
        <w:t>How much catching up is there to do? Cross-country comparisons are tricky, but the ONS estimates that compared to the UK, labour productivity is on average 18% higher in the other six members of the G7, 28% higher in the US and 35% higher in Germany (Chart 4). These are significant differences. If British workers were able to catch-up to the G7 average, what currently takes us five days’ work to produce could be done in little over four. If we were able to catch up to Germany, we might all be able to go home from work on Thursday afternoon each week without any fall in GDP.</w:t>
      </w:r>
    </w:p>
    <w:p>
      <w:pPr>
        <w:pStyle w:val="BodyText"/>
      </w:pPr>
    </w:p>
    <w:p>
      <w:pPr>
        <w:spacing w:after="0"/>
        <w:sectPr>
          <w:pgSz w:w="11910" w:h="16840"/>
          <w:pgMar w:header="0" w:footer="1338" w:top="1340" w:bottom="1520" w:left="900" w:right="1020"/>
        </w:sectPr>
      </w:pPr>
    </w:p>
    <w:p>
      <w:pPr>
        <w:pStyle w:val="BodyText"/>
        <w:spacing w:before="5"/>
        <w:rPr>
          <w:sz w:val="19"/>
        </w:rPr>
      </w:pPr>
    </w:p>
    <w:p>
      <w:pPr>
        <w:pStyle w:val="Heading1"/>
        <w:spacing w:line="355" w:lineRule="auto"/>
        <w:ind w:right="175"/>
      </w:pPr>
      <w:r>
        <w:rPr/>
        <w:t>Chart 4 – Comparisons of labour productivity (current price GDP per hour worked), 2016</w:t>
      </w:r>
    </w:p>
    <w:p>
      <w:pPr>
        <w:pStyle w:val="BodyText"/>
        <w:spacing w:before="10"/>
        <w:rPr>
          <w:b/>
          <w:sz w:val="27"/>
        </w:rPr>
      </w:pPr>
    </w:p>
    <w:p>
      <w:pPr>
        <w:spacing w:before="1"/>
        <w:ind w:left="0" w:right="53" w:firstLine="0"/>
        <w:jc w:val="right"/>
        <w:rPr>
          <w:rFonts w:ascii="Calibri"/>
          <w:sz w:val="18"/>
        </w:rPr>
      </w:pPr>
      <w:r>
        <w:rPr/>
        <w:pict>
          <v:group style="position:absolute;margin-left:69.839996pt;margin-top:5.599336pt;width:194.05pt;height:133.7pt;mso-position-horizontal-relative:page;mso-position-vertical-relative:paragraph;z-index:251670528" coordorigin="1397,112" coordsize="3881,2674">
            <v:shape style="position:absolute;left:1593;top:363;width:3437;height:2002" coordorigin="1594,364" coordsize="3437,2002" path="m1848,364l1594,364,1594,1893,1848,1893,1848,364m2486,621l2232,621,2232,1893,2486,1893,2486,621m3122,657l2868,657,2868,1893,3122,1893,3122,657m3758,1454l3504,1454,3504,1893,3758,1893,3758,1454m4394,1893l4140,1893,4140,2037,4394,2037,4394,1893m5030,1893l4776,1893,4776,2366,5030,2366,5030,1893e" filled="true" fillcolor="#4f81bc" stroked="false">
              <v:path arrowok="t"/>
              <v:fill type="solid"/>
            </v:shape>
            <v:shape style="position:absolute;left:1404;top:119;width:3874;height:2660" coordorigin="1404,119" coordsize="3874,2660" path="m5222,2778l5222,119m5222,2778l5278,2778m5222,2334l5278,2334m5222,1893l5278,1893m5222,1449l5278,1449m5222,1005l5278,1005m5222,563l5278,563m5222,119l5278,119m1404,1893l5222,1893m1404,1893l1404,1955m2040,1893l2040,1955m2676,1893l2676,1955m3312,1893l3312,1955m3948,1893l3948,1955m4584,1893l4584,1955m5222,1893l5222,1955e" filled="false" stroked="true" strokeweight=".72pt" strokecolor="#858585">
              <v:path arrowok="t"/>
              <v:stroke dashstyle="solid"/>
            </v:shape>
            <v:line style="position:absolute" from="1699,1103" to="4925,1103" stroked="true" strokeweight="2.16pt" strokecolor="#bd4a47">
              <v:stroke dashstyle="solid"/>
            </v:line>
            <v:line style="position:absolute" from="1591,2325" to="1975,2325" stroked="true" strokeweight="5.04pt" strokecolor="#4f81bc">
              <v:stroke dashstyle="solid"/>
            </v:line>
            <v:line style="position:absolute" from="1591,2639" to="1975,2639" stroked="true" strokeweight="2.16pt" strokecolor="#bd4a47">
              <v:stroke dashstyle="solid"/>
            </v:line>
            <v:shape style="position:absolute;left:1396;top:111;width:3881;height:2674" type="#_x0000_t202" filled="false" stroked="false">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310" w:lineRule="atLeast" w:before="140"/>
                      <w:ind w:left="620" w:right="979" w:firstLine="0"/>
                      <w:jc w:val="left"/>
                      <w:rPr>
                        <w:rFonts w:ascii="Calibri"/>
                        <w:sz w:val="18"/>
                      </w:rPr>
                    </w:pPr>
                    <w:r>
                      <w:rPr>
                        <w:rFonts w:ascii="Calibri"/>
                        <w:sz w:val="18"/>
                      </w:rPr>
                      <w:t>Percentage difference from UK G7 average (excluding UK)</w:t>
                    </w:r>
                  </w:p>
                </w:txbxContent>
              </v:textbox>
              <w10:wrap type="none"/>
            </v:shape>
            <w10:wrap type="none"/>
          </v:group>
        </w:pict>
      </w:r>
      <w:r>
        <w:rPr>
          <w:rFonts w:ascii="Calibri"/>
          <w:spacing w:val="-2"/>
          <w:sz w:val="18"/>
        </w:rPr>
        <w:t>40</w:t>
      </w:r>
    </w:p>
    <w:p>
      <w:pPr>
        <w:pStyle w:val="BodyText"/>
        <w:spacing w:before="3"/>
        <w:rPr>
          <w:rFonts w:ascii="Calibri"/>
          <w:sz w:val="18"/>
        </w:rPr>
      </w:pPr>
    </w:p>
    <w:p>
      <w:pPr>
        <w:spacing w:before="0"/>
        <w:ind w:left="0" w:right="53" w:firstLine="0"/>
        <w:jc w:val="right"/>
        <w:rPr>
          <w:rFonts w:ascii="Calibri"/>
          <w:sz w:val="18"/>
        </w:rPr>
      </w:pPr>
      <w:r>
        <w:rPr>
          <w:rFonts w:ascii="Calibri"/>
          <w:spacing w:val="-2"/>
          <w:sz w:val="18"/>
        </w:rPr>
        <w:t>30</w:t>
      </w:r>
    </w:p>
    <w:p>
      <w:pPr>
        <w:pStyle w:val="BodyText"/>
        <w:spacing w:before="4"/>
        <w:rPr>
          <w:rFonts w:ascii="Calibri"/>
          <w:sz w:val="18"/>
        </w:rPr>
      </w:pPr>
    </w:p>
    <w:p>
      <w:pPr>
        <w:spacing w:before="0"/>
        <w:ind w:left="0" w:right="53" w:firstLine="0"/>
        <w:jc w:val="right"/>
        <w:rPr>
          <w:rFonts w:ascii="Calibri"/>
          <w:sz w:val="18"/>
        </w:rPr>
      </w:pPr>
      <w:r>
        <w:rPr>
          <w:rFonts w:ascii="Calibri"/>
          <w:spacing w:val="-2"/>
          <w:sz w:val="18"/>
        </w:rPr>
        <w:t>20</w:t>
      </w:r>
    </w:p>
    <w:p>
      <w:pPr>
        <w:pStyle w:val="BodyText"/>
        <w:spacing w:before="3"/>
        <w:rPr>
          <w:rFonts w:ascii="Calibri"/>
          <w:sz w:val="18"/>
        </w:rPr>
      </w:pPr>
    </w:p>
    <w:p>
      <w:pPr>
        <w:spacing w:before="0"/>
        <w:ind w:left="0" w:right="53" w:firstLine="0"/>
        <w:jc w:val="right"/>
        <w:rPr>
          <w:rFonts w:ascii="Calibri"/>
          <w:sz w:val="18"/>
        </w:rPr>
      </w:pPr>
      <w:r>
        <w:rPr>
          <w:rFonts w:ascii="Calibri"/>
          <w:spacing w:val="-2"/>
          <w:sz w:val="18"/>
        </w:rPr>
        <w:t>10</w:t>
      </w:r>
    </w:p>
    <w:p>
      <w:pPr>
        <w:pStyle w:val="BodyText"/>
        <w:spacing w:before="3"/>
        <w:rPr>
          <w:rFonts w:ascii="Calibri"/>
          <w:sz w:val="18"/>
        </w:rPr>
      </w:pPr>
    </w:p>
    <w:p>
      <w:pPr>
        <w:spacing w:before="1"/>
        <w:ind w:left="0" w:right="144" w:firstLine="0"/>
        <w:jc w:val="right"/>
        <w:rPr>
          <w:rFonts w:ascii="Calibri"/>
          <w:sz w:val="18"/>
        </w:rPr>
      </w:pPr>
      <w:r>
        <w:rPr>
          <w:rFonts w:ascii="Calibri"/>
          <w:sz w:val="18"/>
        </w:rPr>
        <w:t>0</w:t>
      </w:r>
    </w:p>
    <w:p>
      <w:pPr>
        <w:pStyle w:val="BodyText"/>
        <w:spacing w:before="3"/>
        <w:rPr>
          <w:rFonts w:ascii="Calibri"/>
          <w:sz w:val="18"/>
        </w:rPr>
      </w:pPr>
    </w:p>
    <w:p>
      <w:pPr>
        <w:spacing w:before="0"/>
        <w:ind w:left="0" w:right="0" w:firstLine="0"/>
        <w:jc w:val="right"/>
        <w:rPr>
          <w:rFonts w:ascii="Calibri"/>
          <w:sz w:val="18"/>
        </w:rPr>
      </w:pPr>
      <w:r>
        <w:rPr>
          <w:rFonts w:ascii="Calibri"/>
          <w:sz w:val="18"/>
        </w:rPr>
        <w:t>-10</w:t>
      </w:r>
    </w:p>
    <w:p>
      <w:pPr>
        <w:pStyle w:val="BodyText"/>
        <w:spacing w:before="3"/>
        <w:rPr>
          <w:rFonts w:ascii="Calibri"/>
          <w:sz w:val="18"/>
        </w:rPr>
      </w:pPr>
    </w:p>
    <w:p>
      <w:pPr>
        <w:spacing w:before="1"/>
        <w:ind w:left="0" w:right="0" w:firstLine="0"/>
        <w:jc w:val="right"/>
        <w:rPr>
          <w:rFonts w:ascii="Calibri"/>
          <w:sz w:val="18"/>
        </w:rPr>
      </w:pPr>
      <w:r>
        <w:rPr>
          <w:rFonts w:ascii="Calibri"/>
          <w:sz w:val="18"/>
        </w:rPr>
        <w:t>-20</w:t>
      </w:r>
    </w:p>
    <w:p>
      <w:pPr>
        <w:pStyle w:val="BodyText"/>
        <w:spacing w:before="3"/>
        <w:rPr>
          <w:rFonts w:ascii="Calibri"/>
          <w:sz w:val="18"/>
        </w:rPr>
      </w:pPr>
      <w:r>
        <w:rPr/>
        <w:br w:type="column"/>
      </w:r>
      <w:r>
        <w:rPr>
          <w:rFonts w:ascii="Calibri"/>
          <w:sz w:val="18"/>
        </w:rPr>
      </w:r>
    </w:p>
    <w:p>
      <w:pPr>
        <w:pStyle w:val="Heading1"/>
        <w:spacing w:line="355" w:lineRule="auto"/>
        <w:ind w:right="806"/>
      </w:pPr>
      <w:r>
        <w:rPr/>
        <w:t>Chart 5 – Average annual growth rates of labour productivity (constant price GDP per hour worked), 2007-16</w:t>
      </w:r>
    </w:p>
    <w:p>
      <w:pPr>
        <w:spacing w:line="141" w:lineRule="exact" w:before="0"/>
        <w:ind w:left="0" w:right="473" w:firstLine="0"/>
        <w:jc w:val="right"/>
        <w:rPr>
          <w:rFonts w:ascii="Calibri"/>
          <w:sz w:val="18"/>
        </w:rPr>
      </w:pPr>
      <w:r>
        <w:rPr>
          <w:rFonts w:ascii="Calibri"/>
          <w:sz w:val="18"/>
        </w:rPr>
        <w:t>Per cent</w:t>
      </w:r>
    </w:p>
    <w:p>
      <w:pPr>
        <w:spacing w:line="215" w:lineRule="exact" w:before="0"/>
        <w:ind w:left="0" w:right="566" w:firstLine="0"/>
        <w:jc w:val="right"/>
        <w:rPr>
          <w:rFonts w:ascii="Calibri"/>
          <w:sz w:val="18"/>
        </w:rPr>
      </w:pPr>
      <w:r>
        <w:rPr/>
        <w:pict>
          <v:group style="position:absolute;margin-left:306pt;margin-top:5.356172pt;width:193pt;height:125.9pt;mso-position-horizontal-relative:page;mso-position-vertical-relative:paragraph;z-index:251671552" coordorigin="6120,107" coordsize="3860,2518">
            <v:shape style="position:absolute;left:6290;top:522;width:3468;height:2076" coordorigin="6290,522" coordsize="3468,2076" path="m6506,522l6290,522,6290,2260,6506,2260,6506,522m7049,688l6830,688,6830,2260,7049,2260,7049,688m7591,837l7373,837,7373,2260,7591,2260,7591,837m8131,1156l7915,1156,7915,2260,8131,2260,8131,1156m8674,1593l8458,1593,8458,2260,8674,2260,8674,1593m9216,1984l9000,1984,9000,2260,9216,2260,9216,1984m9758,2260l9542,2260,9542,2598,9758,2598,9758,2260e" filled="true" fillcolor="#4f81bc" stroked="false">
              <v:path arrowok="t"/>
              <v:fill type="solid"/>
            </v:shape>
            <v:shape style="position:absolute;left:6127;top:114;width:3852;height:2504" coordorigin="6127,114" coordsize="3852,2504" path="m9922,2618l9922,114m9922,2618l9979,2618m9922,2260l9979,2260m9922,1902l9979,1902m9922,1545l9979,1545m9922,1187l9979,1187m9922,830l9979,830m9922,472l9979,472m9922,114l9979,114m6127,2260l9922,2260m6127,2260l6127,2322m6670,2260l6670,2322m7210,2260l7210,2322m7752,2260l7752,2322m8294,2260l8294,2322m8837,2260l8837,2322m9379,2260l9379,2322m9922,2260l9922,2322e" filled="false" stroked="true" strokeweight=".72pt" strokecolor="#858585">
              <v:path arrowok="t"/>
              <v:stroke dashstyle="solid"/>
            </v:shape>
            <w10:wrap type="none"/>
          </v:group>
        </w:pict>
      </w:r>
      <w:r>
        <w:rPr>
          <w:rFonts w:ascii="Calibri"/>
          <w:sz w:val="18"/>
        </w:rPr>
        <w:t>1.2</w:t>
      </w:r>
    </w:p>
    <w:p>
      <w:pPr>
        <w:spacing w:before="138"/>
        <w:ind w:left="0" w:right="566" w:firstLine="0"/>
        <w:jc w:val="right"/>
        <w:rPr>
          <w:rFonts w:ascii="Calibri"/>
          <w:sz w:val="18"/>
        </w:rPr>
      </w:pPr>
      <w:r>
        <w:rPr>
          <w:rFonts w:ascii="Calibri"/>
          <w:sz w:val="18"/>
        </w:rPr>
        <w:t>1.0</w:t>
      </w:r>
    </w:p>
    <w:p>
      <w:pPr>
        <w:spacing w:before="138"/>
        <w:ind w:left="0" w:right="566" w:firstLine="0"/>
        <w:jc w:val="right"/>
        <w:rPr>
          <w:rFonts w:ascii="Calibri"/>
          <w:sz w:val="18"/>
        </w:rPr>
      </w:pPr>
      <w:r>
        <w:rPr>
          <w:rFonts w:ascii="Calibri"/>
          <w:sz w:val="18"/>
        </w:rPr>
        <w:t>0.8</w:t>
      </w:r>
    </w:p>
    <w:p>
      <w:pPr>
        <w:spacing w:before="138"/>
        <w:ind w:left="0" w:right="566" w:firstLine="0"/>
        <w:jc w:val="right"/>
        <w:rPr>
          <w:rFonts w:ascii="Calibri"/>
          <w:sz w:val="18"/>
        </w:rPr>
      </w:pPr>
      <w:r>
        <w:rPr>
          <w:rFonts w:ascii="Calibri"/>
          <w:sz w:val="18"/>
        </w:rPr>
        <w:t>0.6</w:t>
      </w:r>
    </w:p>
    <w:p>
      <w:pPr>
        <w:spacing w:before="137"/>
        <w:ind w:left="0" w:right="566" w:firstLine="0"/>
        <w:jc w:val="right"/>
        <w:rPr>
          <w:rFonts w:ascii="Calibri"/>
          <w:sz w:val="18"/>
        </w:rPr>
      </w:pPr>
      <w:r>
        <w:rPr>
          <w:rFonts w:ascii="Calibri"/>
          <w:sz w:val="18"/>
        </w:rPr>
        <w:t>0.4</w:t>
      </w:r>
    </w:p>
    <w:p>
      <w:pPr>
        <w:spacing w:before="138"/>
        <w:ind w:left="0" w:right="566" w:firstLine="0"/>
        <w:jc w:val="right"/>
        <w:rPr>
          <w:rFonts w:ascii="Calibri"/>
          <w:sz w:val="18"/>
        </w:rPr>
      </w:pPr>
      <w:r>
        <w:rPr>
          <w:rFonts w:ascii="Calibri"/>
          <w:sz w:val="18"/>
        </w:rPr>
        <w:t>0.2</w:t>
      </w:r>
    </w:p>
    <w:p>
      <w:pPr>
        <w:spacing w:before="138"/>
        <w:ind w:left="0" w:right="566" w:firstLine="0"/>
        <w:jc w:val="right"/>
        <w:rPr>
          <w:rFonts w:ascii="Calibri"/>
          <w:sz w:val="18"/>
        </w:rPr>
      </w:pPr>
      <w:r>
        <w:rPr>
          <w:rFonts w:ascii="Calibri"/>
          <w:sz w:val="18"/>
        </w:rPr>
        <w:t>0.0</w:t>
      </w:r>
    </w:p>
    <w:p>
      <w:pPr>
        <w:spacing w:before="138"/>
        <w:ind w:left="0" w:right="511" w:firstLine="0"/>
        <w:jc w:val="right"/>
        <w:rPr>
          <w:rFonts w:ascii="Calibri"/>
          <w:sz w:val="18"/>
        </w:rPr>
      </w:pPr>
      <w:r>
        <w:rPr>
          <w:rFonts w:ascii="Calibri"/>
          <w:sz w:val="18"/>
        </w:rPr>
        <w:t>-0.2</w:t>
      </w:r>
    </w:p>
    <w:p>
      <w:pPr>
        <w:spacing w:after="0"/>
        <w:jc w:val="right"/>
        <w:rPr>
          <w:rFonts w:ascii="Calibri"/>
          <w:sz w:val="18"/>
        </w:rPr>
        <w:sectPr>
          <w:type w:val="continuous"/>
          <w:pgSz w:w="11910" w:h="16840"/>
          <w:pgMar w:top="1180" w:bottom="1520" w:left="900" w:right="1020"/>
          <w:cols w:num="2" w:equalWidth="0">
            <w:col w:w="4729" w:space="45"/>
            <w:col w:w="5216"/>
          </w:cols>
        </w:sectPr>
      </w:pPr>
    </w:p>
    <w:p>
      <w:pPr>
        <w:pStyle w:val="BodyText"/>
        <w:spacing w:before="5"/>
        <w:rPr>
          <w:rFonts w:ascii="Calibri"/>
          <w:sz w:val="6"/>
        </w:rPr>
      </w:pPr>
    </w:p>
    <w:p>
      <w:pPr>
        <w:pStyle w:val="BodyText"/>
        <w:tabs>
          <w:tab w:pos="1911" w:val="left" w:leader="none"/>
          <w:tab w:pos="2456" w:val="left" w:leader="none"/>
          <w:tab w:pos="3656" w:val="left" w:leader="none"/>
          <w:tab w:pos="5313" w:val="left" w:leader="none"/>
          <w:tab w:pos="8014" w:val="left" w:leader="none"/>
          <w:tab w:pos="8474" w:val="left" w:leader="none"/>
        </w:tabs>
        <w:ind w:left="283"/>
        <w:rPr>
          <w:rFonts w:ascii="Calibri"/>
        </w:rPr>
      </w:pPr>
      <w:r>
        <w:rPr>
          <w:rFonts w:ascii="Calibri"/>
        </w:rPr>
        <w:drawing>
          <wp:inline distT="0" distB="0" distL="0" distR="0">
            <wp:extent cx="367392" cy="357187"/>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367392" cy="357187"/>
                    </a:xfrm>
                    <a:prstGeom prst="rect">
                      <a:avLst/>
                    </a:prstGeom>
                  </pic:spPr>
                </pic:pic>
              </a:graphicData>
            </a:graphic>
          </wp:inline>
        </w:drawing>
      </w:r>
      <w:r>
        <w:rPr>
          <w:rFonts w:ascii="Calibri"/>
        </w:rPr>
      </w:r>
      <w:r>
        <w:rPr>
          <w:rFonts w:ascii="Times New Roman"/>
          <w:spacing w:val="133"/>
        </w:rPr>
        <w:t> </w:t>
      </w:r>
      <w:r>
        <w:rPr>
          <w:rFonts w:ascii="Calibri"/>
          <w:spacing w:val="133"/>
          <w:position w:val="13"/>
        </w:rPr>
        <w:drawing>
          <wp:inline distT="0" distB="0" distL="0" distR="0">
            <wp:extent cx="285252" cy="267176"/>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285252" cy="267176"/>
                    </a:xfrm>
                    <a:prstGeom prst="rect">
                      <a:avLst/>
                    </a:prstGeom>
                  </pic:spPr>
                </pic:pic>
              </a:graphicData>
            </a:graphic>
          </wp:inline>
        </w:drawing>
      </w:r>
      <w:r>
        <w:rPr>
          <w:rFonts w:ascii="Calibri"/>
          <w:spacing w:val="133"/>
          <w:position w:val="13"/>
        </w:rPr>
      </w:r>
      <w:r>
        <w:rPr>
          <w:rFonts w:ascii="Calibri"/>
          <w:spacing w:val="133"/>
          <w:position w:val="13"/>
        </w:rPr>
        <w:tab/>
      </w:r>
      <w:r>
        <w:rPr>
          <w:rFonts w:ascii="Calibri"/>
          <w:spacing w:val="133"/>
          <w:position w:val="38"/>
        </w:rPr>
        <w:drawing>
          <wp:inline distT="0" distB="0" distL="0" distR="0">
            <wp:extent cx="133443" cy="126015"/>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133443" cy="126015"/>
                    </a:xfrm>
                    <a:prstGeom prst="rect">
                      <a:avLst/>
                    </a:prstGeom>
                  </pic:spPr>
                </pic:pic>
              </a:graphicData>
            </a:graphic>
          </wp:inline>
        </w:drawing>
      </w:r>
      <w:r>
        <w:rPr>
          <w:rFonts w:ascii="Calibri"/>
          <w:spacing w:val="133"/>
          <w:position w:val="38"/>
        </w:rPr>
      </w:r>
      <w:r>
        <w:rPr>
          <w:rFonts w:ascii="Calibri"/>
          <w:spacing w:val="133"/>
          <w:position w:val="38"/>
        </w:rPr>
        <w:tab/>
      </w:r>
      <w:r>
        <w:rPr>
          <w:rFonts w:ascii="Calibri"/>
          <w:spacing w:val="133"/>
          <w:position w:val="27"/>
        </w:rPr>
        <w:drawing>
          <wp:inline distT="0" distB="0" distL="0" distR="0">
            <wp:extent cx="197412" cy="186689"/>
            <wp:effectExtent l="0" t="0" r="0" b="0"/>
            <wp:docPr id="9" name="image5.png"/>
            <wp:cNvGraphicFramePr>
              <a:graphicFrameLocks noChangeAspect="1"/>
            </wp:cNvGraphicFramePr>
            <a:graphic>
              <a:graphicData uri="http://schemas.openxmlformats.org/drawingml/2006/picture">
                <pic:pic>
                  <pic:nvPicPr>
                    <pic:cNvPr id="10" name="image5.png"/>
                    <pic:cNvPicPr/>
                  </pic:nvPicPr>
                  <pic:blipFill>
                    <a:blip r:embed="rId12" cstate="print"/>
                    <a:stretch>
                      <a:fillRect/>
                    </a:stretch>
                  </pic:blipFill>
                  <pic:spPr>
                    <a:xfrm>
                      <a:off x="0" y="0"/>
                      <a:ext cx="197412" cy="186689"/>
                    </a:xfrm>
                    <a:prstGeom prst="rect">
                      <a:avLst/>
                    </a:prstGeom>
                  </pic:spPr>
                </pic:pic>
              </a:graphicData>
            </a:graphic>
          </wp:inline>
        </w:drawing>
      </w:r>
      <w:r>
        <w:rPr>
          <w:rFonts w:ascii="Calibri"/>
          <w:spacing w:val="133"/>
          <w:position w:val="27"/>
        </w:rPr>
      </w:r>
      <w:r>
        <w:rPr>
          <w:rFonts w:ascii="Times New Roman"/>
          <w:spacing w:val="110"/>
          <w:position w:val="27"/>
        </w:rPr>
        <w:t> </w:t>
      </w:r>
      <w:r>
        <w:rPr>
          <w:rFonts w:ascii="Calibri"/>
          <w:spacing w:val="110"/>
          <w:position w:val="10"/>
        </w:rPr>
        <w:drawing>
          <wp:inline distT="0" distB="0" distL="0" distR="0">
            <wp:extent cx="301745" cy="280987"/>
            <wp:effectExtent l="0" t="0" r="0" b="0"/>
            <wp:docPr id="11" name="image6.png"/>
            <wp:cNvGraphicFramePr>
              <a:graphicFrameLocks noChangeAspect="1"/>
            </wp:cNvGraphicFramePr>
            <a:graphic>
              <a:graphicData uri="http://schemas.openxmlformats.org/drawingml/2006/picture">
                <pic:pic>
                  <pic:nvPicPr>
                    <pic:cNvPr id="12" name="image6.png"/>
                    <pic:cNvPicPr/>
                  </pic:nvPicPr>
                  <pic:blipFill>
                    <a:blip r:embed="rId13" cstate="print"/>
                    <a:stretch>
                      <a:fillRect/>
                    </a:stretch>
                  </pic:blipFill>
                  <pic:spPr>
                    <a:xfrm>
                      <a:off x="0" y="0"/>
                      <a:ext cx="301745" cy="280987"/>
                    </a:xfrm>
                    <a:prstGeom prst="rect">
                      <a:avLst/>
                    </a:prstGeom>
                  </pic:spPr>
                </pic:pic>
              </a:graphicData>
            </a:graphic>
          </wp:inline>
        </w:drawing>
      </w:r>
      <w:r>
        <w:rPr>
          <w:rFonts w:ascii="Calibri"/>
          <w:spacing w:val="110"/>
          <w:position w:val="10"/>
        </w:rPr>
      </w:r>
      <w:r>
        <w:rPr>
          <w:rFonts w:ascii="Calibri"/>
          <w:spacing w:val="110"/>
          <w:position w:val="10"/>
        </w:rPr>
        <w:tab/>
      </w:r>
      <w:r>
        <w:rPr>
          <w:rFonts w:ascii="Calibri"/>
          <w:spacing w:val="110"/>
          <w:position w:val="18"/>
        </w:rPr>
        <w:drawing>
          <wp:inline distT="0" distB="0" distL="0" distR="0">
            <wp:extent cx="243508" cy="233362"/>
            <wp:effectExtent l="0" t="0" r="0" b="0"/>
            <wp:docPr id="13" name="image7.png"/>
            <wp:cNvGraphicFramePr>
              <a:graphicFrameLocks noChangeAspect="1"/>
            </wp:cNvGraphicFramePr>
            <a:graphic>
              <a:graphicData uri="http://schemas.openxmlformats.org/drawingml/2006/picture">
                <pic:pic>
                  <pic:nvPicPr>
                    <pic:cNvPr id="14" name="image7.png"/>
                    <pic:cNvPicPr/>
                  </pic:nvPicPr>
                  <pic:blipFill>
                    <a:blip r:embed="rId14" cstate="print"/>
                    <a:stretch>
                      <a:fillRect/>
                    </a:stretch>
                  </pic:blipFill>
                  <pic:spPr>
                    <a:xfrm>
                      <a:off x="0" y="0"/>
                      <a:ext cx="243508" cy="233362"/>
                    </a:xfrm>
                    <a:prstGeom prst="rect">
                      <a:avLst/>
                    </a:prstGeom>
                  </pic:spPr>
                </pic:pic>
              </a:graphicData>
            </a:graphic>
          </wp:inline>
        </w:drawing>
      </w:r>
      <w:r>
        <w:rPr>
          <w:rFonts w:ascii="Calibri"/>
          <w:spacing w:val="110"/>
          <w:position w:val="18"/>
        </w:rPr>
      </w:r>
      <w:r>
        <w:rPr>
          <w:rFonts w:ascii="Calibri"/>
          <w:spacing w:val="110"/>
          <w:position w:val="18"/>
        </w:rPr>
        <w:tab/>
      </w:r>
      <w:r>
        <w:rPr>
          <w:rFonts w:ascii="Calibri"/>
          <w:spacing w:val="110"/>
          <w:position w:val="38"/>
        </w:rPr>
        <w:drawing>
          <wp:inline distT="0" distB="0" distL="0" distR="0">
            <wp:extent cx="133569" cy="126015"/>
            <wp:effectExtent l="0" t="0" r="0" b="0"/>
            <wp:docPr id="15" name="image8.png"/>
            <wp:cNvGraphicFramePr>
              <a:graphicFrameLocks noChangeAspect="1"/>
            </wp:cNvGraphicFramePr>
            <a:graphic>
              <a:graphicData uri="http://schemas.openxmlformats.org/drawingml/2006/picture">
                <pic:pic>
                  <pic:nvPicPr>
                    <pic:cNvPr id="16" name="image8.png"/>
                    <pic:cNvPicPr/>
                  </pic:nvPicPr>
                  <pic:blipFill>
                    <a:blip r:embed="rId15" cstate="print"/>
                    <a:stretch>
                      <a:fillRect/>
                    </a:stretch>
                  </pic:blipFill>
                  <pic:spPr>
                    <a:xfrm>
                      <a:off x="0" y="0"/>
                      <a:ext cx="133569" cy="126015"/>
                    </a:xfrm>
                    <a:prstGeom prst="rect">
                      <a:avLst/>
                    </a:prstGeom>
                  </pic:spPr>
                </pic:pic>
              </a:graphicData>
            </a:graphic>
          </wp:inline>
        </w:drawing>
      </w:r>
      <w:r>
        <w:rPr>
          <w:rFonts w:ascii="Calibri"/>
          <w:spacing w:val="110"/>
          <w:position w:val="38"/>
        </w:rPr>
      </w:r>
      <w:r>
        <w:rPr>
          <w:rFonts w:ascii="Times New Roman"/>
          <w:spacing w:val="25"/>
          <w:position w:val="38"/>
        </w:rPr>
        <w:t> </w:t>
      </w:r>
      <w:r>
        <w:rPr>
          <w:rFonts w:ascii="Calibri"/>
          <w:spacing w:val="25"/>
          <w:position w:val="10"/>
        </w:rPr>
        <w:drawing>
          <wp:inline distT="0" distB="0" distL="0" distR="0">
            <wp:extent cx="301745" cy="280987"/>
            <wp:effectExtent l="0" t="0" r="0" b="0"/>
            <wp:docPr id="17" name="image9.png"/>
            <wp:cNvGraphicFramePr>
              <a:graphicFrameLocks noChangeAspect="1"/>
            </wp:cNvGraphicFramePr>
            <a:graphic>
              <a:graphicData uri="http://schemas.openxmlformats.org/drawingml/2006/picture">
                <pic:pic>
                  <pic:nvPicPr>
                    <pic:cNvPr id="18" name="image9.png"/>
                    <pic:cNvPicPr/>
                  </pic:nvPicPr>
                  <pic:blipFill>
                    <a:blip r:embed="rId16" cstate="print"/>
                    <a:stretch>
                      <a:fillRect/>
                    </a:stretch>
                  </pic:blipFill>
                  <pic:spPr>
                    <a:xfrm>
                      <a:off x="0" y="0"/>
                      <a:ext cx="301745" cy="280987"/>
                    </a:xfrm>
                    <a:prstGeom prst="rect">
                      <a:avLst/>
                    </a:prstGeom>
                  </pic:spPr>
                </pic:pic>
              </a:graphicData>
            </a:graphic>
          </wp:inline>
        </w:drawing>
      </w:r>
      <w:r>
        <w:rPr>
          <w:rFonts w:ascii="Calibri"/>
          <w:spacing w:val="25"/>
          <w:position w:val="10"/>
        </w:rPr>
      </w:r>
      <w:r>
        <w:rPr>
          <w:rFonts w:ascii="Times New Roman"/>
          <w:spacing w:val="109"/>
          <w:position w:val="10"/>
        </w:rPr>
        <w:t> </w:t>
      </w:r>
      <w:r>
        <w:rPr>
          <w:rFonts w:ascii="Calibri"/>
          <w:spacing w:val="109"/>
        </w:rPr>
        <w:drawing>
          <wp:inline distT="0" distB="0" distL="0" distR="0">
            <wp:extent cx="591017" cy="357187"/>
            <wp:effectExtent l="0" t="0" r="0" b="0"/>
            <wp:docPr id="19" name="image10.png"/>
            <wp:cNvGraphicFramePr>
              <a:graphicFrameLocks noChangeAspect="1"/>
            </wp:cNvGraphicFramePr>
            <a:graphic>
              <a:graphicData uri="http://schemas.openxmlformats.org/drawingml/2006/picture">
                <pic:pic>
                  <pic:nvPicPr>
                    <pic:cNvPr id="20" name="image10.png"/>
                    <pic:cNvPicPr/>
                  </pic:nvPicPr>
                  <pic:blipFill>
                    <a:blip r:embed="rId17" cstate="print"/>
                    <a:stretch>
                      <a:fillRect/>
                    </a:stretch>
                  </pic:blipFill>
                  <pic:spPr>
                    <a:xfrm>
                      <a:off x="0" y="0"/>
                      <a:ext cx="591017" cy="357187"/>
                    </a:xfrm>
                    <a:prstGeom prst="rect">
                      <a:avLst/>
                    </a:prstGeom>
                  </pic:spPr>
                </pic:pic>
              </a:graphicData>
            </a:graphic>
          </wp:inline>
        </w:drawing>
      </w:r>
      <w:r>
        <w:rPr>
          <w:rFonts w:ascii="Calibri"/>
          <w:spacing w:val="109"/>
        </w:rPr>
      </w:r>
      <w:r>
        <w:rPr>
          <w:rFonts w:ascii="Times New Roman"/>
          <w:spacing w:val="37"/>
        </w:rPr>
        <w:t> </w:t>
      </w:r>
      <w:r>
        <w:rPr>
          <w:rFonts w:ascii="Calibri"/>
          <w:spacing w:val="37"/>
          <w:position w:val="13"/>
        </w:rPr>
        <w:drawing>
          <wp:inline distT="0" distB="0" distL="0" distR="0">
            <wp:extent cx="285328" cy="267176"/>
            <wp:effectExtent l="0" t="0" r="0" b="0"/>
            <wp:docPr id="21" name="image11.png"/>
            <wp:cNvGraphicFramePr>
              <a:graphicFrameLocks noChangeAspect="1"/>
            </wp:cNvGraphicFramePr>
            <a:graphic>
              <a:graphicData uri="http://schemas.openxmlformats.org/drawingml/2006/picture">
                <pic:pic>
                  <pic:nvPicPr>
                    <pic:cNvPr id="22" name="image11.png"/>
                    <pic:cNvPicPr/>
                  </pic:nvPicPr>
                  <pic:blipFill>
                    <a:blip r:embed="rId18" cstate="print"/>
                    <a:stretch>
                      <a:fillRect/>
                    </a:stretch>
                  </pic:blipFill>
                  <pic:spPr>
                    <a:xfrm>
                      <a:off x="0" y="0"/>
                      <a:ext cx="285328" cy="267176"/>
                    </a:xfrm>
                    <a:prstGeom prst="rect">
                      <a:avLst/>
                    </a:prstGeom>
                  </pic:spPr>
                </pic:pic>
              </a:graphicData>
            </a:graphic>
          </wp:inline>
        </w:drawing>
      </w:r>
      <w:r>
        <w:rPr>
          <w:rFonts w:ascii="Calibri"/>
          <w:spacing w:val="37"/>
          <w:position w:val="13"/>
        </w:rPr>
      </w:r>
      <w:r>
        <w:rPr>
          <w:rFonts w:ascii="Calibri"/>
          <w:spacing w:val="37"/>
          <w:position w:val="13"/>
        </w:rPr>
        <w:tab/>
      </w:r>
      <w:r>
        <w:rPr>
          <w:rFonts w:ascii="Calibri"/>
          <w:spacing w:val="37"/>
          <w:position w:val="37"/>
        </w:rPr>
        <w:drawing>
          <wp:inline distT="0" distB="0" distL="0" distR="0">
            <wp:extent cx="148746" cy="138112"/>
            <wp:effectExtent l="0" t="0" r="0" b="0"/>
            <wp:docPr id="23" name="image12.png"/>
            <wp:cNvGraphicFramePr>
              <a:graphicFrameLocks noChangeAspect="1"/>
            </wp:cNvGraphicFramePr>
            <a:graphic>
              <a:graphicData uri="http://schemas.openxmlformats.org/drawingml/2006/picture">
                <pic:pic>
                  <pic:nvPicPr>
                    <pic:cNvPr id="24" name="image12.png"/>
                    <pic:cNvPicPr/>
                  </pic:nvPicPr>
                  <pic:blipFill>
                    <a:blip r:embed="rId19" cstate="print"/>
                    <a:stretch>
                      <a:fillRect/>
                    </a:stretch>
                  </pic:blipFill>
                  <pic:spPr>
                    <a:xfrm>
                      <a:off x="0" y="0"/>
                      <a:ext cx="148746" cy="138112"/>
                    </a:xfrm>
                    <a:prstGeom prst="rect">
                      <a:avLst/>
                    </a:prstGeom>
                  </pic:spPr>
                </pic:pic>
              </a:graphicData>
            </a:graphic>
          </wp:inline>
        </w:drawing>
      </w:r>
      <w:r>
        <w:rPr>
          <w:rFonts w:ascii="Calibri"/>
          <w:spacing w:val="37"/>
          <w:position w:val="37"/>
        </w:rPr>
      </w:r>
      <w:r>
        <w:rPr>
          <w:rFonts w:ascii="Calibri"/>
          <w:spacing w:val="37"/>
          <w:position w:val="37"/>
        </w:rPr>
        <w:tab/>
      </w:r>
      <w:r>
        <w:rPr>
          <w:rFonts w:ascii="Calibri"/>
          <w:spacing w:val="37"/>
          <w:position w:val="27"/>
        </w:rPr>
        <w:drawing>
          <wp:inline distT="0" distB="0" distL="0" distR="0">
            <wp:extent cx="197412" cy="186689"/>
            <wp:effectExtent l="0" t="0" r="0" b="0"/>
            <wp:docPr id="25" name="image13.png"/>
            <wp:cNvGraphicFramePr>
              <a:graphicFrameLocks noChangeAspect="1"/>
            </wp:cNvGraphicFramePr>
            <a:graphic>
              <a:graphicData uri="http://schemas.openxmlformats.org/drawingml/2006/picture">
                <pic:pic>
                  <pic:nvPicPr>
                    <pic:cNvPr id="26" name="image13.png"/>
                    <pic:cNvPicPr/>
                  </pic:nvPicPr>
                  <pic:blipFill>
                    <a:blip r:embed="rId20" cstate="print"/>
                    <a:stretch>
                      <a:fillRect/>
                    </a:stretch>
                  </pic:blipFill>
                  <pic:spPr>
                    <a:xfrm>
                      <a:off x="0" y="0"/>
                      <a:ext cx="197412" cy="186689"/>
                    </a:xfrm>
                    <a:prstGeom prst="rect">
                      <a:avLst/>
                    </a:prstGeom>
                  </pic:spPr>
                </pic:pic>
              </a:graphicData>
            </a:graphic>
          </wp:inline>
        </w:drawing>
      </w:r>
      <w:r>
        <w:rPr>
          <w:rFonts w:ascii="Calibri"/>
          <w:spacing w:val="37"/>
          <w:position w:val="27"/>
        </w:rPr>
      </w:r>
    </w:p>
    <w:p>
      <w:pPr>
        <w:pStyle w:val="BodyText"/>
        <w:spacing w:before="6"/>
        <w:rPr>
          <w:rFonts w:ascii="Calibri"/>
          <w:sz w:val="12"/>
        </w:rPr>
      </w:pPr>
    </w:p>
    <w:p>
      <w:pPr>
        <w:tabs>
          <w:tab w:pos="5007" w:val="left" w:leader="none"/>
        </w:tabs>
        <w:spacing w:before="95"/>
        <w:ind w:left="233" w:right="0" w:firstLine="0"/>
        <w:jc w:val="left"/>
        <w:rPr>
          <w:sz w:val="16"/>
        </w:rPr>
      </w:pPr>
      <w:r>
        <w:rPr>
          <w:sz w:val="16"/>
        </w:rPr>
        <w:t>Sources:</w:t>
      </w:r>
      <w:r>
        <w:rPr>
          <w:spacing w:val="42"/>
          <w:sz w:val="16"/>
        </w:rPr>
        <w:t> </w:t>
      </w:r>
      <w:r>
        <w:rPr>
          <w:sz w:val="16"/>
        </w:rPr>
        <w:t>ONS.</w:t>
        <w:tab/>
        <w:t>Sources:</w:t>
      </w:r>
      <w:r>
        <w:rPr>
          <w:spacing w:val="44"/>
          <w:sz w:val="16"/>
        </w:rPr>
        <w:t> </w:t>
      </w:r>
      <w:r>
        <w:rPr>
          <w:sz w:val="16"/>
        </w:rPr>
        <w:t>ONS.</w:t>
      </w:r>
    </w:p>
    <w:p>
      <w:pPr>
        <w:pStyle w:val="BodyText"/>
        <w:rPr>
          <w:sz w:val="18"/>
        </w:rPr>
      </w:pPr>
    </w:p>
    <w:p>
      <w:pPr>
        <w:pStyle w:val="BodyText"/>
        <w:spacing w:line="360" w:lineRule="auto" w:before="141"/>
        <w:ind w:left="233"/>
      </w:pPr>
      <w:r>
        <w:rPr/>
        <w:t>Rather than narrowing, the productivity gap with our international peers has actually been increasing since 2007 (Chart 5). Despite subdued productivity growth globally – no G7 nation has recorded average annual rates above 1% – the UK has fallen further behind Germany, France and the US, while Canada and Japan have both caught up somewhat. Only Italy has recorded a slower rate of productivity growth.</w:t>
      </w:r>
    </w:p>
    <w:p>
      <w:pPr>
        <w:pStyle w:val="BodyText"/>
        <w:spacing w:before="10"/>
        <w:rPr>
          <w:sz w:val="29"/>
        </w:rPr>
      </w:pPr>
    </w:p>
    <w:p>
      <w:pPr>
        <w:pStyle w:val="BodyText"/>
        <w:ind w:left="233"/>
      </w:pPr>
      <w:r>
        <w:rPr/>
        <w:t>The plots have illustrated the UK productivity slowdown, both relative to other countries and also relative to</w:t>
      </w:r>
    </w:p>
    <w:p>
      <w:pPr>
        <w:pStyle w:val="BodyText"/>
        <w:spacing w:before="116"/>
        <w:ind w:left="233"/>
      </w:pPr>
      <w:r>
        <w:rPr/>
        <w:t>the UK’s own recent past. Before turning to where we lost ground, let me briefly say why productivity growth</w:t>
      </w:r>
    </w:p>
    <w:p>
      <w:pPr>
        <w:pStyle w:val="BodyText"/>
        <w:spacing w:before="115"/>
        <w:ind w:left="233"/>
      </w:pPr>
      <w:r>
        <w:rPr/>
        <w:t>– or lack thereof – is so crucially important.</w:t>
      </w:r>
    </w:p>
    <w:p>
      <w:pPr>
        <w:pStyle w:val="BodyText"/>
      </w:pPr>
    </w:p>
    <w:p>
      <w:pPr>
        <w:pStyle w:val="BodyText"/>
        <w:spacing w:before="9"/>
        <w:rPr>
          <w:sz w:val="12"/>
        </w:rPr>
      </w:pPr>
      <w:r>
        <w:rPr/>
        <w:pict>
          <v:shape style="position:absolute;margin-left:56.664001pt;margin-top:9.569017pt;width:144.050pt;height:.1pt;mso-position-horizontal-relative:page;mso-position-vertical-relative:paragraph;z-index:-251648000;mso-wrap-distance-left:0;mso-wrap-distance-right:0" coordorigin="1133,191" coordsize="2881,0" path="m1133,191l4014,191e" filled="false" stroked="true" strokeweight=".47998pt" strokecolor="#000000">
            <v:path arrowok="t"/>
            <v:stroke dashstyle="solid"/>
            <w10:wrap type="topAndBottom"/>
          </v:shape>
        </w:pict>
      </w:r>
    </w:p>
    <w:p>
      <w:pPr>
        <w:spacing w:before="29"/>
        <w:ind w:left="233" w:right="1088" w:firstLine="0"/>
        <w:jc w:val="left"/>
        <w:rPr>
          <w:sz w:val="16"/>
        </w:rPr>
      </w:pPr>
      <w:r>
        <w:rPr>
          <w:position w:val="8"/>
          <w:sz w:val="10"/>
        </w:rPr>
        <w:t>2 </w:t>
      </w:r>
      <w:r>
        <w:rPr>
          <w:sz w:val="16"/>
        </w:rPr>
        <w:t>See the transcript of oral evidence given by Sir Charles Bean to the Treasury Committee on the Autumn 2017 Budget on 30 November 2017.</w:t>
      </w:r>
    </w:p>
    <w:p>
      <w:pPr>
        <w:spacing w:after="0"/>
        <w:jc w:val="left"/>
        <w:rPr>
          <w:sz w:val="16"/>
        </w:rPr>
        <w:sectPr>
          <w:type w:val="continuous"/>
          <w:pgSz w:w="11910" w:h="16840"/>
          <w:pgMar w:top="1180" w:bottom="1520" w:left="900" w:right="1020"/>
        </w:sectPr>
      </w:pPr>
    </w:p>
    <w:p>
      <w:pPr>
        <w:pStyle w:val="Heading1"/>
        <w:numPr>
          <w:ilvl w:val="0"/>
          <w:numId w:val="3"/>
        </w:numPr>
        <w:tabs>
          <w:tab w:pos="594" w:val="left" w:leader="none"/>
        </w:tabs>
        <w:spacing w:line="240" w:lineRule="auto" w:before="67" w:after="0"/>
        <w:ind w:left="593" w:right="0" w:hanging="361"/>
        <w:jc w:val="left"/>
      </w:pPr>
      <w:r>
        <w:rPr/>
        <w:t>Why do we care about</w:t>
      </w:r>
      <w:r>
        <w:rPr>
          <w:spacing w:val="-5"/>
        </w:rPr>
        <w:t> </w:t>
      </w:r>
      <w:r>
        <w:rPr/>
        <w:t>productivity?</w:t>
      </w:r>
    </w:p>
    <w:p>
      <w:pPr>
        <w:pStyle w:val="BodyText"/>
        <w:spacing w:before="1"/>
        <w:rPr>
          <w:b/>
          <w:sz w:val="30"/>
        </w:rPr>
      </w:pPr>
    </w:p>
    <w:p>
      <w:pPr>
        <w:pStyle w:val="BodyText"/>
        <w:spacing w:line="360" w:lineRule="auto"/>
        <w:ind w:left="233" w:right="198"/>
      </w:pPr>
      <w:r>
        <w:rPr/>
        <w:t>Productivity matters for </w:t>
      </w:r>
      <w:r>
        <w:rPr>
          <w:u w:val="single"/>
        </w:rPr>
        <w:t>welfare</w:t>
      </w:r>
      <w:r>
        <w:rPr/>
        <w:t>. Over time and across countries, higher productivity is reliably associated with higher wages, higher consumption levels and improved health indicators. The following charts illustrate these relationships.</w:t>
      </w:r>
    </w:p>
    <w:p>
      <w:pPr>
        <w:pStyle w:val="BodyText"/>
        <w:rPr>
          <w:sz w:val="30"/>
        </w:rPr>
      </w:pPr>
    </w:p>
    <w:p>
      <w:pPr>
        <w:pStyle w:val="BodyText"/>
        <w:spacing w:line="360" w:lineRule="auto"/>
        <w:ind w:left="233" w:right="159"/>
      </w:pPr>
      <w:r>
        <w:rPr/>
        <w:t>Higher productivity is associated, almost mechanically, with higher GDP and consumption per person, (Chart 6). Labour productivity is 25 times higher than in 1831. That has enabled a 12-fold increase in the level of GDP per person and a 9-fold increase in consumption per person. Those increases come despite spending less of our lives working. Leisure time, crudely measured as hours not in work, has increased from less than 20 hours a week in the 1830s to 50 hours a week</w:t>
      </w:r>
      <w:r>
        <w:rPr>
          <w:spacing w:val="5"/>
        </w:rPr>
        <w:t> </w:t>
      </w:r>
      <w:r>
        <w:rPr/>
        <w:t>today.</w:t>
      </w:r>
      <w:r>
        <w:rPr>
          <w:vertAlign w:val="superscript"/>
        </w:rPr>
        <w:t>3</w:t>
      </w:r>
    </w:p>
    <w:p>
      <w:pPr>
        <w:pStyle w:val="BodyText"/>
        <w:rPr>
          <w:sz w:val="26"/>
        </w:rPr>
      </w:pPr>
    </w:p>
    <w:p>
      <w:pPr>
        <w:pStyle w:val="Heading1"/>
        <w:spacing w:before="156"/>
        <w:ind w:left="372"/>
      </w:pPr>
      <w:r>
        <w:rPr/>
        <w:t>Chart 6 – Historical labour productivity and indicators of welfare</w:t>
      </w:r>
    </w:p>
    <w:p>
      <w:pPr>
        <w:pStyle w:val="BodyText"/>
        <w:rPr>
          <w:b/>
        </w:rPr>
      </w:pPr>
    </w:p>
    <w:p>
      <w:pPr>
        <w:spacing w:after="0"/>
        <w:sectPr>
          <w:footerReference w:type="default" r:id="rId21"/>
          <w:pgSz w:w="11910" w:h="16840"/>
          <w:pgMar w:footer="1338" w:header="0" w:top="1460" w:bottom="1520" w:left="900" w:right="1020"/>
          <w:pgNumType w:start="6"/>
        </w:sectPr>
      </w:pPr>
    </w:p>
    <w:p>
      <w:pPr>
        <w:pStyle w:val="BodyText"/>
        <w:spacing w:before="1"/>
        <w:rPr>
          <w:b/>
          <w:sz w:val="16"/>
        </w:rPr>
      </w:pPr>
    </w:p>
    <w:p>
      <w:pPr>
        <w:spacing w:before="0"/>
        <w:ind w:left="636" w:right="19" w:firstLine="0"/>
        <w:jc w:val="left"/>
        <w:rPr>
          <w:rFonts w:ascii="Calibri"/>
          <w:sz w:val="18"/>
        </w:rPr>
      </w:pPr>
      <w:r>
        <w:rPr>
          <w:rFonts w:ascii="Calibri"/>
          <w:sz w:val="18"/>
        </w:rPr>
        <w:t>Weekly hours not in work (out of 84)</w:t>
      </w:r>
    </w:p>
    <w:p>
      <w:pPr>
        <w:spacing w:before="103"/>
        <w:ind w:left="403" w:right="0" w:firstLine="0"/>
        <w:jc w:val="left"/>
        <w:rPr>
          <w:rFonts w:ascii="Calibri"/>
          <w:sz w:val="18"/>
        </w:rPr>
      </w:pPr>
      <w:r>
        <w:rPr/>
        <w:pict>
          <v:group style="position:absolute;margin-left:79.680pt;margin-top:3.32935pt;width:413.65pt;height:167.8pt;mso-position-horizontal-relative:page;mso-position-vertical-relative:paragraph;z-index:-255075328" coordorigin="1594,67" coordsize="8273,3356">
            <v:shape style="position:absolute;left:1593;top:66;width:8273;height:3356" coordorigin="1594,67" coordsize="8273,3356" path="m1651,3364l1651,67m1594,3364l1651,3364m1594,2971l1651,2971m1594,2579l1651,2579m1594,2186l1651,2186m1594,1795l1651,1795m1594,1401l1651,1401m1594,1007l1651,1007m1594,616l1651,616m1594,223l1651,223m9811,3364l9811,67m9811,3364l9866,3364m9811,2846l9866,2846m9811,2327l9866,2327m9811,1807l9866,1807m9811,1288l9866,1288m9811,770l9866,770m9811,251l9866,251m1651,3364l9811,3364m1651,3364l1651,3422m2530,3364l2530,3422m3406,3364l3406,3422m4284,3364l4284,3422m5160,3364l5160,3422m6038,3364l6038,3422m6914,3364l6914,3422m7793,3364l7793,3422m8669,3364l8669,3422m9547,3364l9547,3422e" filled="false" stroked="true" strokeweight=".72pt" strokecolor="#858585">
              <v:path arrowok="t"/>
              <v:stroke dashstyle="solid"/>
            </v:shape>
            <v:shape style="position:absolute;left:1672;top:445;width:8115;height:2400" coordorigin="1673,446" coordsize="8115,2400" path="m1673,2846l1716,2834,1762,2836,1805,2827,1848,2800,1894,2793,1937,2795,1980,2771,2023,2771,2069,2745,2112,2757,2155,2767,2201,2776,2244,2747,2287,2733,2330,2709,2376,2704,2419,2680,2462,2668,2506,2663,2551,2656,2594,2647,2638,2647,2683,2625,2726,2642,2770,2608,2813,2613,2858,2611,2902,2596,2945,2594,2990,2579,3034,2575,3077,2546,3120,2551,3166,2527,3209,2519,3252,2510,3295,2481,3341,2467,3384,2423,3427,2392,3473,2387,3516,2371,3559,2332,3602,2325,3648,2318,3691,2306,3734,2296,3780,2308,3823,2279,3866,2275,3910,2275,3955,2258,3998,2263,4042,2265,4085,2267,4130,2251,4174,2243,4217,2239,4262,2241,4306,2224,4349,2239,4392,2239,4438,2215,4481,2200,4524,2181,4567,2183,4613,2157,4656,2147,4699,2162,4745,2143,4788,2133,4831,2145,4874,2131,4920,2119,4963,2116,5006,2116,5052,2128,5095,2109,5138,2109,5182,2099,5227,2097,5270,2075,5314,2063,5357,2042,5402,2039,5446,2037,5489,2025,5534,2018,5578,2061,5621,2015,5664,1977,5710,1955,5753,1919,5796,1910,5842,1927,5885,1912,5928,1907,5971,1891,6017,1881,6060,1903,6103,1900,6146,1891,6192,1869,6235,1859,6278,1850,6324,1852,6367,1816,6410,1828,6454,1790,6499,1749,6542,1754,6586,1744,6631,1771,6674,1768,6718,1739,6761,1727,6806,1691,6850,1663,6893,1651,6936,1639,6982,1612,7025,1576,7068,1555,7114,1535,7157,1523,7200,1502,7243,1475,7289,1435,7332,1396,7375,1370,7418,1353,7464,1312,7507,1281,7550,1262,7596,1233,7639,1202,7682,1154,7726,1135,7771,1096,7814,1046,7858,1024,7903,991,7946,1003,7990,998,8033,971,8078,959,8122,935,8165,916,8208,916,8254,885,8297,851,8340,813,8386,818,8429,796,8472,777,8515,755,8561,741,8604,741,8647,734,8693,707,8736,683,8779,655,8822,638,8868,633,8911,621,8954,614,8998,595,9043,575,9086,549,9130,539,9175,520,9218,499,9262,489,9305,475,9350,460,9394,448,9437,455,9482,467,9526,455,9569,448,9612,455,9658,460,9701,455,9744,448,9787,446e" filled="false" stroked="true" strokeweight="2.16pt" strokecolor="#c00000">
              <v:path arrowok="t"/>
              <v:stroke dashstyle="solid"/>
            </v:shape>
            <v:shape style="position:absolute;left:1672;top:956;width:8115;height:1894" coordorigin="1673,957" coordsize="8115,1894" path="m1673,2846l1716,2851,1762,2848,1805,2834,1848,2798,1894,2788,1937,2803,1980,2776,2023,2769,2069,2776,2112,2805,2155,2819,2201,2803,2244,2755,2287,2728,2330,2702,2376,2719,2419,2704,2462,2702,2506,2719,2551,2692,2594,2675,2638,2656,2683,2637,2726,2649,2770,2623,2813,2623,2858,2632,2902,2611,2945,2601,2990,2594,3034,2611,3077,2582,3120,2579,3166,2553,3209,2553,3252,2555,3295,2536,3341,2527,3384,2479,3427,2447,3473,2452,3516,2457,3559,2435,3602,2438,3648,2443,3691,2445,3734,2455,3780,2476,3823,2435,3866,2423,3910,2419,3955,2404,3998,2421,4042,2435,4085,2440,4130,2416,4174,2399,4217,2383,4262,2383,4306,2368,4349,2395,4392,2411,4438,2383,4481,2368,4524,2347,4567,2344,4613,2318,4656,2299,4699,2306,4745,2299,4788,2294,4831,2311,4874,2308,4920,2289,4963,2279,5006,2267,5052,2306,5095,2296,5138,2282,5182,2263,5227,2253,5270,2227,5314,2217,5357,2181,5402,2176,5446,2183,5489,2167,5534,2227,5578,2277,5621,2356,5664,2325,5710,2308,5753,2277,5796,2255,5842,2282,5885,2229,5928,2224,5971,2205,6017,2215,6060,2253,6103,2258,6146,2236,6192,2195,6235,2171,6278,2140,6324,2119,6367,2114,6410,2087,6454,2023,6499,1960,6542,1951,6586,1943,6631,1979,6674,2018,6718,2037,6806,2035,6893,1994,6936,1963,6982,1953,7025,1915,7068,1886,7114,1859,7157,1852,7200,1843,7243,1835,7289,1809,7332,1771,7375,1756,7418,1754,7464,1725,7507,1689,7550,1677,7596,1670,7639,1653,7682,1617,7726,1607,7771,1588,7814,1567,7858,1538,7903,1492,7946,1511,7990,1523,8033,1502,8078,1483,8122,1451,8165,1425,8208,1442,8254,1447,8297,1432,8340,1401,8386,1387,8429,1358,8472,1336,8515,1298,8561,1257,8604,1240,8647,1238,8693,1247,8736,1247,8779,1231,8822,1204,8868,1187,8911,1171,8954,1149,8998,1127,9043,1106,9086,1082,9130,1065,9175,1051,9218,1027,9262,1012,9305,995,9350,983,9394,971,9437,981,9482,1019,9526,1012,9569,1007,9612,1003,9658,993,9701,976,9744,964,9787,957e" filled="false" stroked="true" strokeweight="2.16pt" strokecolor="#006fc0">
              <v:path arrowok="t"/>
              <v:stroke dashstyle="solid"/>
            </v:shape>
            <v:shape style="position:absolute;left:1672;top:1134;width:8115;height:1719" coordorigin="1673,1135" coordsize="8115,1719" path="m1673,2846l1716,2853,1762,2851,1805,2839,1848,2831,1894,2810,1937,2827,1980,2815,2023,2795,2069,2822,2112,2834,2155,2853,2201,2853,2244,2824,2287,2798,2330,2781,2376,2798,2419,2786,2462,2776,2506,2786,2551,2764,2594,2764,2638,2745,2683,2747,2726,2767,2770,2738,2813,2723,2858,2735,2902,2711,2945,2711,2990,2685,3034,2683,3077,2678,3120,2668,3166,2647,3209,2630,3252,2635,3295,2620,3341,2615,3384,2587,3427,2567,3473,2565,3516,2558,3559,2543,3602,2541,3648,2543,3691,2541,3734,2543,3780,2563,3823,2534,3866,2546,3910,2541,3955,2524,3998,2529,4042,2529,4085,2531,4130,2512,4174,2510,4217,2503,4262,2495,4306,2471,4349,2483,4392,2488,4438,2467,4481,2457,4524,2435,4567,2438,4613,2416,4656,2399,4699,2409,4745,2404,4788,2407,4831,2411,4874,2407,4920,2409,4963,2404,5006,2402,5052,2411,5095,2416,5138,2409,5182,2395,5227,2392,5270,2371,5314,2375,5357,2363,5402,2431,5446,2493,5489,2500,5534,2399,5578,2402,5621,2469,5664,2445,5710,2426,5753,2407,5796,2397,5842,2395,5885,2366,5928,2359,5971,2344,6017,2337,6060,2330,6103,2339,6146,2313,6192,2296,6235,2279,6278,2255,6324,2251,6367,2258,6410,2263,6454,2373,6499,2392,6542,2395,6586,2407,6631,2383,6674,2330,6718,2263,6761,2236,6806,2229,6850,2222,6893,2203,6936,2207,6982,2210,7025,2179,7068,2150,7114,2121,7157,2121,7200,2109,7243,2090,7289,2063,7332,2042,7375,2030,7418,2020,7464,1991,7507,1972,7550,1967,7596,1955,7639,1941,7682,1922,7726,1919,7771,1898,7814,1879,7858,1833,7903,1795,7946,1804,7990,1807,8033,1802,8078,1804,8122,1766,8165,1732,8208,1732,8254,1730,8297,1718,8340,1687,8386,1670,8429,1634,8472,1591,8515,1555,8561,1504,8604,1478,8647,1471,8693,1478,8736,1473,8779,1451,8822,1430,8868,1415,8911,1389,8954,1355,8998,1329,9043,1295,9086,1264,9130,1240,9175,1216,9218,1192,9262,1171,9305,1156,9350,1149,9394,1135,9437,1144,9482,1175,9526,1175,9569,1185,9612,1178,9658,1171,9701,1161,9744,1149,9787,1135e" filled="false" stroked="true" strokeweight="2.16pt" strokecolor="#ffc000">
              <v:path arrowok="t"/>
              <v:stroke dashstyle="solid"/>
            </v:shape>
            <v:shape style="position:absolute;left:1672;top:1302;width:8115;height:1383" coordorigin="1673,1303" coordsize="8115,1383" path="m1673,2685l1716,2680,1762,2675,1805,2668,1848,2663,1894,2659,1937,2654,1980,2649,2023,2642,2069,2637,2112,2632,2155,2627,2201,2623,2244,2618,2287,2613,2330,2606,2376,2601,2419,2596,2462,2591,2506,2587,2551,2582,2594,2577,2638,2572,2683,2567,2726,2560,2770,2555,2813,2551,2858,2546,2902,2541,2945,2536,2990,2529,3034,2519,3077,2519,3120,2515,3166,2512,3209,2498,3252,2486,3295,2471,3341,2469,3384,2469,3427,2459,3473,2411,3516,2359,3559,2332,3602,2325,3648,2323,3691,2318,3734,2315,3780,2315,3823,2332,3866,2327,3910,2327,3955,2327,3998,2325,4042,2327,4085,2327,4130,2327,4174,2327,4217,2327,4262,2327,4306,2318,4349,2315,4392,2301,4438,2308,4481,2311,4524,2303,4567,2299,4613,2277,4656,2294,4699,2294,4745,2294,4788,2289,4831,2289,4874,2289,4920,2289,4963,2289,5006,2287,5052,2282,5095,2277,5138,2275,5182,2275,5227,2263,5270,2263,5314,2255,5357,2255,5402,2253,5446,2251,5489,2248,5534,2042,5578,1965,5621,1881,5664,1900,5710,1881,5753,1857,5796,1876,5842,1859,5885,1910,5928,1907,5971,1898,6017,1893,6060,1891,6103,1888,6146,1888,6192,1891,6235,1900,6278,1912,6324,1919,6367,1838,6410,1874,6454,1910,6499,1903,6542,1895,6586,1888,6631,1881,6674,1814,6718,1785,6761,1727,6806,1713,6850,1706,6893,1715,6936,1723,6982,1699,7025,1701,7068,1703,7114,1703,7157,1691,7200,1677,7243,1653,7289,1660,7332,1655,7375,1627,7418,1598,7464,1591,7507,1591,7550,1574,7596,1533,7639,1523,7682,1516,7726,1509,7771,1478,7814,1447,7858,1463,7903,1471,7946,1459,7990,1435,8033,1430,8078,1437,8122,1439,8165,1437,8208,1413,8254,1387,8297,1384,8340,1379,8386,1384,8429,1387,8472,1382,8515,1384,8561,1391,8604,1394,8647,1384,8693,1365,8736,1360,8779,1358,8822,1365,8868,1367,8911,1365,8954,1365,8998,1363,9043,1355,9086,1343,9130,1346,9175,1334,9218,1327,9262,1324,9305,1327,9350,1322,9394,1324,9437,1319,9482,1303,9526,1307,9569,1305,9612,1315,9658,1324,9701,1329,9744,1327,9787,1327e" filled="false" stroked="true" strokeweight="2.16pt" strokecolor="#00af50">
              <v:path arrowok="t"/>
              <v:stroke dashstyle="solid"/>
            </v:shape>
            <v:line style="position:absolute" from="2342,307" to="2726,307" stroked="true" strokeweight="2.16pt" strokecolor="#c00000">
              <v:stroke dashstyle="solid"/>
            </v:line>
            <v:line style="position:absolute" from="2342,669" to="2726,669" stroked="true" strokeweight="2.16pt" strokecolor="#006fc0">
              <v:stroke dashstyle="solid"/>
            </v:line>
            <v:line style="position:absolute" from="2342,1031" to="2726,1031" stroked="true" strokeweight="2.16pt" strokecolor="#ffc000">
              <v:stroke dashstyle="solid"/>
            </v:line>
            <v:line style="position:absolute" from="2342,1391" to="2726,1391" stroked="true" strokeweight="2.16pt" strokecolor="#00af50">
              <v:stroke dashstyle="solid"/>
            </v:line>
            <v:shape style="position:absolute;left:1593;top:66;width:8273;height:3356" type="#_x0000_t202" filled="false" stroked="false">
              <v:textbox inset="0,0,0,0">
                <w:txbxContent>
                  <w:p>
                    <w:pPr>
                      <w:spacing w:line="393" w:lineRule="auto" w:before="121"/>
                      <w:ind w:left="1175" w:right="3807" w:firstLine="0"/>
                      <w:jc w:val="left"/>
                      <w:rPr>
                        <w:rFonts w:ascii="Calibri"/>
                        <w:sz w:val="18"/>
                      </w:rPr>
                    </w:pPr>
                    <w:r>
                      <w:rPr>
                        <w:rFonts w:ascii="Calibri"/>
                        <w:sz w:val="18"/>
                      </w:rPr>
                      <w:t>Productivity (GDP per hour worked, RHS) Real GDP per person (RHS)</w:t>
                    </w:r>
                  </w:p>
                  <w:p>
                    <w:pPr>
                      <w:spacing w:line="396" w:lineRule="auto" w:before="2"/>
                      <w:ind w:left="1175" w:right="4820" w:firstLine="0"/>
                      <w:jc w:val="left"/>
                      <w:rPr>
                        <w:rFonts w:ascii="Calibri"/>
                        <w:sz w:val="18"/>
                      </w:rPr>
                    </w:pPr>
                    <w:r>
                      <w:rPr>
                        <w:rFonts w:ascii="Calibri"/>
                        <w:sz w:val="18"/>
                      </w:rPr>
                      <w:t>Consumption per person (RHS) Leisure (LHS)</w:t>
                    </w:r>
                  </w:p>
                </w:txbxContent>
              </v:textbox>
              <w10:wrap type="none"/>
            </v:shape>
            <w10:wrap type="none"/>
          </v:group>
        </w:pict>
      </w:r>
      <w:r>
        <w:rPr>
          <w:rFonts w:ascii="Calibri"/>
          <w:sz w:val="18"/>
        </w:rPr>
        <w:t>80</w:t>
      </w:r>
    </w:p>
    <w:p>
      <w:pPr>
        <w:pStyle w:val="BodyText"/>
        <w:spacing w:before="3"/>
        <w:rPr>
          <w:rFonts w:ascii="Calibri"/>
          <w:sz w:val="14"/>
        </w:rPr>
      </w:pPr>
    </w:p>
    <w:p>
      <w:pPr>
        <w:spacing w:before="0"/>
        <w:ind w:left="403" w:right="0" w:firstLine="0"/>
        <w:jc w:val="left"/>
        <w:rPr>
          <w:rFonts w:ascii="Calibri"/>
          <w:sz w:val="18"/>
        </w:rPr>
      </w:pPr>
      <w:r>
        <w:rPr>
          <w:rFonts w:ascii="Calibri"/>
          <w:sz w:val="18"/>
        </w:rPr>
        <w:t>70</w:t>
      </w:r>
    </w:p>
    <w:p>
      <w:pPr>
        <w:pStyle w:val="BodyText"/>
        <w:spacing w:before="2"/>
        <w:rPr>
          <w:rFonts w:ascii="Calibri"/>
          <w:sz w:val="14"/>
        </w:rPr>
      </w:pPr>
    </w:p>
    <w:p>
      <w:pPr>
        <w:spacing w:before="0"/>
        <w:ind w:left="403" w:right="0" w:firstLine="0"/>
        <w:jc w:val="left"/>
        <w:rPr>
          <w:rFonts w:ascii="Calibri"/>
          <w:sz w:val="18"/>
        </w:rPr>
      </w:pPr>
      <w:r>
        <w:rPr>
          <w:rFonts w:ascii="Calibri"/>
          <w:sz w:val="18"/>
        </w:rPr>
        <w:t>60</w:t>
      </w:r>
    </w:p>
    <w:p>
      <w:pPr>
        <w:pStyle w:val="BodyText"/>
        <w:spacing w:before="2"/>
        <w:rPr>
          <w:rFonts w:ascii="Calibri"/>
          <w:sz w:val="14"/>
        </w:rPr>
      </w:pPr>
    </w:p>
    <w:p>
      <w:pPr>
        <w:spacing w:before="0"/>
        <w:ind w:left="403" w:right="0" w:firstLine="0"/>
        <w:jc w:val="left"/>
        <w:rPr>
          <w:rFonts w:ascii="Calibri"/>
          <w:sz w:val="18"/>
        </w:rPr>
      </w:pPr>
      <w:r>
        <w:rPr>
          <w:rFonts w:ascii="Calibri"/>
          <w:sz w:val="18"/>
        </w:rPr>
        <w:t>50</w:t>
      </w:r>
    </w:p>
    <w:p>
      <w:pPr>
        <w:pStyle w:val="BodyText"/>
        <w:spacing w:before="2"/>
        <w:rPr>
          <w:rFonts w:ascii="Calibri"/>
          <w:sz w:val="15"/>
        </w:rPr>
      </w:pPr>
      <w:r>
        <w:rPr/>
        <w:br w:type="column"/>
      </w:r>
      <w:r>
        <w:rPr>
          <w:rFonts w:ascii="Calibri"/>
          <w:sz w:val="15"/>
        </w:rPr>
      </w:r>
    </w:p>
    <w:p>
      <w:pPr>
        <w:spacing w:before="0"/>
        <w:ind w:left="403" w:right="635" w:firstLine="468"/>
        <w:jc w:val="left"/>
        <w:rPr>
          <w:rFonts w:ascii="Calibri"/>
          <w:sz w:val="18"/>
        </w:rPr>
      </w:pPr>
      <w:r>
        <w:rPr>
          <w:rFonts w:ascii="Calibri"/>
          <w:sz w:val="18"/>
        </w:rPr>
        <w:t>Log scale, Index 1831=100</w:t>
      </w:r>
    </w:p>
    <w:p>
      <w:pPr>
        <w:spacing w:before="131"/>
        <w:ind w:left="1320" w:right="0" w:firstLine="0"/>
        <w:jc w:val="left"/>
        <w:rPr>
          <w:rFonts w:ascii="Calibri"/>
          <w:sz w:val="18"/>
        </w:rPr>
      </w:pPr>
      <w:r>
        <w:rPr>
          <w:rFonts w:ascii="Calibri"/>
          <w:sz w:val="18"/>
        </w:rPr>
        <w:t>3200</w:t>
      </w:r>
    </w:p>
    <w:p>
      <w:pPr>
        <w:pStyle w:val="BodyText"/>
        <w:spacing w:before="6"/>
        <w:rPr>
          <w:rFonts w:ascii="Calibri"/>
          <w:sz w:val="24"/>
        </w:rPr>
      </w:pPr>
    </w:p>
    <w:p>
      <w:pPr>
        <w:spacing w:before="0"/>
        <w:ind w:left="1320" w:right="0" w:firstLine="0"/>
        <w:jc w:val="left"/>
        <w:rPr>
          <w:rFonts w:ascii="Calibri"/>
          <w:sz w:val="18"/>
        </w:rPr>
      </w:pPr>
      <w:r>
        <w:rPr>
          <w:rFonts w:ascii="Calibri"/>
          <w:sz w:val="18"/>
        </w:rPr>
        <w:t>1600</w:t>
      </w:r>
    </w:p>
    <w:p>
      <w:pPr>
        <w:pStyle w:val="BodyText"/>
        <w:spacing w:before="7"/>
        <w:rPr>
          <w:rFonts w:ascii="Calibri"/>
          <w:sz w:val="24"/>
        </w:rPr>
      </w:pPr>
    </w:p>
    <w:p>
      <w:pPr>
        <w:spacing w:before="0"/>
        <w:ind w:left="1320" w:right="0" w:firstLine="0"/>
        <w:jc w:val="left"/>
        <w:rPr>
          <w:rFonts w:ascii="Calibri"/>
          <w:sz w:val="18"/>
        </w:rPr>
      </w:pPr>
      <w:r>
        <w:rPr>
          <w:rFonts w:ascii="Calibri"/>
          <w:sz w:val="18"/>
        </w:rPr>
        <w:t>800</w:t>
      </w:r>
    </w:p>
    <w:p>
      <w:pPr>
        <w:spacing w:after="0"/>
        <w:jc w:val="left"/>
        <w:rPr>
          <w:rFonts w:ascii="Calibri"/>
          <w:sz w:val="18"/>
        </w:rPr>
        <w:sectPr>
          <w:type w:val="continuous"/>
          <w:pgSz w:w="11910" w:h="16840"/>
          <w:pgMar w:top="1180" w:bottom="1520" w:left="900" w:right="1020"/>
          <w:cols w:num="2" w:equalWidth="0">
            <w:col w:w="2144" w:space="5615"/>
            <w:col w:w="2231"/>
          </w:cols>
        </w:sectPr>
      </w:pPr>
    </w:p>
    <w:p>
      <w:pPr>
        <w:pStyle w:val="BodyText"/>
        <w:spacing w:before="11"/>
        <w:rPr>
          <w:rFonts w:ascii="Calibri"/>
          <w:sz w:val="8"/>
        </w:rPr>
      </w:pPr>
    </w:p>
    <w:p>
      <w:pPr>
        <w:tabs>
          <w:tab w:pos="9080" w:val="left" w:leader="none"/>
        </w:tabs>
        <w:spacing w:before="68"/>
        <w:ind w:left="403" w:right="0" w:firstLine="0"/>
        <w:jc w:val="left"/>
        <w:rPr>
          <w:rFonts w:ascii="Calibri"/>
          <w:sz w:val="18"/>
        </w:rPr>
      </w:pPr>
      <w:r>
        <w:rPr>
          <w:rFonts w:ascii="Calibri"/>
          <w:position w:val="1"/>
          <w:sz w:val="18"/>
        </w:rPr>
        <w:t>40</w:t>
        <w:tab/>
      </w:r>
      <w:r>
        <w:rPr>
          <w:rFonts w:ascii="Calibri"/>
          <w:sz w:val="18"/>
        </w:rPr>
        <w:t>400</w:t>
      </w:r>
    </w:p>
    <w:p>
      <w:pPr>
        <w:spacing w:line="180" w:lineRule="exact" w:before="159"/>
        <w:ind w:left="403" w:right="0" w:firstLine="0"/>
        <w:jc w:val="left"/>
        <w:rPr>
          <w:rFonts w:ascii="Calibri"/>
          <w:sz w:val="18"/>
        </w:rPr>
      </w:pPr>
      <w:r>
        <w:rPr>
          <w:rFonts w:ascii="Calibri"/>
          <w:sz w:val="18"/>
        </w:rPr>
        <w:t>30</w:t>
      </w:r>
    </w:p>
    <w:p>
      <w:pPr>
        <w:spacing w:line="180" w:lineRule="exact" w:before="0"/>
        <w:ind w:left="9080" w:right="0" w:firstLine="0"/>
        <w:jc w:val="left"/>
        <w:rPr>
          <w:rFonts w:ascii="Calibri"/>
          <w:sz w:val="18"/>
        </w:rPr>
      </w:pPr>
      <w:r>
        <w:rPr>
          <w:rFonts w:ascii="Calibri"/>
          <w:sz w:val="18"/>
        </w:rPr>
        <w:t>200</w:t>
      </w:r>
    </w:p>
    <w:p>
      <w:pPr>
        <w:spacing w:before="33"/>
        <w:ind w:left="403" w:right="0" w:firstLine="0"/>
        <w:jc w:val="left"/>
        <w:rPr>
          <w:rFonts w:ascii="Calibri"/>
          <w:sz w:val="18"/>
        </w:rPr>
      </w:pPr>
      <w:r>
        <w:rPr>
          <w:rFonts w:ascii="Calibri"/>
          <w:sz w:val="18"/>
        </w:rPr>
        <w:t>20</w:t>
      </w:r>
    </w:p>
    <w:p>
      <w:pPr>
        <w:spacing w:line="173" w:lineRule="exact" w:before="47"/>
        <w:ind w:left="9080" w:right="0" w:firstLine="0"/>
        <w:jc w:val="left"/>
        <w:rPr>
          <w:rFonts w:ascii="Calibri"/>
          <w:sz w:val="18"/>
        </w:rPr>
      </w:pPr>
      <w:r>
        <w:rPr>
          <w:rFonts w:ascii="Calibri"/>
          <w:sz w:val="18"/>
        </w:rPr>
        <w:t>100</w:t>
      </w:r>
    </w:p>
    <w:p>
      <w:pPr>
        <w:spacing w:line="173" w:lineRule="exact" w:before="0"/>
        <w:ind w:left="403" w:right="0" w:firstLine="0"/>
        <w:jc w:val="left"/>
        <w:rPr>
          <w:rFonts w:ascii="Calibri"/>
          <w:sz w:val="18"/>
        </w:rPr>
      </w:pPr>
      <w:r>
        <w:rPr>
          <w:rFonts w:ascii="Calibri"/>
          <w:sz w:val="18"/>
        </w:rPr>
        <w:t>10</w:t>
      </w:r>
    </w:p>
    <w:p>
      <w:pPr>
        <w:pStyle w:val="BodyText"/>
        <w:rPr>
          <w:rFonts w:ascii="Calibri"/>
          <w:sz w:val="9"/>
        </w:rPr>
      </w:pPr>
    </w:p>
    <w:p>
      <w:pPr>
        <w:tabs>
          <w:tab w:pos="9080" w:val="left" w:leader="none"/>
        </w:tabs>
        <w:spacing w:before="63"/>
        <w:ind w:left="494" w:right="0" w:firstLine="0"/>
        <w:jc w:val="left"/>
        <w:rPr>
          <w:rFonts w:ascii="Calibri"/>
          <w:sz w:val="18"/>
        </w:rPr>
      </w:pPr>
      <w:r>
        <w:rPr>
          <w:rFonts w:ascii="Calibri"/>
          <w:sz w:val="18"/>
        </w:rPr>
        <w:t>0</w:t>
        <w:tab/>
        <w:t>50</w:t>
      </w:r>
    </w:p>
    <w:p>
      <w:pPr>
        <w:tabs>
          <w:tab w:pos="1469" w:val="left" w:leader="none"/>
          <w:tab w:pos="2347" w:val="left" w:leader="none"/>
          <w:tab w:pos="3224" w:val="left" w:leader="none"/>
          <w:tab w:pos="4101" w:val="left" w:leader="none"/>
          <w:tab w:pos="4979" w:val="left" w:leader="none"/>
          <w:tab w:pos="5856" w:val="left" w:leader="none"/>
          <w:tab w:pos="6734" w:val="left" w:leader="none"/>
          <w:tab w:pos="7612" w:val="left" w:leader="none"/>
          <w:tab w:pos="8489" w:val="left" w:leader="none"/>
        </w:tabs>
        <w:spacing w:before="14"/>
        <w:ind w:left="592" w:right="0" w:firstLine="0"/>
        <w:jc w:val="left"/>
        <w:rPr>
          <w:rFonts w:ascii="Calibri"/>
          <w:sz w:val="18"/>
        </w:rPr>
      </w:pPr>
      <w:r>
        <w:rPr>
          <w:rFonts w:ascii="Calibri"/>
          <w:sz w:val="18"/>
        </w:rPr>
        <w:t>1831</w:t>
        <w:tab/>
        <w:t>1851</w:t>
        <w:tab/>
        <w:t>1871</w:t>
        <w:tab/>
        <w:t>1891</w:t>
        <w:tab/>
        <w:t>1911</w:t>
        <w:tab/>
        <w:t>1931</w:t>
        <w:tab/>
        <w:t>1951</w:t>
        <w:tab/>
        <w:t>1971</w:t>
        <w:tab/>
        <w:t>1991</w:t>
        <w:tab/>
        <w:t>2011</w:t>
      </w:r>
    </w:p>
    <w:p>
      <w:pPr>
        <w:pStyle w:val="BodyText"/>
        <w:spacing w:before="6"/>
        <w:rPr>
          <w:rFonts w:ascii="Calibri"/>
          <w:sz w:val="8"/>
        </w:rPr>
      </w:pPr>
    </w:p>
    <w:p>
      <w:pPr>
        <w:spacing w:before="95"/>
        <w:ind w:left="372" w:right="4746" w:firstLine="0"/>
        <w:jc w:val="left"/>
        <w:rPr>
          <w:sz w:val="16"/>
        </w:rPr>
      </w:pPr>
      <w:r>
        <w:rPr>
          <w:sz w:val="16"/>
        </w:rPr>
        <w:t>Sources: Thomas and Dimsdale (2017) and Bank calculations. Notes: Leisure calculated as 84 minus average weekly hours.</w:t>
      </w:r>
    </w:p>
    <w:p>
      <w:pPr>
        <w:pStyle w:val="BodyText"/>
        <w:rPr>
          <w:sz w:val="18"/>
        </w:rPr>
      </w:pPr>
    </w:p>
    <w:p>
      <w:pPr>
        <w:pStyle w:val="BodyText"/>
        <w:spacing w:line="360" w:lineRule="auto" w:before="139"/>
        <w:ind w:left="233" w:right="298"/>
      </w:pPr>
      <w:r>
        <w:rPr/>
        <w:t>Higher productivity also tends to lead to higher real wages (Chart 7). The average real wage has increased by around 14 times over the past 250 years, as employers have increased salaries for their increasingly productive employees.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pPr>
      <w:r>
        <w:rPr/>
        <w:pict>
          <v:shape style="position:absolute;margin-left:56.664001pt;margin-top:14.025774pt;width:144.050pt;height:.1pt;mso-position-horizontal-relative:page;mso-position-vertical-relative:paragraph;z-index:-251643904;mso-wrap-distance-left:0;mso-wrap-distance-right:0" coordorigin="1133,281" coordsize="2881,0" path="m1133,281l4014,281e" filled="false" stroked="true" strokeweight=".47998pt" strokecolor="#000000">
            <v:path arrowok="t"/>
            <v:stroke dashstyle="solid"/>
            <w10:wrap type="topAndBottom"/>
          </v:shape>
        </w:pict>
      </w:r>
    </w:p>
    <w:p>
      <w:pPr>
        <w:spacing w:before="29"/>
        <w:ind w:left="233" w:right="0" w:firstLine="0"/>
        <w:jc w:val="left"/>
        <w:rPr>
          <w:sz w:val="16"/>
        </w:rPr>
      </w:pPr>
      <w:r>
        <w:rPr>
          <w:position w:val="8"/>
          <w:sz w:val="10"/>
        </w:rPr>
        <w:t>3 </w:t>
      </w:r>
      <w:r>
        <w:rPr>
          <w:sz w:val="16"/>
        </w:rPr>
        <w:t>Assuming 12 hours per day devoted to sleeping, eating and personal care. The statistic only includes workers, so does not count any benefits from longer periods spend in retirement.</w:t>
      </w:r>
    </w:p>
    <w:p>
      <w:pPr>
        <w:spacing w:after="0"/>
        <w:jc w:val="left"/>
        <w:rPr>
          <w:sz w:val="16"/>
        </w:rPr>
        <w:sectPr>
          <w:type w:val="continuous"/>
          <w:pgSz w:w="11910" w:h="16840"/>
          <w:pgMar w:top="1180" w:bottom="1520" w:left="900" w:right="1020"/>
        </w:sectPr>
      </w:pPr>
    </w:p>
    <w:p>
      <w:pPr>
        <w:pStyle w:val="Heading1"/>
        <w:spacing w:before="67"/>
        <w:ind w:left="540"/>
      </w:pPr>
      <w:r>
        <w:rPr/>
        <w:t>Chart 7 – Historical labour productivity and real wages</w:t>
      </w:r>
    </w:p>
    <w:p>
      <w:pPr>
        <w:pStyle w:val="BodyText"/>
        <w:rPr>
          <w:b/>
          <w:sz w:val="18"/>
        </w:rPr>
      </w:pPr>
      <w:r>
        <w:rPr/>
        <w:br w:type="column"/>
      </w:r>
      <w:r>
        <w:rPr>
          <w:b/>
          <w:sz w:val="18"/>
        </w:rPr>
      </w:r>
    </w:p>
    <w:p>
      <w:pPr>
        <w:spacing w:before="128"/>
        <w:ind w:left="540" w:right="700" w:firstLine="468"/>
        <w:jc w:val="right"/>
        <w:rPr>
          <w:rFonts w:ascii="Calibri"/>
          <w:sz w:val="18"/>
        </w:rPr>
      </w:pPr>
      <w:r>
        <w:rPr>
          <w:rFonts w:ascii="Calibri"/>
          <w:sz w:val="18"/>
        </w:rPr>
        <w:t>Log</w:t>
      </w:r>
      <w:r>
        <w:rPr>
          <w:rFonts w:ascii="Calibri"/>
          <w:spacing w:val="5"/>
          <w:sz w:val="18"/>
        </w:rPr>
        <w:t> </w:t>
      </w:r>
      <w:r>
        <w:rPr>
          <w:rFonts w:ascii="Calibri"/>
          <w:spacing w:val="-4"/>
          <w:sz w:val="18"/>
        </w:rPr>
        <w:t>scale,</w:t>
      </w:r>
      <w:r>
        <w:rPr>
          <w:rFonts w:ascii="Calibri"/>
          <w:sz w:val="18"/>
        </w:rPr>
        <w:t> Index</w:t>
      </w:r>
      <w:r>
        <w:rPr>
          <w:rFonts w:ascii="Calibri"/>
          <w:spacing w:val="6"/>
          <w:sz w:val="18"/>
        </w:rPr>
        <w:t> </w:t>
      </w:r>
      <w:r>
        <w:rPr>
          <w:rFonts w:ascii="Calibri"/>
          <w:spacing w:val="-3"/>
          <w:sz w:val="18"/>
        </w:rPr>
        <w:t>1762=100</w:t>
      </w:r>
    </w:p>
    <w:p>
      <w:pPr>
        <w:spacing w:before="27"/>
        <w:ind w:left="0" w:right="669" w:firstLine="0"/>
        <w:jc w:val="right"/>
        <w:rPr>
          <w:rFonts w:ascii="Calibri"/>
          <w:sz w:val="18"/>
        </w:rPr>
      </w:pPr>
      <w:r>
        <w:rPr/>
        <w:pict>
          <v:group style="position:absolute;margin-left:85.919998pt;margin-top:7.109312pt;width:400.35pt;height:157.7pt;mso-position-horizontal-relative:page;mso-position-vertical-relative:paragraph;z-index:251676672" coordorigin="1718,142" coordsize="8007,3154">
            <v:shape style="position:absolute;left:1725;top:149;width:8000;height:3147" coordorigin="1726,149" coordsize="8000,3147" path="m9682,3238l9682,149m9682,3238l9725,3238m9682,2725l9725,2725m9682,2209l9725,2209m9682,1693l9725,1693m9682,1179l9725,1179m9682,663l9725,663m9682,149l9725,149m1726,3238l9682,3238m1726,3238l1726,3296m2506,3238l2506,3296m3286,3238l3286,3296m4066,3238l4066,3296m4846,3238l4846,3296m5626,3238l5626,3296m6406,3238l6406,3296m7186,3238l7186,3296m7966,3238l7966,3296m8746,3238l8746,3296m9526,3238l9526,3296e" filled="false" stroked="true" strokeweight=".72pt" strokecolor="#858585">
              <v:path arrowok="t"/>
              <v:stroke dashstyle="solid"/>
            </v:shape>
            <v:shape style="position:absolute;left:1740;top:1164;width:6240;height:1656" coordorigin="1740,1165" coordsize="6240,1656" path="m1740,2725l1771,2727,1802,2732,1834,2746,1865,2751,1896,2753,1927,2756,1958,2734,1990,2761,2021,2758,2052,2780,2083,2775,2114,2797,2146,2787,2177,2777,2208,2768,2239,2775,2270,2780,2302,2758,2333,2751,2364,2761,2395,2777,2426,2777,2458,2792,2489,2792,2520,2813,2551,2821,2582,2818,2614,2787,2645,2794,2676,2780,2707,2792,2738,2809,2770,2765,2801,2763,2832,2775,2863,2782,2894,2773,2926,2758,2957,2756,2988,2749,3019,2756,3050,2758,3082,2739,3113,2749,3144,2725,3175,2758,3206,2744,3238,2717,3269,2725,3300,2749,3331,2720,3362,2729,3394,2698,3425,2727,3456,2720,3487,2725,3518,2734,3550,2710,3581,2710,3612,2710,3643,2705,3674,2684,3706,2679,3737,2701,3768,2669,3799,2665,3830,2665,3862,2653,3893,2645,3924,2633,3955,2638,3986,2626,4018,2600,4049,2593,4080,2595,4111,2573,4142,2573,4174,2545,4205,2557,4236,2566,4267,2576,4298,2547,4330,2533,4361,2509,4392,2506,4423,2480,4454,2468,4486,2463,4517,2458,4548,2446,4579,2449,4610,2427,4642,2444,4673,2410,4704,2415,4735,2413,4766,2398,4798,2396,4829,2381,4860,2377,4891,2348,4922,2353,4954,2329,4985,2321,5016,2312,5047,2283,5078,2269,5110,2225,5141,2197,5172,2192,5203,2173,5234,2137,5266,2127,5297,2122,5328,2110,5359,2098,5390,2113,5422,2084,5453,2079,5484,2079,5515,2062,5546,2067,5578,2069,5609,2072,5640,2055,5671,2048,5702,2043,5734,2045,5765,2029,5796,2043,5827,2043,5858,2019,5890,2005,5921,1985,5952,1988,5983,1961,6014,1952,6046,1966,6077,1947,6108,1940,6139,1949,6170,1935,6202,1923,6233,1923,6264,1921,6295,1933,6326,1913,6358,1913,6389,1904,6420,1901,6451,1880,6482,1870,6514,1849,6545,1844,6576,1841,6607,1832,6638,1825,6670,1868,6701,1822,6732,1781,6763,1760,6794,1726,6826,1717,6857,1733,6888,1719,6919,1714,6950,1700,6982,1688,7013,1709,7044,1707,7075,1697,7106,1676,7138,1666,7169,1659,7200,1661,7231,1623,7262,1635,7294,1597,7325,1556,7356,1563,7387,1553,7418,1577,7450,1575,7481,1546,7512,1534,7543,1501,7574,1469,7606,1460,7637,1448,7668,1421,7699,1385,7730,1364,7762,1345,7793,1333,7824,1311,7855,1285,7886,1244,7918,1208,7949,1181,7980,1165e" filled="false" stroked="true" strokeweight="2.16pt" strokecolor="#c00000">
              <v:path arrowok="t"/>
              <v:stroke dashstyle="solid"/>
            </v:shape>
            <v:shape style="position:absolute;left:7980;top:262;width:1685;height:903" coordorigin="7980,262" coordsize="1685,903" path="m7980,1165l8011,1124,8042,1093,8074,1073,8105,1045,8136,1013,8167,965,8198,946,8230,908,8261,857,8292,838,8323,802,8354,817,8386,812,8417,783,8448,771,8479,749,8510,730,8542,730,8573,699,8604,665,8635,627,8666,632,8698,610,8729,591,8760,569,8791,555,8822,557,8854,548,8885,524,8916,497,8947,471,8978,454,9010,449,9041,437,9072,430,9103,411,9134,392,9166,365,9197,356,9228,339,9259,315,9290,305,9322,291,9353,279,9384,267,9415,274,9446,286,9478,274,9509,267,9540,274,9571,277,9602,272,9634,265,9665,262e" filled="false" stroked="true" strokeweight="2.16pt" strokecolor="#c00000">
              <v:path arrowok="t"/>
              <v:stroke dashstyle="solid"/>
            </v:shape>
            <v:shape style="position:absolute;left:1740;top:1646;width:6240;height:1241" coordorigin="1740,1647" coordsize="6240,1241" path="m1740,2725l1771,2653,1802,2741,1834,2780,1865,2780,1896,2888,1927,2804,1958,2693,1990,2725,2021,2761,2052,2789,2083,2792,2114,2777,2146,2770,2177,2722,2208,2734,2239,2737,2270,2693,2302,2693,2333,2737,2364,2744,2395,2758,2426,2732,2458,2698,2489,2684,2520,2691,2551,2689,2582,2677,2614,2701,2645,2679,2676,2645,2707,2655,2738,2645,2770,2703,2801,2689,2832,2597,2863,2583,2894,2689,2926,2842,2957,2799,2988,2621,3019,2597,3050,2614,3082,2653,3113,2617,3144,2607,3175,2643,3206,2689,3238,2681,3269,2691,3300,2753,3331,2758,3362,2689,3394,2607,3425,2686,3456,2703,3487,2703,3518,2677,3550,2643,3581,2626,3612,2578,3643,2614,3674,2638,3706,2665,3737,2633,3768,2614,3799,2621,3830,2638,3862,2621,3893,2626,3924,2597,3955,2566,3986,2547,4018,2528,4049,2578,4080,2593,4111,2609,4142,2621,4174,2612,4205,2597,4236,2559,4267,2506,4298,2528,4330,2521,4361,2576,4392,2607,4423,2525,4454,2506,4486,2477,4517,2463,4548,2463,4579,2525,4610,2542,4642,2537,4673,2530,4704,2518,4735,2461,4766,2463,4798,2497,4829,2497,4860,2487,4891,2458,4922,2441,4954,2432,4985,2451,5016,2482,5047,2465,5078,2422,5110,2413,5141,2410,5172,2401,5203,2369,5234,2338,5266,2331,5297,2331,5328,2331,5359,2319,5390,2297,5422,2309,5453,2293,5484,2288,5515,2283,5546,2261,5578,2242,5609,2242,5640,2225,5671,2213,5702,2204,5734,2180,5765,2175,5796,2177,5827,2165,5858,2141,5890,2129,5921,2120,5952,2122,5983,2122,6014,2101,6046,2108,6077,2098,6108,2098,6139,2103,6170,2101,6202,2098,6233,2089,6264,2086,6295,2089,6326,2091,6358,2101,6389,2091,6420,2096,6451,2077,6482,2089,6514,2067,6545,2096,6576,2079,6607,2067,6638,2041,6670,2041,6701,2024,6732,2072,6763,2086,6794,2069,6826,2065,6857,2077,6888,2043,6919,2053,6950,2043,6982,2029,7013,2012,7044,2009,7075,1997,7106,1988,7138,1981,7169,1969,7200,1973,7231,1957,7262,1969,7294,1897,7325,1906,7356,1870,7387,1825,7418,1832,7450,1856,7481,1849,7512,1846,7543,1837,7574,1827,7606,1822,7637,1815,7668,1832,7699,1815,7730,1786,7762,1762,7793,1741,7824,1731,7855,1726,7886,1709,7918,1673,7949,1647,7980,1652e" filled="false" stroked="true" strokeweight="2.16pt" strokecolor="#a6a6a6">
              <v:path arrowok="t"/>
              <v:stroke dashstyle="solid"/>
            </v:shape>
            <v:shape style="position:absolute;left:7980;top:715;width:1685;height:936" coordorigin="7980,716" coordsize="1685,936" path="m7980,1652l8011,1637,8042,1601,8074,1582,8105,1565,8136,1556,8167,1525,8198,1505,8230,1465,8261,1448,8292,1409,8323,1376,8354,1357,8386,1318,8417,1313,8448,1347,8479,1306,8510,1273,8542,1232,8573,1220,8604,1208,8635,1184,8666,1169,8698,1141,8729,1109,8760,1076,8791,1037,8822,1009,8854,982,8885,982,8916,968,8947,965,8978,953,9010,949,9041,939,9072,920,9103,893,9134,872,9166,845,9197,819,9228,805,9259,790,9290,769,9322,749,9353,733,9384,716,9415,716,9446,733,9478,740,9509,754,9540,764,9571,776,9602,776,9634,759,9665,747e" filled="false" stroked="true" strokeweight="2.16pt" strokecolor="#a6a6a6">
              <v:path arrowok="t"/>
              <v:stroke dashstyle="solid"/>
            </v:shape>
            <v:line style="position:absolute" from="2395,267" to="2779,267" stroked="true" strokeweight="2.16pt" strokecolor="#c00000">
              <v:stroke dashstyle="solid"/>
            </v:line>
            <v:line style="position:absolute" from="2395,737" to="2779,737" stroked="true" strokeweight="2.16pt" strokecolor="#a6a6a6">
              <v:stroke dashstyle="solid"/>
            </v:line>
            <v:shape style="position:absolute;left:1718;top:142;width:8007;height:3154" type="#_x0000_t202" filled="false" stroked="false">
              <v:textbox inset="0,0,0,0">
                <w:txbxContent>
                  <w:p>
                    <w:pPr>
                      <w:spacing w:line="513" w:lineRule="auto" w:before="3"/>
                      <w:ind w:left="1101" w:right="4268" w:firstLine="0"/>
                      <w:jc w:val="left"/>
                      <w:rPr>
                        <w:rFonts w:ascii="Calibri"/>
                        <w:sz w:val="18"/>
                      </w:rPr>
                    </w:pPr>
                    <w:r>
                      <w:rPr>
                        <w:rFonts w:ascii="Calibri"/>
                        <w:sz w:val="18"/>
                      </w:rPr>
                      <w:t>Productivity (GDP per hour worked) Real wages</w:t>
                    </w:r>
                  </w:p>
                </w:txbxContent>
              </v:textbox>
              <w10:wrap type="none"/>
            </v:shape>
            <w10:wrap type="none"/>
          </v:group>
        </w:pict>
      </w:r>
      <w:r>
        <w:rPr>
          <w:rFonts w:ascii="Calibri"/>
          <w:spacing w:val="-1"/>
          <w:sz w:val="18"/>
        </w:rPr>
        <w:t>3200</w:t>
      </w:r>
    </w:p>
    <w:p>
      <w:pPr>
        <w:pStyle w:val="BodyText"/>
        <w:spacing w:before="2"/>
        <w:rPr>
          <w:rFonts w:ascii="Calibri"/>
          <w:sz w:val="24"/>
        </w:rPr>
      </w:pPr>
    </w:p>
    <w:p>
      <w:pPr>
        <w:spacing w:before="0"/>
        <w:ind w:left="0" w:right="669" w:firstLine="0"/>
        <w:jc w:val="right"/>
        <w:rPr>
          <w:rFonts w:ascii="Calibri"/>
          <w:sz w:val="18"/>
        </w:rPr>
      </w:pPr>
      <w:r>
        <w:rPr>
          <w:rFonts w:ascii="Calibri"/>
          <w:spacing w:val="-1"/>
          <w:sz w:val="18"/>
        </w:rPr>
        <w:t>1600</w:t>
      </w:r>
    </w:p>
    <w:p>
      <w:pPr>
        <w:spacing w:after="0"/>
        <w:jc w:val="right"/>
        <w:rPr>
          <w:rFonts w:ascii="Calibri"/>
          <w:sz w:val="18"/>
        </w:rPr>
        <w:sectPr>
          <w:footerReference w:type="default" r:id="rId22"/>
          <w:pgSz w:w="11910" w:h="16840"/>
          <w:pgMar w:footer="1338" w:header="0" w:top="1460" w:bottom="1520" w:left="900" w:right="1020"/>
          <w:pgNumType w:start="7"/>
          <w:cols w:num="2" w:equalWidth="0">
            <w:col w:w="5758" w:space="1815"/>
            <w:col w:w="2417"/>
          </w:cols>
        </w:sectPr>
      </w:pPr>
    </w:p>
    <w:p>
      <w:pPr>
        <w:pStyle w:val="BodyText"/>
        <w:rPr>
          <w:rFonts w:ascii="Calibri"/>
          <w:sz w:val="19"/>
        </w:rPr>
      </w:pPr>
    </w:p>
    <w:p>
      <w:pPr>
        <w:spacing w:before="64"/>
        <w:ind w:left="0" w:right="760" w:firstLine="0"/>
        <w:jc w:val="right"/>
        <w:rPr>
          <w:rFonts w:ascii="Calibri"/>
          <w:sz w:val="18"/>
        </w:rPr>
      </w:pPr>
      <w:r>
        <w:rPr>
          <w:rFonts w:ascii="Calibri"/>
          <w:spacing w:val="-2"/>
          <w:sz w:val="18"/>
        </w:rPr>
        <w:t>800</w:t>
      </w:r>
    </w:p>
    <w:p>
      <w:pPr>
        <w:pStyle w:val="BodyText"/>
        <w:rPr>
          <w:rFonts w:ascii="Calibri"/>
          <w:sz w:val="19"/>
        </w:rPr>
      </w:pPr>
    </w:p>
    <w:p>
      <w:pPr>
        <w:spacing w:before="63"/>
        <w:ind w:left="0" w:right="760" w:firstLine="0"/>
        <w:jc w:val="right"/>
        <w:rPr>
          <w:rFonts w:ascii="Calibri"/>
          <w:sz w:val="18"/>
        </w:rPr>
      </w:pPr>
      <w:r>
        <w:rPr>
          <w:rFonts w:ascii="Calibri"/>
          <w:spacing w:val="-2"/>
          <w:sz w:val="18"/>
        </w:rPr>
        <w:t>400</w:t>
      </w:r>
    </w:p>
    <w:p>
      <w:pPr>
        <w:pStyle w:val="BodyText"/>
        <w:rPr>
          <w:rFonts w:ascii="Calibri"/>
          <w:sz w:val="19"/>
        </w:rPr>
      </w:pPr>
    </w:p>
    <w:p>
      <w:pPr>
        <w:spacing w:before="64"/>
        <w:ind w:left="0" w:right="760" w:firstLine="0"/>
        <w:jc w:val="right"/>
        <w:rPr>
          <w:rFonts w:ascii="Calibri"/>
          <w:sz w:val="18"/>
        </w:rPr>
      </w:pPr>
      <w:r>
        <w:rPr>
          <w:rFonts w:ascii="Calibri"/>
          <w:spacing w:val="-2"/>
          <w:sz w:val="18"/>
        </w:rPr>
        <w:t>200</w:t>
      </w:r>
    </w:p>
    <w:p>
      <w:pPr>
        <w:pStyle w:val="BodyText"/>
        <w:spacing w:before="12"/>
        <w:rPr>
          <w:rFonts w:ascii="Calibri"/>
          <w:sz w:val="18"/>
        </w:rPr>
      </w:pPr>
    </w:p>
    <w:p>
      <w:pPr>
        <w:spacing w:before="63"/>
        <w:ind w:left="0" w:right="760" w:firstLine="0"/>
        <w:jc w:val="right"/>
        <w:rPr>
          <w:rFonts w:ascii="Calibri"/>
          <w:sz w:val="18"/>
        </w:rPr>
      </w:pPr>
      <w:r>
        <w:rPr>
          <w:rFonts w:ascii="Calibri"/>
          <w:spacing w:val="-2"/>
          <w:sz w:val="18"/>
        </w:rPr>
        <w:t>100</w:t>
      </w:r>
    </w:p>
    <w:p>
      <w:pPr>
        <w:pStyle w:val="BodyText"/>
        <w:rPr>
          <w:rFonts w:ascii="Calibri"/>
          <w:sz w:val="19"/>
        </w:rPr>
      </w:pPr>
    </w:p>
    <w:p>
      <w:pPr>
        <w:spacing w:before="64"/>
        <w:ind w:left="8950" w:right="0" w:firstLine="0"/>
        <w:jc w:val="left"/>
        <w:rPr>
          <w:rFonts w:ascii="Calibri"/>
          <w:sz w:val="18"/>
        </w:rPr>
      </w:pPr>
      <w:r>
        <w:rPr>
          <w:rFonts w:ascii="Calibri"/>
          <w:sz w:val="18"/>
        </w:rPr>
        <w:t>50</w:t>
      </w:r>
    </w:p>
    <w:p>
      <w:pPr>
        <w:tabs>
          <w:tab w:pos="1438" w:val="left" w:leader="none"/>
          <w:tab w:pos="2218" w:val="left" w:leader="none"/>
          <w:tab w:pos="2998" w:val="left" w:leader="none"/>
          <w:tab w:pos="3779" w:val="left" w:leader="none"/>
          <w:tab w:pos="4559" w:val="left" w:leader="none"/>
          <w:tab w:pos="5339" w:val="left" w:leader="none"/>
          <w:tab w:pos="6119" w:val="left" w:leader="none"/>
          <w:tab w:pos="6899" w:val="left" w:leader="none"/>
          <w:tab w:pos="7680" w:val="left" w:leader="none"/>
          <w:tab w:pos="8460" w:val="left" w:leader="none"/>
        </w:tabs>
        <w:spacing w:before="14"/>
        <w:ind w:left="658" w:right="0" w:firstLine="0"/>
        <w:jc w:val="left"/>
        <w:rPr>
          <w:rFonts w:ascii="Calibri"/>
          <w:sz w:val="18"/>
        </w:rPr>
      </w:pPr>
      <w:r>
        <w:rPr>
          <w:rFonts w:ascii="Calibri"/>
          <w:sz w:val="18"/>
        </w:rPr>
        <w:t>1762</w:t>
        <w:tab/>
        <w:t>1787</w:t>
        <w:tab/>
        <w:t>1812</w:t>
        <w:tab/>
        <w:t>1837</w:t>
        <w:tab/>
        <w:t>1862</w:t>
        <w:tab/>
        <w:t>1887</w:t>
        <w:tab/>
        <w:t>1912</w:t>
        <w:tab/>
        <w:t>1937</w:t>
        <w:tab/>
        <w:t>1962</w:t>
        <w:tab/>
        <w:t>1987</w:t>
        <w:tab/>
        <w:t>2012</w:t>
      </w:r>
    </w:p>
    <w:p>
      <w:pPr>
        <w:pStyle w:val="BodyText"/>
        <w:spacing w:before="11"/>
        <w:rPr>
          <w:rFonts w:ascii="Calibri"/>
          <w:sz w:val="9"/>
        </w:rPr>
      </w:pPr>
    </w:p>
    <w:p>
      <w:pPr>
        <w:spacing w:before="95"/>
        <w:ind w:left="540" w:right="0" w:firstLine="0"/>
        <w:jc w:val="left"/>
        <w:rPr>
          <w:sz w:val="16"/>
        </w:rPr>
      </w:pPr>
      <w:r>
        <w:rPr>
          <w:sz w:val="16"/>
        </w:rPr>
        <w:t>Sources: Thomas and Dimsdale (2017) and Bank calculations.</w:t>
      </w:r>
    </w:p>
    <w:p>
      <w:pPr>
        <w:spacing w:before="1"/>
        <w:ind w:left="540" w:right="0" w:firstLine="0"/>
        <w:jc w:val="left"/>
        <w:rPr>
          <w:sz w:val="16"/>
        </w:rPr>
      </w:pPr>
      <w:r>
        <w:rPr>
          <w:sz w:val="16"/>
        </w:rPr>
        <w:t>Notes:  Real wages are calculated as earnings and salaries deflated by</w:t>
      </w:r>
      <w:r>
        <w:rPr>
          <w:spacing w:val="-24"/>
          <w:sz w:val="16"/>
        </w:rPr>
        <w:t> </w:t>
      </w:r>
      <w:r>
        <w:rPr>
          <w:sz w:val="16"/>
        </w:rPr>
        <w:t>CPI.</w:t>
      </w:r>
    </w:p>
    <w:p>
      <w:pPr>
        <w:pStyle w:val="BodyText"/>
        <w:rPr>
          <w:sz w:val="18"/>
        </w:rPr>
      </w:pPr>
    </w:p>
    <w:p>
      <w:pPr>
        <w:pStyle w:val="BodyText"/>
        <w:spacing w:line="360" w:lineRule="auto" w:before="138"/>
        <w:ind w:left="233" w:right="120"/>
      </w:pPr>
      <w:r>
        <w:rPr/>
        <w:t>The welfare gains from productivity are not purely financial. While causality is less clear cut, more productive countries have better health outcomes. Being born in a country with 20% higher labour productivity is associated with higher life expectancy of around 1 year (Chart 8), as well as with a lower rate of child mortality, with four fewer deaths per thousand children (Chart 9).</w:t>
      </w:r>
    </w:p>
    <w:p>
      <w:pPr>
        <w:pStyle w:val="BodyText"/>
      </w:pPr>
    </w:p>
    <w:p>
      <w:pPr>
        <w:spacing w:after="0"/>
        <w:sectPr>
          <w:type w:val="continuous"/>
          <w:pgSz w:w="11910" w:h="16840"/>
          <w:pgMar w:top="1180" w:bottom="1520" w:left="900" w:right="1020"/>
        </w:sectPr>
      </w:pPr>
    </w:p>
    <w:p>
      <w:pPr>
        <w:pStyle w:val="BodyText"/>
        <w:spacing w:before="5"/>
        <w:rPr>
          <w:sz w:val="19"/>
        </w:rPr>
      </w:pPr>
    </w:p>
    <w:p>
      <w:pPr>
        <w:pStyle w:val="Heading1"/>
        <w:spacing w:line="355" w:lineRule="auto"/>
        <w:ind w:right="15"/>
      </w:pPr>
      <w:r>
        <w:rPr/>
        <w:t>Chart 8 – Labour productivity and life expectancy across countries, 2014</w:t>
      </w:r>
    </w:p>
    <w:p>
      <w:pPr>
        <w:pStyle w:val="BodyText"/>
        <w:spacing w:before="5"/>
        <w:rPr>
          <w:b/>
          <w:sz w:val="19"/>
        </w:rPr>
      </w:pPr>
      <w:r>
        <w:rPr/>
        <w:br w:type="column"/>
      </w:r>
      <w:r>
        <w:rPr>
          <w:b/>
          <w:sz w:val="19"/>
        </w:rPr>
      </w:r>
    </w:p>
    <w:p>
      <w:pPr>
        <w:spacing w:line="355" w:lineRule="auto" w:before="0"/>
        <w:ind w:left="233" w:right="1401" w:firstLine="0"/>
        <w:jc w:val="left"/>
        <w:rPr>
          <w:b/>
          <w:sz w:val="20"/>
        </w:rPr>
      </w:pPr>
      <w:r>
        <w:rPr>
          <w:b/>
          <w:sz w:val="20"/>
        </w:rPr>
        <w:t>Chart 9 – Labour productivity and child mortality across countries, 2014</w:t>
      </w:r>
    </w:p>
    <w:p>
      <w:pPr>
        <w:spacing w:after="0" w:line="355" w:lineRule="auto"/>
        <w:jc w:val="left"/>
        <w:rPr>
          <w:sz w:val="20"/>
        </w:rPr>
        <w:sectPr>
          <w:type w:val="continuous"/>
          <w:pgSz w:w="11910" w:h="16840"/>
          <w:pgMar w:top="1180" w:bottom="1520" w:left="900" w:right="1020"/>
          <w:cols w:num="2" w:equalWidth="0">
            <w:col w:w="3813" w:space="800"/>
            <w:col w:w="5377"/>
          </w:cols>
        </w:sectPr>
      </w:pPr>
    </w:p>
    <w:p>
      <w:pPr>
        <w:pStyle w:val="BodyText"/>
        <w:spacing w:before="5"/>
        <w:rPr>
          <w:b/>
          <w:sz w:val="17"/>
        </w:rPr>
      </w:pPr>
    </w:p>
    <w:p>
      <w:pPr>
        <w:spacing w:after="0"/>
        <w:rPr>
          <w:sz w:val="17"/>
        </w:rPr>
        <w:sectPr>
          <w:type w:val="continuous"/>
          <w:pgSz w:w="11910" w:h="16840"/>
          <w:pgMar w:top="1180" w:bottom="1520" w:left="900" w:right="1020"/>
        </w:sectPr>
      </w:pPr>
    </w:p>
    <w:p>
      <w:pPr>
        <w:pStyle w:val="BodyText"/>
        <w:rPr>
          <w:b/>
          <w:sz w:val="18"/>
        </w:rPr>
      </w:pPr>
    </w:p>
    <w:p>
      <w:pPr>
        <w:spacing w:before="108"/>
        <w:ind w:left="2319" w:right="345" w:firstLine="0"/>
        <w:jc w:val="center"/>
        <w:rPr>
          <w:rFonts w:ascii="Calibri"/>
          <w:sz w:val="18"/>
        </w:rPr>
      </w:pPr>
      <w:r>
        <w:rPr/>
        <w:pict>
          <v:group style="position:absolute;margin-left:65.879997pt;margin-top:-5.060649pt;width:183.5pt;height:157.4pt;mso-position-horizontal-relative:page;mso-position-vertical-relative:paragraph;z-index:251679744" coordorigin="1318,-101" coordsize="3670,3148">
            <v:shape style="position:absolute;left:1324;top:228;width:3663;height:2818" coordorigin="1325,229" coordsize="3663,2818" path="m4930,2989l4930,229m4930,2989l4987,2989m4930,2643l4987,2643m4930,2300l4987,2300m4930,1954l4987,1954m4930,1609l4987,1609m4930,1263l4987,1263m4930,917l4987,917m4930,572l4987,572m4930,229l4987,229m1325,2989l4930,2989m1325,2989l1325,3046m3730,2989l3730,3046m4330,2989l4330,3046m4930,2989l4930,3046e" filled="false" stroked="true" strokeweight=".72pt" strokecolor="#858585">
              <v:path arrowok="t"/>
              <v:stroke dashstyle="solid"/>
            </v:shape>
            <v:shape style="position:absolute;left:4795;top:602;width:155;height:155" type="#_x0000_t75" stroked="false">
              <v:imagedata r:id="rId23" o:title=""/>
            </v:shape>
            <v:shape style="position:absolute;left:1781;top:564;width:3123;height:2483" type="#_x0000_t75" stroked="false">
              <v:imagedata r:id="rId24" o:title=""/>
            </v:shape>
            <v:line style="position:absolute" from="1860,2662" to="4874,675" stroked="true" strokeweight=".72pt" strokecolor="#000000">
              <v:stroke dashstyle="solid"/>
            </v:line>
            <v:shape style="position:absolute;left:1593;top:371;width:1525;height:401" type="#_x0000_t202" filled="false" stroked="false">
              <v:textbox inset="0,0,0,0">
                <w:txbxContent>
                  <w:p>
                    <w:pPr>
                      <w:spacing w:line="183" w:lineRule="exact" w:before="0"/>
                      <w:ind w:left="0" w:right="18" w:firstLine="0"/>
                      <w:jc w:val="center"/>
                      <w:rPr>
                        <w:rFonts w:ascii="Calibri"/>
                        <w:sz w:val="18"/>
                      </w:rPr>
                    </w:pPr>
                    <w:r>
                      <w:rPr>
                        <w:rFonts w:ascii="Calibri"/>
                        <w:sz w:val="18"/>
                      </w:rPr>
                      <w:t>y = 5.7379x + 78.338</w:t>
                    </w:r>
                  </w:p>
                  <w:p>
                    <w:pPr>
                      <w:spacing w:line="216" w:lineRule="exact" w:before="1"/>
                      <w:ind w:left="0" w:right="15" w:firstLine="0"/>
                      <w:jc w:val="center"/>
                      <w:rPr>
                        <w:rFonts w:ascii="Calibri" w:hAnsi="Calibri"/>
                        <w:sz w:val="18"/>
                      </w:rPr>
                    </w:pPr>
                    <w:r>
                      <w:rPr>
                        <w:rFonts w:ascii="Calibri" w:hAnsi="Calibri"/>
                        <w:sz w:val="18"/>
                      </w:rPr>
                      <w:t>R² = 0.6278</w:t>
                    </w:r>
                  </w:p>
                </w:txbxContent>
              </v:textbox>
              <w10:wrap type="none"/>
            </v:shape>
            <v:shape style="position:absolute;left:4351;top:-102;width:559;height:622" type="#_x0000_t202" filled="false" stroked="false">
              <v:textbox inset="0,0,0,0">
                <w:txbxContent>
                  <w:p>
                    <w:pPr>
                      <w:spacing w:line="183" w:lineRule="exact" w:before="0"/>
                      <w:ind w:left="275" w:right="0" w:firstLine="0"/>
                      <w:jc w:val="left"/>
                      <w:rPr>
                        <w:rFonts w:ascii="Calibri"/>
                        <w:sz w:val="18"/>
                      </w:rPr>
                    </w:pPr>
                    <w:r>
                      <w:rPr>
                        <w:rFonts w:ascii="Calibri"/>
                        <w:sz w:val="18"/>
                      </w:rPr>
                      <w:t>Life</w:t>
                    </w:r>
                  </w:p>
                  <w:p>
                    <w:pPr>
                      <w:spacing w:before="1"/>
                      <w:ind w:left="0" w:right="5" w:firstLine="7"/>
                      <w:jc w:val="left"/>
                      <w:rPr>
                        <w:rFonts w:ascii="Calibri"/>
                        <w:sz w:val="18"/>
                      </w:rPr>
                    </w:pPr>
                    <w:r>
                      <w:rPr>
                        <w:rFonts w:ascii="Calibri"/>
                        <w:spacing w:val="-1"/>
                        <w:sz w:val="18"/>
                      </w:rPr>
                      <w:t>expect. </w:t>
                    </w:r>
                    <w:r>
                      <w:rPr>
                        <w:rFonts w:ascii="Calibri"/>
                        <w:sz w:val="18"/>
                      </w:rPr>
                      <w:t>at</w:t>
                    </w:r>
                    <w:r>
                      <w:rPr>
                        <w:rFonts w:ascii="Calibri"/>
                        <w:spacing w:val="5"/>
                        <w:sz w:val="18"/>
                      </w:rPr>
                      <w:t> </w:t>
                    </w:r>
                    <w:r>
                      <w:rPr>
                        <w:rFonts w:ascii="Calibri"/>
                        <w:spacing w:val="-5"/>
                        <w:sz w:val="18"/>
                      </w:rPr>
                      <w:t>birth</w:t>
                    </w:r>
                  </w:p>
                </w:txbxContent>
              </v:textbox>
              <w10:wrap type="none"/>
            </v:shape>
            <w10:wrap type="none"/>
          </v:group>
        </w:pict>
      </w:r>
      <w:r>
        <w:rPr>
          <w:rFonts w:ascii="Calibri"/>
          <w:sz w:val="18"/>
        </w:rPr>
        <w:t>90</w:t>
      </w:r>
    </w:p>
    <w:p>
      <w:pPr>
        <w:spacing w:before="126"/>
        <w:ind w:left="2319" w:right="345" w:firstLine="0"/>
        <w:jc w:val="center"/>
        <w:rPr>
          <w:rFonts w:ascii="Calibri"/>
          <w:sz w:val="18"/>
        </w:rPr>
      </w:pPr>
      <w:r>
        <w:rPr>
          <w:rFonts w:ascii="Calibri"/>
          <w:sz w:val="18"/>
        </w:rPr>
        <w:t>85</w:t>
      </w:r>
    </w:p>
    <w:p>
      <w:pPr>
        <w:spacing w:before="126"/>
        <w:ind w:left="2319" w:right="345" w:firstLine="0"/>
        <w:jc w:val="center"/>
        <w:rPr>
          <w:rFonts w:ascii="Calibri"/>
          <w:sz w:val="18"/>
        </w:rPr>
      </w:pPr>
      <w:r>
        <w:rPr>
          <w:rFonts w:ascii="Calibri"/>
          <w:sz w:val="18"/>
        </w:rPr>
        <w:t>80</w:t>
      </w:r>
    </w:p>
    <w:p>
      <w:pPr>
        <w:spacing w:before="125"/>
        <w:ind w:left="2319" w:right="345" w:firstLine="0"/>
        <w:jc w:val="center"/>
        <w:rPr>
          <w:rFonts w:ascii="Calibri"/>
          <w:sz w:val="18"/>
        </w:rPr>
      </w:pPr>
      <w:r>
        <w:rPr>
          <w:rFonts w:ascii="Calibri"/>
          <w:sz w:val="18"/>
        </w:rPr>
        <w:t>75</w:t>
      </w:r>
    </w:p>
    <w:p>
      <w:pPr>
        <w:spacing w:before="126"/>
        <w:ind w:left="2319" w:right="345" w:firstLine="0"/>
        <w:jc w:val="center"/>
        <w:rPr>
          <w:rFonts w:ascii="Calibri"/>
          <w:sz w:val="18"/>
        </w:rPr>
      </w:pPr>
      <w:r>
        <w:rPr>
          <w:rFonts w:ascii="Calibri"/>
          <w:sz w:val="18"/>
        </w:rPr>
        <w:t>70</w:t>
      </w:r>
    </w:p>
    <w:p>
      <w:pPr>
        <w:spacing w:before="125"/>
        <w:ind w:left="2319" w:right="345" w:firstLine="0"/>
        <w:jc w:val="center"/>
        <w:rPr>
          <w:rFonts w:ascii="Calibri"/>
          <w:sz w:val="18"/>
        </w:rPr>
      </w:pPr>
      <w:r>
        <w:rPr>
          <w:rFonts w:ascii="Calibri"/>
          <w:sz w:val="18"/>
        </w:rPr>
        <w:t>65</w:t>
      </w:r>
    </w:p>
    <w:p>
      <w:pPr>
        <w:spacing w:before="126"/>
        <w:ind w:left="2319" w:right="345" w:firstLine="0"/>
        <w:jc w:val="center"/>
        <w:rPr>
          <w:rFonts w:ascii="Calibri"/>
          <w:sz w:val="18"/>
        </w:rPr>
      </w:pPr>
      <w:r>
        <w:rPr>
          <w:rFonts w:ascii="Calibri"/>
          <w:sz w:val="18"/>
        </w:rPr>
        <w:t>60</w:t>
      </w:r>
    </w:p>
    <w:p>
      <w:pPr>
        <w:tabs>
          <w:tab w:pos="5046" w:val="left" w:leader="none"/>
        </w:tabs>
        <w:spacing w:line="168" w:lineRule="auto" w:before="86"/>
        <w:ind w:left="4199" w:right="0" w:firstLine="0"/>
        <w:jc w:val="left"/>
        <w:rPr>
          <w:rFonts w:ascii="Calibri"/>
          <w:sz w:val="18"/>
        </w:rPr>
      </w:pPr>
      <w:r>
        <w:rPr>
          <w:rFonts w:ascii="Calibri"/>
          <w:position w:val="-6"/>
          <w:sz w:val="18"/>
        </w:rPr>
        <w:t>55</w:t>
        <w:tab/>
      </w:r>
      <w:r>
        <w:rPr>
          <w:rFonts w:ascii="Calibri"/>
          <w:sz w:val="18"/>
        </w:rPr>
        <w:t>y = -22.238x +</w:t>
      </w:r>
      <w:r>
        <w:rPr>
          <w:rFonts w:ascii="Calibri"/>
          <w:spacing w:val="4"/>
          <w:sz w:val="18"/>
        </w:rPr>
        <w:t> </w:t>
      </w:r>
      <w:r>
        <w:rPr>
          <w:rFonts w:ascii="Calibri"/>
          <w:spacing w:val="-4"/>
          <w:sz w:val="18"/>
        </w:rPr>
        <w:t>5.5824</w:t>
      </w:r>
    </w:p>
    <w:p>
      <w:pPr>
        <w:spacing w:line="172" w:lineRule="exact" w:before="0"/>
        <w:ind w:left="5391" w:right="345" w:firstLine="0"/>
        <w:jc w:val="center"/>
        <w:rPr>
          <w:rFonts w:ascii="Calibri" w:hAnsi="Calibri"/>
          <w:sz w:val="18"/>
        </w:rPr>
      </w:pPr>
      <w:r>
        <w:rPr>
          <w:rFonts w:ascii="Calibri" w:hAnsi="Calibri"/>
          <w:sz w:val="18"/>
        </w:rPr>
        <w:t>R² = 0.5854</w:t>
      </w:r>
    </w:p>
    <w:p>
      <w:pPr>
        <w:spacing w:line="207" w:lineRule="exact" w:before="0"/>
        <w:ind w:left="2319" w:right="345" w:firstLine="0"/>
        <w:jc w:val="center"/>
        <w:rPr>
          <w:rFonts w:ascii="Calibri"/>
          <w:sz w:val="18"/>
        </w:rPr>
      </w:pPr>
      <w:r>
        <w:rPr>
          <w:rFonts w:ascii="Calibri"/>
          <w:sz w:val="18"/>
        </w:rPr>
        <w:t>50</w:t>
      </w:r>
    </w:p>
    <w:p>
      <w:pPr>
        <w:spacing w:before="64"/>
        <w:ind w:left="1333" w:right="0" w:firstLine="14"/>
        <w:jc w:val="both"/>
        <w:rPr>
          <w:rFonts w:ascii="Calibri"/>
          <w:sz w:val="18"/>
        </w:rPr>
      </w:pPr>
      <w:r>
        <w:rPr/>
        <w:br w:type="column"/>
      </w:r>
      <w:r>
        <w:rPr>
          <w:rFonts w:ascii="Calibri"/>
          <w:sz w:val="18"/>
        </w:rPr>
        <w:t>Under 5s mortality rate, per</w:t>
      </w:r>
    </w:p>
    <w:p>
      <w:pPr>
        <w:spacing w:before="1"/>
        <w:ind w:left="0" w:right="0" w:firstLine="0"/>
        <w:jc w:val="right"/>
        <w:rPr>
          <w:rFonts w:ascii="Calibri"/>
          <w:sz w:val="18"/>
        </w:rPr>
      </w:pPr>
      <w:r>
        <w:rPr/>
        <w:pict>
          <v:group style="position:absolute;margin-left:299.640015pt;margin-top:-22.795662pt;width:183.5pt;height:149.35pt;mso-position-horizontal-relative:page;mso-position-vertical-relative:paragraph;z-index:-255069184" coordorigin="5993,-456" coordsize="3670,2987">
            <v:shape style="position:absolute;left:6000;top:-418;width:3663;height:2948" coordorigin="6000,-417" coordsize="3663,2948" path="m9605,2473l9605,-417m9605,2473l9662,2473m9605,1993l9662,1993m9605,1510l9662,1510m9605,1028l9662,1028m9605,545l9662,545m9605,65l9662,65m9605,-417l9662,-417m6000,2473l9605,2473m6000,2473l6000,2530m9605,2473l9605,2530e" filled="false" stroked="true" strokeweight=".72pt" strokecolor="#858585">
              <v:path arrowok="t"/>
              <v:stroke dashstyle="solid"/>
            </v:shape>
            <v:shape style="position:absolute;left:7160;top:-456;width:155;height:155" type="#_x0000_t75" stroked="false">
              <v:imagedata r:id="rId25" o:title=""/>
            </v:shape>
            <v:shape style="position:absolute;left:7976;top:-293;width:155;height:155" type="#_x0000_t75" stroked="false">
              <v:imagedata r:id="rId26" o:title=""/>
            </v:shape>
            <v:shape style="position:absolute;left:6528;top:-82;width:3050;height:2612" type="#_x0000_t75" stroked="false">
              <v:imagedata r:id="rId27" o:title=""/>
            </v:shape>
            <w10:wrap type="none"/>
          </v:group>
        </w:pict>
      </w:r>
      <w:r>
        <w:rPr>
          <w:rFonts w:ascii="Calibri"/>
          <w:sz w:val="18"/>
        </w:rPr>
        <w:t>1000</w:t>
      </w:r>
    </w:p>
    <w:p>
      <w:pPr>
        <w:pStyle w:val="BodyText"/>
        <w:spacing w:before="3"/>
        <w:rPr>
          <w:rFonts w:ascii="Calibri"/>
          <w:sz w:val="15"/>
        </w:rPr>
      </w:pPr>
      <w:r>
        <w:rPr/>
        <w:br w:type="column"/>
      </w:r>
      <w:r>
        <w:rPr>
          <w:rFonts w:ascii="Calibri"/>
          <w:sz w:val="15"/>
        </w:rPr>
      </w:r>
    </w:p>
    <w:p>
      <w:pPr>
        <w:spacing w:before="0"/>
        <w:ind w:left="180" w:right="0" w:firstLine="0"/>
        <w:jc w:val="left"/>
        <w:rPr>
          <w:rFonts w:ascii="Calibri"/>
          <w:sz w:val="18"/>
        </w:rPr>
      </w:pPr>
      <w:r>
        <w:rPr>
          <w:rFonts w:ascii="Calibri"/>
          <w:sz w:val="18"/>
        </w:rPr>
        <w:t>120</w:t>
      </w:r>
    </w:p>
    <w:p>
      <w:pPr>
        <w:pStyle w:val="BodyText"/>
        <w:spacing w:before="6"/>
        <w:rPr>
          <w:rFonts w:ascii="Calibri"/>
          <w:sz w:val="21"/>
        </w:rPr>
      </w:pPr>
    </w:p>
    <w:p>
      <w:pPr>
        <w:spacing w:before="0"/>
        <w:ind w:left="180" w:right="0" w:firstLine="0"/>
        <w:jc w:val="left"/>
        <w:rPr>
          <w:rFonts w:ascii="Calibri"/>
          <w:sz w:val="18"/>
        </w:rPr>
      </w:pPr>
      <w:r>
        <w:rPr>
          <w:rFonts w:ascii="Calibri"/>
          <w:sz w:val="18"/>
        </w:rPr>
        <w:t>100</w:t>
      </w:r>
    </w:p>
    <w:p>
      <w:pPr>
        <w:pStyle w:val="BodyText"/>
        <w:spacing w:before="6"/>
        <w:rPr>
          <w:rFonts w:ascii="Calibri"/>
          <w:sz w:val="21"/>
        </w:rPr>
      </w:pPr>
    </w:p>
    <w:p>
      <w:pPr>
        <w:spacing w:before="0"/>
        <w:ind w:left="180" w:right="0" w:firstLine="0"/>
        <w:jc w:val="left"/>
        <w:rPr>
          <w:rFonts w:ascii="Calibri"/>
          <w:sz w:val="18"/>
        </w:rPr>
      </w:pPr>
      <w:r>
        <w:rPr>
          <w:rFonts w:ascii="Calibri"/>
          <w:sz w:val="18"/>
        </w:rPr>
        <w:t>80</w:t>
      </w:r>
    </w:p>
    <w:p>
      <w:pPr>
        <w:pStyle w:val="BodyText"/>
        <w:spacing w:before="6"/>
        <w:rPr>
          <w:rFonts w:ascii="Calibri"/>
          <w:sz w:val="21"/>
        </w:rPr>
      </w:pPr>
    </w:p>
    <w:p>
      <w:pPr>
        <w:spacing w:before="0"/>
        <w:ind w:left="180" w:right="0" w:firstLine="0"/>
        <w:jc w:val="left"/>
        <w:rPr>
          <w:rFonts w:ascii="Calibri"/>
          <w:sz w:val="18"/>
        </w:rPr>
      </w:pPr>
      <w:r>
        <w:rPr>
          <w:rFonts w:ascii="Calibri"/>
          <w:sz w:val="18"/>
        </w:rPr>
        <w:t>60</w:t>
      </w:r>
    </w:p>
    <w:p>
      <w:pPr>
        <w:pStyle w:val="BodyText"/>
        <w:spacing w:before="5"/>
        <w:rPr>
          <w:rFonts w:ascii="Calibri"/>
          <w:sz w:val="21"/>
        </w:rPr>
      </w:pPr>
    </w:p>
    <w:p>
      <w:pPr>
        <w:spacing w:before="1"/>
        <w:ind w:left="180" w:right="0" w:firstLine="0"/>
        <w:jc w:val="left"/>
        <w:rPr>
          <w:rFonts w:ascii="Calibri"/>
          <w:sz w:val="18"/>
        </w:rPr>
      </w:pPr>
      <w:r>
        <w:rPr>
          <w:rFonts w:ascii="Calibri"/>
          <w:sz w:val="18"/>
        </w:rPr>
        <w:t>40</w:t>
      </w:r>
    </w:p>
    <w:p>
      <w:pPr>
        <w:pStyle w:val="BodyText"/>
        <w:spacing w:before="5"/>
        <w:rPr>
          <w:rFonts w:ascii="Calibri"/>
          <w:sz w:val="21"/>
        </w:rPr>
      </w:pPr>
    </w:p>
    <w:p>
      <w:pPr>
        <w:spacing w:before="1"/>
        <w:ind w:left="180" w:right="0" w:firstLine="0"/>
        <w:jc w:val="left"/>
        <w:rPr>
          <w:rFonts w:ascii="Calibri"/>
          <w:sz w:val="18"/>
        </w:rPr>
      </w:pPr>
      <w:r>
        <w:rPr>
          <w:rFonts w:ascii="Calibri"/>
          <w:sz w:val="18"/>
        </w:rPr>
        <w:t>20</w:t>
      </w:r>
    </w:p>
    <w:p>
      <w:pPr>
        <w:pStyle w:val="BodyText"/>
        <w:spacing w:before="5"/>
        <w:rPr>
          <w:rFonts w:ascii="Calibri"/>
          <w:sz w:val="21"/>
        </w:rPr>
      </w:pPr>
    </w:p>
    <w:p>
      <w:pPr>
        <w:spacing w:before="0"/>
        <w:ind w:left="180" w:right="0" w:firstLine="0"/>
        <w:jc w:val="left"/>
        <w:rPr>
          <w:rFonts w:ascii="Calibri"/>
          <w:sz w:val="18"/>
        </w:rPr>
      </w:pPr>
      <w:r>
        <w:rPr>
          <w:rFonts w:ascii="Calibri"/>
          <w:sz w:val="18"/>
        </w:rPr>
        <w:t>0</w:t>
      </w:r>
    </w:p>
    <w:p>
      <w:pPr>
        <w:spacing w:after="0"/>
        <w:jc w:val="left"/>
        <w:rPr>
          <w:rFonts w:ascii="Calibri"/>
          <w:sz w:val="18"/>
        </w:rPr>
        <w:sectPr>
          <w:type w:val="continuous"/>
          <w:pgSz w:w="11910" w:h="16840"/>
          <w:pgMar w:top="1180" w:bottom="1520" w:left="900" w:right="1020"/>
          <w:cols w:num="3" w:equalWidth="0">
            <w:col w:w="6607" w:space="40"/>
            <w:col w:w="2007" w:space="39"/>
            <w:col w:w="1297"/>
          </w:cols>
        </w:sectPr>
      </w:pPr>
    </w:p>
    <w:p>
      <w:pPr>
        <w:tabs>
          <w:tab w:pos="915" w:val="left" w:leader="none"/>
          <w:tab w:pos="1516" w:val="left" w:leader="none"/>
          <w:tab w:pos="2116" w:val="left" w:leader="none"/>
          <w:tab w:pos="2717" w:val="left" w:leader="none"/>
          <w:tab w:pos="3345" w:val="left" w:leader="none"/>
          <w:tab w:pos="3946" w:val="left" w:leader="none"/>
        </w:tabs>
        <w:spacing w:before="14"/>
        <w:ind w:left="314" w:right="0" w:firstLine="0"/>
        <w:jc w:val="center"/>
        <w:rPr>
          <w:rFonts w:ascii="Calibri"/>
          <w:sz w:val="18"/>
        </w:rPr>
      </w:pPr>
      <w:r>
        <w:rPr>
          <w:rFonts w:ascii="Calibri"/>
          <w:sz w:val="18"/>
        </w:rPr>
        <w:t>-5</w:t>
        <w:tab/>
        <w:t>-4</w:t>
        <w:tab/>
        <w:t>-3</w:t>
        <w:tab/>
        <w:t>-2</w:t>
        <w:tab/>
        <w:t>-1</w:t>
        <w:tab/>
        <w:t>0</w:t>
        <w:tab/>
        <w:t>1</w:t>
      </w:r>
    </w:p>
    <w:p>
      <w:pPr>
        <w:spacing w:before="9"/>
        <w:ind w:left="336" w:right="0" w:firstLine="0"/>
        <w:jc w:val="center"/>
        <w:rPr>
          <w:rFonts w:ascii="Calibri"/>
          <w:sz w:val="18"/>
        </w:rPr>
      </w:pPr>
      <w:r>
        <w:rPr>
          <w:rFonts w:ascii="Calibri"/>
          <w:sz w:val="18"/>
        </w:rPr>
        <w:t>Log productivity (GDP per worker, UK=0)</w:t>
      </w:r>
    </w:p>
    <w:p>
      <w:pPr>
        <w:tabs>
          <w:tab w:pos="600" w:val="left" w:leader="none"/>
          <w:tab w:pos="1201" w:val="left" w:leader="none"/>
          <w:tab w:pos="1801" w:val="left" w:leader="none"/>
          <w:tab w:pos="2402" w:val="left" w:leader="none"/>
          <w:tab w:pos="3031" w:val="left" w:leader="none"/>
          <w:tab w:pos="3632" w:val="left" w:leader="none"/>
        </w:tabs>
        <w:spacing w:before="14"/>
        <w:ind w:left="0" w:right="877" w:firstLine="0"/>
        <w:jc w:val="center"/>
        <w:rPr>
          <w:rFonts w:ascii="Calibri"/>
          <w:sz w:val="18"/>
        </w:rPr>
      </w:pPr>
      <w:r>
        <w:rPr/>
        <w:br w:type="column"/>
      </w:r>
      <w:r>
        <w:rPr>
          <w:rFonts w:ascii="Calibri"/>
          <w:sz w:val="18"/>
        </w:rPr>
        <w:t>-5</w:t>
        <w:tab/>
        <w:t>-4</w:t>
        <w:tab/>
        <w:t>-3</w:t>
        <w:tab/>
        <w:t>-2</w:t>
        <w:tab/>
        <w:t>-1</w:t>
        <w:tab/>
        <w:t>0</w:t>
        <w:tab/>
        <w:t>1</w:t>
      </w:r>
    </w:p>
    <w:p>
      <w:pPr>
        <w:spacing w:before="9"/>
        <w:ind w:left="0" w:right="856" w:firstLine="0"/>
        <w:jc w:val="center"/>
        <w:rPr>
          <w:rFonts w:ascii="Calibri"/>
          <w:sz w:val="18"/>
        </w:rPr>
      </w:pPr>
      <w:r>
        <w:rPr>
          <w:rFonts w:ascii="Calibri"/>
          <w:sz w:val="18"/>
        </w:rPr>
        <w:t>Log productivity (GDP per worker, UK=0)</w:t>
      </w:r>
    </w:p>
    <w:p>
      <w:pPr>
        <w:spacing w:after="0"/>
        <w:jc w:val="center"/>
        <w:rPr>
          <w:rFonts w:ascii="Calibri"/>
          <w:sz w:val="18"/>
        </w:rPr>
        <w:sectPr>
          <w:type w:val="continuous"/>
          <w:pgSz w:w="11910" w:h="16840"/>
          <w:pgMar w:top="1180" w:bottom="1520" w:left="900" w:right="1020"/>
          <w:cols w:num="2" w:equalWidth="0">
            <w:col w:w="4119" w:space="556"/>
            <w:col w:w="5315"/>
          </w:cols>
        </w:sectPr>
      </w:pPr>
    </w:p>
    <w:p>
      <w:pPr>
        <w:pStyle w:val="BodyText"/>
        <w:spacing w:before="6"/>
        <w:rPr>
          <w:rFonts w:ascii="Calibri"/>
          <w:sz w:val="9"/>
        </w:rPr>
      </w:pPr>
    </w:p>
    <w:p>
      <w:pPr>
        <w:spacing w:after="0"/>
        <w:rPr>
          <w:rFonts w:ascii="Calibri"/>
          <w:sz w:val="9"/>
        </w:rPr>
        <w:sectPr>
          <w:type w:val="continuous"/>
          <w:pgSz w:w="11910" w:h="16840"/>
          <w:pgMar w:top="1180" w:bottom="1520" w:left="900" w:right="1020"/>
        </w:sectPr>
      </w:pPr>
    </w:p>
    <w:p>
      <w:pPr>
        <w:spacing w:before="96"/>
        <w:ind w:left="233" w:right="-4" w:firstLine="0"/>
        <w:jc w:val="left"/>
        <w:rPr>
          <w:sz w:val="16"/>
        </w:rPr>
      </w:pPr>
      <w:r>
        <w:rPr>
          <w:sz w:val="16"/>
        </w:rPr>
        <w:t>Sources: Feenstra, Inklaar and Timmer (2015); World Development Indicators, The World Bank; Bank calculations. Notes: Productivity uses real GDP at current PPPs (2011 $).</w:t>
      </w:r>
    </w:p>
    <w:p>
      <w:pPr>
        <w:spacing w:before="96"/>
        <w:ind w:left="233" w:right="432" w:firstLine="0"/>
        <w:jc w:val="left"/>
        <w:rPr>
          <w:sz w:val="16"/>
        </w:rPr>
      </w:pPr>
      <w:r>
        <w:rPr/>
        <w:br w:type="column"/>
      </w:r>
      <w:r>
        <w:rPr>
          <w:sz w:val="16"/>
        </w:rPr>
        <w:t>Sources: Feenstra, Inklaar and Timmer (2015); World Development Indicators, The World Bank; Bank calculations. Notes: Productivity uses real GDP at current PPPs (2011 $).</w:t>
      </w:r>
    </w:p>
    <w:p>
      <w:pPr>
        <w:spacing w:after="0"/>
        <w:jc w:val="left"/>
        <w:rPr>
          <w:sz w:val="16"/>
        </w:rPr>
        <w:sectPr>
          <w:type w:val="continuous"/>
          <w:pgSz w:w="11910" w:h="16840"/>
          <w:pgMar w:top="1180" w:bottom="1520" w:left="900" w:right="1020"/>
          <w:cols w:num="2" w:equalWidth="0">
            <w:col w:w="4545" w:space="69"/>
            <w:col w:w="5376"/>
          </w:cols>
        </w:sectPr>
      </w:pPr>
    </w:p>
    <w:p>
      <w:pPr>
        <w:pStyle w:val="BodyText"/>
        <w:spacing w:before="9"/>
        <w:rPr>
          <w:sz w:val="21"/>
        </w:rPr>
      </w:pPr>
    </w:p>
    <w:p>
      <w:pPr>
        <w:pStyle w:val="BodyText"/>
        <w:spacing w:line="360" w:lineRule="auto" w:before="93"/>
        <w:ind w:left="233" w:right="320"/>
      </w:pPr>
      <w:r>
        <w:rPr/>
        <w:t>As economists and as members of the public, my colleagues and I care enormously about productivity and its implications for welfare. However, as an MPC member, the reason I am discussing productivity today is</w:t>
      </w:r>
    </w:p>
    <w:p>
      <w:pPr>
        <w:spacing w:after="0" w:line="360" w:lineRule="auto"/>
        <w:sectPr>
          <w:type w:val="continuous"/>
          <w:pgSz w:w="11910" w:h="16840"/>
          <w:pgMar w:top="1180" w:bottom="1520" w:left="900" w:right="1020"/>
        </w:sectPr>
      </w:pPr>
    </w:p>
    <w:p>
      <w:pPr>
        <w:pStyle w:val="BodyText"/>
        <w:spacing w:line="360" w:lineRule="auto" w:before="79"/>
        <w:ind w:left="233" w:right="121"/>
      </w:pPr>
      <w:r>
        <w:rPr/>
        <w:t>that it is crucial to </w:t>
      </w:r>
      <w:r>
        <w:rPr>
          <w:u w:val="single"/>
        </w:rPr>
        <w:t>setting monetary policy</w:t>
      </w:r>
      <w:r>
        <w:rPr/>
        <w:t>. The MPC’s remit sets out a 2% inflation target over an appropriate time horizon with the rationale that inflation stability can lay the foundations for strong and sustainable growth. Productivity growth is the key determinant of how much demand can grow without creating inflation and hence it is a critical input into our forecast and deliberations.</w:t>
      </w:r>
    </w:p>
    <w:p>
      <w:pPr>
        <w:pStyle w:val="BodyText"/>
        <w:rPr>
          <w:sz w:val="30"/>
        </w:rPr>
      </w:pPr>
    </w:p>
    <w:p>
      <w:pPr>
        <w:pStyle w:val="BodyText"/>
        <w:spacing w:line="360" w:lineRule="auto" w:before="1"/>
        <w:ind w:left="233" w:right="410"/>
      </w:pPr>
      <w:r>
        <w:rPr/>
        <w:t>To illustrate how productivity can affect monetary policy, Charts 10a-10d show two alternative productivity scenarios, constructed using a version of COMPASS, the MPC’s main forecasting model.</w:t>
      </w:r>
      <w:r>
        <w:rPr>
          <w:vertAlign w:val="superscript"/>
        </w:rPr>
        <w:t>4</w:t>
      </w:r>
      <w:r>
        <w:rPr>
          <w:vertAlign w:val="baseline"/>
        </w:rPr>
        <w:t> For clarity, I abstract from some of the complications of the current outlook. As a baseline, the black lines show an economy where output and productivity are growing in line with their potential and inflation is at</w:t>
      </w:r>
    </w:p>
    <w:p>
      <w:pPr>
        <w:pStyle w:val="BodyText"/>
        <w:spacing w:line="357" w:lineRule="auto"/>
        <w:ind w:left="233" w:right="231"/>
      </w:pPr>
      <w:r>
        <w:rPr/>
        <w:t>target. Potential productivity grows at a subdued rate of 1% per year, roughly in line with the MPC’s November forecast.</w:t>
      </w:r>
      <w:r>
        <w:rPr>
          <w:vertAlign w:val="superscript"/>
        </w:rPr>
        <w:t>5</w:t>
      </w:r>
    </w:p>
    <w:p>
      <w:pPr>
        <w:spacing w:after="0" w:line="357" w:lineRule="auto"/>
        <w:sectPr>
          <w:footerReference w:type="default" r:id="rId28"/>
          <w:pgSz w:w="11910" w:h="16840"/>
          <w:pgMar w:footer="1338" w:header="0" w:top="1340" w:bottom="1520" w:left="900" w:right="1020"/>
          <w:pgNumType w:start="8"/>
        </w:sectPr>
      </w:pPr>
    </w:p>
    <w:p>
      <w:pPr>
        <w:pStyle w:val="Heading1"/>
        <w:spacing w:line="340" w:lineRule="atLeast" w:before="1"/>
        <w:ind w:right="17"/>
      </w:pPr>
      <w:r>
        <w:rPr/>
        <w:t>Chart 10a – Model-based scenarios for the level of potential productivity</w:t>
      </w:r>
    </w:p>
    <w:p>
      <w:pPr>
        <w:spacing w:before="111"/>
        <w:ind w:left="233" w:right="0" w:firstLine="0"/>
        <w:jc w:val="left"/>
        <w:rPr>
          <w:b/>
          <w:sz w:val="20"/>
        </w:rPr>
      </w:pPr>
      <w:r>
        <w:rPr/>
        <w:br w:type="column"/>
      </w:r>
      <w:r>
        <w:rPr>
          <w:b/>
          <w:sz w:val="20"/>
        </w:rPr>
        <w:t>Chart 10b – Output gap response</w:t>
      </w:r>
    </w:p>
    <w:p>
      <w:pPr>
        <w:spacing w:after="0"/>
        <w:jc w:val="left"/>
        <w:rPr>
          <w:sz w:val="20"/>
        </w:rPr>
        <w:sectPr>
          <w:type w:val="continuous"/>
          <w:pgSz w:w="11910" w:h="16840"/>
          <w:pgMar w:top="1180" w:bottom="1520" w:left="900" w:right="1020"/>
          <w:cols w:num="2" w:equalWidth="0">
            <w:col w:w="4294" w:space="303"/>
            <w:col w:w="5393"/>
          </w:cols>
        </w:sectPr>
      </w:pPr>
    </w:p>
    <w:p>
      <w:pPr>
        <w:pStyle w:val="BodyText"/>
        <w:spacing w:before="9"/>
        <w:rPr>
          <w:b/>
          <w:sz w:val="21"/>
        </w:rPr>
      </w:pPr>
    </w:p>
    <w:p>
      <w:pPr>
        <w:spacing w:before="1"/>
        <w:ind w:left="1082" w:right="0" w:firstLine="0"/>
        <w:jc w:val="left"/>
        <w:rPr>
          <w:rFonts w:ascii="Calibri"/>
          <w:sz w:val="18"/>
        </w:rPr>
      </w:pPr>
      <w:r>
        <w:rPr/>
        <w:pict>
          <v:line style="position:absolute;mso-position-horizontal-relative:page;mso-position-vertical-relative:paragraph;z-index:251684864" from="77.879997pt,5.929334pt" to="97.079997pt,5.929334pt" stroked="true" strokeweight="2.16pt" strokecolor="#000000">
            <v:stroke dashstyle="solid"/>
            <w10:wrap type="none"/>
          </v:line>
        </w:pict>
      </w:r>
      <w:r>
        <w:rPr>
          <w:rFonts w:ascii="Calibri"/>
          <w:sz w:val="18"/>
        </w:rPr>
        <w:t>Baseline</w:t>
      </w:r>
    </w:p>
    <w:p>
      <w:pPr>
        <w:spacing w:before="77"/>
        <w:ind w:left="1082" w:right="227" w:firstLine="674"/>
        <w:jc w:val="left"/>
        <w:rPr>
          <w:rFonts w:ascii="Calibri"/>
          <w:sz w:val="18"/>
        </w:rPr>
      </w:pPr>
      <w:r>
        <w:rPr/>
        <w:br w:type="column"/>
      </w:r>
      <w:r>
        <w:rPr>
          <w:rFonts w:ascii="Calibri"/>
          <w:sz w:val="18"/>
        </w:rPr>
        <w:t>Index   Quarter 0=100</w:t>
      </w:r>
    </w:p>
    <w:p>
      <w:pPr>
        <w:spacing w:line="146" w:lineRule="exact" w:before="0"/>
        <w:ind w:left="2131" w:right="0" w:firstLine="0"/>
        <w:jc w:val="left"/>
        <w:rPr>
          <w:rFonts w:ascii="Calibri"/>
          <w:sz w:val="18"/>
        </w:rPr>
      </w:pPr>
      <w:r>
        <w:rPr/>
        <w:pict>
          <v:group style="position:absolute;margin-left:61.799999pt;margin-top:2.096699pt;width:191.65pt;height:122.55pt;mso-position-horizontal-relative:page;mso-position-vertical-relative:paragraph;z-index:251683840" coordorigin="1236,42" coordsize="3833,2451">
            <v:shape style="position:absolute;left:1243;top:49;width:3826;height:2444" coordorigin="1243,49" coordsize="3826,2444" path="m5011,2435l5011,49m5011,2435l5069,2435m5011,2036l5069,2036m5011,1640l5069,1640m5011,1242l5069,1242m5011,844l5069,844m5011,445l5069,445m5011,49l5069,49m1243,2435l5011,2435m1243,2435l1243,2492m1620,2435l1620,2492m1997,2435l1997,2492m2374,2435l2374,2492m2750,2435l2750,2492m3127,2435l3127,2492m3504,2435l3504,2492m3881,2435l3881,2492m4258,2435l4258,2492m4634,2435l4634,2492m5011,2435l5011,2492e" filled="false" stroked="true" strokeweight=".72pt" strokecolor="#858585">
              <v:path arrowok="t"/>
              <v:stroke dashstyle="solid"/>
            </v:shape>
            <v:shape style="position:absolute;left:1291;top:1227;width:3675;height:809" coordorigin="1291,1228" coordsize="3675,809" path="m1291,2036l1385,2017,1478,1998,1574,1979,1668,1957,1762,1938,1855,1919,1951,1897,2045,1878,2138,1856,2232,1837,2328,1816,2422,1796,2515,1775,2609,1756,2705,1734,2798,1715,2892,1693,2988,1674,3082,1652,3175,1631,3269,1612,3365,1590,3458,1568,3552,1547,3646,1528,3742,1506,3835,1484,3929,1463,4022,1441,4118,1420,4212,1400,4306,1379,4399,1357,4495,1336,4589,1314,4682,1292,4776,1271,4872,1249,4966,1228e" filled="false" stroked="true" strokeweight="2.16pt" strokecolor="#000000">
              <v:path arrowok="t"/>
              <v:stroke dashstyle="solid"/>
            </v:shape>
            <v:shape style="position:absolute;left:1291;top:517;width:3675;height:1520" coordorigin="1291,517" coordsize="3675,1520" path="m1291,2036l1385,2017,1478,1998,1574,1979,1668,1955,1762,1931,1855,1902,1951,1873,2045,1840,2138,1804,2232,1765,2328,1727,2422,1686,2515,1645,2609,1604,2705,1561,2798,1520,2892,1477,2988,1436,3082,1393,3175,1352,3269,1309,3365,1266,3458,1223,3552,1182,3646,1139,3742,1096,3835,1050,3929,1007,4022,964,4118,920,4212,875,4306,832,4399,786,4495,743,4589,697,4682,654,4776,608,4872,563,4966,517e" filled="false" stroked="true" strokeweight="2.16pt" strokecolor="#006fc0">
              <v:path arrowok="t"/>
              <v:stroke dashstyle="solid"/>
            </v:shape>
            <v:shape style="position:absolute;left:1291;top:1906;width:3675;height:130" coordorigin="1291,1907" coordsize="3675,130" path="m1291,2036l1385,2017,1478,1998,1574,1979,1668,1960,1762,1945,1855,1933,1951,1924,2045,1916,2138,1912,2232,1909,2328,1907,2422,1907,2515,1907,2609,1907,2705,1907,2798,1909,2892,1909,2988,1909,3082,1909,3175,1912,3269,1912,3365,1912,3458,1914,3552,1914,3646,1916,3742,1916,3835,1919,3929,1919,4022,1921,4118,1921,4212,1924,4306,1924,4399,1926,4495,1928,4589,1928,4682,1931,4776,1933,4872,1936,4966,1936e" filled="false" stroked="true" strokeweight="2.16pt" strokecolor="#ff0000">
              <v:path arrowok="t"/>
              <v:stroke dashstyle="solid"/>
            </v:shape>
            <v:line style="position:absolute" from="1558,258" to="1942,258" stroked="true" strokeweight="2.16pt" strokecolor="#006fc0">
              <v:stroke dashstyle="solid"/>
            </v:line>
            <v:line style="position:absolute" from="1558,664" to="1942,664" stroked="true" strokeweight="2.16pt" strokecolor="#ff0000">
              <v:stroke dashstyle="solid"/>
            </v:line>
            <v:shape style="position:absolute;left:1236;top:41;width:3833;height:2451" type="#_x0000_t202" filled="false" stroked="false">
              <v:textbox inset="0,0,0,0">
                <w:txbxContent>
                  <w:p>
                    <w:pPr>
                      <w:spacing w:line="441" w:lineRule="auto" w:before="97"/>
                      <w:ind w:left="746" w:right="1810" w:firstLine="0"/>
                      <w:jc w:val="left"/>
                      <w:rPr>
                        <w:rFonts w:ascii="Calibri"/>
                        <w:sz w:val="18"/>
                      </w:rPr>
                    </w:pPr>
                    <w:r>
                      <w:rPr>
                        <w:rFonts w:ascii="Calibri"/>
                        <w:sz w:val="18"/>
                      </w:rPr>
                      <w:t>High productivity Low productivity</w:t>
                    </w:r>
                  </w:p>
                </w:txbxContent>
              </v:textbox>
              <w10:wrap type="none"/>
            </v:shape>
            <w10:wrap type="none"/>
          </v:group>
        </w:pict>
      </w:r>
      <w:r>
        <w:rPr>
          <w:rFonts w:ascii="Calibri"/>
          <w:sz w:val="18"/>
        </w:rPr>
        <w:t>125</w:t>
      </w:r>
    </w:p>
    <w:p>
      <w:pPr>
        <w:spacing w:line="216" w:lineRule="exact" w:before="0"/>
        <w:ind w:left="1049" w:right="0" w:firstLine="0"/>
        <w:jc w:val="left"/>
        <w:rPr>
          <w:rFonts w:ascii="Calibri"/>
          <w:sz w:val="18"/>
        </w:rPr>
      </w:pPr>
      <w:r>
        <w:rPr/>
        <w:br w:type="column"/>
      </w:r>
      <w:r>
        <w:rPr>
          <w:rFonts w:ascii="Calibri"/>
          <w:sz w:val="18"/>
        </w:rPr>
        <w:t>Baseline</w:t>
      </w:r>
    </w:p>
    <w:p>
      <w:pPr>
        <w:spacing w:line="172" w:lineRule="exact" w:before="0"/>
        <w:ind w:left="1049" w:right="0" w:firstLine="0"/>
        <w:jc w:val="left"/>
        <w:rPr>
          <w:rFonts w:ascii="Calibri"/>
          <w:sz w:val="18"/>
        </w:rPr>
      </w:pPr>
      <w:r>
        <w:rPr/>
        <w:pict>
          <v:line style="position:absolute;mso-position-horizontal-relative:page;mso-position-vertical-relative:paragraph;z-index:251686912" from="299.160004pt,-4.818806pt" to="324.360004pt,-4.818806pt" stroked="true" strokeweight="2.16pt" strokecolor="#000000">
            <v:stroke dashstyle="solid"/>
            <w10:wrap type="none"/>
          </v:line>
        </w:pict>
      </w:r>
      <w:r>
        <w:rPr/>
        <w:pict>
          <v:line style="position:absolute;mso-position-horizontal-relative:page;mso-position-vertical-relative:paragraph;z-index:251687936" from="299.160004pt,5.741194pt" to="324.360004pt,5.741194pt" stroked="true" strokeweight="2.16pt" strokecolor="#006fc0">
            <v:stroke dashstyle="solid"/>
            <w10:wrap type="none"/>
          </v:line>
        </w:pict>
      </w:r>
      <w:r>
        <w:rPr>
          <w:rFonts w:ascii="Calibri"/>
          <w:sz w:val="18"/>
        </w:rPr>
        <w:t>High productivity (no policy response)</w:t>
      </w:r>
    </w:p>
    <w:p>
      <w:pPr>
        <w:tabs>
          <w:tab w:pos="3881" w:val="left" w:leader="none"/>
        </w:tabs>
        <w:spacing w:line="256" w:lineRule="exact" w:before="0"/>
        <w:ind w:left="1049" w:right="0" w:firstLine="0"/>
        <w:jc w:val="left"/>
        <w:rPr>
          <w:rFonts w:ascii="Calibri"/>
          <w:sz w:val="18"/>
        </w:rPr>
      </w:pPr>
      <w:r>
        <w:rPr/>
        <w:pict>
          <v:line style="position:absolute;mso-position-horizontal-relative:page;mso-position-vertical-relative:paragraph;z-index:251688960" from="299.160004pt,7.801199pt" to="324.360004pt,7.801199pt" stroked="true" strokeweight="2.16pt" strokecolor="#006fc0">
            <v:stroke dashstyle="dash"/>
            <w10:wrap type="none"/>
          </v:line>
        </w:pict>
      </w:r>
      <w:r>
        <w:rPr>
          <w:rFonts w:ascii="Calibri"/>
          <w:sz w:val="18"/>
        </w:rPr>
        <w:t>High productivity</w:t>
      </w:r>
      <w:r>
        <w:rPr>
          <w:rFonts w:ascii="Calibri"/>
          <w:spacing w:val="-3"/>
          <w:sz w:val="18"/>
        </w:rPr>
        <w:t> </w:t>
      </w:r>
      <w:r>
        <w:rPr>
          <w:rFonts w:ascii="Calibri"/>
          <w:sz w:val="18"/>
        </w:rPr>
        <w:t>(optimal</w:t>
      </w:r>
      <w:r>
        <w:rPr>
          <w:rFonts w:ascii="Calibri"/>
          <w:spacing w:val="-2"/>
          <w:sz w:val="18"/>
        </w:rPr>
        <w:t> </w:t>
      </w:r>
      <w:r>
        <w:rPr>
          <w:rFonts w:ascii="Calibri"/>
          <w:sz w:val="18"/>
        </w:rPr>
        <w:t>policy)</w:t>
        <w:tab/>
      </w:r>
      <w:r>
        <w:rPr>
          <w:rFonts w:ascii="Calibri"/>
          <w:position w:val="8"/>
          <w:sz w:val="18"/>
        </w:rPr>
        <w:t>Per</w:t>
      </w:r>
      <w:r>
        <w:rPr>
          <w:rFonts w:ascii="Calibri"/>
          <w:spacing w:val="-1"/>
          <w:position w:val="8"/>
          <w:sz w:val="18"/>
        </w:rPr>
        <w:t> </w:t>
      </w:r>
      <w:r>
        <w:rPr>
          <w:rFonts w:ascii="Calibri"/>
          <w:position w:val="8"/>
          <w:sz w:val="18"/>
        </w:rPr>
        <w:t>cent</w:t>
      </w:r>
    </w:p>
    <w:p>
      <w:pPr>
        <w:spacing w:after="0" w:line="256" w:lineRule="exact"/>
        <w:jc w:val="left"/>
        <w:rPr>
          <w:rFonts w:ascii="Calibri"/>
          <w:sz w:val="18"/>
        </w:rPr>
        <w:sectPr>
          <w:type w:val="continuous"/>
          <w:pgSz w:w="11910" w:h="16840"/>
          <w:pgMar w:top="1180" w:bottom="1520" w:left="900" w:right="1020"/>
          <w:cols w:num="3" w:equalWidth="0">
            <w:col w:w="1733" w:space="417"/>
            <w:col w:w="2406" w:space="40"/>
            <w:col w:w="5394"/>
          </w:cols>
        </w:sect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7"/>
        </w:rPr>
      </w:pPr>
    </w:p>
    <w:p>
      <w:pPr>
        <w:tabs>
          <w:tab w:pos="683" w:val="left" w:leader="none"/>
          <w:tab w:pos="1060" w:val="left" w:leader="none"/>
          <w:tab w:pos="1392" w:val="left" w:leader="none"/>
        </w:tabs>
        <w:spacing w:line="194" w:lineRule="exact" w:before="0"/>
        <w:ind w:left="307" w:right="0" w:firstLine="0"/>
        <w:jc w:val="center"/>
        <w:rPr>
          <w:rFonts w:ascii="Calibri"/>
          <w:sz w:val="18"/>
        </w:rPr>
      </w:pPr>
      <w:r>
        <w:rPr>
          <w:rFonts w:ascii="Calibri"/>
          <w:sz w:val="18"/>
        </w:rPr>
        <w:t>0</w:t>
        <w:tab/>
        <w:t>4</w:t>
        <w:tab/>
        <w:t>8</w:t>
        <w:tab/>
        <w:t>12 16 20 24 28 32</w:t>
      </w:r>
      <w:r>
        <w:rPr>
          <w:rFonts w:ascii="Calibri"/>
          <w:spacing w:val="14"/>
          <w:sz w:val="18"/>
        </w:rPr>
        <w:t> </w:t>
      </w:r>
      <w:r>
        <w:rPr>
          <w:rFonts w:ascii="Calibri"/>
          <w:sz w:val="18"/>
        </w:rPr>
        <w:t>36</w:t>
      </w:r>
    </w:p>
    <w:p>
      <w:pPr>
        <w:spacing w:line="194" w:lineRule="exact" w:before="0"/>
        <w:ind w:left="541" w:right="0" w:firstLine="0"/>
        <w:jc w:val="center"/>
        <w:rPr>
          <w:rFonts w:ascii="Calibri"/>
          <w:sz w:val="18"/>
        </w:rPr>
      </w:pPr>
      <w:r>
        <w:rPr>
          <w:rFonts w:ascii="Calibri"/>
          <w:sz w:val="18"/>
        </w:rPr>
        <w:t>Quarter</w:t>
      </w:r>
    </w:p>
    <w:p>
      <w:pPr>
        <w:spacing w:before="26"/>
        <w:ind w:left="233" w:right="0" w:firstLine="0"/>
        <w:jc w:val="left"/>
        <w:rPr>
          <w:sz w:val="16"/>
        </w:rPr>
      </w:pPr>
      <w:r>
        <w:rPr>
          <w:sz w:val="16"/>
        </w:rPr>
        <w:t>Sources: Bank calculations.</w:t>
      </w:r>
    </w:p>
    <w:p>
      <w:pPr>
        <w:pStyle w:val="BodyText"/>
        <w:spacing w:before="9"/>
        <w:rPr>
          <w:sz w:val="15"/>
        </w:rPr>
      </w:pPr>
      <w:r>
        <w:rPr/>
        <w:br w:type="column"/>
      </w:r>
      <w:r>
        <w:rPr>
          <w:sz w:val="15"/>
        </w:rPr>
      </w:r>
    </w:p>
    <w:p>
      <w:pPr>
        <w:spacing w:before="0"/>
        <w:ind w:left="233" w:right="0" w:firstLine="0"/>
        <w:jc w:val="left"/>
        <w:rPr>
          <w:rFonts w:ascii="Calibri"/>
          <w:sz w:val="18"/>
        </w:rPr>
      </w:pPr>
      <w:r>
        <w:rPr>
          <w:rFonts w:ascii="Calibri"/>
          <w:spacing w:val="-1"/>
          <w:sz w:val="18"/>
        </w:rPr>
        <w:t>120</w:t>
      </w:r>
    </w:p>
    <w:p>
      <w:pPr>
        <w:pStyle w:val="BodyText"/>
        <w:spacing w:before="7"/>
        <w:rPr>
          <w:rFonts w:ascii="Calibri"/>
          <w:sz w:val="14"/>
        </w:rPr>
      </w:pPr>
    </w:p>
    <w:p>
      <w:pPr>
        <w:spacing w:before="0"/>
        <w:ind w:left="233" w:right="0" w:firstLine="0"/>
        <w:jc w:val="left"/>
        <w:rPr>
          <w:rFonts w:ascii="Calibri"/>
          <w:sz w:val="18"/>
        </w:rPr>
      </w:pPr>
      <w:r>
        <w:rPr>
          <w:rFonts w:ascii="Calibri"/>
          <w:spacing w:val="-1"/>
          <w:sz w:val="18"/>
        </w:rPr>
        <w:t>115</w:t>
      </w:r>
    </w:p>
    <w:p>
      <w:pPr>
        <w:pStyle w:val="BodyText"/>
        <w:spacing w:before="7"/>
        <w:rPr>
          <w:rFonts w:ascii="Calibri"/>
          <w:sz w:val="14"/>
        </w:rPr>
      </w:pPr>
    </w:p>
    <w:p>
      <w:pPr>
        <w:spacing w:before="1"/>
        <w:ind w:left="233" w:right="0" w:firstLine="0"/>
        <w:jc w:val="left"/>
        <w:rPr>
          <w:rFonts w:ascii="Calibri"/>
          <w:sz w:val="18"/>
        </w:rPr>
      </w:pPr>
      <w:r>
        <w:rPr>
          <w:rFonts w:ascii="Calibri"/>
          <w:spacing w:val="-1"/>
          <w:sz w:val="18"/>
        </w:rPr>
        <w:t>110</w:t>
      </w:r>
    </w:p>
    <w:p>
      <w:pPr>
        <w:pStyle w:val="BodyText"/>
        <w:spacing w:before="6"/>
        <w:rPr>
          <w:rFonts w:ascii="Calibri"/>
          <w:sz w:val="14"/>
        </w:rPr>
      </w:pPr>
    </w:p>
    <w:p>
      <w:pPr>
        <w:spacing w:before="1"/>
        <w:ind w:left="233" w:right="0" w:firstLine="0"/>
        <w:jc w:val="left"/>
        <w:rPr>
          <w:rFonts w:ascii="Calibri"/>
          <w:sz w:val="18"/>
        </w:rPr>
      </w:pPr>
      <w:r>
        <w:rPr>
          <w:rFonts w:ascii="Calibri"/>
          <w:spacing w:val="-1"/>
          <w:sz w:val="18"/>
        </w:rPr>
        <w:t>105</w:t>
      </w:r>
    </w:p>
    <w:p>
      <w:pPr>
        <w:pStyle w:val="BodyText"/>
        <w:spacing w:before="7"/>
        <w:rPr>
          <w:rFonts w:ascii="Calibri"/>
          <w:sz w:val="14"/>
        </w:rPr>
      </w:pPr>
    </w:p>
    <w:p>
      <w:pPr>
        <w:spacing w:before="0"/>
        <w:ind w:left="233" w:right="0" w:firstLine="0"/>
        <w:jc w:val="left"/>
        <w:rPr>
          <w:rFonts w:ascii="Calibri"/>
          <w:sz w:val="18"/>
        </w:rPr>
      </w:pPr>
      <w:r>
        <w:rPr>
          <w:rFonts w:ascii="Calibri"/>
          <w:spacing w:val="-1"/>
          <w:sz w:val="18"/>
        </w:rPr>
        <w:t>100</w:t>
      </w:r>
    </w:p>
    <w:p>
      <w:pPr>
        <w:pStyle w:val="BodyText"/>
        <w:spacing w:before="7"/>
        <w:rPr>
          <w:rFonts w:ascii="Calibri"/>
          <w:sz w:val="14"/>
        </w:rPr>
      </w:pPr>
    </w:p>
    <w:p>
      <w:pPr>
        <w:spacing w:before="0"/>
        <w:ind w:left="233" w:right="0" w:firstLine="0"/>
        <w:jc w:val="left"/>
        <w:rPr>
          <w:rFonts w:ascii="Calibri"/>
          <w:sz w:val="18"/>
        </w:rPr>
      </w:pPr>
      <w:r>
        <w:rPr>
          <w:rFonts w:ascii="Calibri"/>
          <w:sz w:val="18"/>
        </w:rPr>
        <w:t>95</w:t>
      </w:r>
    </w:p>
    <w:p>
      <w:pPr>
        <w:spacing w:line="191" w:lineRule="exact" w:before="0"/>
        <w:ind w:left="1047" w:right="0" w:firstLine="0"/>
        <w:jc w:val="left"/>
        <w:rPr>
          <w:rFonts w:ascii="Calibri"/>
          <w:sz w:val="18"/>
        </w:rPr>
      </w:pPr>
      <w:r>
        <w:rPr/>
        <w:br w:type="column"/>
      </w:r>
      <w:r>
        <w:rPr>
          <w:rFonts w:ascii="Calibri"/>
          <w:sz w:val="18"/>
        </w:rPr>
        <w:t>Low productivity (no policy response)</w:t>
      </w:r>
    </w:p>
    <w:p>
      <w:pPr>
        <w:spacing w:line="216" w:lineRule="exact" w:before="0"/>
        <w:ind w:left="1047" w:right="0" w:firstLine="0"/>
        <w:jc w:val="left"/>
        <w:rPr>
          <w:rFonts w:ascii="Calibri"/>
          <w:sz w:val="18"/>
        </w:rPr>
      </w:pPr>
      <w:r>
        <w:rPr/>
        <w:pict>
          <v:group style="position:absolute;margin-left:291.600006pt;margin-top:-5.983831pt;width:193.45pt;height:129.85pt;mso-position-horizontal-relative:page;mso-position-vertical-relative:paragraph;z-index:-255064064" coordorigin="5832,-120" coordsize="3869,2597">
            <v:shape style="position:absolute;left:5839;top:-108;width:3862;height:2578" coordorigin="5839,-108" coordsize="3862,2578" path="m9643,2470l9643,-108m9643,2470l9701,2470m9643,2211l9701,2211m9643,1954l9701,1954m9643,1695l9701,1695m9643,1438l9701,1438m9643,1181l9701,1181m9643,922l9701,922m9643,665l9701,665m9643,406l9701,406m9643,149l9701,149m9643,-108l9701,-108m5839,1181l9643,1181m5839,1181l5839,1236m6221,1181l6221,1236m6600,1181l6600,1236m6982,1181l6982,1236m7361,1181l7361,1236m7742,1181l7742,1236m8122,1181l8122,1236m8503,1181l8503,1236m8882,1181l8882,1236m9264,1181l9264,1236m9643,1181l9643,1236e" filled="false" stroked="true" strokeweight=".72pt" strokecolor="#858585">
              <v:path arrowok="t"/>
              <v:stroke dashstyle="solid"/>
            </v:shape>
            <v:line style="position:absolute" from="5866,1181" to="9617,1181" stroked="true" strokeweight="2.16pt" strokecolor="#000000">
              <v:stroke dashstyle="solid"/>
            </v:line>
            <v:shape style="position:absolute;left:5887;top:1181;width:3708;height:946" coordorigin="5887,1181" coordsize="3708,946" path="m5887,1181l5983,1181,6077,1181,6173,1181,6266,1203,6362,1258,6458,1335,6552,1431,6648,1536,6744,1649,6838,1764,6934,1870,7027,1956,7123,2026,7219,2074,7313,2105,7409,2122,7505,2127,7598,2120,7694,2108,7790,2088,7884,2064,7980,2036,8074,2007,8170,1976,8266,1942,8359,1911,8455,1880,8551,1848,8645,1820,8741,1791,8834,1764,8930,1740,9026,1716,9120,1695,9216,1673,9312,1656,9406,1640,9502,1623,9595,1608e" filled="false" stroked="true" strokeweight="2.16pt" strokecolor="#006fc0">
              <v:path arrowok="t"/>
              <v:stroke dashstyle="solid"/>
            </v:shape>
            <v:shape style="position:absolute;left:5887;top:1157;width:3708;height:108" coordorigin="5887,1157" coordsize="3708,108" path="m5887,1181l5983,1181,6077,1181,6173,1181,6266,1181,6362,1191,6458,1208,6552,1224,6648,1239,6744,1251,6838,1260,6934,1265,7027,1260,7123,1248,7219,1232,7313,1215,7409,1198,7505,1184,7598,1172,7694,1164,7790,1160,7884,1157,7980,1157,8074,1157,8170,1160,8266,1162,8359,1164,8455,1167,8551,1169,8645,1172,8741,1174,8834,1174,8930,1176,9026,1176,9120,1176,9216,1179,9312,1179,9406,1179,9502,1179,9595,1179e" filled="false" stroked="true" strokeweight="2.16pt" strokecolor="#006fc0">
              <v:path arrowok="t"/>
              <v:stroke dashstyle="dash"/>
            </v:shape>
            <v:shape style="position:absolute;left:5887;top:233;width:3708;height:948" coordorigin="5887,233" coordsize="3708,948" path="m5887,1181l5983,1181,6077,1181,6173,1181,6266,1157,6362,1102,6458,1025,6552,932,6648,824,6744,711,6838,596,6934,490,7027,404,7123,336,7219,286,7313,255,7409,238,7505,233,7598,240,7694,252,7790,272,7884,296,7980,324,8074,353,8170,384,8266,418,8359,449,8455,480,8551,512,8645,540,8741,569,8834,596,8930,620,9026,644,9120,665,9216,687,9312,704,9406,723,9502,737,9595,752e" filled="false" stroked="true" strokeweight="2.16pt" strokecolor="#ff0000">
              <v:path arrowok="t"/>
              <v:stroke dashstyle="solid"/>
            </v:shape>
            <v:shape style="position:absolute;left:5887;top:1094;width:3708;height:108" coordorigin="5887,1095" coordsize="3708,108" path="m5887,1181l5983,1181,6077,1181,6173,1181,6266,1179,6362,1169,6458,1152,6552,1136,6648,1121,6744,1109,6838,1100,6934,1095,7027,1100,7123,1112,7219,1128,7313,1145,7409,1162,7505,1176,7598,1188,7694,1196,7790,1200,7884,1203,7980,1203,8074,1203,8170,1200,8266,1198,8359,1196,8455,1193,8551,1191,8645,1188,8741,1186,8834,1186,8930,1184,9026,1184,9120,1184,9216,1181,9312,1181,9406,1181,9502,1181,9595,1181e" filled="false" stroked="true" strokeweight="2.16pt" strokecolor="#ff0000">
              <v:path arrowok="t"/>
              <v:stroke dashstyle="dash"/>
            </v:shape>
            <v:line style="position:absolute" from="5983,-98" to="6487,-98" stroked="true" strokeweight="2.16pt" strokecolor="#ff0000">
              <v:stroke dashstyle="solid"/>
            </v:line>
            <v:line style="position:absolute" from="5983,116" to="6487,116" stroked="true" strokeweight="2.16pt" strokecolor="#ff0000">
              <v:stroke dashstyle="dash"/>
            </v:line>
            <w10:wrap type="none"/>
          </v:group>
        </w:pict>
      </w:r>
      <w:r>
        <w:rPr>
          <w:rFonts w:ascii="Calibri"/>
          <w:sz w:val="18"/>
        </w:rPr>
        <w:t>Low productivity (optimal policy)</w:t>
      </w: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spacing w:before="4"/>
        <w:rPr>
          <w:rFonts w:ascii="Calibri"/>
          <w:sz w:val="16"/>
        </w:rPr>
      </w:pPr>
    </w:p>
    <w:p>
      <w:pPr>
        <w:tabs>
          <w:tab w:pos="727" w:val="left" w:leader="none"/>
          <w:tab w:pos="1107" w:val="left" w:leader="none"/>
          <w:tab w:pos="1442" w:val="left" w:leader="none"/>
        </w:tabs>
        <w:spacing w:before="1"/>
        <w:ind w:left="347" w:right="0" w:firstLine="0"/>
        <w:jc w:val="left"/>
        <w:rPr>
          <w:rFonts w:ascii="Calibri"/>
          <w:sz w:val="18"/>
        </w:rPr>
      </w:pPr>
      <w:r>
        <w:rPr>
          <w:rFonts w:ascii="Calibri"/>
          <w:sz w:val="18"/>
        </w:rPr>
        <w:t>0</w:t>
        <w:tab/>
        <w:t>4</w:t>
        <w:tab/>
        <w:t>8</w:t>
        <w:tab/>
        <w:t>12 16 20 24 28 32</w:t>
      </w:r>
      <w:r>
        <w:rPr>
          <w:rFonts w:ascii="Calibri"/>
          <w:spacing w:val="37"/>
          <w:sz w:val="18"/>
        </w:rPr>
        <w:t> </w:t>
      </w:r>
      <w:r>
        <w:rPr>
          <w:rFonts w:ascii="Calibri"/>
          <w:sz w:val="18"/>
        </w:rPr>
        <w:t>36</w:t>
      </w: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7"/>
        </w:rPr>
      </w:pPr>
    </w:p>
    <w:p>
      <w:pPr>
        <w:spacing w:before="0"/>
        <w:ind w:left="1938" w:right="1392" w:firstLine="0"/>
        <w:jc w:val="center"/>
        <w:rPr>
          <w:rFonts w:ascii="Calibri"/>
          <w:sz w:val="18"/>
        </w:rPr>
      </w:pPr>
      <w:r>
        <w:rPr>
          <w:rFonts w:ascii="Calibri"/>
          <w:sz w:val="18"/>
        </w:rPr>
        <w:t>Quarter</w:t>
      </w:r>
    </w:p>
    <w:p>
      <w:pPr>
        <w:spacing w:before="27"/>
        <w:ind w:left="233" w:right="0" w:firstLine="0"/>
        <w:jc w:val="left"/>
        <w:rPr>
          <w:sz w:val="16"/>
        </w:rPr>
      </w:pPr>
      <w:r>
        <w:rPr>
          <w:sz w:val="16"/>
        </w:rPr>
        <w:t>Sources: Bank calculations.</w:t>
      </w:r>
    </w:p>
    <w:p>
      <w:pPr>
        <w:spacing w:line="183" w:lineRule="exact" w:before="0"/>
        <w:ind w:left="233" w:right="0" w:firstLine="0"/>
        <w:jc w:val="left"/>
        <w:rPr>
          <w:rFonts w:ascii="Calibri"/>
          <w:sz w:val="18"/>
        </w:rPr>
      </w:pPr>
      <w:r>
        <w:rPr/>
        <w:br w:type="column"/>
      </w:r>
      <w:r>
        <w:rPr>
          <w:rFonts w:ascii="Calibri"/>
          <w:sz w:val="18"/>
        </w:rPr>
        <w:t>0.5</w:t>
      </w:r>
    </w:p>
    <w:p>
      <w:pPr>
        <w:spacing w:before="38"/>
        <w:ind w:left="233" w:right="0" w:firstLine="0"/>
        <w:jc w:val="left"/>
        <w:rPr>
          <w:rFonts w:ascii="Calibri"/>
          <w:sz w:val="18"/>
        </w:rPr>
      </w:pPr>
      <w:r>
        <w:rPr>
          <w:rFonts w:ascii="Calibri"/>
          <w:sz w:val="18"/>
        </w:rPr>
        <w:t>0.4</w:t>
      </w:r>
    </w:p>
    <w:p>
      <w:pPr>
        <w:spacing w:before="38"/>
        <w:ind w:left="233" w:right="0" w:firstLine="0"/>
        <w:jc w:val="left"/>
        <w:rPr>
          <w:rFonts w:ascii="Calibri"/>
          <w:sz w:val="18"/>
        </w:rPr>
      </w:pPr>
      <w:r>
        <w:rPr>
          <w:rFonts w:ascii="Calibri"/>
          <w:sz w:val="18"/>
        </w:rPr>
        <w:t>0.3</w:t>
      </w:r>
    </w:p>
    <w:p>
      <w:pPr>
        <w:spacing w:before="38"/>
        <w:ind w:left="233" w:right="0" w:firstLine="0"/>
        <w:jc w:val="left"/>
        <w:rPr>
          <w:rFonts w:ascii="Calibri"/>
          <w:sz w:val="18"/>
        </w:rPr>
      </w:pPr>
      <w:r>
        <w:rPr>
          <w:rFonts w:ascii="Calibri"/>
          <w:sz w:val="18"/>
        </w:rPr>
        <w:t>0.2</w:t>
      </w:r>
    </w:p>
    <w:p>
      <w:pPr>
        <w:spacing w:before="38"/>
        <w:ind w:left="233" w:right="0" w:firstLine="0"/>
        <w:jc w:val="left"/>
        <w:rPr>
          <w:rFonts w:ascii="Calibri"/>
          <w:sz w:val="18"/>
        </w:rPr>
      </w:pPr>
      <w:r>
        <w:rPr>
          <w:rFonts w:ascii="Calibri"/>
          <w:sz w:val="18"/>
        </w:rPr>
        <w:t>0.1</w:t>
      </w:r>
    </w:p>
    <w:p>
      <w:pPr>
        <w:spacing w:before="38"/>
        <w:ind w:left="233" w:right="0" w:firstLine="0"/>
        <w:jc w:val="left"/>
        <w:rPr>
          <w:rFonts w:ascii="Calibri"/>
          <w:sz w:val="18"/>
        </w:rPr>
      </w:pPr>
      <w:r>
        <w:rPr>
          <w:rFonts w:ascii="Calibri"/>
          <w:sz w:val="18"/>
        </w:rPr>
        <w:t>0</w:t>
      </w:r>
    </w:p>
    <w:p>
      <w:pPr>
        <w:spacing w:before="38"/>
        <w:ind w:left="233" w:right="0" w:firstLine="0"/>
        <w:jc w:val="left"/>
        <w:rPr>
          <w:rFonts w:ascii="Calibri"/>
          <w:sz w:val="18"/>
        </w:rPr>
      </w:pPr>
      <w:r>
        <w:rPr>
          <w:rFonts w:ascii="Calibri"/>
          <w:sz w:val="18"/>
        </w:rPr>
        <w:t>-0.1</w:t>
      </w:r>
    </w:p>
    <w:p>
      <w:pPr>
        <w:spacing w:before="38"/>
        <w:ind w:left="233" w:right="0" w:firstLine="0"/>
        <w:jc w:val="left"/>
        <w:rPr>
          <w:rFonts w:ascii="Calibri"/>
          <w:sz w:val="18"/>
        </w:rPr>
      </w:pPr>
      <w:r>
        <w:rPr>
          <w:rFonts w:ascii="Calibri"/>
          <w:sz w:val="18"/>
        </w:rPr>
        <w:t>-0.2</w:t>
      </w:r>
    </w:p>
    <w:p>
      <w:pPr>
        <w:spacing w:before="38"/>
        <w:ind w:left="233" w:right="0" w:firstLine="0"/>
        <w:jc w:val="left"/>
        <w:rPr>
          <w:rFonts w:ascii="Calibri"/>
          <w:sz w:val="18"/>
        </w:rPr>
      </w:pPr>
      <w:r>
        <w:rPr>
          <w:rFonts w:ascii="Calibri"/>
          <w:sz w:val="18"/>
        </w:rPr>
        <w:t>-0.3</w:t>
      </w:r>
    </w:p>
    <w:p>
      <w:pPr>
        <w:spacing w:before="38"/>
        <w:ind w:left="233" w:right="0" w:firstLine="0"/>
        <w:jc w:val="left"/>
        <w:rPr>
          <w:rFonts w:ascii="Calibri"/>
          <w:sz w:val="18"/>
        </w:rPr>
      </w:pPr>
      <w:r>
        <w:rPr>
          <w:rFonts w:ascii="Calibri"/>
          <w:sz w:val="18"/>
        </w:rPr>
        <w:t>-0.4</w:t>
      </w:r>
    </w:p>
    <w:p>
      <w:pPr>
        <w:spacing w:before="38"/>
        <w:ind w:left="233" w:right="0" w:firstLine="0"/>
        <w:jc w:val="left"/>
        <w:rPr>
          <w:rFonts w:ascii="Calibri"/>
          <w:sz w:val="18"/>
        </w:rPr>
      </w:pPr>
      <w:r>
        <w:rPr>
          <w:rFonts w:ascii="Calibri"/>
          <w:sz w:val="18"/>
        </w:rPr>
        <w:t>-0.5</w:t>
      </w:r>
    </w:p>
    <w:p>
      <w:pPr>
        <w:spacing w:after="0"/>
        <w:jc w:val="left"/>
        <w:rPr>
          <w:rFonts w:ascii="Calibri"/>
          <w:sz w:val="18"/>
        </w:rPr>
        <w:sectPr>
          <w:type w:val="continuous"/>
          <w:pgSz w:w="11910" w:h="16840"/>
          <w:pgMar w:top="1180" w:bottom="1520" w:left="900" w:right="1020"/>
          <w:cols w:num="4" w:equalWidth="0">
            <w:col w:w="3917" w:space="132"/>
            <w:col w:w="507" w:space="41"/>
            <w:col w:w="3949" w:space="135"/>
            <w:col w:w="1309"/>
          </w:cols>
        </w:sectPr>
      </w:pPr>
    </w:p>
    <w:p>
      <w:pPr>
        <w:pStyle w:val="BodyText"/>
        <w:spacing w:before="6"/>
        <w:rPr>
          <w:rFonts w:ascii="Calibri"/>
          <w:sz w:val="16"/>
        </w:rPr>
      </w:pPr>
    </w:p>
    <w:p>
      <w:pPr>
        <w:pStyle w:val="Heading1"/>
        <w:tabs>
          <w:tab w:pos="4830" w:val="left" w:leader="none"/>
        </w:tabs>
        <w:spacing w:before="93"/>
      </w:pPr>
      <w:r>
        <w:rPr/>
        <w:t>Chart 10c – Annual</w:t>
      </w:r>
      <w:r>
        <w:rPr>
          <w:spacing w:val="-6"/>
        </w:rPr>
        <w:t> </w:t>
      </w:r>
      <w:r>
        <w:rPr/>
        <w:t>inflation</w:t>
      </w:r>
      <w:r>
        <w:rPr>
          <w:spacing w:val="-2"/>
        </w:rPr>
        <w:t> </w:t>
      </w:r>
      <w:r>
        <w:rPr/>
        <w:t>response</w:t>
        <w:tab/>
        <w:t>Chart 10d – Optimal Bank Rate</w:t>
      </w:r>
      <w:r>
        <w:rPr>
          <w:spacing w:val="1"/>
        </w:rPr>
        <w:t> </w:t>
      </w:r>
      <w:r>
        <w:rPr/>
        <w:t>change</w:t>
      </w:r>
    </w:p>
    <w:p>
      <w:pPr>
        <w:spacing w:after="0"/>
        <w:sectPr>
          <w:type w:val="continuous"/>
          <w:pgSz w:w="11910" w:h="16840"/>
          <w:pgMar w:top="1180" w:bottom="1520" w:left="900" w:right="1020"/>
        </w:sectPr>
      </w:pPr>
    </w:p>
    <w:p>
      <w:pPr>
        <w:pStyle w:val="BodyText"/>
        <w:rPr>
          <w:b/>
          <w:sz w:val="18"/>
        </w:rPr>
      </w:pPr>
    </w:p>
    <w:p>
      <w:pPr>
        <w:spacing w:line="146" w:lineRule="exact" w:before="141"/>
        <w:ind w:left="945" w:right="0" w:firstLine="0"/>
        <w:jc w:val="left"/>
        <w:rPr>
          <w:rFonts w:ascii="Calibri"/>
          <w:sz w:val="18"/>
        </w:rPr>
      </w:pPr>
      <w:r>
        <w:rPr/>
        <w:pict>
          <v:line style="position:absolute;mso-position-horizontal-relative:page;mso-position-vertical-relative:paragraph;z-index:251691008" from="64.199997pt,12.999338pt" to="89.399997pt,12.999338pt" stroked="true" strokeweight="2.16pt" strokecolor="#000000">
            <v:stroke dashstyle="solid"/>
            <w10:wrap type="none"/>
          </v:line>
        </w:pict>
      </w:r>
      <w:r>
        <w:rPr>
          <w:rFonts w:ascii="Calibri"/>
          <w:sz w:val="18"/>
        </w:rPr>
        <w:t>Baseline</w:t>
      </w:r>
    </w:p>
    <w:p>
      <w:pPr>
        <w:spacing w:before="75"/>
        <w:ind w:left="1147" w:right="18" w:hanging="202"/>
        <w:jc w:val="left"/>
        <w:rPr>
          <w:rFonts w:ascii="Calibri"/>
          <w:sz w:val="18"/>
        </w:rPr>
      </w:pPr>
      <w:r>
        <w:rPr/>
        <w:br w:type="column"/>
      </w:r>
      <w:r>
        <w:rPr>
          <w:rFonts w:ascii="Calibri"/>
          <w:sz w:val="18"/>
        </w:rPr>
        <w:t>Percentage change on a year earlier</w:t>
      </w:r>
    </w:p>
    <w:p>
      <w:pPr>
        <w:spacing w:before="5"/>
        <w:ind w:left="945" w:right="0" w:firstLine="0"/>
        <w:jc w:val="left"/>
        <w:rPr>
          <w:rFonts w:ascii="Calibri"/>
          <w:sz w:val="18"/>
        </w:rPr>
      </w:pPr>
      <w:r>
        <w:rPr/>
        <w:br w:type="column"/>
      </w:r>
      <w:r>
        <w:rPr>
          <w:rFonts w:ascii="Calibri"/>
          <w:sz w:val="18"/>
        </w:rPr>
        <w:t>Baseline</w:t>
      </w:r>
    </w:p>
    <w:p>
      <w:pPr>
        <w:spacing w:before="7"/>
        <w:ind w:left="945" w:right="0" w:firstLine="0"/>
        <w:jc w:val="left"/>
        <w:rPr>
          <w:rFonts w:ascii="Calibri"/>
          <w:sz w:val="18"/>
        </w:rPr>
      </w:pPr>
      <w:r>
        <w:rPr/>
        <w:pict>
          <v:line style="position:absolute;mso-position-horizontal-relative:page;mso-position-vertical-relative:paragraph;z-index:251695104" from="300.119995pt,-5.020665pt" to="325.319995pt,-5.020665pt" stroked="true" strokeweight="2.16pt" strokecolor="#000000">
            <v:stroke dashstyle="solid"/>
            <w10:wrap type="none"/>
          </v:line>
        </w:pict>
      </w:r>
      <w:r>
        <w:rPr/>
        <w:pict>
          <v:line style="position:absolute;mso-position-horizontal-relative:page;mso-position-vertical-relative:paragraph;z-index:251696128" from="300.119995pt,6.259335pt" to="325.319995pt,6.259335pt" stroked="true" strokeweight="2.16pt" strokecolor="#006fc0">
            <v:stroke dashstyle="dash"/>
            <w10:wrap type="none"/>
          </v:line>
        </w:pict>
      </w:r>
      <w:r>
        <w:rPr>
          <w:rFonts w:ascii="Calibri"/>
          <w:sz w:val="18"/>
        </w:rPr>
        <w:t>High productivity (optimal policy)</w:t>
      </w:r>
    </w:p>
    <w:p>
      <w:pPr>
        <w:spacing w:before="75"/>
        <w:ind w:left="0" w:right="871" w:firstLine="0"/>
        <w:jc w:val="right"/>
        <w:rPr>
          <w:rFonts w:ascii="Calibri"/>
          <w:sz w:val="18"/>
        </w:rPr>
      </w:pPr>
      <w:r>
        <w:rPr/>
        <w:br w:type="column"/>
      </w:r>
      <w:r>
        <w:rPr>
          <w:rFonts w:ascii="Calibri"/>
          <w:spacing w:val="-1"/>
          <w:sz w:val="18"/>
        </w:rPr>
        <w:t>Percentage</w:t>
      </w:r>
    </w:p>
    <w:p>
      <w:pPr>
        <w:spacing w:line="198" w:lineRule="exact" w:before="1"/>
        <w:ind w:left="0" w:right="871" w:firstLine="0"/>
        <w:jc w:val="right"/>
        <w:rPr>
          <w:rFonts w:ascii="Calibri"/>
          <w:sz w:val="18"/>
        </w:rPr>
      </w:pPr>
      <w:r>
        <w:rPr>
          <w:rFonts w:ascii="Calibri"/>
          <w:spacing w:val="-1"/>
          <w:sz w:val="18"/>
        </w:rPr>
        <w:t>points</w:t>
      </w:r>
    </w:p>
    <w:p>
      <w:pPr>
        <w:spacing w:after="0" w:line="198" w:lineRule="exact"/>
        <w:jc w:val="right"/>
        <w:rPr>
          <w:rFonts w:ascii="Calibri"/>
          <w:sz w:val="18"/>
        </w:rPr>
        <w:sectPr>
          <w:type w:val="continuous"/>
          <w:pgSz w:w="11910" w:h="16840"/>
          <w:pgMar w:top="1180" w:bottom="1520" w:left="900" w:right="1020"/>
          <w:cols w:num="4" w:equalWidth="0">
            <w:col w:w="1596" w:space="450"/>
            <w:col w:w="2377" w:space="295"/>
            <w:col w:w="3385" w:space="40"/>
            <w:col w:w="1847"/>
          </w:cols>
        </w:sectPr>
      </w:pPr>
    </w:p>
    <w:p>
      <w:pPr>
        <w:spacing w:before="52"/>
        <w:ind w:left="945" w:right="144" w:firstLine="0"/>
        <w:jc w:val="left"/>
        <w:rPr>
          <w:rFonts w:ascii="Calibri"/>
          <w:sz w:val="18"/>
        </w:rPr>
      </w:pPr>
      <w:r>
        <w:rPr/>
        <w:pict>
          <v:group style="position:absolute;margin-left:62.279999pt;margin-top:13.469325pt;width:190.45pt;height:128.4pt;mso-position-horizontal-relative:page;mso-position-vertical-relative:paragraph;z-index:-255059968" coordorigin="1246,269" coordsize="3809,2568">
            <v:shape style="position:absolute;left:1252;top:276;width:3802;height:2561" coordorigin="1253,277" coordsize="3802,2561" path="m4999,2780l4999,277m4999,2780l5054,2780m4999,2530l5054,2530m4999,2278l5054,2278m4999,2029l5054,2029m4999,1779l5054,1779m4999,1527l5054,1527m4999,1277l5054,1277m4999,1028l5054,1028m4999,776l5054,776m4999,526l5054,526m4999,277l5054,277m1253,2780l4999,2780m1253,2780l1253,2837m1627,2780l1627,2837m2002,2780l2002,2837m2376,2780l2376,2837m2750,2780l2750,2837m3125,2780l3125,2837m3499,2780l3499,2837m3874,2780l3874,2837m4248,2780l4248,2837m4622,2780l4622,2837m4999,2780l4999,2837e" filled="false" stroked="true" strokeweight=".72pt" strokecolor="#858585">
              <v:path arrowok="t"/>
              <v:stroke dashstyle="solid"/>
            </v:shape>
            <v:line style="position:absolute" from="1279,1527" to="4973,1527" stroked="true" strokeweight="2.16pt" strokecolor="#000000">
              <v:stroke dashstyle="solid"/>
            </v:line>
            <v:shape style="position:absolute;left:1300;top:1526;width:3651;height:584" coordorigin="1301,1527" coordsize="3651,584" path="m1301,1527l1394,1527,1488,1527,1582,1527,1675,1529,1769,1534,1862,1541,1956,1558,2050,1582,2143,1613,2237,1652,2330,1697,2424,1748,2518,1805,2611,1863,2705,1921,2798,1973,2892,2019,2986,2053,3079,2079,3173,2096,3266,2105,3360,2110,3454,2108,3547,2103,3641,2093,3734,2081,3828,2067,3922,2053,4015,2036,4109,2019,4202,2002,4296,1983,4390,1966,4483,1949,4577,1935,4670,1918,4764,1904,4858,1889,4951,1877e" filled="false" stroked="true" strokeweight="2.16pt" strokecolor="#006fc0">
              <v:path arrowok="t"/>
              <v:stroke dashstyle="solid"/>
            </v:shape>
            <v:shape style="position:absolute;left:1300;top:1438;width:3651;height:89" coordorigin="1301,1438" coordsize="3651,89" path="m1301,1527l1394,1527,1488,1527,1582,1527,1675,1527,1769,1520,1862,1510,1956,1496,2050,1479,2143,1462,2237,1448,2330,1441,2424,1438,2518,1443,2611,1457,2705,1474,2798,1491,2892,1505,2986,1515,3079,1522,3173,1525,3266,1525,3360,1525,3454,1525,3547,1522,3641,1520,3734,1520,3828,1520,3922,1517,4858,1517,4951,1517e" filled="false" stroked="true" strokeweight="2.16pt" strokecolor="#006fc0">
              <v:path arrowok="t"/>
              <v:stroke dashstyle="dash"/>
            </v:shape>
            <v:shape style="position:absolute;left:1300;top:946;width:3651;height:581" coordorigin="1301,946" coordsize="3651,581" path="m1301,1527l1394,1527,1488,1527,1582,1527,1675,1527,1769,1522,1862,1513,1956,1498,2050,1474,2143,1443,2237,1405,2330,1359,2424,1309,2518,1251,2611,1191,2705,1133,2798,1083,2892,1037,2986,1004,3079,977,3173,961,3266,949,3360,946,3454,949,3547,953,3641,963,3734,975,3828,989,3922,1004,4015,1021,4109,1037,4202,1054,4296,1071,4390,1090,4483,1107,4577,1121,4670,1138,4764,1153,4858,1167,4951,1179e" filled="false" stroked="true" strokeweight="2.16pt" strokecolor="#ff0000">
              <v:path arrowok="t"/>
              <v:stroke dashstyle="solid"/>
            </v:shape>
            <v:shape style="position:absolute;left:1300;top:1526;width:3651;height:92" coordorigin="1301,1527" coordsize="3651,92" path="m1301,1527l1394,1527,1488,1527,1582,1527,1675,1529,1769,1537,1862,1546,1956,1561,2050,1577,2143,1594,2237,1606,2330,1616,2424,1618,2518,1613,2611,1599,2705,1582,2798,1565,2892,1551,2986,1539,3079,1534,3173,1532,3266,1529,3360,1532,3454,1532,3547,1534,3641,1534,3734,1537,3828,1537,3922,1537,4015,1539,4858,1539,4951,1539e" filled="false" stroked="true" strokeweight="2.16pt" strokecolor="#ff0000">
              <v:path arrowok="t"/>
              <v:stroke dashstyle="dash"/>
            </v:shape>
            <v:line style="position:absolute" from="1284,389" to="1788,389" stroked="true" strokeweight="2.16pt" strokecolor="#006fc0">
              <v:stroke dashstyle="dash"/>
            </v:line>
            <v:line style="position:absolute" from="1284,608" to="1788,608" stroked="true" strokeweight="2.16pt" strokecolor="#ff0000">
              <v:stroke dashstyle="solid"/>
            </v:line>
            <v:line style="position:absolute" from="1284,824" to="1788,824" stroked="true" strokeweight="2.16pt" strokecolor="#ff0000">
              <v:stroke dashstyle="dash"/>
            </v:line>
            <w10:wrap type="none"/>
          </v:group>
        </w:pict>
      </w:r>
      <w:r>
        <w:rPr/>
        <w:pict>
          <v:line style="position:absolute;mso-position-horizontal-relative:page;mso-position-vertical-relative:paragraph;z-index:251692032" from="64.199997pt,8.549325pt" to="89.399997pt,8.549325pt" stroked="true" strokeweight="2.16pt" strokecolor="#006fc0">
            <v:stroke dashstyle="solid"/>
            <w10:wrap type="none"/>
          </v:line>
        </w:pict>
      </w:r>
      <w:r>
        <w:rPr>
          <w:rFonts w:ascii="Calibri"/>
          <w:sz w:val="18"/>
        </w:rPr>
        <w:t>High productivity (no policy</w:t>
      </w:r>
      <w:r>
        <w:rPr>
          <w:rFonts w:ascii="Calibri"/>
          <w:spacing w:val="-13"/>
          <w:sz w:val="18"/>
        </w:rPr>
        <w:t> </w:t>
      </w:r>
      <w:r>
        <w:rPr>
          <w:rFonts w:ascii="Calibri"/>
          <w:sz w:val="18"/>
        </w:rPr>
        <w:t>response) High productivity (optimal policy) Low productivity (no policy response) Low productivity (optimal</w:t>
      </w:r>
      <w:r>
        <w:rPr>
          <w:rFonts w:ascii="Calibri"/>
          <w:spacing w:val="-3"/>
          <w:sz w:val="18"/>
        </w:rPr>
        <w:t> </w:t>
      </w:r>
      <w:r>
        <w:rPr>
          <w:rFonts w:ascii="Calibri"/>
          <w:sz w:val="18"/>
        </w:rPr>
        <w:t>policy)</w:t>
      </w: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7"/>
        </w:rPr>
      </w:pPr>
    </w:p>
    <w:p>
      <w:pPr>
        <w:tabs>
          <w:tab w:pos="730" w:val="left" w:leader="none"/>
          <w:tab w:pos="1104" w:val="left" w:leader="none"/>
          <w:tab w:pos="1433" w:val="left" w:leader="none"/>
        </w:tabs>
        <w:spacing w:line="194" w:lineRule="exact" w:before="0"/>
        <w:ind w:left="355" w:right="0" w:firstLine="0"/>
        <w:jc w:val="center"/>
        <w:rPr>
          <w:rFonts w:ascii="Calibri"/>
          <w:sz w:val="18"/>
        </w:rPr>
      </w:pPr>
      <w:r>
        <w:rPr>
          <w:rFonts w:ascii="Calibri"/>
          <w:sz w:val="18"/>
        </w:rPr>
        <w:t>0</w:t>
        <w:tab/>
        <w:t>4</w:t>
        <w:tab/>
        <w:t>8</w:t>
        <w:tab/>
        <w:t>12 16 20 24 28 32</w:t>
      </w:r>
      <w:r>
        <w:rPr>
          <w:rFonts w:ascii="Calibri"/>
          <w:spacing w:val="2"/>
          <w:sz w:val="18"/>
        </w:rPr>
        <w:t> </w:t>
      </w:r>
      <w:r>
        <w:rPr>
          <w:rFonts w:ascii="Calibri"/>
          <w:sz w:val="18"/>
        </w:rPr>
        <w:t>36</w:t>
      </w:r>
    </w:p>
    <w:p>
      <w:pPr>
        <w:spacing w:line="194" w:lineRule="exact" w:before="0"/>
        <w:ind w:left="588" w:right="0" w:firstLine="0"/>
        <w:jc w:val="center"/>
        <w:rPr>
          <w:rFonts w:ascii="Calibri"/>
          <w:sz w:val="18"/>
        </w:rPr>
      </w:pPr>
      <w:r>
        <w:rPr>
          <w:rFonts w:ascii="Calibri"/>
          <w:sz w:val="18"/>
        </w:rPr>
        <w:t>Quarter</w:t>
      </w:r>
    </w:p>
    <w:p>
      <w:pPr>
        <w:spacing w:before="158"/>
        <w:ind w:left="355" w:right="0" w:firstLine="0"/>
        <w:jc w:val="left"/>
        <w:rPr>
          <w:rFonts w:ascii="Calibri"/>
          <w:sz w:val="18"/>
        </w:rPr>
      </w:pPr>
      <w:r>
        <w:rPr/>
        <w:br w:type="column"/>
      </w:r>
      <w:r>
        <w:rPr>
          <w:rFonts w:ascii="Calibri"/>
          <w:sz w:val="18"/>
        </w:rPr>
        <w:t>2.5</w:t>
      </w:r>
    </w:p>
    <w:p>
      <w:pPr>
        <w:spacing w:before="30"/>
        <w:ind w:left="355" w:right="0" w:firstLine="0"/>
        <w:jc w:val="left"/>
        <w:rPr>
          <w:rFonts w:ascii="Calibri"/>
          <w:sz w:val="18"/>
        </w:rPr>
      </w:pPr>
      <w:r>
        <w:rPr>
          <w:rFonts w:ascii="Calibri"/>
          <w:sz w:val="18"/>
        </w:rPr>
        <w:t>2.4</w:t>
      </w:r>
    </w:p>
    <w:p>
      <w:pPr>
        <w:spacing w:before="31"/>
        <w:ind w:left="355" w:right="0" w:firstLine="0"/>
        <w:jc w:val="left"/>
        <w:rPr>
          <w:rFonts w:ascii="Calibri"/>
          <w:sz w:val="18"/>
        </w:rPr>
      </w:pPr>
      <w:r>
        <w:rPr>
          <w:rFonts w:ascii="Calibri"/>
          <w:sz w:val="18"/>
        </w:rPr>
        <w:t>2.3</w:t>
      </w:r>
    </w:p>
    <w:p>
      <w:pPr>
        <w:spacing w:before="31"/>
        <w:ind w:left="355" w:right="0" w:firstLine="0"/>
        <w:jc w:val="left"/>
        <w:rPr>
          <w:rFonts w:ascii="Calibri"/>
          <w:sz w:val="18"/>
        </w:rPr>
      </w:pPr>
      <w:r>
        <w:rPr>
          <w:rFonts w:ascii="Calibri"/>
          <w:sz w:val="18"/>
        </w:rPr>
        <w:t>2.2</w:t>
      </w:r>
    </w:p>
    <w:p>
      <w:pPr>
        <w:spacing w:before="30"/>
        <w:ind w:left="355" w:right="0" w:firstLine="0"/>
        <w:jc w:val="left"/>
        <w:rPr>
          <w:rFonts w:ascii="Calibri"/>
          <w:sz w:val="18"/>
        </w:rPr>
      </w:pPr>
      <w:r>
        <w:rPr>
          <w:rFonts w:ascii="Calibri"/>
          <w:sz w:val="18"/>
        </w:rPr>
        <w:t>2.1</w:t>
      </w:r>
    </w:p>
    <w:p>
      <w:pPr>
        <w:spacing w:before="31"/>
        <w:ind w:left="355" w:right="0" w:firstLine="0"/>
        <w:jc w:val="left"/>
        <w:rPr>
          <w:rFonts w:ascii="Calibri"/>
          <w:sz w:val="18"/>
        </w:rPr>
      </w:pPr>
      <w:r>
        <w:rPr>
          <w:rFonts w:ascii="Calibri"/>
          <w:sz w:val="18"/>
        </w:rPr>
        <w:t>2</w:t>
      </w:r>
    </w:p>
    <w:p>
      <w:pPr>
        <w:spacing w:before="31"/>
        <w:ind w:left="355" w:right="0" w:firstLine="0"/>
        <w:jc w:val="left"/>
        <w:rPr>
          <w:rFonts w:ascii="Calibri"/>
          <w:sz w:val="18"/>
        </w:rPr>
      </w:pPr>
      <w:r>
        <w:rPr>
          <w:rFonts w:ascii="Calibri"/>
          <w:sz w:val="18"/>
        </w:rPr>
        <w:t>1.9</w:t>
      </w:r>
    </w:p>
    <w:p>
      <w:pPr>
        <w:spacing w:before="30"/>
        <w:ind w:left="355" w:right="0" w:firstLine="0"/>
        <w:jc w:val="left"/>
        <w:rPr>
          <w:rFonts w:ascii="Calibri"/>
          <w:sz w:val="18"/>
        </w:rPr>
      </w:pPr>
      <w:r>
        <w:rPr>
          <w:rFonts w:ascii="Calibri"/>
          <w:sz w:val="18"/>
        </w:rPr>
        <w:t>1.8</w:t>
      </w:r>
    </w:p>
    <w:p>
      <w:pPr>
        <w:spacing w:before="31"/>
        <w:ind w:left="355" w:right="0" w:firstLine="0"/>
        <w:jc w:val="left"/>
        <w:rPr>
          <w:rFonts w:ascii="Calibri"/>
          <w:sz w:val="18"/>
        </w:rPr>
      </w:pPr>
      <w:r>
        <w:rPr>
          <w:rFonts w:ascii="Calibri"/>
          <w:sz w:val="18"/>
        </w:rPr>
        <w:t>1.7</w:t>
      </w:r>
    </w:p>
    <w:p>
      <w:pPr>
        <w:spacing w:before="31"/>
        <w:ind w:left="355" w:right="0" w:firstLine="0"/>
        <w:jc w:val="left"/>
        <w:rPr>
          <w:rFonts w:ascii="Calibri"/>
          <w:sz w:val="18"/>
        </w:rPr>
      </w:pPr>
      <w:r>
        <w:rPr>
          <w:rFonts w:ascii="Calibri"/>
          <w:sz w:val="18"/>
        </w:rPr>
        <w:t>1.6</w:t>
      </w:r>
    </w:p>
    <w:p>
      <w:pPr>
        <w:spacing w:before="30"/>
        <w:ind w:left="355" w:right="0" w:firstLine="0"/>
        <w:jc w:val="left"/>
        <w:rPr>
          <w:rFonts w:ascii="Calibri"/>
          <w:sz w:val="18"/>
        </w:rPr>
      </w:pPr>
      <w:r>
        <w:rPr>
          <w:rFonts w:ascii="Calibri"/>
          <w:sz w:val="18"/>
        </w:rPr>
        <w:t>1.5</w:t>
      </w:r>
    </w:p>
    <w:p>
      <w:pPr>
        <w:spacing w:line="163" w:lineRule="exact" w:before="0"/>
        <w:ind w:left="334" w:right="19" w:firstLine="0"/>
        <w:jc w:val="center"/>
        <w:rPr>
          <w:rFonts w:ascii="Calibri"/>
          <w:sz w:val="18"/>
        </w:rPr>
      </w:pPr>
      <w:r>
        <w:rPr/>
        <w:br w:type="column"/>
      </w:r>
      <w:r>
        <w:rPr>
          <w:rFonts w:ascii="Calibri"/>
          <w:sz w:val="18"/>
        </w:rPr>
        <w:t>Low productivity (optimal policy)</w:t>
      </w: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spacing w:before="5"/>
        <w:rPr>
          <w:rFonts w:ascii="Calibri"/>
          <w:sz w:val="22"/>
        </w:rPr>
      </w:pPr>
    </w:p>
    <w:p>
      <w:pPr>
        <w:spacing w:before="1"/>
        <w:ind w:left="326" w:right="19" w:firstLine="0"/>
        <w:jc w:val="center"/>
        <w:rPr>
          <w:rFonts w:ascii="Calibri"/>
          <w:sz w:val="18"/>
        </w:rPr>
      </w:pPr>
      <w:r>
        <w:rPr/>
        <w:pict>
          <v:group style="position:absolute;margin-left:291.839996pt;margin-top:-134.830658pt;width:194.8pt;height:139.2pt;mso-position-horizontal-relative:page;mso-position-vertical-relative:paragraph;z-index:-255055872" coordorigin="5837,-2697" coordsize="3896,2784">
            <v:shape style="position:absolute;left:5844;top:-2690;width:3888;height:2770" coordorigin="5844,-2689" coordsize="3888,2770" path="m9674,80l9674,-2689m9674,80l9732,80m9674,-196l9732,-196m9674,-474l9732,-474m9674,-750l9732,-750m9674,-1026l9732,-1026m9674,-1305l9732,-1305m9674,-1581l9732,-1581m9674,-1859l9732,-1859m9674,-2135l9732,-2135m9674,-2413l9732,-2413m9674,-2689l9732,-2689m5844,-1305l9674,-1305m5844,-1305l5844,-1240m6228,-1305l6228,-1240m6610,-1305l6610,-1240m6994,-1305l6994,-1240m7375,-1305l7375,-1240m7759,-1305l7759,-1240m8143,-1305l8143,-1240m8525,-1305l8525,-1240m8909,-1305l8909,-1240m9290,-1305l9290,-1240m9674,-1305l9674,-1240e" filled="false" stroked="true" strokeweight=".72pt" strokecolor="#858585">
              <v:path arrowok="t"/>
              <v:stroke dashstyle="solid"/>
            </v:shape>
            <v:line style="position:absolute" from="5870,-1305" to="9648,-1305" stroked="true" strokeweight="2.16pt" strokecolor="#000000">
              <v:stroke dashstyle="solid"/>
            </v:line>
            <v:shape style="position:absolute;left:5892;top:-1305;width:3735;height:1366" coordorigin="5892,-1305" coordsize="3735,1366" path="m5892,-1305l5988,-1305,6084,-1305,6180,-1305,6276,-1257,6370,-1153,6466,-1007,6562,-834,6658,-649,6754,-465,6850,-292,6946,-145,7042,-35,7138,35,7234,61,7327,47,7423,1,7519,-71,7615,-157,7711,-253,7807,-352,7903,-445,7999,-534,8095,-611,8189,-681,8285,-738,8381,-786,8477,-827,8573,-863,8669,-892,8765,-916,8861,-937,8957,-954,9050,-971,9146,-985,9242,-997,9338,-1009,9434,-1021,9530,-1031,9626,-1041e" filled="false" stroked="true" strokeweight="2.16pt" strokecolor="#006fc0">
              <v:path arrowok="t"/>
              <v:stroke dashstyle="dash"/>
            </v:shape>
            <v:shape style="position:absolute;left:5892;top:-2671;width:3735;height:1366" coordorigin="5892,-2670" coordsize="3735,1366" path="m5892,-1305l5988,-1305,6084,-1305,6180,-1305,6276,-1353,6370,-1456,6466,-1602,6562,-1775,6658,-1960,6754,-2145,6850,-2317,6946,-2464,7042,-2574,7138,-2644,7234,-2670,7327,-2656,7423,-2610,7519,-2538,7615,-2452,7711,-2356,7807,-2257,7903,-2161,7999,-2075,8095,-1998,8189,-1929,8285,-1871,8381,-1823,8477,-1780,8573,-1746,8669,-1717,8765,-1693,8861,-1672,8957,-1655,9050,-1638,9146,-1624,9242,-1609,9338,-1600,9434,-1588,9530,-1578,9626,-1569e" filled="false" stroked="true" strokeweight="2.16pt" strokecolor="#ff0000">
              <v:path arrowok="t"/>
              <v:stroke dashstyle="dash"/>
            </v:shape>
            <v:shape style="position:absolute;left:5836;top:-2697;width:3896;height:2784" type="#_x0000_t202"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tabs>
                        <w:tab w:pos="390" w:val="left" w:leader="none"/>
                        <w:tab w:pos="773" w:val="left" w:leader="none"/>
                        <w:tab w:pos="1105" w:val="left" w:leader="none"/>
                      </w:tabs>
                      <w:spacing w:before="141"/>
                      <w:ind w:left="7" w:right="0" w:firstLine="0"/>
                      <w:jc w:val="left"/>
                      <w:rPr>
                        <w:rFonts w:ascii="Calibri"/>
                        <w:sz w:val="20"/>
                      </w:rPr>
                    </w:pPr>
                    <w:r>
                      <w:rPr>
                        <w:rFonts w:ascii="Calibri"/>
                        <w:sz w:val="20"/>
                      </w:rPr>
                      <w:t>0</w:t>
                      <w:tab/>
                      <w:t>4</w:t>
                      <w:tab/>
                      <w:t>8</w:t>
                      <w:tab/>
                      <w:t>12 16 20 24 28 32</w:t>
                    </w:r>
                    <w:r>
                      <w:rPr>
                        <w:rFonts w:ascii="Calibri"/>
                        <w:spacing w:val="34"/>
                        <w:sz w:val="20"/>
                      </w:rPr>
                      <w:t> </w:t>
                    </w:r>
                    <w:r>
                      <w:rPr>
                        <w:rFonts w:ascii="Calibri"/>
                        <w:sz w:val="20"/>
                      </w:rPr>
                      <w:t>36</w:t>
                    </w:r>
                  </w:p>
                </w:txbxContent>
              </v:textbox>
              <w10:wrap type="none"/>
            </v:shape>
            <w10:wrap type="none"/>
          </v:group>
        </w:pict>
      </w:r>
      <w:r>
        <w:rPr/>
        <w:pict>
          <v:line style="position:absolute;mso-position-horizontal-relative:page;mso-position-vertical-relative:paragraph;z-index:251697152" from="300.119995pt,-139.630661pt" to="325.319995pt,-139.630661pt" stroked="true" strokeweight="2.16pt" strokecolor="#ff0000">
            <v:stroke dashstyle="dash"/>
            <w10:wrap type="none"/>
          </v:line>
        </w:pict>
      </w:r>
      <w:r>
        <w:rPr>
          <w:rFonts w:ascii="Calibri"/>
          <w:sz w:val="18"/>
        </w:rPr>
        <w:t>Quarter</w:t>
      </w:r>
    </w:p>
    <w:p>
      <w:pPr>
        <w:spacing w:before="46"/>
        <w:ind w:left="355" w:right="0" w:firstLine="0"/>
        <w:jc w:val="left"/>
        <w:rPr>
          <w:rFonts w:ascii="Calibri"/>
          <w:sz w:val="18"/>
        </w:rPr>
      </w:pPr>
      <w:r>
        <w:rPr/>
        <w:br w:type="column"/>
      </w:r>
      <w:r>
        <w:rPr>
          <w:rFonts w:ascii="Calibri"/>
          <w:sz w:val="18"/>
        </w:rPr>
        <w:t>0.5</w:t>
      </w:r>
    </w:p>
    <w:p>
      <w:pPr>
        <w:spacing w:before="57"/>
        <w:ind w:left="355" w:right="0" w:firstLine="0"/>
        <w:jc w:val="left"/>
        <w:rPr>
          <w:rFonts w:ascii="Calibri"/>
          <w:sz w:val="18"/>
        </w:rPr>
      </w:pPr>
      <w:r>
        <w:rPr>
          <w:rFonts w:ascii="Calibri"/>
          <w:sz w:val="18"/>
        </w:rPr>
        <w:t>0.4</w:t>
      </w:r>
    </w:p>
    <w:p>
      <w:pPr>
        <w:spacing w:before="57"/>
        <w:ind w:left="355" w:right="0" w:firstLine="0"/>
        <w:jc w:val="left"/>
        <w:rPr>
          <w:rFonts w:ascii="Calibri"/>
          <w:sz w:val="18"/>
        </w:rPr>
      </w:pPr>
      <w:r>
        <w:rPr>
          <w:rFonts w:ascii="Calibri"/>
          <w:sz w:val="18"/>
        </w:rPr>
        <w:t>0.3</w:t>
      </w:r>
    </w:p>
    <w:p>
      <w:pPr>
        <w:spacing w:before="57"/>
        <w:ind w:left="355" w:right="0" w:firstLine="0"/>
        <w:jc w:val="left"/>
        <w:rPr>
          <w:rFonts w:ascii="Calibri"/>
          <w:sz w:val="18"/>
        </w:rPr>
      </w:pPr>
      <w:r>
        <w:rPr>
          <w:rFonts w:ascii="Calibri"/>
          <w:sz w:val="18"/>
        </w:rPr>
        <w:t>0.2</w:t>
      </w:r>
    </w:p>
    <w:p>
      <w:pPr>
        <w:spacing w:before="58"/>
        <w:ind w:left="355" w:right="0" w:firstLine="0"/>
        <w:jc w:val="left"/>
        <w:rPr>
          <w:rFonts w:ascii="Calibri"/>
          <w:sz w:val="18"/>
        </w:rPr>
      </w:pPr>
      <w:r>
        <w:rPr>
          <w:rFonts w:ascii="Calibri"/>
          <w:sz w:val="18"/>
        </w:rPr>
        <w:t>0.1</w:t>
      </w:r>
    </w:p>
    <w:p>
      <w:pPr>
        <w:spacing w:before="57"/>
        <w:ind w:left="355" w:right="0" w:firstLine="0"/>
        <w:jc w:val="left"/>
        <w:rPr>
          <w:rFonts w:ascii="Calibri"/>
          <w:sz w:val="18"/>
        </w:rPr>
      </w:pPr>
      <w:r>
        <w:rPr>
          <w:rFonts w:ascii="Calibri"/>
          <w:sz w:val="18"/>
        </w:rPr>
        <w:t>0</w:t>
      </w:r>
    </w:p>
    <w:p>
      <w:pPr>
        <w:spacing w:before="57"/>
        <w:ind w:left="355" w:right="0" w:firstLine="0"/>
        <w:jc w:val="left"/>
        <w:rPr>
          <w:rFonts w:ascii="Calibri"/>
          <w:sz w:val="18"/>
        </w:rPr>
      </w:pPr>
      <w:r>
        <w:rPr>
          <w:rFonts w:ascii="Calibri"/>
          <w:sz w:val="18"/>
        </w:rPr>
        <w:t>-0.1</w:t>
      </w:r>
    </w:p>
    <w:p>
      <w:pPr>
        <w:spacing w:before="58"/>
        <w:ind w:left="355" w:right="0" w:firstLine="0"/>
        <w:jc w:val="left"/>
        <w:rPr>
          <w:rFonts w:ascii="Calibri"/>
          <w:sz w:val="18"/>
        </w:rPr>
      </w:pPr>
      <w:r>
        <w:rPr>
          <w:rFonts w:ascii="Calibri"/>
          <w:sz w:val="18"/>
        </w:rPr>
        <w:t>-0.2</w:t>
      </w:r>
    </w:p>
    <w:p>
      <w:pPr>
        <w:spacing w:before="57"/>
        <w:ind w:left="355" w:right="0" w:firstLine="0"/>
        <w:jc w:val="left"/>
        <w:rPr>
          <w:rFonts w:ascii="Calibri"/>
          <w:sz w:val="18"/>
        </w:rPr>
      </w:pPr>
      <w:r>
        <w:rPr>
          <w:rFonts w:ascii="Calibri"/>
          <w:sz w:val="18"/>
        </w:rPr>
        <w:t>-0.3</w:t>
      </w:r>
    </w:p>
    <w:p>
      <w:pPr>
        <w:spacing w:before="57"/>
        <w:ind w:left="355" w:right="0" w:firstLine="0"/>
        <w:jc w:val="left"/>
        <w:rPr>
          <w:rFonts w:ascii="Calibri"/>
          <w:sz w:val="18"/>
        </w:rPr>
      </w:pPr>
      <w:r>
        <w:rPr>
          <w:rFonts w:ascii="Calibri"/>
          <w:sz w:val="18"/>
        </w:rPr>
        <w:t>-0.4</w:t>
      </w:r>
    </w:p>
    <w:p>
      <w:pPr>
        <w:spacing w:before="58"/>
        <w:ind w:left="355" w:right="0" w:firstLine="0"/>
        <w:jc w:val="left"/>
        <w:rPr>
          <w:rFonts w:ascii="Calibri"/>
          <w:sz w:val="18"/>
        </w:rPr>
      </w:pPr>
      <w:r>
        <w:rPr>
          <w:rFonts w:ascii="Calibri"/>
          <w:sz w:val="18"/>
        </w:rPr>
        <w:t>-0.5</w:t>
      </w:r>
    </w:p>
    <w:p>
      <w:pPr>
        <w:spacing w:after="0"/>
        <w:jc w:val="left"/>
        <w:rPr>
          <w:rFonts w:ascii="Calibri"/>
          <w:sz w:val="18"/>
        </w:rPr>
        <w:sectPr>
          <w:type w:val="continuous"/>
          <w:pgSz w:w="11910" w:h="16840"/>
          <w:pgMar w:top="1180" w:bottom="1520" w:left="900" w:right="1020"/>
          <w:cols w:num="4" w:equalWidth="0">
            <w:col w:w="3864" w:space="47"/>
            <w:col w:w="624" w:space="773"/>
            <w:col w:w="2801" w:space="480"/>
            <w:col w:w="1401"/>
          </w:cols>
        </w:sectPr>
      </w:pPr>
    </w:p>
    <w:p>
      <w:pPr>
        <w:tabs>
          <w:tab w:pos="4830" w:val="left" w:leader="none"/>
        </w:tabs>
        <w:spacing w:before="1"/>
        <w:ind w:left="233" w:right="0" w:firstLine="0"/>
        <w:jc w:val="left"/>
        <w:rPr>
          <w:sz w:val="16"/>
        </w:rPr>
      </w:pPr>
      <w:r>
        <w:rPr>
          <w:position w:val="-2"/>
          <w:sz w:val="16"/>
        </w:rPr>
        <w:t>Sources:</w:t>
      </w:r>
      <w:r>
        <w:rPr>
          <w:spacing w:val="40"/>
          <w:position w:val="-2"/>
          <w:sz w:val="16"/>
        </w:rPr>
        <w:t> </w:t>
      </w:r>
      <w:r>
        <w:rPr>
          <w:position w:val="-2"/>
          <w:sz w:val="16"/>
        </w:rPr>
        <w:t>Bank</w:t>
      </w:r>
      <w:r>
        <w:rPr>
          <w:spacing w:val="-3"/>
          <w:position w:val="-2"/>
          <w:sz w:val="16"/>
        </w:rPr>
        <w:t> </w:t>
      </w:r>
      <w:r>
        <w:rPr>
          <w:position w:val="-2"/>
          <w:sz w:val="16"/>
        </w:rPr>
        <w:t>calculations.</w:t>
        <w:tab/>
      </w:r>
      <w:r>
        <w:rPr>
          <w:sz w:val="16"/>
        </w:rPr>
        <w:t>Sources: Bank</w:t>
      </w:r>
      <w:r>
        <w:rPr>
          <w:spacing w:val="-1"/>
          <w:sz w:val="16"/>
        </w:rPr>
        <w:t> </w:t>
      </w:r>
      <w:r>
        <w:rPr>
          <w:sz w:val="16"/>
        </w:rPr>
        <w:t>calculations.</w:t>
      </w:r>
    </w:p>
    <w:p>
      <w:pPr>
        <w:pStyle w:val="BodyText"/>
        <w:spacing w:before="7"/>
      </w:pPr>
      <w:r>
        <w:rPr/>
        <w:pict>
          <v:shape style="position:absolute;margin-left:56.664001pt;margin-top:14.080475pt;width:144.050pt;height:.1pt;mso-position-horizontal-relative:page;mso-position-vertical-relative:paragraph;z-index:-251634688;mso-wrap-distance-left:0;mso-wrap-distance-right:0" coordorigin="1133,282" coordsize="2881,0" path="m1133,282l4014,282e" filled="false" stroked="true" strokeweight=".47998pt" strokecolor="#000000">
            <v:path arrowok="t"/>
            <v:stroke dashstyle="solid"/>
            <w10:wrap type="topAndBottom"/>
          </v:shape>
        </w:pict>
      </w:r>
    </w:p>
    <w:p>
      <w:pPr>
        <w:spacing w:before="30"/>
        <w:ind w:left="233" w:right="0" w:firstLine="0"/>
        <w:jc w:val="left"/>
        <w:rPr>
          <w:sz w:val="16"/>
        </w:rPr>
      </w:pPr>
      <w:r>
        <w:rPr>
          <w:position w:val="8"/>
          <w:sz w:val="10"/>
        </w:rPr>
        <w:t>4 </w:t>
      </w:r>
      <w:r>
        <w:rPr>
          <w:sz w:val="16"/>
        </w:rPr>
        <w:t>Among other things, the model differs from the working-paper version of COMPASS, set out in Burgess </w:t>
      </w:r>
      <w:r>
        <w:rPr>
          <w:i/>
          <w:sz w:val="16"/>
        </w:rPr>
        <w:t>et al </w:t>
      </w:r>
      <w:r>
        <w:rPr>
          <w:sz w:val="16"/>
        </w:rPr>
        <w:t>(2013), by including bounded rationality on the part of households.</w:t>
      </w:r>
    </w:p>
    <w:p>
      <w:pPr>
        <w:spacing w:line="184" w:lineRule="exact" w:before="2"/>
        <w:ind w:left="233" w:right="0" w:firstLine="0"/>
        <w:jc w:val="left"/>
        <w:rPr>
          <w:sz w:val="16"/>
        </w:rPr>
      </w:pPr>
      <w:r>
        <w:rPr>
          <w:position w:val="8"/>
          <w:sz w:val="10"/>
        </w:rPr>
        <w:t>5 </w:t>
      </w:r>
      <w:r>
        <w:rPr>
          <w:sz w:val="16"/>
        </w:rPr>
        <w:t>Overall potential supply growth in the November forecast was a little higher, at around 1½%, since potential labour supply growth was also expected to contribute positively. See Section 5 (page 40) of the November 2017 </w:t>
      </w:r>
      <w:r>
        <w:rPr>
          <w:i/>
          <w:sz w:val="16"/>
        </w:rPr>
        <w:t>Inflation Report</w:t>
      </w:r>
      <w:r>
        <w:rPr>
          <w:sz w:val="16"/>
        </w:rPr>
        <w:t>.</w:t>
      </w:r>
    </w:p>
    <w:p>
      <w:pPr>
        <w:spacing w:after="0" w:line="184" w:lineRule="exact"/>
        <w:jc w:val="left"/>
        <w:rPr>
          <w:sz w:val="16"/>
        </w:rPr>
        <w:sectPr>
          <w:type w:val="continuous"/>
          <w:pgSz w:w="11910" w:h="16840"/>
          <w:pgMar w:top="1180" w:bottom="1520" w:left="900" w:right="1020"/>
        </w:sectPr>
      </w:pPr>
    </w:p>
    <w:p>
      <w:pPr>
        <w:pStyle w:val="BodyText"/>
        <w:spacing w:line="360" w:lineRule="auto" w:before="79"/>
        <w:ind w:left="233" w:right="231"/>
      </w:pPr>
      <w:r>
        <w:rPr/>
        <w:t>The other lines on the charts show the two scenarios. The blue solid lines show a scenario where a 1% growth rate for potential productivity was overly pessimistic (Chart 10a). It picks up instead to 2%, closer to its pre-crisis average. The response of demand to a shock to supply depends crucially on two things: the extent to which people realise that future supply growth will be stronger; and the response of monetary policy. In the scenario, the change in the rate of productivity growth is assumed to be</w:t>
      </w:r>
    </w:p>
    <w:p>
      <w:pPr>
        <w:pStyle w:val="BodyText"/>
        <w:spacing w:line="360" w:lineRule="auto" w:before="1"/>
        <w:ind w:left="233" w:right="231"/>
      </w:pPr>
      <w:r>
        <w:rPr/>
        <w:t>unanticipated. Consequently, if monetary policy doesn’t respond to stronger supply growth, then demand rises by less than supply, and a negative output gap of 1/3% opens up (Chart 10b). Price rises slow, and inflation falls below the 2% target for an extended period of time (Chart 10c). The red solid lines show the opposite case. Here, even 1% productivity growth is too optimistic and productivity stagnates. In this case even modest demand growth outpaces supply, so that inflation rises above target.</w:t>
      </w:r>
    </w:p>
    <w:p>
      <w:pPr>
        <w:pStyle w:val="BodyText"/>
        <w:spacing w:before="10"/>
        <w:rPr>
          <w:sz w:val="29"/>
        </w:rPr>
      </w:pPr>
    </w:p>
    <w:p>
      <w:pPr>
        <w:pStyle w:val="BodyText"/>
        <w:spacing w:line="360" w:lineRule="auto"/>
        <w:ind w:left="233" w:right="133"/>
      </w:pPr>
      <w:r>
        <w:rPr/>
        <w:t>These suboptimal outcomes suggest a role for monetary policy. Monetary policymakers should seek to influence demand to match these different profiles for productivity and supply. The dashed lines in Chart 10d show how they can best achieve this in the model.</w:t>
      </w:r>
      <w:r>
        <w:rPr>
          <w:vertAlign w:val="superscript"/>
        </w:rPr>
        <w:t>6</w:t>
      </w:r>
      <w:r>
        <w:rPr>
          <w:vertAlign w:val="baseline"/>
        </w:rPr>
        <w:t> Following a positive, unanticipated shock to productivity growth, monetary policy must lower interest rates to stimulate demand in line with stronger supply. As a result, the output gap barely moves, and inflation remains closer to target (Charts 10b and 10c). In the low productivity scenario, monetary policy tightens instead.</w:t>
      </w:r>
      <w:r>
        <w:rPr>
          <w:vertAlign w:val="superscript"/>
        </w:rPr>
        <w:t>7</w:t>
      </w:r>
      <w:r>
        <w:rPr>
          <w:vertAlign w:val="baseline"/>
        </w:rPr>
        <w:t>  Appropriate monetary policy clearly depends on how optimistic we are on future productivity growth. It will also depend on how, absent policy, demand responds to any changes in expectations of future</w:t>
      </w:r>
      <w:r>
        <w:rPr>
          <w:spacing w:val="-2"/>
          <w:vertAlign w:val="baseline"/>
        </w:rPr>
        <w:t> </w:t>
      </w:r>
      <w:r>
        <w:rPr>
          <w:vertAlign w:val="baseline"/>
        </w:rPr>
        <w:t>supply.</w:t>
      </w:r>
    </w:p>
    <w:p>
      <w:pPr>
        <w:pStyle w:val="BodyText"/>
        <w:spacing w:before="10"/>
        <w:rPr>
          <w:sz w:val="29"/>
        </w:rPr>
      </w:pPr>
    </w:p>
    <w:p>
      <w:pPr>
        <w:pStyle w:val="Heading1"/>
        <w:numPr>
          <w:ilvl w:val="0"/>
          <w:numId w:val="3"/>
        </w:numPr>
        <w:tabs>
          <w:tab w:pos="594" w:val="left" w:leader="none"/>
        </w:tabs>
        <w:spacing w:line="240" w:lineRule="auto" w:before="1" w:after="0"/>
        <w:ind w:left="593" w:right="0" w:hanging="361"/>
        <w:jc w:val="left"/>
      </w:pPr>
      <w:r>
        <w:rPr/>
        <w:t>Why and where did productivity get</w:t>
      </w:r>
      <w:r>
        <w:rPr>
          <w:spacing w:val="-6"/>
        </w:rPr>
        <w:t> </w:t>
      </w:r>
      <w:r>
        <w:rPr/>
        <w:t>lost?</w:t>
      </w:r>
    </w:p>
    <w:p>
      <w:pPr>
        <w:pStyle w:val="BodyText"/>
        <w:rPr>
          <w:b/>
          <w:sz w:val="22"/>
        </w:rPr>
      </w:pPr>
    </w:p>
    <w:p>
      <w:pPr>
        <w:pStyle w:val="BodyText"/>
        <w:spacing w:before="1"/>
        <w:rPr>
          <w:b/>
          <w:sz w:val="18"/>
        </w:rPr>
      </w:pPr>
    </w:p>
    <w:p>
      <w:pPr>
        <w:pStyle w:val="BodyText"/>
        <w:spacing w:line="360" w:lineRule="auto"/>
        <w:ind w:left="233" w:right="231"/>
      </w:pPr>
      <w:r>
        <w:rPr/>
        <w:t>Having sketched some of the reasons why productivity is important and observed that productivity growth has fallen since the crisis, the question is why? To attempt an answer, it is helpful to carry out a sectoral analysis, breaking down the productivity slowdown by industry.</w:t>
      </w:r>
      <w:r>
        <w:rPr>
          <w:vertAlign w:val="superscript"/>
        </w:rPr>
        <w:t>89</w:t>
      </w:r>
    </w:p>
    <w:p>
      <w:pPr>
        <w:pStyle w:val="BodyText"/>
        <w:spacing w:before="9"/>
        <w:rPr>
          <w:sz w:val="29"/>
        </w:rPr>
      </w:pPr>
    </w:p>
    <w:p>
      <w:pPr>
        <w:pStyle w:val="BodyText"/>
        <w:spacing w:line="362" w:lineRule="auto" w:before="1"/>
        <w:ind w:left="233"/>
      </w:pPr>
      <w:r>
        <w:rPr/>
        <w:t>The sectoral distribution of productivity growth can help us locate </w:t>
      </w:r>
      <w:r>
        <w:rPr>
          <w:i/>
        </w:rPr>
        <w:t>where </w:t>
      </w:r>
      <w:r>
        <w:rPr/>
        <w:t>it has slowed.</w:t>
      </w:r>
      <w:r>
        <w:rPr>
          <w:vertAlign w:val="superscript"/>
        </w:rPr>
        <w:t>10</w:t>
      </w:r>
      <w:r>
        <w:rPr>
          <w:vertAlign w:val="baseline"/>
        </w:rPr>
        <w:t> A concentrated slowdown in some industries might suggest idiosyncratic causes that call for more targeted solutions.</w:t>
      </w:r>
    </w:p>
    <w:p>
      <w:pPr>
        <w:pStyle w:val="BodyText"/>
        <w:spacing w:line="229" w:lineRule="exact"/>
        <w:ind w:left="233"/>
      </w:pPr>
      <w:r>
        <w:rPr/>
        <w:t>A broad-based slowing could point to possible macroeconomic explanations.</w:t>
      </w:r>
    </w:p>
    <w:p>
      <w:pPr>
        <w:pStyle w:val="BodyText"/>
      </w:pPr>
    </w:p>
    <w:p>
      <w:pPr>
        <w:pStyle w:val="BodyText"/>
      </w:pPr>
    </w:p>
    <w:p>
      <w:pPr>
        <w:pStyle w:val="BodyText"/>
      </w:pPr>
    </w:p>
    <w:p>
      <w:pPr>
        <w:pStyle w:val="BodyText"/>
        <w:spacing w:before="9"/>
        <w:rPr>
          <w:sz w:val="26"/>
        </w:rPr>
      </w:pPr>
      <w:r>
        <w:rPr/>
        <w:pict>
          <v:shape style="position:absolute;margin-left:56.664001pt;margin-top:17.616833pt;width:144.050pt;height:.1pt;mso-position-horizontal-relative:page;mso-position-vertical-relative:paragraph;z-index:-251618304;mso-wrap-distance-left:0;mso-wrap-distance-right:0" coordorigin="1133,352" coordsize="2881,0" path="m1133,352l4014,352e" filled="false" stroked="true" strokeweight=".47998pt" strokecolor="#000000">
            <v:path arrowok="t"/>
            <v:stroke dashstyle="solid"/>
            <w10:wrap type="topAndBottom"/>
          </v:shape>
        </w:pict>
      </w:r>
    </w:p>
    <w:p>
      <w:pPr>
        <w:spacing w:before="27"/>
        <w:ind w:left="233" w:right="231" w:firstLine="0"/>
        <w:jc w:val="left"/>
        <w:rPr>
          <w:sz w:val="16"/>
        </w:rPr>
      </w:pPr>
      <w:r>
        <w:rPr>
          <w:position w:val="8"/>
          <w:sz w:val="10"/>
        </w:rPr>
        <w:t>6 </w:t>
      </w:r>
      <w:r>
        <w:rPr>
          <w:sz w:val="16"/>
        </w:rPr>
        <w:t>The optimal policy projections are calculated using the same framework as described in Carney (2017), with relative weights on inflation and the output gap of 1 and 0.25 respectively. They also place a weight of 1 on quarterly changes in the interest rate and on quarterly changes in the change in the interest rate.</w:t>
      </w:r>
    </w:p>
    <w:p>
      <w:pPr>
        <w:spacing w:line="184" w:lineRule="exact" w:before="0"/>
        <w:ind w:left="233" w:right="0" w:firstLine="0"/>
        <w:jc w:val="left"/>
        <w:rPr>
          <w:sz w:val="16"/>
        </w:rPr>
      </w:pPr>
      <w:r>
        <w:rPr>
          <w:position w:val="8"/>
          <w:sz w:val="10"/>
        </w:rPr>
        <w:t>7 </w:t>
      </w:r>
      <w:r>
        <w:rPr>
          <w:sz w:val="16"/>
        </w:rPr>
        <w:t>In the scenario the shock to productivity growth is modelled as extremely persistent, but it eventually unwinds. If the change to</w:t>
      </w:r>
    </w:p>
    <w:p>
      <w:pPr>
        <w:spacing w:before="2"/>
        <w:ind w:left="233" w:right="292" w:firstLine="0"/>
        <w:jc w:val="left"/>
        <w:rPr>
          <w:sz w:val="16"/>
        </w:rPr>
      </w:pPr>
      <w:r>
        <w:rPr>
          <w:sz w:val="16"/>
        </w:rPr>
        <w:t>productivity growth were permanent then it would also affect the long-run equilibrium interest rate, which may attenuate or reverse the signs of the policy responses shown here.</w:t>
      </w:r>
    </w:p>
    <w:p>
      <w:pPr>
        <w:spacing w:line="184" w:lineRule="exact" w:before="2"/>
        <w:ind w:left="233" w:right="231" w:firstLine="0"/>
        <w:jc w:val="left"/>
        <w:rPr>
          <w:sz w:val="16"/>
        </w:rPr>
      </w:pPr>
      <w:r>
        <w:rPr>
          <w:position w:val="8"/>
          <w:sz w:val="10"/>
        </w:rPr>
        <w:t>8 </w:t>
      </w:r>
      <w:r>
        <w:rPr>
          <w:sz w:val="16"/>
        </w:rPr>
        <w:t>In what follows, I show decompositions at the SIC07 section level, based on new decompositions constructed by Bank of England staff. As pointed out by my colleague Ian McCafferty (2014), even at this level, many industries still contain a heterogeneous set of</w:t>
      </w:r>
    </w:p>
    <w:p>
      <w:pPr>
        <w:spacing w:before="0"/>
        <w:ind w:left="233" w:right="231" w:firstLine="0"/>
        <w:jc w:val="left"/>
        <w:rPr>
          <w:sz w:val="16"/>
        </w:rPr>
      </w:pPr>
      <w:r>
        <w:rPr>
          <w:sz w:val="16"/>
        </w:rPr>
        <w:t>subsectors. But at further levels of disaggregation the data are likely to be less robust. The data used to carry out the growth accounting exercise are also not available at a more granular level.</w:t>
      </w:r>
    </w:p>
    <w:p>
      <w:pPr>
        <w:spacing w:line="184" w:lineRule="exact" w:before="0"/>
        <w:ind w:left="233" w:right="198" w:firstLine="0"/>
        <w:jc w:val="left"/>
        <w:rPr>
          <w:sz w:val="16"/>
        </w:rPr>
      </w:pPr>
      <w:r>
        <w:rPr>
          <w:position w:val="8"/>
          <w:sz w:val="10"/>
        </w:rPr>
        <w:t>9 </w:t>
      </w:r>
      <w:r>
        <w:rPr>
          <w:sz w:val="16"/>
        </w:rPr>
        <w:t>Similar analyses were carried out by, among others, Goodridge, Haskel and Wallis (2016) and Oulton (2016a), but only using data up to 2011 and 2013 respectively.</w:t>
      </w:r>
    </w:p>
    <w:p>
      <w:pPr>
        <w:spacing w:line="180" w:lineRule="exact" w:before="0"/>
        <w:ind w:left="233" w:right="0" w:firstLine="0"/>
        <w:jc w:val="left"/>
        <w:rPr>
          <w:sz w:val="16"/>
        </w:rPr>
      </w:pPr>
      <w:r>
        <w:rPr>
          <w:position w:val="8"/>
          <w:sz w:val="10"/>
        </w:rPr>
        <w:t>10 </w:t>
      </w:r>
      <w:r>
        <w:rPr>
          <w:sz w:val="16"/>
        </w:rPr>
        <w:t>There are also limitations to this type of analysis. In particular, GDP is typically thought to be better measured from the expenditure</w:t>
      </w:r>
    </w:p>
    <w:p>
      <w:pPr>
        <w:spacing w:before="1"/>
        <w:ind w:left="233" w:right="0" w:firstLine="0"/>
        <w:jc w:val="left"/>
        <w:rPr>
          <w:sz w:val="16"/>
        </w:rPr>
      </w:pPr>
      <w:r>
        <w:rPr>
          <w:sz w:val="16"/>
        </w:rPr>
        <w:t>side than the output side (Oulton, 2013). One might therefore be more confident about measurement of the aggregate productivity slowdown than its split by industry, especially since industry-level data does not yet use double deflation.</w:t>
      </w:r>
    </w:p>
    <w:p>
      <w:pPr>
        <w:spacing w:after="0"/>
        <w:jc w:val="left"/>
        <w:rPr>
          <w:sz w:val="16"/>
        </w:rPr>
        <w:sectPr>
          <w:footerReference w:type="default" r:id="rId29"/>
          <w:pgSz w:w="11910" w:h="16840"/>
          <w:pgMar w:footer="1338" w:header="0" w:top="1340" w:bottom="1520" w:left="900" w:right="1020"/>
          <w:pgNumType w:start="9"/>
        </w:sectPr>
      </w:pPr>
    </w:p>
    <w:p>
      <w:pPr>
        <w:pStyle w:val="BodyText"/>
        <w:spacing w:line="360" w:lineRule="auto" w:before="76"/>
        <w:ind w:left="233" w:right="143"/>
      </w:pPr>
      <w:r>
        <w:rPr>
          <w:spacing w:val="3"/>
        </w:rPr>
        <w:t>We </w:t>
      </w:r>
      <w:r>
        <w:rPr/>
        <w:t>can also attempt to decompose sectoral productivity into different factors, to explore </w:t>
      </w:r>
      <w:r>
        <w:rPr>
          <w:i/>
        </w:rPr>
        <w:t>why </w:t>
      </w:r>
      <w:r>
        <w:rPr/>
        <w:t>productivity growth has slowed. Specifically, for each industry we can measure how much of the fall in productivity growth is due to slower growth in the amount and quality of the capital available to each worker; how much</w:t>
      </w:r>
      <w:r>
        <w:rPr>
          <w:spacing w:val="-35"/>
        </w:rPr>
        <w:t> </w:t>
      </w:r>
      <w:r>
        <w:rPr/>
        <w:t>is due to changes in the quality of the labour input or human capital; and how much is due to changes in the efficiency with which quality adjusted capital and labour are used. I do this by industry because there are naturally big differences between the production processes of, for example, a manufacturing firm and one providing business services. The remaining or residual unexplained productivity growth is known as total factor productivity, or TFP. It is often taken as a proxy for technological progress, but in fact can stand in for a range of other factors, including structural change, imperfect competition and measurement</w:t>
      </w:r>
      <w:r>
        <w:rPr>
          <w:spacing w:val="-15"/>
        </w:rPr>
        <w:t> </w:t>
      </w:r>
      <w:r>
        <w:rPr/>
        <w:t>error.</w:t>
      </w:r>
      <w:r>
        <w:rPr>
          <w:vertAlign w:val="superscript"/>
        </w:rPr>
        <w:t>11</w:t>
      </w:r>
    </w:p>
    <w:p>
      <w:pPr>
        <w:pStyle w:val="BodyText"/>
        <w:spacing w:before="11"/>
        <w:rPr>
          <w:sz w:val="29"/>
        </w:rPr>
      </w:pPr>
    </w:p>
    <w:p>
      <w:pPr>
        <w:pStyle w:val="BodyText"/>
        <w:spacing w:line="360" w:lineRule="auto"/>
        <w:ind w:left="233" w:right="166"/>
        <w:rPr>
          <w:i/>
        </w:rPr>
      </w:pPr>
      <w:r>
        <w:rPr/>
        <w:t>Let me be explicit about what I mean by </w:t>
      </w:r>
      <w:r>
        <w:rPr>
          <w:i/>
        </w:rPr>
        <w:t>quality </w:t>
      </w:r>
      <w:r>
        <w:rPr/>
        <w:t>of inputs. </w:t>
      </w:r>
      <w:r>
        <w:rPr>
          <w:spacing w:val="4"/>
        </w:rPr>
        <w:t>We </w:t>
      </w:r>
      <w:r>
        <w:rPr/>
        <w:t>normally split inputs into two broad categories: capital and labour. But as growth accountants have highlighted, both of these categories encompass a wide range of different subcategories. Capital, for example, includes computers, buildings, vehicles and other assets. The relative importance of each to production varies substantially across industries.  I account for this heterogeneity using a disaggregated measure of the services provided by capital.</w:t>
      </w:r>
      <w:r>
        <w:rPr>
          <w:vertAlign w:val="superscript"/>
        </w:rPr>
        <w:t>12</w:t>
      </w:r>
      <w:r>
        <w:rPr>
          <w:vertAlign w:val="baseline"/>
        </w:rPr>
        <w:t> Similarly, the amount that can be produced by each worker per hour depends on their specific </w:t>
      </w:r>
      <w:r>
        <w:rPr>
          <w:i/>
          <w:vertAlign w:val="baseline"/>
        </w:rPr>
        <w:t>human</w:t>
      </w:r>
      <w:r>
        <w:rPr>
          <w:i/>
          <w:spacing w:val="-12"/>
          <w:vertAlign w:val="baseline"/>
        </w:rPr>
        <w:t> </w:t>
      </w:r>
      <w:r>
        <w:rPr>
          <w:i/>
          <w:vertAlign w:val="baseline"/>
        </w:rPr>
        <w:t>capital</w:t>
      </w:r>
    </w:p>
    <w:p>
      <w:pPr>
        <w:pStyle w:val="BodyText"/>
        <w:spacing w:line="357" w:lineRule="auto" w:before="4"/>
        <w:ind w:left="233" w:right="900"/>
      </w:pPr>
      <w:r>
        <w:rPr/>
        <w:t>(their experience, education and other characteristics). I control for this using the ONS’s measure of quality</w:t>
      </w:r>
      <w:r>
        <w:rPr>
          <w:i/>
        </w:rPr>
        <w:t>-</w:t>
      </w:r>
      <w:r>
        <w:rPr/>
        <w:t>adjusted labour input.</w:t>
      </w:r>
    </w:p>
    <w:p>
      <w:pPr>
        <w:pStyle w:val="BodyText"/>
        <w:spacing w:before="4"/>
        <w:rPr>
          <w:sz w:val="30"/>
        </w:rPr>
      </w:pPr>
    </w:p>
    <w:p>
      <w:pPr>
        <w:pStyle w:val="BodyText"/>
        <w:spacing w:line="360" w:lineRule="auto" w:before="1"/>
        <w:ind w:left="233"/>
      </w:pPr>
      <w:r>
        <w:rPr/>
        <w:t>I show the complete results of this industry-level growth accounting exercise in Appendix A1.</w:t>
      </w:r>
      <w:r>
        <w:rPr>
          <w:vertAlign w:val="superscript"/>
        </w:rPr>
        <w:t>13</w:t>
      </w:r>
      <w:r>
        <w:rPr>
          <w:vertAlign w:val="baseline"/>
        </w:rPr>
        <w:t> Each row shows a different industry.</w:t>
      </w:r>
      <w:r>
        <w:rPr>
          <w:vertAlign w:val="superscript"/>
        </w:rPr>
        <w:t>14</w:t>
      </w:r>
      <w:r>
        <w:rPr>
          <w:vertAlign w:val="baseline"/>
        </w:rPr>
        <w:t> The first three columns show the contribution of those industries to productivity growth over three time periods: a pre-crisis spanning from 2000 to 2007; the crisis period from 2007 to 2009 and a post-crisis, going from 2009 to 2015.</w:t>
      </w:r>
      <w:r>
        <w:rPr>
          <w:vertAlign w:val="superscript"/>
        </w:rPr>
        <w:t>15</w:t>
      </w:r>
    </w:p>
    <w:p>
      <w:pPr>
        <w:pStyle w:val="BodyText"/>
        <w:spacing w:before="1"/>
        <w:rPr>
          <w:sz w:val="30"/>
        </w:rPr>
      </w:pPr>
    </w:p>
    <w:p>
      <w:pPr>
        <w:pStyle w:val="BodyText"/>
        <w:spacing w:line="360" w:lineRule="auto"/>
        <w:ind w:left="233" w:right="170"/>
      </w:pPr>
      <w:r>
        <w:rPr/>
        <w:t>The contribution to the slowdown in productivity growth – shown in the fourth column – is measured as the difference between the post- and pre-crisis productivity growth. The rest of the table decomposes the slowing in productivity growth between the two periods. Specifically, the fifth column shows the </w:t>
      </w:r>
      <w:r>
        <w:rPr>
          <w:i/>
        </w:rPr>
        <w:t>where: </w:t>
      </w:r>
      <w:r>
        <w:rPr/>
        <w:t>which sectors accounted for the slowing? And the remaining columns show the </w:t>
      </w:r>
      <w:r>
        <w:rPr>
          <w:i/>
        </w:rPr>
        <w:t>why: </w:t>
      </w:r>
      <w:r>
        <w:rPr/>
        <w:t>which changes in the quantity, quality or distribution of inputs explain the slowing? It is to those two questions that I now</w:t>
      </w:r>
      <w:r>
        <w:rPr>
          <w:spacing w:val="-28"/>
        </w:rPr>
        <w:t> </w:t>
      </w:r>
      <w:r>
        <w:rPr/>
        <w:t>turn.</w:t>
      </w:r>
    </w:p>
    <w:p>
      <w:pPr>
        <w:pStyle w:val="BodyText"/>
        <w:spacing w:before="8"/>
        <w:rPr>
          <w:sz w:val="29"/>
        </w:rPr>
      </w:pPr>
    </w:p>
    <w:p>
      <w:pPr>
        <w:spacing w:before="0"/>
        <w:ind w:left="233" w:right="0" w:firstLine="0"/>
        <w:jc w:val="left"/>
        <w:rPr>
          <w:i/>
          <w:sz w:val="20"/>
        </w:rPr>
      </w:pPr>
      <w:r>
        <w:rPr>
          <w:i/>
          <w:sz w:val="20"/>
          <w:u w:val="single"/>
        </w:rPr>
        <w:t>Sector decomposition of the productivity growth slowdown</w:t>
      </w:r>
    </w:p>
    <w:p>
      <w:pPr>
        <w:pStyle w:val="BodyText"/>
        <w:rPr>
          <w:i/>
        </w:rPr>
      </w:pPr>
    </w:p>
    <w:p>
      <w:pPr>
        <w:pStyle w:val="BodyText"/>
        <w:spacing w:before="3"/>
        <w:rPr>
          <w:i/>
        </w:rPr>
      </w:pPr>
    </w:p>
    <w:p>
      <w:pPr>
        <w:pStyle w:val="BodyText"/>
        <w:spacing w:line="357" w:lineRule="auto"/>
        <w:ind w:left="233"/>
      </w:pPr>
      <w:r>
        <w:rPr/>
        <w:t>The slowdown, or difference in the aggregate productivity growth rates between the pre- and post-crisis periods for the UK economy amounted to (a negative) 1.5 percentage points. Remarkably, three-quarters of</w:t>
      </w:r>
    </w:p>
    <w:p>
      <w:pPr>
        <w:pStyle w:val="BodyText"/>
        <w:spacing w:before="3"/>
        <w:rPr>
          <w:sz w:val="23"/>
        </w:rPr>
      </w:pPr>
      <w:r>
        <w:rPr/>
        <w:pict>
          <v:shape style="position:absolute;margin-left:56.664001pt;margin-top:15.619678pt;width:144.050pt;height:.1pt;mso-position-horizontal-relative:page;mso-position-vertical-relative:paragraph;z-index:-251617280;mso-wrap-distance-left:0;mso-wrap-distance-right:0" coordorigin="1133,312" coordsize="2881,0" path="m1133,312l4014,312e" filled="false" stroked="true" strokeweight=".47998pt" strokecolor="#000000">
            <v:path arrowok="t"/>
            <v:stroke dashstyle="solid"/>
            <w10:wrap type="topAndBottom"/>
          </v:shape>
        </w:pict>
      </w:r>
    </w:p>
    <w:p>
      <w:pPr>
        <w:spacing w:line="196" w:lineRule="exact" w:before="27"/>
        <w:ind w:left="233" w:right="0" w:firstLine="0"/>
        <w:jc w:val="left"/>
        <w:rPr>
          <w:sz w:val="16"/>
        </w:rPr>
      </w:pPr>
      <w:r>
        <w:rPr>
          <w:position w:val="8"/>
          <w:sz w:val="10"/>
        </w:rPr>
        <w:t>11 </w:t>
      </w:r>
      <w:r>
        <w:rPr>
          <w:sz w:val="16"/>
        </w:rPr>
        <w:t>For more detail on the sources of TFP growth, see Caselli (2005) and Oulton (2016b).</w:t>
      </w:r>
    </w:p>
    <w:p>
      <w:pPr>
        <w:spacing w:line="184" w:lineRule="exact" w:before="15"/>
        <w:ind w:left="233" w:right="0" w:firstLine="0"/>
        <w:jc w:val="left"/>
        <w:rPr>
          <w:sz w:val="16"/>
        </w:rPr>
      </w:pPr>
      <w:r>
        <w:rPr>
          <w:position w:val="8"/>
          <w:sz w:val="10"/>
        </w:rPr>
        <w:t>12 </w:t>
      </w:r>
      <w:r>
        <w:rPr>
          <w:sz w:val="16"/>
        </w:rPr>
        <w:t>The capital services measure has been constructed by Bank of England staff based on the methodology of Oulton and Wallis (2016). See Appendix A2 for more detail.</w:t>
      </w:r>
    </w:p>
    <w:p>
      <w:pPr>
        <w:spacing w:line="169" w:lineRule="exact" w:before="0"/>
        <w:ind w:left="233" w:right="0" w:firstLine="0"/>
        <w:jc w:val="left"/>
        <w:rPr>
          <w:sz w:val="16"/>
        </w:rPr>
      </w:pPr>
      <w:r>
        <w:rPr>
          <w:position w:val="8"/>
          <w:sz w:val="10"/>
        </w:rPr>
        <w:t>13 </w:t>
      </w:r>
      <w:r>
        <w:rPr>
          <w:sz w:val="16"/>
        </w:rPr>
        <w:t>Appendix A2 describes the methodology in more detail.</w:t>
      </w:r>
    </w:p>
    <w:p>
      <w:pPr>
        <w:spacing w:line="196" w:lineRule="exact" w:before="0"/>
        <w:ind w:left="233" w:right="0" w:firstLine="0"/>
        <w:jc w:val="left"/>
        <w:rPr>
          <w:sz w:val="16"/>
        </w:rPr>
      </w:pPr>
      <w:r>
        <w:rPr>
          <w:position w:val="8"/>
          <w:sz w:val="10"/>
        </w:rPr>
        <w:t>14 </w:t>
      </w:r>
      <w:r>
        <w:rPr>
          <w:sz w:val="16"/>
        </w:rPr>
        <w:t>I exclude the real estate industry from the analysis, since measurement of its output includes imputed rent from owner-occupied</w:t>
      </w:r>
    </w:p>
    <w:p>
      <w:pPr>
        <w:spacing w:before="1"/>
        <w:ind w:left="233" w:right="0" w:firstLine="0"/>
        <w:jc w:val="left"/>
        <w:rPr>
          <w:sz w:val="16"/>
        </w:rPr>
      </w:pPr>
      <w:r>
        <w:rPr>
          <w:sz w:val="16"/>
        </w:rPr>
        <w:t>housing, which is produced without any additional measured hours worked. Imputed rent therefore artificially inflates the estimates of labour productivity in the real estate sector.</w:t>
      </w:r>
    </w:p>
    <w:p>
      <w:pPr>
        <w:spacing w:line="184" w:lineRule="exact" w:before="2"/>
        <w:ind w:left="233" w:right="0" w:firstLine="0"/>
        <w:jc w:val="left"/>
        <w:rPr>
          <w:sz w:val="16"/>
        </w:rPr>
      </w:pPr>
      <w:r>
        <w:rPr>
          <w:position w:val="8"/>
          <w:sz w:val="10"/>
        </w:rPr>
        <w:t>15 </w:t>
      </w:r>
      <w:r>
        <w:rPr>
          <w:sz w:val="16"/>
        </w:rPr>
        <w:t>I opt to exclude the 1990s from the comparison to exclude the effects of the ICT productivity boom, following Goodridge Haskel and Wallis (2016). I exclude 2016 since the data are not yet available to carry out the full decomposition.</w:t>
      </w:r>
    </w:p>
    <w:p>
      <w:pPr>
        <w:spacing w:after="0" w:line="184" w:lineRule="exact"/>
        <w:jc w:val="left"/>
        <w:rPr>
          <w:sz w:val="16"/>
        </w:rPr>
        <w:sectPr>
          <w:footerReference w:type="default" r:id="rId30"/>
          <w:pgSz w:w="11910" w:h="16840"/>
          <w:pgMar w:footer="1338" w:header="0" w:top="1340" w:bottom="1520" w:left="900" w:right="1020"/>
          <w:pgNumType w:start="10"/>
        </w:sectPr>
      </w:pPr>
    </w:p>
    <w:p>
      <w:pPr>
        <w:pStyle w:val="BodyText"/>
        <w:spacing w:line="360" w:lineRule="auto" w:before="119"/>
        <w:ind w:left="233" w:right="154"/>
      </w:pPr>
      <w:r>
        <w:rPr/>
        <w:t>this productivity growth </w:t>
      </w:r>
      <w:r>
        <w:rPr>
          <w:u w:val="single"/>
        </w:rPr>
        <w:t>shortfall</w:t>
      </w:r>
      <w:r>
        <w:rPr/>
        <w:t> is accounted for by just two sectors: manufacturing and finance (Chart 11).</w:t>
      </w:r>
      <w:r>
        <w:rPr>
          <w:vertAlign w:val="superscript"/>
        </w:rPr>
        <w:t>16</w:t>
      </w:r>
      <w:r>
        <w:rPr>
          <w:vertAlign w:val="baseline"/>
        </w:rPr>
        <w:t> Manufacturing contributed an average of 0.5pp per year to the UK’s 2% annual productivity growth in the 2000s, with finance contributing another 0.4pp. Since 2009, the manufacturing contribution has shrunk to 0.1pp, while finance has subtracted 0.3pp.</w:t>
      </w:r>
    </w:p>
    <w:p>
      <w:pPr>
        <w:pStyle w:val="BodyText"/>
        <w:rPr>
          <w:sz w:val="22"/>
        </w:rPr>
      </w:pPr>
    </w:p>
    <w:p>
      <w:pPr>
        <w:pStyle w:val="Heading1"/>
        <w:spacing w:before="196"/>
        <w:ind w:left="115"/>
        <w:jc w:val="center"/>
      </w:pPr>
      <w:r>
        <w:rPr/>
        <w:t>Chart 11 – Industry contributions to average annual labour productivity growth</w:t>
      </w:r>
    </w:p>
    <w:p>
      <w:pPr>
        <w:pStyle w:val="BodyText"/>
        <w:rPr>
          <w:b/>
        </w:rPr>
      </w:pPr>
    </w:p>
    <w:p>
      <w:pPr>
        <w:pStyle w:val="BodyText"/>
        <w:spacing w:before="9"/>
        <w:rPr>
          <w:b/>
        </w:rPr>
      </w:pPr>
    </w:p>
    <w:p>
      <w:pPr>
        <w:spacing w:before="0"/>
        <w:ind w:left="0" w:right="1415" w:firstLine="0"/>
        <w:jc w:val="right"/>
        <w:rPr>
          <w:rFonts w:ascii="Calibri"/>
          <w:sz w:val="18"/>
        </w:rPr>
      </w:pPr>
      <w:r>
        <w:rPr/>
        <w:pict>
          <v:group style="position:absolute;margin-left:117.239998pt;margin-top:-16.780638pt;width:346.1pt;height:144.2pt;mso-position-horizontal-relative:page;mso-position-vertical-relative:paragraph;z-index:251703296" coordorigin="2345,-336" coordsize="6922,2884">
            <v:rect style="position:absolute;left:2762;top:841;width:550;height:490" filled="true" fillcolor="#d9d9d9" stroked="false">
              <v:fill type="solid"/>
            </v:rect>
            <v:rect style="position:absolute;left:2762;top:575;width:550;height:267" filled="true" fillcolor="#4571a7" stroked="false">
              <v:fill type="solid"/>
            </v:rect>
            <v:rect style="position:absolute;left:2762;top:414;width:550;height:161" filled="true" fillcolor="#aa4643" stroked="false">
              <v:fill type="solid"/>
            </v:rect>
            <v:rect style="position:absolute;left:2762;top:280;width:550;height:135" filled="true" fillcolor="#d99593" stroked="false">
              <v:fill type="solid"/>
            </v:rect>
            <v:rect style="position:absolute;left:2762;top:-32;width:550;height:312" filled="true" fillcolor="#00af50" stroked="false">
              <v:fill type="solid"/>
            </v:rect>
            <v:rect style="position:absolute;left:4135;top:1031;width:548;height:300" filled="true" fillcolor="#d9d9d9" stroked="false">
              <v:fill type="solid"/>
            </v:rect>
            <v:rect style="position:absolute;left:4135;top:700;width:548;height:332" filled="true" fillcolor="#4571a7" stroked="false">
              <v:fill type="solid"/>
            </v:rect>
            <v:rect style="position:absolute;left:4135;top:477;width:548;height:224" filled="true" fillcolor="#aa4643" stroked="false">
              <v:fill type="solid"/>
            </v:rect>
            <v:rect style="position:absolute;left:4135;top:299;width:548;height:178" filled="true" fillcolor="#d99593" stroked="false">
              <v:fill type="solid"/>
            </v:rect>
            <v:rect style="position:absolute;left:4135;top:141;width:548;height:159" filled="true" fillcolor="#00af50" stroked="false">
              <v:fill type="solid"/>
            </v:rect>
            <v:rect style="position:absolute;left:5505;top:1331;width:550;height:1008" filled="true" fillcolor="#d9d9d9" stroked="false">
              <v:fill type="solid"/>
            </v:rect>
            <v:rect style="position:absolute;left:5505;top:2339;width:550;height:51" filled="true" fillcolor="#4571a7" stroked="false">
              <v:fill type="solid"/>
            </v:rect>
            <v:rect style="position:absolute;left:5505;top:1233;width:550;height:99" filled="true" fillcolor="#aa4643" stroked="false">
              <v:fill type="solid"/>
            </v:rect>
            <v:rect style="position:absolute;left:5505;top:2389;width:550;height:65" filled="true" fillcolor="#d99593" stroked="false">
              <v:fill type="solid"/>
            </v:rect>
            <v:rect style="position:absolute;left:5505;top:1189;width:550;height:44" filled="true" fillcolor="#00af50" stroked="false">
              <v:fill type="solid"/>
            </v:rect>
            <v:rect style="position:absolute;left:6878;top:1024;width:548;height:308" filled="true" fillcolor="#d9d9d9" stroked="false">
              <v:fill type="solid"/>
            </v:rect>
            <v:rect style="position:absolute;left:6878;top:978;width:548;height:46" filled="true" fillcolor="#4571a7" stroked="false">
              <v:fill type="solid"/>
            </v:rect>
            <v:rect style="position:absolute;left:6878;top:1331;width:548;height:168" filled="true" fillcolor="#aa4643" stroked="false">
              <v:fill type="solid"/>
            </v:rect>
            <v:rect style="position:absolute;left:6878;top:930;width:548;height:48" filled="true" fillcolor="#d99593" stroked="false">
              <v:fill type="solid"/>
            </v:rect>
            <v:rect style="position:absolute;left:6878;top:892;width:548;height:39" filled="true" fillcolor="#00af50" stroked="false">
              <v:fill type="solid"/>
            </v:rect>
            <v:line style="position:absolute" from="8249,1328" to="8798,1328" stroked="true" strokeweight=".36pt" strokecolor="#d9d9d9">
              <v:stroke dashstyle="solid"/>
            </v:line>
            <v:rect style="position:absolute;left:8248;top:1331;width:550;height:286" filled="true" fillcolor="#4571a7" stroked="false">
              <v:fill type="solid"/>
            </v:rect>
            <v:rect style="position:absolute;left:8248;top:1617;width:550;height:392" filled="true" fillcolor="#aa4643" stroked="false">
              <v:fill type="solid"/>
            </v:rect>
            <v:rect style="position:absolute;left:8248;top:2008;width:550;height:128" filled="true" fillcolor="#d99593" stroked="false">
              <v:fill type="solid"/>
            </v:rect>
            <v:rect style="position:absolute;left:8248;top:2135;width:550;height:123" filled="true" fillcolor="#00af50" stroked="false">
              <v:fill type="solid"/>
            </v:rect>
            <v:shape style="position:absolute;left:2352;top:-183;width:6915;height:2724" coordorigin="2352,-183" coordsize="6915,2724" path="m9209,2541l9209,-183m9209,2541l9266,2541m9209,1936l9266,1936m9209,1332l9266,1332m9209,727l9266,727m9209,122l9266,122m2352,1332l9209,1332m2352,1332l2352,1389m3722,1332l3722,1389m5095,1332l5095,1389m6466,1332l6466,1389m7838,1332l7838,1389m9209,1332l9209,1389e" filled="false" stroked="true" strokeweight=".72pt" strokecolor="#858585">
              <v:path arrowok="t"/>
              <v:stroke dashstyle="solid"/>
            </v:shape>
            <v:shape style="position:absolute;left:2986;top:-83;width:5588;height:2446" coordorigin="2986,-82" coordsize="5588,2446" path="m3087,-32l3036,-82,2986,-32,3036,18,3087,-32m4460,138l4409,88,4359,138,4409,189,4460,138m5830,2312l5779,2262,5729,2312,5779,2363,5830,2312m7200,1057l7150,1007,7100,1057,7150,1108,7200,1057m8573,2240l8522,2190,8472,2240,8522,2291,8573,2240e" filled="true" fillcolor="#000000" stroked="false">
              <v:path arrowok="t"/>
              <v:fill type="solid"/>
            </v:shape>
            <v:rect style="position:absolute;left:5126;top:-301;width:101;height:99" filled="true" fillcolor="#00af50" stroked="false">
              <v:fill type="solid"/>
            </v:rect>
            <v:rect style="position:absolute;left:5126;top:-107;width:101;height:99" filled="true" fillcolor="#d99593" stroked="false">
              <v:fill type="solid"/>
            </v:rect>
            <v:rect style="position:absolute;left:5126;top:88;width:101;height:99" filled="true" fillcolor="#aa4643" stroked="false">
              <v:fill type="solid"/>
            </v:rect>
            <v:rect style="position:absolute;left:5126;top:282;width:101;height:99" filled="true" fillcolor="#4571a7" stroked="false">
              <v:fill type="solid"/>
            </v:rect>
            <v:rect style="position:absolute;left:5126;top:474;width:101;height:101" filled="true" fillcolor="#d9d9d9" stroked="false">
              <v:fill type="solid"/>
            </v:rect>
            <v:shape style="position:absolute;left:5126;top:668;width:100;height:100" coordorigin="5127,669" coordsize="100,100" path="m5177,669l5127,719,5177,769,5227,719,5177,669xe" filled="true" fillcolor="#000000" stroked="false">
              <v:path arrowok="t"/>
              <v:fill type="solid"/>
            </v:shape>
            <v:shape style="position:absolute;left:5269;top:-336;width:1222;height:1151" type="#_x0000_t202" filled="false" stroked="false">
              <v:textbox inset="0,0,0,0">
                <w:txbxContent>
                  <w:p>
                    <w:pPr>
                      <w:spacing w:line="170" w:lineRule="exact" w:before="0"/>
                      <w:ind w:left="0" w:right="0" w:firstLine="0"/>
                      <w:jc w:val="left"/>
                      <w:rPr>
                        <w:rFonts w:ascii="Calibri"/>
                        <w:sz w:val="18"/>
                      </w:rPr>
                    </w:pPr>
                    <w:r>
                      <w:rPr>
                        <w:rFonts w:ascii="Calibri"/>
                        <w:sz w:val="18"/>
                      </w:rPr>
                      <w:t>ICT</w:t>
                    </w:r>
                  </w:p>
                  <w:p>
                    <w:pPr>
                      <w:spacing w:line="211" w:lineRule="auto" w:before="7"/>
                      <w:ind w:left="0" w:right="0" w:firstLine="0"/>
                      <w:jc w:val="left"/>
                      <w:rPr>
                        <w:rFonts w:ascii="Calibri"/>
                        <w:sz w:val="18"/>
                      </w:rPr>
                    </w:pPr>
                    <w:r>
                      <w:rPr>
                        <w:rFonts w:ascii="Calibri"/>
                        <w:sz w:val="18"/>
                      </w:rPr>
                      <w:t>Prof. &amp; scientific Finance Manufacturing Other</w:t>
                    </w:r>
                  </w:p>
                  <w:p>
                    <w:pPr>
                      <w:spacing w:line="199" w:lineRule="exact" w:before="0"/>
                      <w:ind w:left="0" w:right="0" w:firstLine="0"/>
                      <w:jc w:val="left"/>
                      <w:rPr>
                        <w:rFonts w:ascii="Calibri"/>
                        <w:sz w:val="18"/>
                      </w:rPr>
                    </w:pPr>
                    <w:r>
                      <w:rPr>
                        <w:rFonts w:ascii="Calibri"/>
                        <w:sz w:val="18"/>
                      </w:rPr>
                      <w:t>Total</w:t>
                    </w:r>
                  </w:p>
                </w:txbxContent>
              </v:textbox>
              <w10:wrap type="none"/>
            </v:shape>
            <v:shape style="position:absolute;left:7910;top:-291;width:1341;height:180" type="#_x0000_t202" filled="false" stroked="false">
              <v:textbox inset="0,0,0,0">
                <w:txbxContent>
                  <w:p>
                    <w:pPr>
                      <w:spacing w:line="180" w:lineRule="exact" w:before="0"/>
                      <w:ind w:left="0" w:right="0" w:firstLine="0"/>
                      <w:jc w:val="left"/>
                      <w:rPr>
                        <w:rFonts w:ascii="Calibri"/>
                        <w:sz w:val="18"/>
                      </w:rPr>
                    </w:pPr>
                    <w:r>
                      <w:rPr>
                        <w:rFonts w:ascii="Calibri"/>
                        <w:sz w:val="18"/>
                      </w:rPr>
                      <w:t>Percentage points</w:t>
                    </w:r>
                  </w:p>
                </w:txbxContent>
              </v:textbox>
              <w10:wrap type="none"/>
            </v:shape>
            <w10:wrap type="none"/>
          </v:group>
        </w:pict>
      </w:r>
      <w:r>
        <w:rPr>
          <w:rFonts w:ascii="Calibri"/>
          <w:sz w:val="18"/>
        </w:rPr>
        <w:t>2</w:t>
      </w:r>
    </w:p>
    <w:p>
      <w:pPr>
        <w:pStyle w:val="BodyText"/>
        <w:spacing w:before="4"/>
        <w:rPr>
          <w:rFonts w:ascii="Calibri"/>
          <w:sz w:val="26"/>
        </w:rPr>
      </w:pPr>
    </w:p>
    <w:p>
      <w:pPr>
        <w:spacing w:before="64"/>
        <w:ind w:left="0" w:right="1415" w:firstLine="0"/>
        <w:jc w:val="right"/>
        <w:rPr>
          <w:rFonts w:ascii="Calibri"/>
          <w:sz w:val="18"/>
        </w:rPr>
      </w:pPr>
      <w:r>
        <w:rPr>
          <w:rFonts w:ascii="Calibri"/>
          <w:sz w:val="18"/>
        </w:rPr>
        <w:t>1</w:t>
      </w:r>
    </w:p>
    <w:p>
      <w:pPr>
        <w:pStyle w:val="BodyText"/>
        <w:spacing w:before="4"/>
        <w:rPr>
          <w:rFonts w:ascii="Calibri"/>
          <w:sz w:val="26"/>
        </w:rPr>
      </w:pPr>
    </w:p>
    <w:p>
      <w:pPr>
        <w:spacing w:before="64"/>
        <w:ind w:left="0" w:right="1415" w:firstLine="0"/>
        <w:jc w:val="right"/>
        <w:rPr>
          <w:rFonts w:ascii="Calibri"/>
          <w:sz w:val="18"/>
        </w:rPr>
      </w:pPr>
      <w:r>
        <w:rPr>
          <w:rFonts w:ascii="Calibri"/>
          <w:sz w:val="18"/>
        </w:rPr>
        <w:t>0</w:t>
      </w:r>
    </w:p>
    <w:p>
      <w:pPr>
        <w:pStyle w:val="BodyText"/>
        <w:spacing w:before="4"/>
        <w:rPr>
          <w:rFonts w:ascii="Calibri"/>
          <w:sz w:val="26"/>
        </w:rPr>
      </w:pPr>
    </w:p>
    <w:p>
      <w:pPr>
        <w:spacing w:before="64"/>
        <w:ind w:left="0" w:right="1360" w:firstLine="0"/>
        <w:jc w:val="right"/>
        <w:rPr>
          <w:rFonts w:ascii="Calibri"/>
          <w:sz w:val="18"/>
        </w:rPr>
      </w:pPr>
      <w:r>
        <w:rPr>
          <w:rFonts w:ascii="Calibri"/>
          <w:sz w:val="18"/>
        </w:rPr>
        <w:t>-1</w:t>
      </w:r>
    </w:p>
    <w:p>
      <w:pPr>
        <w:pStyle w:val="BodyText"/>
        <w:spacing w:before="5"/>
        <w:rPr>
          <w:rFonts w:ascii="Calibri"/>
          <w:sz w:val="26"/>
        </w:rPr>
      </w:pPr>
    </w:p>
    <w:p>
      <w:pPr>
        <w:spacing w:before="63"/>
        <w:ind w:left="7115" w:right="0" w:firstLine="0"/>
        <w:jc w:val="center"/>
        <w:rPr>
          <w:rFonts w:ascii="Calibri"/>
          <w:sz w:val="18"/>
        </w:rPr>
      </w:pPr>
      <w:r>
        <w:rPr>
          <w:rFonts w:ascii="Calibri"/>
          <w:sz w:val="18"/>
        </w:rPr>
        <w:t>-2</w:t>
      </w:r>
    </w:p>
    <w:p>
      <w:pPr>
        <w:tabs>
          <w:tab w:pos="1485" w:val="left" w:leader="none"/>
          <w:tab w:pos="2857" w:val="left" w:leader="none"/>
          <w:tab w:pos="4229" w:val="left" w:leader="none"/>
          <w:tab w:pos="5262" w:val="left" w:leader="none"/>
        </w:tabs>
        <w:spacing w:before="15"/>
        <w:ind w:left="23" w:right="0" w:firstLine="0"/>
        <w:jc w:val="center"/>
        <w:rPr>
          <w:rFonts w:ascii="Calibri"/>
          <w:sz w:val="18"/>
        </w:rPr>
      </w:pPr>
      <w:r>
        <w:rPr>
          <w:rFonts w:ascii="Calibri"/>
          <w:sz w:val="18"/>
        </w:rPr>
        <w:t>1995-2000</w:t>
        <w:tab/>
        <w:t>2000-07</w:t>
        <w:tab/>
        <w:t>2007-09</w:t>
        <w:tab/>
        <w:t>2009-15</w:t>
        <w:tab/>
        <w:t>Difference</w:t>
      </w:r>
      <w:r>
        <w:rPr>
          <w:rFonts w:ascii="Calibri"/>
          <w:spacing w:val="-2"/>
          <w:sz w:val="18"/>
        </w:rPr>
        <w:t> </w:t>
      </w:r>
      <w:r>
        <w:rPr>
          <w:rFonts w:ascii="Calibri"/>
          <w:sz w:val="18"/>
        </w:rPr>
        <w:t>(09-15</w:t>
      </w:r>
    </w:p>
    <w:p>
      <w:pPr>
        <w:spacing w:before="1"/>
        <w:ind w:left="5265" w:right="0" w:firstLine="0"/>
        <w:jc w:val="center"/>
        <w:rPr>
          <w:rFonts w:ascii="Calibri"/>
          <w:sz w:val="18"/>
        </w:rPr>
      </w:pPr>
      <w:r>
        <w:rPr>
          <w:rFonts w:ascii="Calibri"/>
          <w:sz w:val="18"/>
        </w:rPr>
        <w:t>minus 00-07)</w:t>
      </w:r>
    </w:p>
    <w:p>
      <w:pPr>
        <w:pStyle w:val="BodyText"/>
        <w:spacing w:before="11"/>
        <w:rPr>
          <w:rFonts w:ascii="Calibri"/>
          <w:sz w:val="14"/>
        </w:rPr>
      </w:pPr>
    </w:p>
    <w:p>
      <w:pPr>
        <w:spacing w:before="0"/>
        <w:ind w:left="905" w:right="0" w:firstLine="0"/>
        <w:jc w:val="left"/>
        <w:rPr>
          <w:sz w:val="16"/>
        </w:rPr>
      </w:pPr>
      <w:r>
        <w:rPr>
          <w:sz w:val="16"/>
        </w:rPr>
        <w:t>Sources: ONS and Bank calculations.</w:t>
      </w:r>
    </w:p>
    <w:p>
      <w:pPr>
        <w:pStyle w:val="BodyText"/>
        <w:rPr>
          <w:sz w:val="18"/>
        </w:rPr>
      </w:pPr>
    </w:p>
    <w:p>
      <w:pPr>
        <w:pStyle w:val="BodyText"/>
        <w:spacing w:line="360" w:lineRule="auto" w:before="157"/>
        <w:ind w:left="233"/>
      </w:pPr>
      <w:r>
        <w:rPr/>
        <w:t>A further quarter of the slowdown is explained by two more sectors: information and communication technologies (ICT); and professional, scientific and technical services. Together, these four sectors, which make up just one-third of value-added, can entirely account for the slowdown. The remaining 14 sectors contributed 0.5pp to productivity growth, both pre- and post-crisis. In other words, productivity outside those four sectors has been growing at a roughly constant, modest rate.</w:t>
      </w:r>
    </w:p>
    <w:p>
      <w:pPr>
        <w:pStyle w:val="BodyText"/>
        <w:spacing w:before="11"/>
        <w:rPr>
          <w:sz w:val="29"/>
        </w:rPr>
      </w:pPr>
    </w:p>
    <w:p>
      <w:pPr>
        <w:pStyle w:val="BodyText"/>
        <w:spacing w:line="360" w:lineRule="auto"/>
        <w:ind w:left="233" w:right="189"/>
      </w:pPr>
      <w:r>
        <w:rPr/>
        <w:t>One part of the story, the figures suggest, is that these four sectors were going through a boom period in the 2000s. Manufacturing and finance alone contributed almost half of the UK’s productivity growth in the seven years leading up to the crisis. Without their contributions, UK productivity would have slowed more during the decade </w:t>
      </w:r>
      <w:r>
        <w:rPr>
          <w:i/>
        </w:rPr>
        <w:t>before the financial crisis</w:t>
      </w:r>
      <w:r>
        <w:rPr/>
        <w:t>.</w:t>
      </w:r>
      <w:r>
        <w:rPr>
          <w:vertAlign w:val="superscript"/>
        </w:rPr>
        <w:t>17</w:t>
      </w:r>
      <w:r>
        <w:rPr>
          <w:vertAlign w:val="baseline"/>
        </w:rPr>
        <w:t> This counterfactual would align our productivity slowdown more closely with that of the US, which is usually dated to the early 2000s.</w:t>
      </w:r>
      <w:r>
        <w:rPr>
          <w:vertAlign w:val="superscript"/>
        </w:rPr>
        <w:t>18</w:t>
      </w:r>
      <w:r>
        <w:rPr>
          <w:vertAlign w:val="baseline"/>
        </w:rPr>
        <w:t> So on one reading, idiosyncratic productivity gains in these two sectors hid an underlying slowdown that was taking place in the 2000s, more in line with global trends.</w:t>
      </w:r>
    </w:p>
    <w:p>
      <w:pPr>
        <w:pStyle w:val="BodyText"/>
        <w:rPr>
          <w:sz w:val="30"/>
        </w:rPr>
      </w:pPr>
    </w:p>
    <w:p>
      <w:pPr>
        <w:pStyle w:val="BodyText"/>
        <w:spacing w:line="360" w:lineRule="auto"/>
        <w:ind w:left="233" w:right="198"/>
      </w:pPr>
      <w:r>
        <w:rPr/>
        <w:t>But this is not likely to be the whole story. There are always some sectors where productivity is growing more rapidly than others: so it would be wrong to assume that any uneven contribution automatically implies that aggregate growth is unsustainable. Moreover, these sectors have also grown unusually slowly</w:t>
      </w:r>
    </w:p>
    <w:p>
      <w:pPr>
        <w:pStyle w:val="BodyText"/>
        <w:spacing w:before="6"/>
        <w:rPr>
          <w:sz w:val="12"/>
        </w:rPr>
      </w:pPr>
      <w:r>
        <w:rPr/>
        <w:pict>
          <v:shape style="position:absolute;margin-left:56.664001pt;margin-top:9.405605pt;width:144.050pt;height:.1pt;mso-position-horizontal-relative:page;mso-position-vertical-relative:paragraph;z-index:-251616256;mso-wrap-distance-left:0;mso-wrap-distance-right:0" coordorigin="1133,188" coordsize="2881,0" path="m1133,188l4014,188e" filled="false" stroked="true" strokeweight=".47998pt" strokecolor="#000000">
            <v:path arrowok="t"/>
            <v:stroke dashstyle="solid"/>
            <w10:wrap type="topAndBottom"/>
          </v:shape>
        </w:pict>
      </w:r>
    </w:p>
    <w:p>
      <w:pPr>
        <w:spacing w:before="30"/>
        <w:ind w:left="233" w:right="158" w:firstLine="0"/>
        <w:jc w:val="left"/>
        <w:rPr>
          <w:sz w:val="16"/>
        </w:rPr>
      </w:pPr>
      <w:r>
        <w:rPr>
          <w:position w:val="8"/>
          <w:sz w:val="10"/>
        </w:rPr>
        <w:t>16 </w:t>
      </w:r>
      <w:r>
        <w:rPr>
          <w:sz w:val="16"/>
        </w:rPr>
        <w:t>Although the choice of comparison periods obviously affects the precise numbers, the same broad picture emerges for any reasonable cut-offs. For example, grouping the crisis and post-crisis periods together, and comparing productivity growth to its 2007-15 (2007-16) average, manufacturing and finance still account for 52% (54%) of the slowdown. Or comparing a longer pre-crisis period of 1995-2007 to 2009-15, manufacturing and finance account for 63% of the slowdown.</w:t>
      </w:r>
    </w:p>
    <w:p>
      <w:pPr>
        <w:spacing w:line="171" w:lineRule="exact" w:before="0"/>
        <w:ind w:left="233" w:right="0" w:firstLine="0"/>
        <w:jc w:val="left"/>
        <w:rPr>
          <w:sz w:val="16"/>
        </w:rPr>
      </w:pPr>
      <w:r>
        <w:rPr>
          <w:position w:val="8"/>
          <w:sz w:val="10"/>
        </w:rPr>
        <w:t>17 </w:t>
      </w:r>
      <w:r>
        <w:rPr>
          <w:sz w:val="16"/>
        </w:rPr>
        <w:t>By contrast, productivity gains were distributed a little more equally in the 1995-2000 period.</w:t>
      </w:r>
    </w:p>
    <w:p>
      <w:pPr>
        <w:spacing w:line="184" w:lineRule="exact" w:before="15"/>
        <w:ind w:left="233" w:right="231" w:firstLine="0"/>
        <w:jc w:val="left"/>
        <w:rPr>
          <w:sz w:val="16"/>
        </w:rPr>
      </w:pPr>
      <w:r>
        <w:rPr>
          <w:position w:val="8"/>
          <w:sz w:val="10"/>
        </w:rPr>
        <w:t>18 </w:t>
      </w:r>
      <w:r>
        <w:rPr>
          <w:sz w:val="16"/>
        </w:rPr>
        <w:t>Cette, Fernald and Mojon (2016). Although as discussed later, measured manufacturing productivity also grew strongly in the US in the early 2000s, which may have helped the US economy avoid a larger productivity slowdown then.</w:t>
      </w:r>
    </w:p>
    <w:p>
      <w:pPr>
        <w:spacing w:after="0" w:line="184" w:lineRule="exact"/>
        <w:jc w:val="left"/>
        <w:rPr>
          <w:sz w:val="16"/>
        </w:rPr>
        <w:sectPr>
          <w:footerReference w:type="default" r:id="rId31"/>
          <w:pgSz w:w="11910" w:h="16840"/>
          <w:pgMar w:footer="1338" w:header="0" w:top="1300" w:bottom="1520" w:left="900" w:right="1020"/>
          <w:pgNumType w:start="11"/>
        </w:sectPr>
      </w:pPr>
    </w:p>
    <w:p>
      <w:pPr>
        <w:pStyle w:val="BodyText"/>
        <w:spacing w:line="360" w:lineRule="auto" w:before="79"/>
        <w:ind w:left="233"/>
      </w:pPr>
      <w:r>
        <w:rPr/>
        <w:t>post-crisis. So any recovery in aggregate productivity growth is likely to require a pickup in their contribution. With that in mind, I now explore the two main sectors driving the slowdown, manufacturing and finance, in more detail.</w:t>
      </w:r>
    </w:p>
    <w:p>
      <w:pPr>
        <w:pStyle w:val="BodyText"/>
        <w:rPr>
          <w:sz w:val="30"/>
        </w:rPr>
      </w:pPr>
    </w:p>
    <w:p>
      <w:pPr>
        <w:pStyle w:val="BodyText"/>
        <w:spacing w:line="360" w:lineRule="auto"/>
        <w:ind w:left="233" w:right="198"/>
      </w:pPr>
      <w:r>
        <w:rPr>
          <w:u w:val="single"/>
        </w:rPr>
        <w:t>Manufacturing</w:t>
      </w:r>
      <w:r>
        <w:rPr/>
        <w:t> productivity grew at an average of 4.3% per year in the pre-crisis period (2000-2007), a notable increase on its 1990s growth rate (Chart 12). Since 2009, productivity growth has fallen to just 0.8% a year, a slowing of 3.5pp. The slowdown was widespread across most subsectors of the manufacturing industry, suggestive of a common or related set of causes.</w:t>
      </w:r>
    </w:p>
    <w:p>
      <w:pPr>
        <w:pStyle w:val="BodyText"/>
      </w:pPr>
    </w:p>
    <w:p>
      <w:pPr>
        <w:spacing w:after="0"/>
        <w:sectPr>
          <w:pgSz w:w="11910" w:h="16840"/>
          <w:pgMar w:header="0" w:footer="1338" w:top="1340" w:bottom="1520" w:left="900" w:right="1020"/>
        </w:sectPr>
      </w:pPr>
    </w:p>
    <w:p>
      <w:pPr>
        <w:pStyle w:val="BodyText"/>
        <w:rPr>
          <w:sz w:val="19"/>
        </w:rPr>
      </w:pPr>
    </w:p>
    <w:p>
      <w:pPr>
        <w:pStyle w:val="Heading1"/>
        <w:spacing w:line="352" w:lineRule="auto"/>
        <w:ind w:right="-9"/>
      </w:pPr>
      <w:r>
        <w:rPr/>
        <w:t>Chart 12 – Contributions to UK</w:t>
      </w:r>
      <w:r>
        <w:rPr>
          <w:spacing w:val="-14"/>
        </w:rPr>
        <w:t> </w:t>
      </w:r>
      <w:r>
        <w:rPr/>
        <w:t>manufacturing average annual labour productivity</w:t>
      </w:r>
      <w:r>
        <w:rPr>
          <w:spacing w:val="-7"/>
        </w:rPr>
        <w:t> </w:t>
      </w:r>
      <w:r>
        <w:rPr/>
        <w:t>growth</w:t>
      </w:r>
    </w:p>
    <w:p>
      <w:pPr>
        <w:pStyle w:val="BodyText"/>
        <w:rPr>
          <w:b/>
          <w:sz w:val="19"/>
        </w:rPr>
      </w:pPr>
      <w:r>
        <w:rPr/>
        <w:br w:type="column"/>
      </w:r>
      <w:r>
        <w:rPr>
          <w:b/>
          <w:sz w:val="19"/>
        </w:rPr>
      </w:r>
    </w:p>
    <w:p>
      <w:pPr>
        <w:spacing w:line="352" w:lineRule="auto" w:before="0"/>
        <w:ind w:left="233" w:right="997" w:firstLine="0"/>
        <w:jc w:val="left"/>
        <w:rPr>
          <w:b/>
          <w:sz w:val="20"/>
        </w:rPr>
      </w:pPr>
      <w:r>
        <w:rPr>
          <w:b/>
          <w:sz w:val="20"/>
        </w:rPr>
        <w:t>Chart 13 – Manufacturing relative price and sector shares of hours and nominal GVA</w:t>
      </w:r>
    </w:p>
    <w:p>
      <w:pPr>
        <w:spacing w:after="0" w:line="352" w:lineRule="auto"/>
        <w:jc w:val="left"/>
        <w:rPr>
          <w:sz w:val="20"/>
        </w:rPr>
        <w:sectPr>
          <w:type w:val="continuous"/>
          <w:pgSz w:w="11910" w:h="16840"/>
          <w:pgMar w:top="1180" w:bottom="1520" w:left="900" w:right="1020"/>
          <w:cols w:num="2" w:equalWidth="0">
            <w:col w:w="4597" w:space="41"/>
            <w:col w:w="5352"/>
          </w:cols>
        </w:sectPr>
      </w:pPr>
    </w:p>
    <w:p>
      <w:pPr>
        <w:pStyle w:val="BodyText"/>
        <w:spacing w:before="10"/>
        <w:rPr>
          <w:b/>
          <w:sz w:val="13"/>
        </w:rPr>
      </w:pPr>
    </w:p>
    <w:p>
      <w:pPr>
        <w:spacing w:after="0"/>
        <w:rPr>
          <w:sz w:val="13"/>
        </w:rPr>
        <w:sectPr>
          <w:type w:val="continuous"/>
          <w:pgSz w:w="11910" w:h="16840"/>
          <w:pgMar w:top="1180" w:bottom="1520" w:left="900" w:right="1020"/>
        </w:sectPr>
      </w:pPr>
    </w:p>
    <w:p>
      <w:pPr>
        <w:pStyle w:val="BodyText"/>
        <w:spacing w:before="5"/>
        <w:rPr>
          <w:b/>
          <w:sz w:val="15"/>
        </w:rPr>
      </w:pPr>
    </w:p>
    <w:p>
      <w:pPr>
        <w:pStyle w:val="BodyText"/>
        <w:spacing w:line="98" w:lineRule="exact"/>
        <w:ind w:left="1416"/>
        <w:rPr>
          <w:sz w:val="9"/>
        </w:rPr>
      </w:pPr>
      <w:r>
        <w:rPr>
          <w:position w:val="-1"/>
          <w:sz w:val="9"/>
        </w:rPr>
        <w:pict>
          <v:group style="width:4.95pt;height:4.95pt;mso-position-horizontal-relative:char;mso-position-vertical-relative:line" coordorigin="0,0" coordsize="99,99">
            <v:rect style="position:absolute;left:0;top:0;width:99;height:99" filled="true" fillcolor="#c00000" stroked="false">
              <v:fill type="solid"/>
            </v:rect>
          </v:group>
        </w:pict>
      </w:r>
      <w:r>
        <w:rPr>
          <w:position w:val="-1"/>
          <w:sz w:val="9"/>
        </w:rPr>
      </w: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spacing w:before="6"/>
        <w:rPr>
          <w:b/>
          <w:sz w:val="14"/>
        </w:rPr>
      </w:pPr>
    </w:p>
    <w:p>
      <w:pPr>
        <w:tabs>
          <w:tab w:pos="1535" w:val="left" w:leader="none"/>
          <w:tab w:pos="2500" w:val="left" w:leader="none"/>
          <w:tab w:pos="3385" w:val="left" w:leader="none"/>
        </w:tabs>
        <w:spacing w:before="0"/>
        <w:ind w:left="570" w:right="0" w:firstLine="0"/>
        <w:jc w:val="left"/>
        <w:rPr>
          <w:rFonts w:ascii="Calibri"/>
          <w:sz w:val="18"/>
        </w:rPr>
      </w:pPr>
      <w:r>
        <w:rPr>
          <w:rFonts w:ascii="Calibri"/>
          <w:sz w:val="18"/>
        </w:rPr>
        <w:t>2000-07</w:t>
        <w:tab/>
        <w:t>2007-09</w:t>
        <w:tab/>
        <w:t>2009-15</w:t>
        <w:tab/>
      </w:r>
      <w:r>
        <w:rPr>
          <w:rFonts w:ascii="Calibri"/>
          <w:spacing w:val="-3"/>
          <w:sz w:val="18"/>
        </w:rPr>
        <w:t>Difference</w:t>
      </w:r>
    </w:p>
    <w:p>
      <w:pPr>
        <w:pStyle w:val="BodyText"/>
        <w:spacing w:before="12"/>
        <w:rPr>
          <w:rFonts w:ascii="Calibri"/>
          <w:sz w:val="13"/>
        </w:rPr>
      </w:pPr>
      <w:r>
        <w:rPr/>
        <w:br w:type="column"/>
      </w:r>
      <w:r>
        <w:rPr>
          <w:rFonts w:ascii="Calibri"/>
          <w:sz w:val="13"/>
        </w:rPr>
      </w:r>
    </w:p>
    <w:p>
      <w:pPr>
        <w:spacing w:line="211" w:lineRule="auto" w:before="0"/>
        <w:ind w:left="227" w:right="36" w:hanging="142"/>
        <w:jc w:val="left"/>
        <w:rPr>
          <w:rFonts w:ascii="Calibri"/>
          <w:sz w:val="18"/>
        </w:rPr>
      </w:pPr>
      <w:r>
        <w:rPr>
          <w:rFonts w:ascii="Calibri"/>
          <w:sz w:val="18"/>
        </w:rPr>
        <w:t>nts 5</w:t>
      </w:r>
    </w:p>
    <w:p>
      <w:pPr>
        <w:spacing w:before="69"/>
        <w:ind w:left="227" w:right="0" w:firstLine="0"/>
        <w:jc w:val="left"/>
        <w:rPr>
          <w:rFonts w:ascii="Calibri"/>
          <w:sz w:val="18"/>
        </w:rPr>
      </w:pPr>
      <w:r>
        <w:rPr/>
        <w:pict>
          <v:group style="position:absolute;margin-left:63.959999pt;margin-top:-20.770653pt;width:196.35pt;height:144.25pt;mso-position-horizontal-relative:page;mso-position-vertical-relative:paragraph;z-index:-255042560" coordorigin="1279,-415" coordsize="3927,2885">
            <v:rect style="position:absolute;left:1576;top:1026;width:387;height:300" filled="true" fillcolor="#00af50" stroked="false">
              <v:fill type="solid"/>
            </v:rect>
            <v:rect style="position:absolute;left:1576;top:894;width:387;height:132" filled="true" fillcolor="#5f497a" stroked="false">
              <v:fill type="solid"/>
            </v:rect>
            <v:rect style="position:absolute;left:1576;top:100;width:387;height:795" filled="true" fillcolor="#c00000" stroked="false">
              <v:fill type="solid"/>
            </v:rect>
            <v:rect style="position:absolute;left:2541;top:923;width:387;height:404" filled="true" fillcolor="#00af50" stroked="false">
              <v:fill type="solid"/>
            </v:rect>
            <v:line style="position:absolute" from="2542,916" to="2928,916" stroked="true" strokeweight=".72pt" strokecolor="#5f497a">
              <v:stroke dashstyle="solid"/>
            </v:line>
            <v:rect style="position:absolute;left:2541;top:1326;width:387;height:540" filled="true" fillcolor="#c00000" stroked="false">
              <v:fill type="solid"/>
            </v:rect>
            <v:line style="position:absolute" from="3506,1329" to="3893,1329" stroked="true" strokeweight=".24pt" strokecolor="#00af50">
              <v:stroke dashstyle="solid"/>
            </v:line>
            <v:rect style="position:absolute;left:3506;top:1192;width:387;height:135" filled="true" fillcolor="#5f497a" stroked="false">
              <v:fill type="solid"/>
            </v:rect>
            <v:rect style="position:absolute;left:3506;top:1081;width:387;height:111" filled="true" fillcolor="#c00000" stroked="false">
              <v:fill type="solid"/>
            </v:rect>
            <v:rect style="position:absolute;left:4471;top:1326;width:387;height:303" filled="true" fillcolor="#00af50" stroked="false">
              <v:fill type="solid"/>
            </v:rect>
            <v:line style="position:absolute" from="4471,1325" to="4858,1325" stroked="true" strokeweight=".12pt" strokecolor="#5f497a">
              <v:stroke dashstyle="solid"/>
            </v:line>
            <v:rect style="position:absolute;left:4471;top:1628;width:387;height:687" filled="true" fillcolor="#c00000" stroked="false">
              <v:fill type="solid"/>
            </v:rect>
            <v:shape style="position:absolute;left:1286;top:-95;width:3920;height:2556" coordorigin="1286,-94" coordsize="3920,2556" path="m5148,2462l5148,-94m5148,2462l5206,2462m5148,2179l5206,2179m5148,1895l5206,1895m5148,1610l5206,1610m5148,1327l5206,1327m5148,1041l5206,1041m5148,758l5206,758m5148,475l5206,475m5148,189l5206,189m5148,-94l5206,-94m1286,1327l5148,1327m1286,1327l1286,1384m2254,1327l2254,1384m3218,1327l3218,1384m4183,1327l4183,1384m5148,1327l5148,1384e" filled="false" stroked="true" strokeweight=".72pt" strokecolor="#858585">
              <v:path arrowok="t"/>
              <v:stroke dashstyle="solid"/>
            </v:shape>
            <v:shape style="position:absolute;left:1712;top:39;width:116;height:116" type="#_x0000_t75" stroked="false">
              <v:imagedata r:id="rId32" o:title=""/>
            </v:shape>
            <v:shape style="position:absolute;left:2677;top:1390;width:116;height:116" type="#_x0000_t75" stroked="false">
              <v:imagedata r:id="rId33" o:title=""/>
            </v:shape>
            <v:shape style="position:absolute;left:3642;top:1025;width:116;height:116" type="#_x0000_t75" stroked="false">
              <v:imagedata r:id="rId34" o:title=""/>
            </v:shape>
            <v:shape style="position:absolute;left:4606;top:2252;width:116;height:116" type="#_x0000_t75" stroked="false">
              <v:imagedata r:id="rId32" o:title=""/>
            </v:shape>
            <v:rect style="position:absolute;left:2316;top:-114;width:99;height:99" filled="true" fillcolor="#5f497a" stroked="false">
              <v:fill type="solid"/>
            </v:rect>
            <v:rect style="position:absolute;left:2316;top:150;width:99;height:99" filled="true" fillcolor="#00af50" stroked="false">
              <v:fill type="solid"/>
            </v:rect>
            <v:shape style="position:absolute;left:2308;top:409;width:115;height:115" type="#_x0000_t75" stroked="false">
              <v:imagedata r:id="rId35" o:title=""/>
            </v:shape>
            <v:shape style="position:absolute;left:2459;top:-416;width:1148;height:978" type="#_x0000_t202" filled="false" stroked="false">
              <v:textbox inset="0,0,0,0">
                <w:txbxContent>
                  <w:p>
                    <w:pPr>
                      <w:spacing w:line="183" w:lineRule="exact" w:before="0"/>
                      <w:ind w:left="0" w:right="0" w:firstLine="0"/>
                      <w:jc w:val="left"/>
                      <w:rPr>
                        <w:rFonts w:ascii="Calibri"/>
                        <w:sz w:val="18"/>
                      </w:rPr>
                    </w:pPr>
                    <w:r>
                      <w:rPr>
                        <w:rFonts w:ascii="Calibri"/>
                        <w:sz w:val="18"/>
                      </w:rPr>
                      <w:t>TFP</w:t>
                    </w:r>
                  </w:p>
                  <w:p>
                    <w:pPr>
                      <w:spacing w:line="260" w:lineRule="atLeast" w:before="5"/>
                      <w:ind w:left="0" w:right="0" w:firstLine="0"/>
                      <w:jc w:val="left"/>
                      <w:rPr>
                        <w:rFonts w:ascii="Calibri"/>
                        <w:sz w:val="18"/>
                      </w:rPr>
                    </w:pPr>
                    <w:r>
                      <w:rPr>
                        <w:rFonts w:ascii="Calibri"/>
                        <w:sz w:val="18"/>
                      </w:rPr>
                      <w:t>Labour quality Capital services Total</w:t>
                    </w:r>
                  </w:p>
                </w:txbxContent>
              </v:textbox>
              <w10:wrap type="none"/>
            </v:shape>
            <v:shape style="position:absolute;left:4078;top:-372;width:1118;height:180" type="#_x0000_t202" filled="false" stroked="false">
              <v:textbox inset="0,0,0,0">
                <w:txbxContent>
                  <w:p>
                    <w:pPr>
                      <w:spacing w:line="180" w:lineRule="exact" w:before="0"/>
                      <w:ind w:left="0" w:right="0" w:firstLine="0"/>
                      <w:jc w:val="left"/>
                      <w:rPr>
                        <w:rFonts w:ascii="Calibri"/>
                        <w:sz w:val="18"/>
                      </w:rPr>
                    </w:pPr>
                    <w:r>
                      <w:rPr>
                        <w:rFonts w:ascii="Calibri"/>
                        <w:sz w:val="18"/>
                      </w:rPr>
                      <w:t>Percentage poi</w:t>
                    </w:r>
                  </w:p>
                </w:txbxContent>
              </v:textbox>
              <w10:wrap type="none"/>
            </v:shape>
            <w10:wrap type="none"/>
          </v:group>
        </w:pict>
      </w:r>
      <w:r>
        <w:rPr>
          <w:rFonts w:ascii="Calibri"/>
          <w:sz w:val="18"/>
        </w:rPr>
        <w:t>4</w:t>
      </w:r>
    </w:p>
    <w:p>
      <w:pPr>
        <w:spacing w:before="65"/>
        <w:ind w:left="227" w:right="0" w:firstLine="0"/>
        <w:jc w:val="left"/>
        <w:rPr>
          <w:rFonts w:ascii="Calibri"/>
          <w:sz w:val="18"/>
        </w:rPr>
      </w:pPr>
      <w:r>
        <w:rPr>
          <w:rFonts w:ascii="Calibri"/>
          <w:sz w:val="18"/>
        </w:rPr>
        <w:t>3</w:t>
      </w:r>
    </w:p>
    <w:p>
      <w:pPr>
        <w:spacing w:before="64"/>
        <w:ind w:left="227" w:right="0" w:firstLine="0"/>
        <w:jc w:val="left"/>
        <w:rPr>
          <w:rFonts w:ascii="Calibri"/>
          <w:sz w:val="18"/>
        </w:rPr>
      </w:pPr>
      <w:r>
        <w:rPr>
          <w:rFonts w:ascii="Calibri"/>
          <w:sz w:val="18"/>
        </w:rPr>
        <w:t>2</w:t>
      </w:r>
    </w:p>
    <w:p>
      <w:pPr>
        <w:spacing w:before="64"/>
        <w:ind w:left="227" w:right="0" w:firstLine="0"/>
        <w:jc w:val="left"/>
        <w:rPr>
          <w:rFonts w:ascii="Calibri"/>
          <w:sz w:val="18"/>
        </w:rPr>
      </w:pPr>
      <w:r>
        <w:rPr>
          <w:rFonts w:ascii="Calibri"/>
          <w:sz w:val="18"/>
        </w:rPr>
        <w:t>1</w:t>
      </w:r>
    </w:p>
    <w:p>
      <w:pPr>
        <w:spacing w:before="64"/>
        <w:ind w:left="227" w:right="0" w:firstLine="0"/>
        <w:jc w:val="left"/>
        <w:rPr>
          <w:rFonts w:ascii="Calibri"/>
          <w:sz w:val="18"/>
        </w:rPr>
      </w:pPr>
      <w:r>
        <w:rPr>
          <w:rFonts w:ascii="Calibri"/>
          <w:sz w:val="18"/>
        </w:rPr>
        <w:t>0</w:t>
      </w:r>
    </w:p>
    <w:p>
      <w:pPr>
        <w:spacing w:before="65"/>
        <w:ind w:left="227" w:right="0" w:firstLine="0"/>
        <w:jc w:val="left"/>
        <w:rPr>
          <w:rFonts w:ascii="Calibri"/>
          <w:sz w:val="18"/>
        </w:rPr>
      </w:pPr>
      <w:r>
        <w:rPr>
          <w:rFonts w:ascii="Calibri"/>
          <w:sz w:val="18"/>
        </w:rPr>
        <w:t>-1</w:t>
      </w:r>
    </w:p>
    <w:p>
      <w:pPr>
        <w:spacing w:before="64"/>
        <w:ind w:left="227" w:right="0" w:firstLine="0"/>
        <w:jc w:val="left"/>
        <w:rPr>
          <w:rFonts w:ascii="Calibri"/>
          <w:sz w:val="18"/>
        </w:rPr>
      </w:pPr>
      <w:r>
        <w:rPr>
          <w:rFonts w:ascii="Calibri"/>
          <w:sz w:val="18"/>
        </w:rPr>
        <w:t>-2</w:t>
      </w:r>
    </w:p>
    <w:p>
      <w:pPr>
        <w:spacing w:before="65"/>
        <w:ind w:left="227" w:right="0" w:firstLine="0"/>
        <w:jc w:val="left"/>
        <w:rPr>
          <w:rFonts w:ascii="Calibri"/>
          <w:sz w:val="18"/>
        </w:rPr>
      </w:pPr>
      <w:r>
        <w:rPr>
          <w:rFonts w:ascii="Calibri"/>
          <w:sz w:val="18"/>
        </w:rPr>
        <w:t>-3</w:t>
      </w:r>
    </w:p>
    <w:p>
      <w:pPr>
        <w:spacing w:before="64"/>
        <w:ind w:left="227" w:right="0" w:firstLine="0"/>
        <w:jc w:val="left"/>
        <w:rPr>
          <w:rFonts w:ascii="Calibri"/>
          <w:sz w:val="18"/>
        </w:rPr>
      </w:pPr>
      <w:r>
        <w:rPr>
          <w:rFonts w:ascii="Calibri"/>
          <w:sz w:val="18"/>
        </w:rPr>
        <w:t>-4</w:t>
      </w:r>
    </w:p>
    <w:p>
      <w:pPr>
        <w:pStyle w:val="BodyText"/>
        <w:rPr>
          <w:rFonts w:ascii="Calibri"/>
          <w:sz w:val="18"/>
        </w:rPr>
      </w:pPr>
      <w:r>
        <w:rPr/>
        <w:br w:type="column"/>
      </w:r>
      <w:r>
        <w:rPr>
          <w:rFonts w:ascii="Calibri"/>
          <w:sz w:val="18"/>
        </w:rPr>
      </w:r>
    </w:p>
    <w:p>
      <w:pPr>
        <w:pStyle w:val="BodyText"/>
        <w:rPr>
          <w:rFonts w:ascii="Calibri"/>
          <w:sz w:val="18"/>
        </w:rPr>
      </w:pPr>
    </w:p>
    <w:p>
      <w:pPr>
        <w:spacing w:line="208" w:lineRule="auto" w:before="138"/>
        <w:ind w:left="376" w:right="0" w:firstLine="34"/>
        <w:jc w:val="left"/>
        <w:rPr>
          <w:rFonts w:ascii="Calibri"/>
          <w:sz w:val="18"/>
        </w:rPr>
      </w:pPr>
      <w:r>
        <w:rPr>
          <w:rFonts w:ascii="Calibri"/>
          <w:sz w:val="18"/>
        </w:rPr>
        <w:t>Per </w:t>
      </w:r>
      <w:r>
        <w:rPr>
          <w:rFonts w:ascii="Calibri"/>
          <w:spacing w:val="-6"/>
          <w:sz w:val="18"/>
        </w:rPr>
        <w:t>cent </w:t>
      </w:r>
      <w:r>
        <w:rPr>
          <w:rFonts w:ascii="Calibri"/>
          <w:sz w:val="18"/>
        </w:rPr>
        <w:t>20</w:t>
      </w:r>
    </w:p>
    <w:p>
      <w:pPr>
        <w:spacing w:before="35"/>
        <w:ind w:left="357" w:right="435" w:firstLine="0"/>
        <w:jc w:val="center"/>
        <w:rPr>
          <w:rFonts w:ascii="Calibri"/>
          <w:sz w:val="18"/>
        </w:rPr>
      </w:pPr>
      <w:r>
        <w:rPr>
          <w:rFonts w:ascii="Calibri"/>
          <w:sz w:val="18"/>
        </w:rPr>
        <w:t>18</w:t>
      </w:r>
    </w:p>
    <w:p>
      <w:pPr>
        <w:spacing w:before="27"/>
        <w:ind w:left="357" w:right="435" w:firstLine="0"/>
        <w:jc w:val="center"/>
        <w:rPr>
          <w:rFonts w:ascii="Calibri"/>
          <w:sz w:val="18"/>
        </w:rPr>
      </w:pPr>
      <w:r>
        <w:rPr>
          <w:rFonts w:ascii="Calibri"/>
          <w:sz w:val="18"/>
        </w:rPr>
        <w:t>16</w:t>
      </w:r>
    </w:p>
    <w:p>
      <w:pPr>
        <w:spacing w:before="28"/>
        <w:ind w:left="357" w:right="435" w:firstLine="0"/>
        <w:jc w:val="center"/>
        <w:rPr>
          <w:rFonts w:ascii="Calibri"/>
          <w:sz w:val="18"/>
        </w:rPr>
      </w:pPr>
      <w:r>
        <w:rPr>
          <w:rFonts w:ascii="Calibri"/>
          <w:sz w:val="18"/>
        </w:rPr>
        <w:t>14</w:t>
      </w:r>
    </w:p>
    <w:p>
      <w:pPr>
        <w:spacing w:before="28"/>
        <w:ind w:left="357" w:right="435" w:firstLine="0"/>
        <w:jc w:val="center"/>
        <w:rPr>
          <w:rFonts w:ascii="Calibri"/>
          <w:sz w:val="18"/>
        </w:rPr>
      </w:pPr>
      <w:r>
        <w:rPr>
          <w:rFonts w:ascii="Calibri"/>
          <w:sz w:val="18"/>
        </w:rPr>
        <w:t>12</w:t>
      </w:r>
    </w:p>
    <w:p>
      <w:pPr>
        <w:spacing w:before="27"/>
        <w:ind w:left="357" w:right="435" w:firstLine="0"/>
        <w:jc w:val="center"/>
        <w:rPr>
          <w:rFonts w:ascii="Calibri"/>
          <w:sz w:val="18"/>
        </w:rPr>
      </w:pPr>
      <w:r>
        <w:rPr>
          <w:rFonts w:ascii="Calibri"/>
          <w:sz w:val="18"/>
        </w:rPr>
        <w:t>10</w:t>
      </w:r>
    </w:p>
    <w:p>
      <w:pPr>
        <w:spacing w:before="28"/>
        <w:ind w:left="10" w:right="0" w:firstLine="0"/>
        <w:jc w:val="center"/>
        <w:rPr>
          <w:rFonts w:ascii="Calibri"/>
          <w:sz w:val="18"/>
        </w:rPr>
      </w:pPr>
      <w:r>
        <w:rPr>
          <w:rFonts w:ascii="Calibri"/>
          <w:sz w:val="18"/>
        </w:rPr>
        <w:t>8</w:t>
      </w:r>
    </w:p>
    <w:p>
      <w:pPr>
        <w:spacing w:before="28"/>
        <w:ind w:left="10" w:right="0" w:firstLine="0"/>
        <w:jc w:val="center"/>
        <w:rPr>
          <w:rFonts w:ascii="Calibri"/>
          <w:sz w:val="18"/>
        </w:rPr>
      </w:pPr>
      <w:r>
        <w:rPr>
          <w:rFonts w:ascii="Calibri"/>
          <w:sz w:val="18"/>
        </w:rPr>
        <w:t>6</w:t>
      </w:r>
    </w:p>
    <w:p>
      <w:pPr>
        <w:spacing w:before="27"/>
        <w:ind w:left="10" w:right="0" w:firstLine="0"/>
        <w:jc w:val="center"/>
        <w:rPr>
          <w:rFonts w:ascii="Calibri"/>
          <w:sz w:val="18"/>
        </w:rPr>
      </w:pPr>
      <w:r>
        <w:rPr>
          <w:rFonts w:ascii="Calibri"/>
          <w:sz w:val="18"/>
        </w:rPr>
        <w:t>4</w:t>
      </w:r>
    </w:p>
    <w:p>
      <w:pPr>
        <w:spacing w:before="28"/>
        <w:ind w:left="10" w:right="0" w:firstLine="0"/>
        <w:jc w:val="center"/>
        <w:rPr>
          <w:rFonts w:ascii="Calibri"/>
          <w:sz w:val="18"/>
        </w:rPr>
      </w:pPr>
      <w:r>
        <w:rPr>
          <w:rFonts w:ascii="Calibri"/>
          <w:sz w:val="18"/>
        </w:rPr>
        <w:t>2</w:t>
      </w:r>
    </w:p>
    <w:p>
      <w:pPr>
        <w:spacing w:line="170" w:lineRule="exact" w:before="28"/>
        <w:ind w:left="10" w:right="0" w:firstLine="0"/>
        <w:jc w:val="center"/>
        <w:rPr>
          <w:rFonts w:ascii="Calibri"/>
          <w:sz w:val="18"/>
        </w:rPr>
      </w:pPr>
      <w:r>
        <w:rPr>
          <w:rFonts w:ascii="Calibri"/>
          <w:sz w:val="18"/>
        </w:rPr>
        <w:t>0</w:t>
      </w:r>
    </w:p>
    <w:p>
      <w:pPr>
        <w:spacing w:line="215" w:lineRule="exact" w:before="63"/>
        <w:ind w:left="561" w:right="0" w:firstLine="0"/>
        <w:jc w:val="left"/>
        <w:rPr>
          <w:rFonts w:ascii="Calibri"/>
          <w:sz w:val="18"/>
        </w:rPr>
      </w:pPr>
      <w:r>
        <w:rPr/>
        <w:br w:type="column"/>
      </w:r>
      <w:r>
        <w:rPr>
          <w:rFonts w:ascii="Calibri"/>
          <w:sz w:val="18"/>
        </w:rPr>
        <w:t>Hours share (LHS)</w:t>
      </w:r>
    </w:p>
    <w:p>
      <w:pPr>
        <w:tabs>
          <w:tab w:pos="2415" w:val="left" w:leader="none"/>
        </w:tabs>
        <w:spacing w:line="230" w:lineRule="auto" w:before="3"/>
        <w:ind w:left="561" w:right="739" w:firstLine="0"/>
        <w:jc w:val="left"/>
        <w:rPr>
          <w:rFonts w:ascii="Calibri"/>
          <w:sz w:val="18"/>
        </w:rPr>
      </w:pPr>
      <w:r>
        <w:rPr/>
        <w:pict>
          <v:line style="position:absolute;mso-position-horizontal-relative:page;mso-position-vertical-relative:paragraph;z-index:251709440" from="334.799988pt,-4.633410pt" to="353.999988pt,-4.633410pt" stroked="true" strokeweight="2.16pt" strokecolor="#bd4a47">
            <v:stroke dashstyle="solid"/>
            <w10:wrap type="none"/>
          </v:line>
        </w:pict>
      </w:r>
      <w:r>
        <w:rPr/>
        <w:pict>
          <v:line style="position:absolute;mso-position-horizontal-relative:page;mso-position-vertical-relative:paragraph;z-index:251710464" from="334.799988pt,5.806589pt" to="353.999988pt,5.806589pt" stroked="true" strokeweight="2.16pt" strokecolor="#97b853">
            <v:stroke dashstyle="solid"/>
            <w10:wrap type="none"/>
          </v:line>
        </w:pict>
      </w:r>
      <w:r>
        <w:rPr/>
        <w:pict>
          <v:line style="position:absolute;mso-position-horizontal-relative:page;mso-position-vertical-relative:paragraph;z-index:251711488" from="334.799988pt,16.366589pt" to="353.999988pt,16.366589pt" stroked="true" strokeweight="2.16pt" strokecolor="#497dba">
            <v:stroke dashstyle="solid"/>
            <w10:wrap type="none"/>
          </v:line>
        </w:pict>
      </w:r>
      <w:r>
        <w:rPr>
          <w:rFonts w:ascii="Calibri"/>
          <w:sz w:val="18"/>
        </w:rPr>
        <w:t>Nominal value added share (LHS) Relative</w:t>
      </w:r>
      <w:r>
        <w:rPr>
          <w:rFonts w:ascii="Calibri"/>
          <w:spacing w:val="-1"/>
          <w:sz w:val="18"/>
        </w:rPr>
        <w:t> </w:t>
      </w:r>
      <w:r>
        <w:rPr>
          <w:rFonts w:ascii="Calibri"/>
          <w:sz w:val="18"/>
        </w:rPr>
        <w:t>price</w:t>
      </w:r>
      <w:r>
        <w:rPr>
          <w:rFonts w:ascii="Calibri"/>
          <w:spacing w:val="-2"/>
          <w:sz w:val="18"/>
        </w:rPr>
        <w:t> </w:t>
      </w:r>
      <w:r>
        <w:rPr>
          <w:rFonts w:ascii="Calibri"/>
          <w:sz w:val="18"/>
        </w:rPr>
        <w:t>(RHS)</w:t>
        <w:tab/>
      </w:r>
      <w:r>
        <w:rPr>
          <w:rFonts w:ascii="Calibri"/>
          <w:position w:val="-10"/>
          <w:sz w:val="18"/>
        </w:rPr>
        <w:t>Index</w:t>
      </w:r>
      <w:r>
        <w:rPr>
          <w:rFonts w:ascii="Calibri"/>
          <w:spacing w:val="6"/>
          <w:position w:val="-10"/>
          <w:sz w:val="18"/>
        </w:rPr>
        <w:t> </w:t>
      </w:r>
      <w:r>
        <w:rPr>
          <w:rFonts w:ascii="Calibri"/>
          <w:spacing w:val="-3"/>
          <w:position w:val="-10"/>
          <w:sz w:val="18"/>
        </w:rPr>
        <w:t>2015=100</w:t>
      </w:r>
    </w:p>
    <w:p>
      <w:pPr>
        <w:spacing w:line="154" w:lineRule="exact" w:before="0"/>
        <w:ind w:left="3265" w:right="0" w:firstLine="0"/>
        <w:jc w:val="left"/>
        <w:rPr>
          <w:rFonts w:ascii="Calibri"/>
          <w:sz w:val="18"/>
        </w:rPr>
      </w:pPr>
      <w:r>
        <w:rPr/>
        <w:pict>
          <v:group style="position:absolute;margin-left:308.519989pt;margin-top:2.462839pt;width:177.15pt;height:126.85pt;mso-position-horizontal-relative:page;mso-position-vertical-relative:paragraph;z-index:-255041536" coordorigin="6170,49" coordsize="3543,2537">
            <v:shape style="position:absolute;left:6170;top:56;width:3543;height:2530" coordorigin="6170,56" coordsize="3543,2530" path="m9655,2528l9655,56m9655,2528l9713,2528m9655,2118l9713,2118m9655,1705l9713,1705m9655,1292l9713,1292m9655,880l9713,880m9655,467l9713,467m9655,56l9713,56m6228,2528l6228,56m6170,2528l6228,2528m6170,2281l6228,2281m6170,2034l6228,2034m6170,1787l6228,1787m6170,1540l6228,1540m6170,1292l6228,1292m6170,1045l6228,1045m6170,798l6228,798m6170,551l6228,551m6170,304l6228,304m6170,56l6228,56m6228,2528l9655,2528m6228,2528l6228,2586m6881,2528l6881,2586m7534,2528l7534,2586m8186,2528l8186,2586m8839,2528l8839,2586m9492,2528l9492,2586e" filled="false" stroked="true" strokeweight=".72pt" strokecolor="#858585">
              <v:path arrowok="t"/>
              <v:stroke dashstyle="solid"/>
            </v:shape>
            <v:shape style="position:absolute;left:6228;top:339;width:3346;height:1028" coordorigin="6228,340" coordsize="3346,1028" path="m6228,367l6310,354,6473,340,6636,373,6799,400,6962,512,7126,599,7289,702,7452,803,7615,913,7778,983,7942,1074,8105,1115,8268,1163,8431,1208,8594,1285,8758,1290,8921,1307,9084,1324,9247,1333,9410,1360,9574,1367e" filled="false" stroked="true" strokeweight="2.16pt" strokecolor="#bd4a47">
              <v:path arrowok="t"/>
              <v:stroke dashstyle="solid"/>
            </v:shape>
            <v:shape style="position:absolute;left:6228;top:1642;width:3346;height:524" coordorigin="6228,1643" coordsize="3346,524" path="m6228,1690l6310,1698,6473,1712,6636,1734,6799,1684,6962,1643,7126,1662,7289,1700,7452,1657,7615,1804,7778,1907,7942,1928,8105,2017,8268,2060,8431,2044,8594,2132,8758,2166,8921,2123,9084,2128,9247,2070,9410,2096,9574,2012e" filled="false" stroked="true" strokeweight="2.16pt" strokecolor="#97b853">
              <v:path arrowok="t"/>
              <v:stroke dashstyle="solid"/>
            </v:shape>
            <v:shape style="position:absolute;left:6228;top:104;width:3346;height:603" coordorigin="6228,104" coordsize="3346,603" path="m6228,151l6310,116,6473,126,6636,104,6799,138,6962,220,7126,282,7289,361,7452,409,7615,474,7778,577,7942,568,8105,647,8268,707,8431,649,8594,680,8758,668,8921,661,9084,625,9247,532,9410,553,9574,467e" filled="false" stroked="true" strokeweight="2.16pt" strokecolor="#497dba">
              <v:path arrowok="t"/>
              <v:stroke dashstyle="solid"/>
            </v:shape>
            <w10:wrap type="none"/>
          </v:group>
        </w:pict>
      </w:r>
      <w:r>
        <w:rPr>
          <w:rFonts w:ascii="Calibri"/>
          <w:sz w:val="18"/>
        </w:rPr>
        <w:t>120</w:t>
      </w:r>
    </w:p>
    <w:p>
      <w:pPr>
        <w:pStyle w:val="BodyText"/>
        <w:spacing w:before="9"/>
        <w:rPr>
          <w:rFonts w:ascii="Calibri"/>
          <w:sz w:val="15"/>
        </w:rPr>
      </w:pPr>
    </w:p>
    <w:p>
      <w:pPr>
        <w:spacing w:before="0"/>
        <w:ind w:left="0" w:right="786" w:firstLine="0"/>
        <w:jc w:val="right"/>
        <w:rPr>
          <w:rFonts w:ascii="Calibri"/>
          <w:sz w:val="18"/>
        </w:rPr>
      </w:pPr>
      <w:r>
        <w:rPr>
          <w:rFonts w:ascii="Calibri"/>
          <w:spacing w:val="-1"/>
          <w:sz w:val="18"/>
        </w:rPr>
        <w:t>100</w:t>
      </w:r>
    </w:p>
    <w:p>
      <w:pPr>
        <w:pStyle w:val="BodyText"/>
        <w:spacing w:before="9"/>
        <w:rPr>
          <w:rFonts w:ascii="Calibri"/>
          <w:sz w:val="15"/>
        </w:rPr>
      </w:pPr>
    </w:p>
    <w:p>
      <w:pPr>
        <w:spacing w:before="0"/>
        <w:ind w:left="0" w:right="877" w:firstLine="0"/>
        <w:jc w:val="right"/>
        <w:rPr>
          <w:rFonts w:ascii="Calibri"/>
          <w:sz w:val="18"/>
        </w:rPr>
      </w:pPr>
      <w:r>
        <w:rPr>
          <w:rFonts w:ascii="Calibri"/>
          <w:spacing w:val="-2"/>
          <w:sz w:val="18"/>
        </w:rPr>
        <w:t>80</w:t>
      </w:r>
    </w:p>
    <w:p>
      <w:pPr>
        <w:pStyle w:val="BodyText"/>
        <w:spacing w:before="10"/>
        <w:rPr>
          <w:rFonts w:ascii="Calibri"/>
          <w:sz w:val="15"/>
        </w:rPr>
      </w:pPr>
    </w:p>
    <w:p>
      <w:pPr>
        <w:spacing w:before="0"/>
        <w:ind w:left="0" w:right="877" w:firstLine="0"/>
        <w:jc w:val="right"/>
        <w:rPr>
          <w:rFonts w:ascii="Calibri"/>
          <w:sz w:val="18"/>
        </w:rPr>
      </w:pPr>
      <w:r>
        <w:rPr>
          <w:rFonts w:ascii="Calibri"/>
          <w:spacing w:val="-2"/>
          <w:sz w:val="18"/>
        </w:rPr>
        <w:t>60</w:t>
      </w:r>
    </w:p>
    <w:p>
      <w:pPr>
        <w:pStyle w:val="BodyText"/>
        <w:spacing w:before="9"/>
        <w:rPr>
          <w:rFonts w:ascii="Calibri"/>
          <w:sz w:val="15"/>
        </w:rPr>
      </w:pPr>
    </w:p>
    <w:p>
      <w:pPr>
        <w:spacing w:before="1"/>
        <w:ind w:left="0" w:right="877" w:firstLine="0"/>
        <w:jc w:val="right"/>
        <w:rPr>
          <w:rFonts w:ascii="Calibri"/>
          <w:sz w:val="18"/>
        </w:rPr>
      </w:pPr>
      <w:r>
        <w:rPr>
          <w:rFonts w:ascii="Calibri"/>
          <w:spacing w:val="-2"/>
          <w:sz w:val="18"/>
        </w:rPr>
        <w:t>40</w:t>
      </w:r>
    </w:p>
    <w:p>
      <w:pPr>
        <w:pStyle w:val="BodyText"/>
        <w:spacing w:before="9"/>
        <w:rPr>
          <w:rFonts w:ascii="Calibri"/>
          <w:sz w:val="15"/>
        </w:rPr>
      </w:pPr>
    </w:p>
    <w:p>
      <w:pPr>
        <w:spacing w:before="0"/>
        <w:ind w:left="0" w:right="877" w:firstLine="0"/>
        <w:jc w:val="right"/>
        <w:rPr>
          <w:rFonts w:ascii="Calibri"/>
          <w:sz w:val="18"/>
        </w:rPr>
      </w:pPr>
      <w:r>
        <w:rPr>
          <w:rFonts w:ascii="Calibri"/>
          <w:spacing w:val="-2"/>
          <w:sz w:val="18"/>
        </w:rPr>
        <w:t>20</w:t>
      </w:r>
    </w:p>
    <w:p>
      <w:pPr>
        <w:pStyle w:val="BodyText"/>
        <w:spacing w:before="9"/>
        <w:rPr>
          <w:rFonts w:ascii="Calibri"/>
          <w:sz w:val="15"/>
        </w:rPr>
      </w:pPr>
    </w:p>
    <w:p>
      <w:pPr>
        <w:spacing w:line="170" w:lineRule="exact" w:before="1"/>
        <w:ind w:left="3265" w:right="0" w:firstLine="0"/>
        <w:jc w:val="left"/>
        <w:rPr>
          <w:rFonts w:ascii="Calibri"/>
          <w:sz w:val="18"/>
        </w:rPr>
      </w:pPr>
      <w:r>
        <w:rPr>
          <w:rFonts w:ascii="Calibri"/>
          <w:sz w:val="18"/>
        </w:rPr>
        <w:t>0</w:t>
      </w:r>
    </w:p>
    <w:p>
      <w:pPr>
        <w:spacing w:after="0" w:line="170" w:lineRule="exact"/>
        <w:jc w:val="left"/>
        <w:rPr>
          <w:rFonts w:ascii="Calibri"/>
          <w:sz w:val="18"/>
        </w:rPr>
        <w:sectPr>
          <w:type w:val="continuous"/>
          <w:pgSz w:w="11910" w:h="16840"/>
          <w:pgMar w:top="1180" w:bottom="1520" w:left="900" w:right="1020"/>
          <w:cols w:num="4" w:equalWidth="0">
            <w:col w:w="4150" w:space="40"/>
            <w:col w:w="375" w:space="39"/>
            <w:col w:w="1016" w:space="39"/>
            <w:col w:w="4331"/>
          </w:cols>
        </w:sectPr>
      </w:pPr>
    </w:p>
    <w:p>
      <w:pPr>
        <w:pStyle w:val="BodyText"/>
        <w:rPr>
          <w:rFonts w:ascii="Calibri"/>
          <w:sz w:val="18"/>
        </w:rPr>
      </w:pPr>
    </w:p>
    <w:p>
      <w:pPr>
        <w:pStyle w:val="BodyText"/>
        <w:rPr>
          <w:rFonts w:ascii="Calibri"/>
          <w:sz w:val="18"/>
        </w:rPr>
      </w:pPr>
    </w:p>
    <w:p>
      <w:pPr>
        <w:spacing w:before="151"/>
        <w:ind w:left="233" w:right="0" w:firstLine="0"/>
        <w:jc w:val="left"/>
        <w:rPr>
          <w:sz w:val="16"/>
        </w:rPr>
      </w:pPr>
      <w:r>
        <w:rPr>
          <w:sz w:val="16"/>
        </w:rPr>
        <w:t>Sources: ONS and Bank calculations.</w:t>
      </w:r>
    </w:p>
    <w:p>
      <w:pPr>
        <w:spacing w:line="183" w:lineRule="exact" w:before="0"/>
        <w:ind w:left="214" w:right="21" w:firstLine="0"/>
        <w:jc w:val="center"/>
        <w:rPr>
          <w:rFonts w:ascii="Calibri"/>
          <w:sz w:val="18"/>
        </w:rPr>
      </w:pPr>
      <w:r>
        <w:rPr/>
        <w:br w:type="column"/>
      </w:r>
      <w:r>
        <w:rPr>
          <w:rFonts w:ascii="Calibri"/>
          <w:sz w:val="18"/>
        </w:rPr>
        <w:t>(09-15 minus</w:t>
      </w:r>
    </w:p>
    <w:p>
      <w:pPr>
        <w:spacing w:line="219" w:lineRule="exact" w:before="0"/>
        <w:ind w:left="212" w:right="21" w:firstLine="0"/>
        <w:jc w:val="center"/>
        <w:rPr>
          <w:rFonts w:ascii="Calibri"/>
          <w:sz w:val="18"/>
        </w:rPr>
      </w:pPr>
      <w:r>
        <w:rPr>
          <w:rFonts w:ascii="Calibri"/>
          <w:sz w:val="18"/>
        </w:rPr>
        <w:t>00-07)</w:t>
      </w:r>
    </w:p>
    <w:p>
      <w:pPr>
        <w:tabs>
          <w:tab w:pos="1243" w:val="left" w:leader="none"/>
          <w:tab w:pos="1896" w:val="left" w:leader="none"/>
          <w:tab w:pos="2549" w:val="left" w:leader="none"/>
          <w:tab w:pos="3201" w:val="left" w:leader="none"/>
          <w:tab w:pos="3855" w:val="left" w:leader="none"/>
        </w:tabs>
        <w:spacing w:before="64"/>
        <w:ind w:left="590" w:right="0" w:firstLine="0"/>
        <w:jc w:val="left"/>
        <w:rPr>
          <w:rFonts w:ascii="Calibri"/>
          <w:sz w:val="18"/>
        </w:rPr>
      </w:pPr>
      <w:r>
        <w:rPr/>
        <w:br w:type="column"/>
      </w:r>
      <w:r>
        <w:rPr>
          <w:rFonts w:ascii="Calibri"/>
          <w:sz w:val="18"/>
        </w:rPr>
        <w:t>1995</w:t>
        <w:tab/>
        <w:t>1999</w:t>
        <w:tab/>
        <w:t>2003</w:t>
        <w:tab/>
        <w:t>2007</w:t>
        <w:tab/>
        <w:t>2011</w:t>
        <w:tab/>
        <w:t>2015</w:t>
      </w:r>
    </w:p>
    <w:p>
      <w:pPr>
        <w:pStyle w:val="BodyText"/>
        <w:spacing w:before="4"/>
        <w:rPr>
          <w:rFonts w:ascii="Calibri"/>
          <w:sz w:val="15"/>
        </w:rPr>
      </w:pPr>
    </w:p>
    <w:p>
      <w:pPr>
        <w:spacing w:before="0"/>
        <w:ind w:left="233" w:right="0" w:firstLine="0"/>
        <w:jc w:val="left"/>
        <w:rPr>
          <w:sz w:val="16"/>
        </w:rPr>
      </w:pPr>
      <w:r>
        <w:rPr>
          <w:sz w:val="16"/>
        </w:rPr>
        <w:t>Sources: ONS and Bank calculations.</w:t>
      </w:r>
    </w:p>
    <w:p>
      <w:pPr>
        <w:spacing w:after="0"/>
        <w:jc w:val="left"/>
        <w:rPr>
          <w:sz w:val="16"/>
        </w:rPr>
        <w:sectPr>
          <w:type w:val="continuous"/>
          <w:pgSz w:w="11910" w:h="16840"/>
          <w:pgMar w:top="1180" w:bottom="1520" w:left="900" w:right="1020"/>
          <w:cols w:num="3" w:equalWidth="0">
            <w:col w:w="2986" w:space="68"/>
            <w:col w:w="1235" w:space="349"/>
            <w:col w:w="5352"/>
          </w:cols>
        </w:sectPr>
      </w:pPr>
    </w:p>
    <w:p>
      <w:pPr>
        <w:pStyle w:val="BodyText"/>
        <w:spacing w:before="11"/>
        <w:rPr>
          <w:sz w:val="21"/>
        </w:rPr>
      </w:pPr>
    </w:p>
    <w:p>
      <w:pPr>
        <w:pStyle w:val="BodyText"/>
        <w:spacing w:line="360" w:lineRule="auto" w:before="93"/>
        <w:ind w:left="233" w:right="347"/>
      </w:pPr>
      <w:r>
        <w:rPr/>
        <w:t>A slower growth rate of capital deepening can explain around one-third of the manufacturing slowdown. Growth in capital per hour worked accounted for 1.1pp of productivity growth in 2000-07, but none at all in 2009-15. The remaining 2.4pp cannot be explained by measured changes in the quality of labour, so is concentrated in the residual, TFP, which had grown faster than TFP in any other industry before the crisis.</w:t>
      </w:r>
    </w:p>
    <w:p>
      <w:pPr>
        <w:pStyle w:val="BodyText"/>
        <w:rPr>
          <w:sz w:val="30"/>
        </w:rPr>
      </w:pPr>
    </w:p>
    <w:p>
      <w:pPr>
        <w:pStyle w:val="BodyText"/>
        <w:spacing w:line="360" w:lineRule="auto"/>
        <w:ind w:left="233" w:right="299"/>
      </w:pPr>
      <w:r>
        <w:rPr/>
        <w:t>The UK manufacturing industry has undergone large structural changes over the past thirty years, mirrored in many advanced economies. Could this structural transformation be the source of the slowdown?</w:t>
      </w:r>
    </w:p>
    <w:p>
      <w:pPr>
        <w:pStyle w:val="BodyText"/>
        <w:spacing w:line="360" w:lineRule="auto" w:before="2"/>
        <w:ind w:left="233" w:right="176"/>
      </w:pPr>
      <w:r>
        <w:rPr/>
        <w:t>Chart 13 shows that while manufacturing TFP was growing strongly in the 2000s, its relative price and employment share (in hours) were falling quickly. It is possible that productivity-enhancing changes in manufacturing led to higher TFP and hence lower prices. But with fast globalisation, it is also possible that causality ran in the opposite direction: pricing pressures may have led to TFP improvements. As in many countries, UK tradeable goods manufacturers were subject to increased competition from low-cost emerging</w:t>
      </w:r>
    </w:p>
    <w:p>
      <w:pPr>
        <w:spacing w:after="0" w:line="360" w:lineRule="auto"/>
        <w:sectPr>
          <w:type w:val="continuous"/>
          <w:pgSz w:w="11910" w:h="16840"/>
          <w:pgMar w:top="1180" w:bottom="1520" w:left="900" w:right="1020"/>
        </w:sectPr>
      </w:pPr>
    </w:p>
    <w:p>
      <w:pPr>
        <w:pStyle w:val="BodyText"/>
        <w:spacing w:line="360" w:lineRule="auto" w:before="79"/>
        <w:ind w:left="233" w:right="465"/>
      </w:pPr>
      <w:r>
        <w:rPr/>
        <w:t>market producers in the early 2000s, especially from China, which may have led to investments in capital and processes before the crisis.</w:t>
      </w:r>
      <w:r>
        <w:rPr>
          <w:vertAlign w:val="superscript"/>
        </w:rPr>
        <w:t>19</w:t>
      </w:r>
    </w:p>
    <w:p>
      <w:pPr>
        <w:pStyle w:val="BodyText"/>
        <w:spacing w:before="11"/>
        <w:rPr>
          <w:sz w:val="29"/>
        </w:rPr>
      </w:pPr>
    </w:p>
    <w:p>
      <w:pPr>
        <w:pStyle w:val="BodyText"/>
        <w:spacing w:line="360" w:lineRule="auto"/>
        <w:ind w:left="233" w:right="134"/>
      </w:pPr>
      <w:r>
        <w:rPr/>
        <w:t>A related plausible explanation for fast TFP growth before the crisis is greater offshoring – and what some considered a mismeasurement of manufacturing productivity growth. Houseman and Mandel (2015) point out that rapid globalisation increased offshoring and reduced import prices for manufacturing in ways that</w:t>
      </w:r>
      <w:r>
        <w:rPr>
          <w:spacing w:val="-33"/>
        </w:rPr>
        <w:t> </w:t>
      </w:r>
      <w:r>
        <w:rPr/>
        <w:t>are missed by US official deflators. They argue that labour productivity growth in US manufacturing in the early 2000s was materially</w:t>
      </w:r>
      <w:r>
        <w:rPr>
          <w:spacing w:val="-1"/>
        </w:rPr>
        <w:t> </w:t>
      </w:r>
      <w:r>
        <w:rPr/>
        <w:t>overstated.</w:t>
      </w:r>
    </w:p>
    <w:p>
      <w:pPr>
        <w:pStyle w:val="BodyText"/>
        <w:spacing w:before="1"/>
        <w:rPr>
          <w:sz w:val="30"/>
        </w:rPr>
      </w:pPr>
    </w:p>
    <w:p>
      <w:pPr>
        <w:pStyle w:val="BodyText"/>
        <w:spacing w:line="360" w:lineRule="auto"/>
        <w:ind w:left="233" w:right="231"/>
      </w:pPr>
      <w:r>
        <w:rPr/>
        <w:t>How can offshoring increase measured TFP? Import price indexes miss cost cuts when the sourcing of a product is switched from a local supplier to, say, a lower-cost Chinese supplier. They also miss the cost saving if the switch is, for example, from a European supplier to a Chinese supplier. When the lower cost item is imported from the new supplier, effectively, it is treated as a new item and the item’s price fall is not registered by the index. As import prices do not reflect the cost savings from offshoring, then measured</w:t>
      </w:r>
    </w:p>
    <w:p>
      <w:pPr>
        <w:pStyle w:val="BodyText"/>
        <w:spacing w:line="360" w:lineRule="auto"/>
        <w:ind w:left="233"/>
      </w:pPr>
      <w:r>
        <w:rPr/>
        <w:t>import price inflation is higher than it should be and real imports growth is reported as lower than it really is. This, the argument goes, means that real value added and productivity gains are overstated.</w:t>
      </w:r>
    </w:p>
    <w:p>
      <w:pPr>
        <w:pStyle w:val="BodyText"/>
        <w:rPr>
          <w:sz w:val="22"/>
        </w:rPr>
      </w:pPr>
    </w:p>
    <w:p>
      <w:pPr>
        <w:pStyle w:val="Heading1"/>
        <w:spacing w:line="355" w:lineRule="auto" w:before="194"/>
        <w:ind w:left="2811" w:right="2142"/>
      </w:pPr>
      <w:r>
        <w:rPr/>
        <w:t>Chart 14 –Contributions to US manufacturing average annual labour productivity growth</w:t>
      </w:r>
    </w:p>
    <w:p>
      <w:pPr>
        <w:spacing w:before="33"/>
        <w:ind w:left="0" w:right="2838" w:firstLine="0"/>
        <w:jc w:val="right"/>
        <w:rPr>
          <w:rFonts w:ascii="Calibri"/>
          <w:sz w:val="18"/>
        </w:rPr>
      </w:pPr>
      <w:r>
        <w:rPr/>
        <w:pict>
          <v:group style="position:absolute;margin-left:188.880005pt;margin-top:7.319349pt;width:203.3pt;height:131.4pt;mso-position-horizontal-relative:page;mso-position-vertical-relative:paragraph;z-index:251715584" coordorigin="3778,146" coordsize="4066,2628">
            <v:rect style="position:absolute;left:4087;top:1264;width:399;height:370" filled="true" fillcolor="#00af50" stroked="false">
              <v:fill type="solid"/>
            </v:rect>
            <v:rect style="position:absolute;left:4087;top:1185;width:399;height:80" filled="true" fillcolor="#5f497a" stroked="false">
              <v:fill type="solid"/>
            </v:rect>
            <v:rect style="position:absolute;left:4087;top:575;width:399;height:610" filled="true" fillcolor="#c00000" stroked="false">
              <v:fill type="solid"/>
            </v:rect>
            <v:rect style="position:absolute;left:5085;top:751;width:401;height:884" filled="true" fillcolor="#00af50" stroked="false">
              <v:fill type="solid"/>
            </v:rect>
            <v:rect style="position:absolute;left:5085;top:614;width:401;height:137" filled="true" fillcolor="#5f497a" stroked="false">
              <v:fill type="solid"/>
            </v:rect>
            <v:rect style="position:absolute;left:5085;top:1634;width:401;height:358" filled="true" fillcolor="#c00000" stroked="false">
              <v:fill type="solid"/>
            </v:rect>
            <v:rect style="position:absolute;left:6086;top:1586;width:401;height:48" filled="true" fillcolor="#00af50" stroked="false">
              <v:fill type="solid"/>
            </v:rect>
            <v:line style="position:absolute" from="6086,1583" to="6487,1583" stroked="true" strokeweight=".36pt" strokecolor="#5f497a">
              <v:stroke dashstyle="solid"/>
            </v:line>
            <v:rect style="position:absolute;left:6086;top:1547;width:401;height:32" filled="true" fillcolor="#c00000" stroked="false">
              <v:fill type="solid"/>
            </v:rect>
            <v:rect style="position:absolute;left:7087;top:1634;width:399;height:324" filled="true" fillcolor="#00af50" stroked="false">
              <v:fill type="solid"/>
            </v:rect>
            <v:rect style="position:absolute;left:7087;top:1958;width:399;height:68" filled="true" fillcolor="#5f497a" stroked="false">
              <v:fill type="solid"/>
            </v:rect>
            <v:rect style="position:absolute;left:7087;top:2025;width:399;height:581" filled="true" fillcolor="#c00000" stroked="false">
              <v:fill type="solid"/>
            </v:rect>
            <v:shape style="position:absolute;left:3784;top:153;width:4059;height:2592" coordorigin="3785,154" coordsize="4059,2592" path="m7786,2746l7786,154m7786,2746l7843,2746m7786,2376l7843,2376m7786,2004l7843,2004m7786,1634l7843,1634m7786,1265l7843,1265m7786,893l7843,893m7786,523l7843,523m7786,154l7843,154m3785,1634l7786,1634m3785,1634l3785,1692m4786,1634l4786,1692m5786,1634l5786,1692m6787,1634l6787,1692m7786,1634l7786,1692e" filled="false" stroked="true" strokeweight=".72pt" strokecolor="#858585">
              <v:path arrowok="t"/>
              <v:stroke dashstyle="solid"/>
            </v:shape>
            <v:shape style="position:absolute;left:4226;top:515;width:116;height:116" type="#_x0000_t75" stroked="false">
              <v:imagedata r:id="rId36" o:title=""/>
            </v:shape>
            <v:shape style="position:absolute;left:5226;top:911;width:116;height:116" type="#_x0000_t75" stroked="false">
              <v:imagedata r:id="rId37" o:title=""/>
            </v:shape>
            <v:shape style="position:absolute;left:6227;top:1487;width:116;height:116" type="#_x0000_t75" stroked="false">
              <v:imagedata r:id="rId38" o:title=""/>
            </v:shape>
            <v:shape style="position:absolute;left:7228;top:2548;width:116;height:116" type="#_x0000_t75" stroked="false">
              <v:imagedata r:id="rId37" o:title=""/>
            </v:shape>
            <v:rect style="position:absolute;left:4101;top:1979;width:99;height:99" filled="true" fillcolor="#c00000" stroked="false">
              <v:fill type="solid"/>
            </v:rect>
            <v:rect style="position:absolute;left:4101;top:2195;width:99;height:99" filled="true" fillcolor="#5f497a" stroked="false">
              <v:fill type="solid"/>
            </v:rect>
            <v:rect style="position:absolute;left:4101;top:2411;width:99;height:99" filled="true" fillcolor="#00af50" stroked="false">
              <v:fill type="solid"/>
            </v:rect>
            <v:shape style="position:absolute;left:4093;top:2619;width:115;height:115" type="#_x0000_t75" stroked="false">
              <v:imagedata r:id="rId39" o:title=""/>
            </v:shape>
            <v:shape style="position:absolute;left:6859;top:151;width:845;height:401" type="#_x0000_t202" filled="false" stroked="false">
              <v:textbox inset="0,0,0,0">
                <w:txbxContent>
                  <w:p>
                    <w:pPr>
                      <w:spacing w:line="183" w:lineRule="exact" w:before="0"/>
                      <w:ind w:left="0" w:right="18" w:firstLine="0"/>
                      <w:jc w:val="right"/>
                      <w:rPr>
                        <w:rFonts w:ascii="Calibri"/>
                        <w:sz w:val="18"/>
                      </w:rPr>
                    </w:pPr>
                    <w:r>
                      <w:rPr>
                        <w:rFonts w:ascii="Calibri"/>
                        <w:spacing w:val="-1"/>
                        <w:sz w:val="18"/>
                      </w:rPr>
                      <w:t>Percentage</w:t>
                    </w:r>
                  </w:p>
                  <w:p>
                    <w:pPr>
                      <w:spacing w:line="216" w:lineRule="exact" w:before="1"/>
                      <w:ind w:left="0" w:right="18" w:firstLine="0"/>
                      <w:jc w:val="right"/>
                      <w:rPr>
                        <w:rFonts w:ascii="Calibri"/>
                        <w:sz w:val="18"/>
                      </w:rPr>
                    </w:pPr>
                    <w:r>
                      <w:rPr>
                        <w:rFonts w:ascii="Calibri"/>
                        <w:spacing w:val="-1"/>
                        <w:sz w:val="18"/>
                      </w:rPr>
                      <w:t>points</w:t>
                    </w:r>
                  </w:p>
                </w:txbxContent>
              </v:textbox>
              <w10:wrap type="none"/>
            </v:shape>
            <v:shape style="position:absolute;left:4242;top:1945;width:1148;height:829" type="#_x0000_t202" filled="false" stroked="false">
              <v:textbox inset="0,0,0,0">
                <w:txbxContent>
                  <w:p>
                    <w:pPr>
                      <w:spacing w:line="182" w:lineRule="exact" w:before="0"/>
                      <w:ind w:left="0" w:right="0" w:firstLine="0"/>
                      <w:jc w:val="left"/>
                      <w:rPr>
                        <w:rFonts w:ascii="Calibri"/>
                        <w:sz w:val="18"/>
                      </w:rPr>
                    </w:pPr>
                    <w:r>
                      <w:rPr>
                        <w:rFonts w:ascii="Calibri"/>
                        <w:sz w:val="18"/>
                      </w:rPr>
                      <w:t>TFP</w:t>
                    </w:r>
                  </w:p>
                  <w:p>
                    <w:pPr>
                      <w:spacing w:line="235" w:lineRule="auto" w:before="1"/>
                      <w:ind w:left="0" w:right="0" w:firstLine="0"/>
                      <w:jc w:val="left"/>
                      <w:rPr>
                        <w:rFonts w:ascii="Calibri"/>
                        <w:sz w:val="18"/>
                      </w:rPr>
                    </w:pPr>
                    <w:r>
                      <w:rPr>
                        <w:rFonts w:ascii="Calibri"/>
                        <w:sz w:val="18"/>
                      </w:rPr>
                      <w:t>Labour quality Capital services Total</w:t>
                    </w:r>
                  </w:p>
                </w:txbxContent>
              </v:textbox>
              <w10:wrap type="none"/>
            </v:shape>
            <w10:wrap type="none"/>
          </v:group>
        </w:pict>
      </w:r>
      <w:r>
        <w:rPr>
          <w:rFonts w:ascii="Calibri"/>
          <w:sz w:val="18"/>
        </w:rPr>
        <w:t>8</w:t>
      </w:r>
    </w:p>
    <w:p>
      <w:pPr>
        <w:spacing w:before="151"/>
        <w:ind w:left="0" w:right="2838" w:firstLine="0"/>
        <w:jc w:val="right"/>
        <w:rPr>
          <w:rFonts w:ascii="Calibri"/>
          <w:sz w:val="18"/>
        </w:rPr>
      </w:pPr>
      <w:r>
        <w:rPr>
          <w:rFonts w:ascii="Calibri"/>
          <w:sz w:val="18"/>
        </w:rPr>
        <w:t>6</w:t>
      </w:r>
    </w:p>
    <w:p>
      <w:pPr>
        <w:spacing w:before="151"/>
        <w:ind w:left="0" w:right="2838" w:firstLine="0"/>
        <w:jc w:val="right"/>
        <w:rPr>
          <w:rFonts w:ascii="Calibri"/>
          <w:sz w:val="18"/>
        </w:rPr>
      </w:pPr>
      <w:r>
        <w:rPr>
          <w:rFonts w:ascii="Calibri"/>
          <w:sz w:val="18"/>
        </w:rPr>
        <w:t>4</w:t>
      </w:r>
    </w:p>
    <w:p>
      <w:pPr>
        <w:spacing w:before="150"/>
        <w:ind w:left="0" w:right="2838" w:firstLine="0"/>
        <w:jc w:val="right"/>
        <w:rPr>
          <w:rFonts w:ascii="Calibri"/>
          <w:sz w:val="18"/>
        </w:rPr>
      </w:pPr>
      <w:r>
        <w:rPr>
          <w:rFonts w:ascii="Calibri"/>
          <w:sz w:val="18"/>
        </w:rPr>
        <w:t>2</w:t>
      </w:r>
    </w:p>
    <w:p>
      <w:pPr>
        <w:spacing w:before="151"/>
        <w:ind w:left="4214" w:right="0" w:firstLine="0"/>
        <w:jc w:val="center"/>
        <w:rPr>
          <w:rFonts w:ascii="Calibri"/>
          <w:sz w:val="18"/>
        </w:rPr>
      </w:pPr>
      <w:r>
        <w:rPr>
          <w:rFonts w:ascii="Calibri"/>
          <w:sz w:val="18"/>
        </w:rPr>
        <w:t>0</w:t>
      </w:r>
    </w:p>
    <w:p>
      <w:pPr>
        <w:spacing w:before="151"/>
        <w:ind w:left="4270" w:right="0" w:firstLine="0"/>
        <w:jc w:val="center"/>
        <w:rPr>
          <w:rFonts w:ascii="Calibri"/>
          <w:sz w:val="18"/>
        </w:rPr>
      </w:pPr>
      <w:r>
        <w:rPr>
          <w:rFonts w:ascii="Calibri"/>
          <w:sz w:val="18"/>
        </w:rPr>
        <w:t>-2</w:t>
      </w:r>
    </w:p>
    <w:p>
      <w:pPr>
        <w:spacing w:before="151"/>
        <w:ind w:left="4270" w:right="0" w:firstLine="0"/>
        <w:jc w:val="center"/>
        <w:rPr>
          <w:rFonts w:ascii="Calibri"/>
          <w:sz w:val="18"/>
        </w:rPr>
      </w:pPr>
      <w:r>
        <w:rPr>
          <w:rFonts w:ascii="Calibri"/>
          <w:sz w:val="18"/>
        </w:rPr>
        <w:t>-4</w:t>
      </w:r>
    </w:p>
    <w:p>
      <w:pPr>
        <w:spacing w:before="150"/>
        <w:ind w:left="4270" w:right="0" w:firstLine="0"/>
        <w:jc w:val="center"/>
        <w:rPr>
          <w:rFonts w:ascii="Calibri"/>
          <w:sz w:val="18"/>
        </w:rPr>
      </w:pPr>
      <w:r>
        <w:rPr>
          <w:rFonts w:ascii="Calibri"/>
          <w:sz w:val="18"/>
        </w:rPr>
        <w:t>-6</w:t>
      </w:r>
    </w:p>
    <w:p>
      <w:pPr>
        <w:tabs>
          <w:tab w:pos="1000" w:val="left" w:leader="none"/>
          <w:tab w:pos="2000" w:val="left" w:leader="none"/>
          <w:tab w:pos="2920" w:val="left" w:leader="none"/>
        </w:tabs>
        <w:spacing w:before="15"/>
        <w:ind w:left="0" w:right="129" w:firstLine="0"/>
        <w:jc w:val="center"/>
        <w:rPr>
          <w:rFonts w:ascii="Calibri"/>
          <w:sz w:val="18"/>
        </w:rPr>
      </w:pPr>
      <w:r>
        <w:rPr>
          <w:rFonts w:ascii="Calibri"/>
          <w:sz w:val="18"/>
        </w:rPr>
        <w:t>2000-07</w:t>
        <w:tab/>
        <w:t>2007-09</w:t>
        <w:tab/>
        <w:t>2009-15</w:t>
        <w:tab/>
        <w:t>Difference</w:t>
      </w:r>
    </w:p>
    <w:p>
      <w:pPr>
        <w:spacing w:line="219" w:lineRule="exact" w:before="1"/>
        <w:ind w:left="2789" w:right="0" w:firstLine="0"/>
        <w:jc w:val="center"/>
        <w:rPr>
          <w:rFonts w:ascii="Calibri"/>
          <w:sz w:val="18"/>
        </w:rPr>
      </w:pPr>
      <w:r>
        <w:rPr>
          <w:rFonts w:ascii="Calibri"/>
          <w:sz w:val="18"/>
        </w:rPr>
        <w:t>(09-15 minus</w:t>
      </w:r>
    </w:p>
    <w:p>
      <w:pPr>
        <w:spacing w:line="219" w:lineRule="exact" w:before="0"/>
        <w:ind w:left="2788" w:right="0" w:firstLine="0"/>
        <w:jc w:val="center"/>
        <w:rPr>
          <w:rFonts w:ascii="Calibri"/>
          <w:sz w:val="18"/>
        </w:rPr>
      </w:pPr>
      <w:r>
        <w:rPr>
          <w:rFonts w:ascii="Calibri"/>
          <w:sz w:val="18"/>
        </w:rPr>
        <w:t>00-07)</w:t>
      </w:r>
    </w:p>
    <w:p>
      <w:pPr>
        <w:pStyle w:val="BodyText"/>
        <w:spacing w:before="3"/>
        <w:rPr>
          <w:rFonts w:ascii="Calibri"/>
          <w:sz w:val="15"/>
        </w:rPr>
      </w:pPr>
    </w:p>
    <w:p>
      <w:pPr>
        <w:spacing w:before="0"/>
        <w:ind w:left="2811" w:right="0" w:firstLine="0"/>
        <w:jc w:val="left"/>
        <w:rPr>
          <w:sz w:val="16"/>
        </w:rPr>
      </w:pPr>
      <w:r>
        <w:rPr>
          <w:sz w:val="16"/>
        </w:rPr>
        <w:t>Sources: Jäger (2017) and Bank calculations.</w:t>
      </w:r>
    </w:p>
    <w:p>
      <w:pPr>
        <w:pStyle w:val="BodyText"/>
        <w:rPr>
          <w:sz w:val="18"/>
        </w:rPr>
      </w:pPr>
    </w:p>
    <w:p>
      <w:pPr>
        <w:pStyle w:val="BodyText"/>
        <w:spacing w:line="360" w:lineRule="auto" w:before="140"/>
        <w:ind w:left="233" w:right="176"/>
      </w:pPr>
      <w:r>
        <w:rPr/>
        <w:t>Their arguments also apply to the UK economy, although with some nuances. For aggregate productivity and GDP measured from the expenditure side, similar problems arise as in the US because UK import-price deflators suffer from the same biases. For measuring industry-level manufacturing productivity, UK statistics do not yet use what is known as ‘double deflation’, which could make the offshoring effect even more important.</w:t>
      </w:r>
      <w:r>
        <w:rPr>
          <w:vertAlign w:val="superscript"/>
        </w:rPr>
        <w:t>20</w:t>
      </w:r>
      <w:r>
        <w:rPr>
          <w:vertAlign w:val="baseline"/>
        </w:rPr>
        <w:t> Real industry value added is deflated directly from nominal value added using the sector’s price index, without first deflating imported inputs. Changes in import prices are missed completely, so the effect</w:t>
      </w:r>
    </w:p>
    <w:p>
      <w:pPr>
        <w:pStyle w:val="BodyText"/>
        <w:spacing w:before="3"/>
        <w:rPr>
          <w:sz w:val="12"/>
        </w:rPr>
      </w:pPr>
      <w:r>
        <w:rPr/>
        <w:pict>
          <v:shape style="position:absolute;margin-left:56.664001pt;margin-top:9.274275pt;width:144.050pt;height:.1pt;mso-position-horizontal-relative:page;mso-position-vertical-relative:paragraph;z-index:-251603968;mso-wrap-distance-left:0;mso-wrap-distance-right:0" coordorigin="1133,185" coordsize="2881,0" path="m1133,185l4014,185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19 </w:t>
      </w:r>
      <w:r>
        <w:rPr>
          <w:sz w:val="16"/>
        </w:rPr>
        <w:t>Autor, Dorn and Hansen (2013); Bloom, Draca and van Reenen (2016).</w:t>
      </w:r>
    </w:p>
    <w:p>
      <w:pPr>
        <w:spacing w:line="184" w:lineRule="exact" w:before="15"/>
        <w:ind w:left="233" w:right="231" w:firstLine="0"/>
        <w:jc w:val="left"/>
        <w:rPr>
          <w:sz w:val="16"/>
        </w:rPr>
      </w:pPr>
      <w:r>
        <w:rPr>
          <w:position w:val="8"/>
          <w:sz w:val="10"/>
        </w:rPr>
        <w:t>20 </w:t>
      </w:r>
      <w:r>
        <w:rPr>
          <w:sz w:val="16"/>
        </w:rPr>
        <w:t>Using double deflation to construct the output measure of GDP was one of the recommendations of Bean (2016) review of UK statistics, and the ONS are currently doing development work to allow them to do so.</w:t>
      </w:r>
    </w:p>
    <w:p>
      <w:pPr>
        <w:spacing w:after="0" w:line="184" w:lineRule="exact"/>
        <w:jc w:val="left"/>
        <w:rPr>
          <w:sz w:val="16"/>
        </w:rPr>
        <w:sectPr>
          <w:pgSz w:w="11910" w:h="16840"/>
          <w:pgMar w:header="0" w:footer="1338" w:top="1340" w:bottom="1520" w:left="900" w:right="1020"/>
        </w:sectPr>
      </w:pPr>
    </w:p>
    <w:p>
      <w:pPr>
        <w:pStyle w:val="BodyText"/>
        <w:spacing w:line="360" w:lineRule="auto" w:before="79"/>
        <w:ind w:left="233" w:right="154"/>
      </w:pPr>
      <w:r>
        <w:rPr/>
        <w:t>on manufacturing productivity could be even larger. Interestingly, and perhaps reflecting the fact that many import price falls are missed even using the US methodology, manufacturing productivity in the US and the UK showed similar developments both before and after the crisis, with the rise and fall being more marked in the US economy (Chart 14).</w:t>
      </w:r>
    </w:p>
    <w:p>
      <w:pPr>
        <w:pStyle w:val="BodyText"/>
        <w:rPr>
          <w:sz w:val="30"/>
        </w:rPr>
      </w:pPr>
    </w:p>
    <w:p>
      <w:pPr>
        <w:pStyle w:val="BodyText"/>
        <w:spacing w:line="360" w:lineRule="auto" w:before="1"/>
        <w:ind w:left="233" w:right="98"/>
      </w:pPr>
      <w:r>
        <w:rPr/>
        <w:t>In my view, it is debatable whether this mismeasurement of imported input prices is fundamentally problematic – or indeed a mismeasurement. If an economist is interested in gauging the productivity gains from international trade, there is no reason why she should discount the contribution of lower priced imported inputs: falling costs of imported inputs should in principle also add to the economy’s productivity.</w:t>
      </w:r>
    </w:p>
    <w:p>
      <w:pPr>
        <w:pStyle w:val="BodyText"/>
        <w:spacing w:before="9"/>
        <w:rPr>
          <w:sz w:val="29"/>
        </w:rPr>
      </w:pPr>
    </w:p>
    <w:p>
      <w:pPr>
        <w:pStyle w:val="BodyText"/>
        <w:spacing w:line="360" w:lineRule="auto"/>
        <w:ind w:left="233" w:right="165"/>
      </w:pPr>
      <w:r>
        <w:rPr/>
        <w:t>Trade economists tend to think of international trade as a production technology in which imports are transformed into exports at a rate equal to their relative prices, or terms of trade. In that sense, an improvement in the terms of trade is comparable to an improvement in productivity.</w:t>
      </w:r>
      <w:r>
        <w:rPr>
          <w:vertAlign w:val="superscript"/>
        </w:rPr>
        <w:t>21</w:t>
      </w:r>
      <w:r>
        <w:rPr>
          <w:vertAlign w:val="baseline"/>
        </w:rPr>
        <w:t> Lower import prices mean that a given amount of exports can be turned into more imports. The country’s real income rises, because the economy as a whole can consume more (or work less), purely because of the change in prices. In that framework, productivity improvements coming from domestic TFP or from gains from international trade (in the form of cost savings) are not too dissimilar.</w:t>
      </w:r>
    </w:p>
    <w:p>
      <w:pPr>
        <w:pStyle w:val="BodyText"/>
        <w:spacing w:before="1"/>
        <w:rPr>
          <w:sz w:val="30"/>
        </w:rPr>
      </w:pPr>
    </w:p>
    <w:p>
      <w:pPr>
        <w:pStyle w:val="BodyText"/>
        <w:spacing w:line="360" w:lineRule="auto"/>
        <w:ind w:left="233" w:right="231"/>
      </w:pPr>
      <w:r>
        <w:rPr/>
        <w:t>When measuring real GDP, statistical offices aim instead at capturing only the domestically generated productivity gain, which is arguably a more appropriate measure of physical productivity (although, as pointed out, they do not always succeed at the task). This statistical practice attempts to purge from productivity gains any foreign price effects. (I for one, think of lower prices of imported inputs as a real productivity gain and would not count it as mismeasurement.)</w:t>
      </w:r>
    </w:p>
    <w:p>
      <w:pPr>
        <w:pStyle w:val="BodyText"/>
        <w:spacing w:before="2"/>
        <w:rPr>
          <w:sz w:val="30"/>
        </w:rPr>
      </w:pPr>
    </w:p>
    <w:p>
      <w:pPr>
        <w:pStyle w:val="BodyText"/>
        <w:spacing w:line="360" w:lineRule="auto"/>
        <w:ind w:left="233" w:right="187"/>
      </w:pPr>
      <w:r>
        <w:rPr/>
        <w:t>At any rate, whether you think as an economist or a statistician, this “offshoring hypothesis” can help explain rapid measured productivity growth in UK manufacturing pre-crisis. Manufacturing sectors have the highest shares of intermediate inputs in production: value-added in the industry is about one-third of gross output, compared to an average of around one-half for the other industries, and manufacturing inputs are highly tradable in international markets.</w:t>
      </w:r>
      <w:r>
        <w:rPr>
          <w:vertAlign w:val="superscript"/>
        </w:rPr>
        <w:t>22</w:t>
      </w:r>
    </w:p>
    <w:p>
      <w:pPr>
        <w:pStyle w:val="BodyText"/>
        <w:spacing w:before="10"/>
        <w:rPr>
          <w:sz w:val="29"/>
        </w:rPr>
      </w:pPr>
    </w:p>
    <w:p>
      <w:pPr>
        <w:pStyle w:val="BodyText"/>
        <w:spacing w:line="360" w:lineRule="auto" w:before="1"/>
        <w:ind w:left="233" w:right="120"/>
      </w:pPr>
      <w:r>
        <w:rPr/>
        <w:t>The subsequent slowdown in manufacturing productivity could be accounted for by the same offshoring argument if input prices fell less rapidly. Recent wage and total cost growth in China and other emerging markets may have slowed down the decline in input prices. The measurement of aggregate productivity may also have improved as statisticians incorporated new imported goods in their baskets. But precisely because there is an intrinsic problem with measurement, the quantitative importance both for aggregate productivity and for UK manufacturing remains an open question.</w:t>
      </w:r>
    </w:p>
    <w:p>
      <w:pPr>
        <w:pStyle w:val="BodyText"/>
        <w:spacing w:before="8"/>
        <w:rPr>
          <w:sz w:val="10"/>
        </w:rPr>
      </w:pPr>
      <w:r>
        <w:rPr/>
        <w:pict>
          <v:shape style="position:absolute;margin-left:56.664001pt;margin-top:8.392616pt;width:144.050pt;height:.1pt;mso-position-horizontal-relative:page;mso-position-vertical-relative:paragraph;z-index:-251599872;mso-wrap-distance-left:0;mso-wrap-distance-right:0" coordorigin="1133,168" coordsize="2881,0" path="m1133,168l4014,168e" filled="false" stroked="true" strokeweight=".48004pt" strokecolor="#000000">
            <v:path arrowok="t"/>
            <v:stroke dashstyle="solid"/>
            <w10:wrap type="topAndBottom"/>
          </v:shape>
        </w:pict>
      </w:r>
    </w:p>
    <w:p>
      <w:pPr>
        <w:spacing w:before="30"/>
        <w:ind w:left="233" w:right="159" w:firstLine="0"/>
        <w:jc w:val="left"/>
        <w:rPr>
          <w:sz w:val="16"/>
        </w:rPr>
      </w:pPr>
      <w:r>
        <w:rPr>
          <w:position w:val="8"/>
          <w:sz w:val="10"/>
        </w:rPr>
        <w:t>21 </w:t>
      </w:r>
      <w:r>
        <w:rPr>
          <w:sz w:val="16"/>
        </w:rPr>
        <w:t>See Kehoe and Ruhl (2008), who also discuss how terms of trade changes do affect (correctly measured) real income. For measures of real income, if statisticians have overstated physical productivity, then they will also have understated the gains from trade by an equal amount.</w:t>
      </w:r>
    </w:p>
    <w:p>
      <w:pPr>
        <w:spacing w:line="184" w:lineRule="exact" w:before="2"/>
        <w:ind w:left="233" w:right="381" w:firstLine="0"/>
        <w:jc w:val="left"/>
        <w:rPr>
          <w:sz w:val="16"/>
        </w:rPr>
      </w:pPr>
      <w:r>
        <w:rPr>
          <w:position w:val="8"/>
          <w:sz w:val="10"/>
        </w:rPr>
        <w:t>22 </w:t>
      </w:r>
      <w:r>
        <w:rPr>
          <w:sz w:val="16"/>
        </w:rPr>
        <w:t>Real product wages in manufacturing did not keep up with productivity increases pre-crisis. This is consistent with the offshoring explanation: if productivity gains were being driven by increased offshoring or low-cost imports, there would be less pressure to pass them on to domestic employees.</w:t>
      </w:r>
    </w:p>
    <w:p>
      <w:pPr>
        <w:spacing w:after="0" w:line="184" w:lineRule="exact"/>
        <w:jc w:val="left"/>
        <w:rPr>
          <w:sz w:val="16"/>
        </w:rPr>
        <w:sectPr>
          <w:footerReference w:type="default" r:id="rId40"/>
          <w:pgSz w:w="11910" w:h="16840"/>
          <w:pgMar w:footer="1338" w:header="0" w:top="1340" w:bottom="1520" w:left="900" w:right="1020"/>
          <w:pgNumType w:start="14"/>
        </w:sectPr>
      </w:pPr>
    </w:p>
    <w:p>
      <w:pPr>
        <w:pStyle w:val="BodyText"/>
        <w:spacing w:line="360" w:lineRule="auto" w:before="185"/>
        <w:ind w:left="233" w:right="198"/>
      </w:pPr>
      <w:r>
        <w:rPr/>
        <w:t>While the benefits from offshoring can help explain the rise and subsequent slowdown in TFP, the other question is why capital investment in manufacturing has come to a virtual standstill since 2009. I will come back to this point when I discuss investment in the whole economy, as capital shallowing is also observed in other sectors.</w:t>
      </w:r>
      <w:r>
        <w:rPr>
          <w:vertAlign w:val="superscript"/>
        </w:rPr>
        <w:t>23</w:t>
      </w:r>
    </w:p>
    <w:p>
      <w:pPr>
        <w:pStyle w:val="BodyText"/>
        <w:spacing w:before="9"/>
        <w:rPr>
          <w:sz w:val="29"/>
        </w:rPr>
      </w:pPr>
    </w:p>
    <w:p>
      <w:pPr>
        <w:pStyle w:val="BodyText"/>
        <w:ind w:left="233"/>
      </w:pPr>
      <w:r>
        <w:rPr/>
        <w:t>Let me now turn to finance.</w:t>
      </w:r>
    </w:p>
    <w:p>
      <w:pPr>
        <w:pStyle w:val="BodyText"/>
        <w:rPr>
          <w:sz w:val="22"/>
        </w:rPr>
      </w:pPr>
    </w:p>
    <w:p>
      <w:pPr>
        <w:pStyle w:val="BodyText"/>
        <w:spacing w:before="1"/>
        <w:rPr>
          <w:sz w:val="18"/>
        </w:rPr>
      </w:pPr>
    </w:p>
    <w:p>
      <w:pPr>
        <w:pStyle w:val="BodyText"/>
        <w:spacing w:line="360" w:lineRule="auto" w:before="1"/>
        <w:ind w:left="233"/>
      </w:pPr>
      <w:r>
        <w:rPr>
          <w:u w:val="single"/>
        </w:rPr>
        <w:t>The finance sector</w:t>
      </w:r>
      <w:r>
        <w:rPr/>
        <w:t> is the biggest contributor to the productivity slowdown. It had the fastest-growing labour productivity of any sector in the run-up to the crisis, at 5% per year. Since 2009, productivity has actually shrunk by 2.1% per year.</w:t>
      </w:r>
    </w:p>
    <w:p>
      <w:pPr>
        <w:pStyle w:val="BodyText"/>
      </w:pPr>
    </w:p>
    <w:p>
      <w:pPr>
        <w:spacing w:after="0"/>
        <w:sectPr>
          <w:footerReference w:type="default" r:id="rId41"/>
          <w:pgSz w:w="11910" w:h="16840"/>
          <w:pgMar w:footer="1338" w:header="0" w:top="1580" w:bottom="1520" w:left="900" w:right="1020"/>
          <w:pgNumType w:start="15"/>
        </w:sectPr>
      </w:pPr>
    </w:p>
    <w:p>
      <w:pPr>
        <w:pStyle w:val="BodyText"/>
        <w:spacing w:before="5"/>
        <w:rPr>
          <w:sz w:val="19"/>
        </w:rPr>
      </w:pPr>
    </w:p>
    <w:p>
      <w:pPr>
        <w:pStyle w:val="Heading1"/>
        <w:spacing w:line="355" w:lineRule="auto"/>
      </w:pPr>
      <w:r>
        <w:rPr/>
        <w:t>Chart 15 – Contributions to UK finance</w:t>
      </w:r>
      <w:r>
        <w:rPr>
          <w:spacing w:val="-21"/>
        </w:rPr>
        <w:t> </w:t>
      </w:r>
      <w:r>
        <w:rPr/>
        <w:t>average annual labour productivity</w:t>
      </w:r>
      <w:r>
        <w:rPr>
          <w:spacing w:val="-2"/>
        </w:rPr>
        <w:t> </w:t>
      </w:r>
      <w:r>
        <w:rPr/>
        <w:t>growth</w:t>
      </w:r>
    </w:p>
    <w:p>
      <w:pPr>
        <w:pStyle w:val="BodyText"/>
        <w:spacing w:before="5"/>
        <w:rPr>
          <w:b/>
          <w:sz w:val="19"/>
        </w:rPr>
      </w:pPr>
      <w:r>
        <w:rPr/>
        <w:br w:type="column"/>
      </w:r>
      <w:r>
        <w:rPr>
          <w:b/>
          <w:sz w:val="19"/>
        </w:rPr>
      </w:r>
    </w:p>
    <w:p>
      <w:pPr>
        <w:spacing w:line="355" w:lineRule="auto" w:before="0"/>
        <w:ind w:left="189" w:right="883" w:firstLine="0"/>
        <w:jc w:val="left"/>
        <w:rPr>
          <w:b/>
          <w:sz w:val="20"/>
        </w:rPr>
      </w:pPr>
      <w:r>
        <w:rPr>
          <w:b/>
          <w:sz w:val="20"/>
        </w:rPr>
        <w:t>Chart 16 – Finance relative price and sector shares of hours and nominal GVA</w:t>
      </w:r>
    </w:p>
    <w:p>
      <w:pPr>
        <w:spacing w:after="0" w:line="355" w:lineRule="auto"/>
        <w:jc w:val="left"/>
        <w:rPr>
          <w:sz w:val="20"/>
        </w:rPr>
        <w:sectPr>
          <w:type w:val="continuous"/>
          <w:pgSz w:w="11910" w:h="16840"/>
          <w:pgMar w:top="1180" w:bottom="1520" w:left="900" w:right="1020"/>
          <w:cols w:num="2" w:equalWidth="0">
            <w:col w:w="4722" w:space="40"/>
            <w:col w:w="5228"/>
          </w:cols>
        </w:sectPr>
      </w:pPr>
    </w:p>
    <w:p>
      <w:pPr>
        <w:pStyle w:val="BodyText"/>
        <w:spacing w:before="11"/>
        <w:rPr>
          <w:b/>
        </w:rPr>
      </w:pPr>
    </w:p>
    <w:p>
      <w:pPr>
        <w:tabs>
          <w:tab w:pos="7254" w:val="left" w:leader="none"/>
        </w:tabs>
        <w:spacing w:line="190" w:lineRule="exact" w:before="63"/>
        <w:ind w:left="4418" w:right="0" w:firstLine="0"/>
        <w:jc w:val="center"/>
        <w:rPr>
          <w:rFonts w:ascii="Calibri"/>
          <w:sz w:val="18"/>
        </w:rPr>
      </w:pPr>
      <w:r>
        <w:rPr/>
        <w:pict>
          <v:group style="position:absolute;margin-left:63.119999pt;margin-top:1.489335pt;width:203.1pt;height:146.8pt;mso-position-horizontal-relative:page;mso-position-vertical-relative:paragraph;z-index:251720704" coordorigin="1262,30" coordsize="4062,2936">
            <v:rect style="position:absolute;left:1564;top:1095;width:394;height:327" filled="true" fillcolor="#00af50" stroked="false">
              <v:fill type="solid"/>
            </v:rect>
            <v:rect style="position:absolute;left:1564;top:927;width:394;height:168" filled="true" fillcolor="#5f497a" stroked="false">
              <v:fill type="solid"/>
            </v:rect>
            <v:rect style="position:absolute;left:1564;top:464;width:394;height:464" filled="true" fillcolor="#c00000" stroked="false">
              <v:fill type="solid"/>
            </v:rect>
            <v:rect style="position:absolute;left:2548;top:1109;width:394;height:312" filled="true" fillcolor="#00af50" stroked="false">
              <v:fill type="solid"/>
            </v:rect>
            <v:rect style="position:absolute;left:2548;top:913;width:394;height:197" filled="true" fillcolor="#5f497a" stroked="false">
              <v:fill type="solid"/>
            </v:rect>
            <v:rect style="position:absolute;left:2548;top:1421;width:394;height:226" filled="true" fillcolor="#c00000" stroked="false">
              <v:fill type="solid"/>
            </v:rect>
            <v:rect style="position:absolute;left:3535;top:1273;width:394;height:149" filled="true" fillcolor="#00af50" stroked="false">
              <v:fill type="solid"/>
            </v:rect>
            <v:rect style="position:absolute;left:3535;top:1153;width:394;height:120" filled="true" fillcolor="#5f497a" stroked="false">
              <v:fill type="solid"/>
            </v:rect>
            <v:rect style="position:absolute;left:3535;top:1421;width:394;height:677" filled="true" fillcolor="#c00000" stroked="false">
              <v:fill type="solid"/>
            </v:rect>
            <v:rect style="position:absolute;left:4519;top:1421;width:394;height:178" filled="true" fillcolor="#00af50" stroked="false">
              <v:fill type="solid"/>
            </v:rect>
            <v:rect style="position:absolute;left:4519;top:1599;width:394;height:48" filled="true" fillcolor="#5f497a" stroked="false">
              <v:fill type="solid"/>
            </v:rect>
            <v:rect style="position:absolute;left:4519;top:1647;width:394;height:1140" filled="true" fillcolor="#c00000" stroked="false">
              <v:fill type="solid"/>
            </v:rect>
            <v:shape style="position:absolute;left:1269;top:269;width:3996;height:2688" coordorigin="1270,270" coordsize="3996,2688" path="m5208,2958l5208,270m5208,2958l5266,2958m5208,2574l5266,2574m5208,2190l5266,2190m5208,1806l5266,1806m5208,1422l5266,1422m5208,1038l5266,1038m5208,654l5266,654m5208,270l5266,270m1270,1422l5208,1422m1270,1422l1270,1480m2254,1422l2254,1480m3240,1422l3240,1480m4224,1422l4224,1480m5208,1422l5208,1480e" filled="false" stroked="true" strokeweight=".72pt" strokecolor="#858585">
              <v:path arrowok="t"/>
              <v:stroke dashstyle="solid"/>
            </v:shape>
            <v:shape style="position:absolute;left:1705;top:404;width:116;height:116" type="#_x0000_t75" stroked="false">
              <v:imagedata r:id="rId42" o:title=""/>
            </v:shape>
            <v:shape style="position:absolute;left:2689;top:1080;width:116;height:116" type="#_x0000_t75" stroked="false">
              <v:imagedata r:id="rId33" o:title=""/>
            </v:shape>
            <v:shape style="position:absolute;left:3673;top:1772;width:116;height:116" type="#_x0000_t75" stroked="false">
              <v:imagedata r:id="rId33" o:title=""/>
            </v:shape>
            <v:shape style="position:absolute;left:4657;top:2729;width:116;height:116" type="#_x0000_t75" stroked="false">
              <v:imagedata r:id="rId34" o:title=""/>
            </v:shape>
            <v:rect style="position:absolute;left:2508;top:279;width:99;height:99" filled="true" fillcolor="#5f497a" stroked="false">
              <v:fill type="solid"/>
            </v:rect>
            <v:rect style="position:absolute;left:2508;top:493;width:99;height:101" filled="true" fillcolor="#00af50" stroked="false">
              <v:fill type="solid"/>
            </v:rect>
            <v:shape style="position:absolute;left:2499;top:701;width:115;height:115" type="#_x0000_t75" stroked="false">
              <v:imagedata r:id="rId43" o:title=""/>
            </v:shape>
            <v:shape style="position:absolute;left:2649;top:29;width:1148;height:826" type="#_x0000_t202" filled="false" stroked="false">
              <v:textbox inset="0,0,0,0">
                <w:txbxContent>
                  <w:p>
                    <w:pPr>
                      <w:spacing w:line="181" w:lineRule="exact" w:before="0"/>
                      <w:ind w:left="0" w:right="0" w:firstLine="0"/>
                      <w:jc w:val="left"/>
                      <w:rPr>
                        <w:rFonts w:ascii="Calibri"/>
                        <w:sz w:val="18"/>
                      </w:rPr>
                    </w:pPr>
                    <w:r>
                      <w:rPr>
                        <w:rFonts w:ascii="Calibri"/>
                        <w:sz w:val="18"/>
                      </w:rPr>
                      <w:t>TFP</w:t>
                    </w:r>
                  </w:p>
                  <w:p>
                    <w:pPr>
                      <w:spacing w:line="235" w:lineRule="auto" w:before="1"/>
                      <w:ind w:left="0" w:right="0" w:firstLine="0"/>
                      <w:jc w:val="left"/>
                      <w:rPr>
                        <w:rFonts w:ascii="Calibri"/>
                        <w:sz w:val="18"/>
                      </w:rPr>
                    </w:pPr>
                    <w:r>
                      <w:rPr>
                        <w:rFonts w:ascii="Calibri"/>
                        <w:sz w:val="18"/>
                      </w:rPr>
                      <w:t>Labour quality Capital services Total</w:t>
                    </w:r>
                  </w:p>
                </w:txbxContent>
              </v:textbox>
              <w10:wrap type="none"/>
            </v:shape>
            <v:shape style="position:absolute;left:3983;top:99;width:1341;height:180" type="#_x0000_t202" filled="false" stroked="false">
              <v:textbox inset="0,0,0,0">
                <w:txbxContent>
                  <w:p>
                    <w:pPr>
                      <w:spacing w:line="180" w:lineRule="exact" w:before="0"/>
                      <w:ind w:left="0" w:right="0" w:firstLine="0"/>
                      <w:jc w:val="left"/>
                      <w:rPr>
                        <w:rFonts w:ascii="Calibri"/>
                        <w:sz w:val="18"/>
                      </w:rPr>
                    </w:pPr>
                    <w:r>
                      <w:rPr>
                        <w:rFonts w:ascii="Calibri"/>
                        <w:sz w:val="18"/>
                      </w:rPr>
                      <w:t>Percentage points</w:t>
                    </w:r>
                  </w:p>
                </w:txbxContent>
              </v:textbox>
              <w10:wrap type="none"/>
            </v:shape>
            <w10:wrap type="none"/>
          </v:group>
        </w:pict>
      </w:r>
      <w:r>
        <w:rPr/>
        <w:pict>
          <v:rect style="position:absolute;margin-left:125.400002pt;margin-top:3.179335pt;width:4.92pt;height:4.92pt;mso-position-horizontal-relative:page;mso-position-vertical-relative:paragraph;z-index:251721728" filled="true" fillcolor="#c00000" stroked="false">
            <v:fill type="solid"/>
            <w10:wrap type="none"/>
          </v:rect>
        </w:pict>
      </w:r>
      <w:r>
        <w:rPr/>
        <w:pict>
          <v:shape style="position:absolute;margin-left:268.850006pt;margin-top:9.319335pt;width:4.6pt;height:9pt;mso-position-horizontal-relative:page;mso-position-vertical-relative:paragraph;z-index:251724800" type="#_x0000_t202" filled="false" stroked="false">
            <v:textbox inset="0,0,0,0">
              <w:txbxContent>
                <w:p>
                  <w:pPr>
                    <w:spacing w:line="180" w:lineRule="exact" w:before="0"/>
                    <w:ind w:left="0" w:right="0" w:firstLine="0"/>
                    <w:jc w:val="left"/>
                    <w:rPr>
                      <w:rFonts w:ascii="Calibri"/>
                      <w:sz w:val="18"/>
                    </w:rPr>
                  </w:pPr>
                  <w:r>
                    <w:rPr>
                      <w:rFonts w:ascii="Calibri"/>
                      <w:sz w:val="18"/>
                    </w:rPr>
                    <w:t>6</w:t>
                  </w:r>
                </w:p>
              </w:txbxContent>
            </v:textbox>
            <w10:wrap type="none"/>
          </v:shape>
        </w:pict>
      </w:r>
      <w:r>
        <w:rPr>
          <w:rFonts w:ascii="Calibri"/>
          <w:sz w:val="18"/>
        </w:rPr>
        <w:t>Per</w:t>
      </w:r>
      <w:r>
        <w:rPr>
          <w:rFonts w:ascii="Calibri"/>
          <w:spacing w:val="-2"/>
          <w:sz w:val="18"/>
        </w:rPr>
        <w:t> </w:t>
      </w:r>
      <w:r>
        <w:rPr>
          <w:rFonts w:ascii="Calibri"/>
          <w:sz w:val="18"/>
        </w:rPr>
        <w:t>cent</w:t>
        <w:tab/>
        <w:t>Index</w:t>
      </w:r>
      <w:r>
        <w:rPr>
          <w:rFonts w:ascii="Calibri"/>
          <w:spacing w:val="3"/>
          <w:sz w:val="18"/>
        </w:rPr>
        <w:t> </w:t>
      </w:r>
      <w:r>
        <w:rPr>
          <w:rFonts w:ascii="Calibri"/>
          <w:sz w:val="18"/>
        </w:rPr>
        <w:t>2015=100</w:t>
      </w:r>
    </w:p>
    <w:p>
      <w:pPr>
        <w:spacing w:line="178" w:lineRule="exact" w:before="0"/>
        <w:ind w:left="366" w:right="0" w:firstLine="0"/>
        <w:jc w:val="center"/>
        <w:rPr>
          <w:rFonts w:ascii="Calibri"/>
          <w:sz w:val="18"/>
        </w:rPr>
      </w:pPr>
      <w:r>
        <w:rPr/>
        <w:pict>
          <v:group style="position:absolute;margin-left:313.679993pt;margin-top:4.196167pt;width:178pt;height:149.4pt;mso-position-horizontal-relative:page;mso-position-vertical-relative:paragraph;z-index:-255026176" coordorigin="6274,84" coordsize="3560,2988">
            <v:shape style="position:absolute;left:6273;top:91;width:3560;height:2981" coordorigin="6274,91" coordsize="3560,2981" path="m9775,3017l9775,91m9775,3017l9833,3017m9775,2626l9833,2626m9775,2237l9833,2237m9775,1846l9833,1846m9775,1457l9833,1457m9775,1066l9833,1066m9775,677l9833,677m9775,286l9833,286m6331,3017l6331,91m6274,3017l6331,3017m6274,2530l6331,2530m6274,2040l6331,2040m6274,1553l6331,1553m6274,1066l6331,1066m6274,578l6331,578m6274,91l6331,91m6331,3017l9775,3017m6331,3017l6331,3072m6986,3017l6986,3072m7644,3017l7644,3072m8299,3017l8299,3072m8954,3017l8954,3072m9612,3017l9612,3072e" filled="false" stroked="true" strokeweight=".72pt" strokecolor="#858585">
              <v:path arrowok="t"/>
              <v:stroke dashstyle="solid"/>
            </v:shape>
            <v:shape style="position:absolute;left:6331;top:1983;width:3363;height:119" coordorigin="6331,1984" coordsize="3363,119" path="m6331,1984l6413,1985,6578,2011,6742,2026,6905,2016,7070,2002,7234,2004,7397,1992,7562,1992,7726,2004,7889,2035,8054,2030,8218,2045,8381,2018,8546,2004,8710,2009,8873,2026,9038,1997,9202,2006,9365,2045,9530,2066,9694,2102e" filled="false" stroked="true" strokeweight="2.16pt" strokecolor="#bd4a47">
              <v:path arrowok="t"/>
              <v:stroke dashstyle="solid"/>
            </v:shape>
            <v:shape style="position:absolute;left:6331;top:487;width:3363;height:1071" coordorigin="6331,487" coordsize="3363,1071" path="m6331,1277l6413,1224,6578,1284,6742,1303,6905,1354,7070,1478,7234,1558,7397,1553,7562,1510,7726,1358,7889,1130,8054,881,8218,823,8381,612,8546,854,8710,487,8873,744,9038,821,9202,895,9365,888,9530,902,9694,1087e" filled="false" stroked="true" strokeweight="2.16pt" strokecolor="#97b853">
              <v:path arrowok="t"/>
              <v:stroke dashstyle="solid"/>
            </v:shape>
            <v:shape style="position:absolute;left:6331;top:983;width:3363;height:543" coordorigin="6331,984" coordsize="3363,543" path="m6331,1099l6413,1042,6578,1154,6742,1241,6905,1315,7070,1421,7234,1512,7397,1526,7562,1514,7726,1421,7889,1246,8054,1087,8218,1126,8381,984,8546,1226,8710,1030,8873,1046,9038,1078,9202,1150,9365,1078,9530,996,9694,1066e" filled="false" stroked="true" strokeweight="2.16pt" strokecolor="#497dba">
              <v:path arrowok="t"/>
              <v:stroke dashstyle="solid"/>
            </v:shape>
            <v:line style="position:absolute" from="6598,2354" to="6982,2354" stroked="true" strokeweight="2.16pt" strokecolor="#bd4a47">
              <v:stroke dashstyle="solid"/>
            </v:line>
            <v:line style="position:absolute" from="6598,2597" to="6982,2597" stroked="true" strokeweight="2.16pt" strokecolor="#97b853">
              <v:stroke dashstyle="solid"/>
            </v:line>
            <v:line style="position:absolute" from="6598,2837" to="6982,2837" stroked="true" strokeweight="2.16pt" strokecolor="#497dba">
              <v:stroke dashstyle="solid"/>
            </v:line>
            <v:shape style="position:absolute;left:6273;top:83;width:3560;height:2988" type="#_x0000_t202" filled="false" stroked="false">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25"/>
                      </w:rPr>
                    </w:pPr>
                  </w:p>
                  <w:p>
                    <w:pPr>
                      <w:spacing w:before="0"/>
                      <w:ind w:left="752" w:right="0" w:firstLine="0"/>
                      <w:jc w:val="left"/>
                      <w:rPr>
                        <w:rFonts w:ascii="Calibri"/>
                        <w:sz w:val="18"/>
                      </w:rPr>
                    </w:pPr>
                    <w:r>
                      <w:rPr>
                        <w:rFonts w:ascii="Calibri"/>
                        <w:sz w:val="18"/>
                      </w:rPr>
                      <w:t>Hours share (LHS)</w:t>
                    </w:r>
                  </w:p>
                  <w:p>
                    <w:pPr>
                      <w:spacing w:line="264" w:lineRule="auto" w:before="22"/>
                      <w:ind w:left="752" w:right="371" w:firstLine="0"/>
                      <w:jc w:val="left"/>
                      <w:rPr>
                        <w:rFonts w:ascii="Calibri"/>
                        <w:sz w:val="18"/>
                      </w:rPr>
                    </w:pPr>
                    <w:r>
                      <w:rPr>
                        <w:rFonts w:ascii="Calibri"/>
                        <w:sz w:val="18"/>
                      </w:rPr>
                      <w:t>Nominal value added share (LHS) Relative price (RHS)</w:t>
                    </w:r>
                  </w:p>
                </w:txbxContent>
              </v:textbox>
              <w10:wrap type="none"/>
            </v:shape>
            <w10:wrap type="none"/>
          </v:group>
        </w:pict>
      </w:r>
      <w:r>
        <w:rPr>
          <w:rFonts w:ascii="Calibri"/>
          <w:sz w:val="18"/>
        </w:rPr>
        <w:t>12</w:t>
      </w:r>
    </w:p>
    <w:p>
      <w:pPr>
        <w:tabs>
          <w:tab w:pos="4569" w:val="left" w:leader="none"/>
        </w:tabs>
        <w:spacing w:line="204" w:lineRule="auto" w:before="0"/>
        <w:ind w:left="0" w:right="664" w:firstLine="0"/>
        <w:jc w:val="right"/>
        <w:rPr>
          <w:rFonts w:ascii="Calibri"/>
          <w:sz w:val="18"/>
        </w:rPr>
      </w:pPr>
      <w:r>
        <w:rPr>
          <w:rFonts w:ascii="Calibri"/>
          <w:position w:val="-11"/>
          <w:sz w:val="18"/>
        </w:rPr>
        <w:t>4</w:t>
        <w:tab/>
      </w:r>
      <w:r>
        <w:rPr>
          <w:rFonts w:ascii="Calibri"/>
          <w:spacing w:val="-1"/>
          <w:sz w:val="18"/>
        </w:rPr>
        <w:t>140</w:t>
      </w:r>
    </w:p>
    <w:p>
      <w:pPr>
        <w:tabs>
          <w:tab w:pos="3961" w:val="left" w:leader="none"/>
        </w:tabs>
        <w:spacing w:line="240" w:lineRule="exact" w:before="0"/>
        <w:ind w:left="0" w:right="664" w:firstLine="0"/>
        <w:jc w:val="right"/>
        <w:rPr>
          <w:rFonts w:ascii="Calibri"/>
          <w:sz w:val="18"/>
        </w:rPr>
      </w:pPr>
      <w:r>
        <w:rPr>
          <w:rFonts w:ascii="Calibri"/>
          <w:position w:val="10"/>
          <w:sz w:val="18"/>
        </w:rPr>
        <w:t>10</w:t>
        <w:tab/>
      </w:r>
      <w:r>
        <w:rPr>
          <w:rFonts w:ascii="Calibri"/>
          <w:spacing w:val="-1"/>
          <w:sz w:val="18"/>
        </w:rPr>
        <w:t>120</w:t>
      </w:r>
    </w:p>
    <w:p>
      <w:pPr>
        <w:spacing w:line="164" w:lineRule="exact" w:before="0"/>
        <w:ind w:left="0" w:right="939" w:firstLine="0"/>
        <w:jc w:val="center"/>
        <w:rPr>
          <w:rFonts w:ascii="Calibri"/>
          <w:sz w:val="18"/>
        </w:rPr>
      </w:pPr>
      <w:r>
        <w:rPr>
          <w:rFonts w:ascii="Calibri"/>
          <w:sz w:val="18"/>
        </w:rPr>
        <w:t>2</w:t>
      </w:r>
    </w:p>
    <w:p>
      <w:pPr>
        <w:spacing w:after="0" w:line="164" w:lineRule="exact"/>
        <w:jc w:val="center"/>
        <w:rPr>
          <w:rFonts w:ascii="Calibri"/>
          <w:sz w:val="18"/>
        </w:rPr>
        <w:sectPr>
          <w:type w:val="continuous"/>
          <w:pgSz w:w="11910" w:h="16840"/>
          <w:pgMar w:top="1180" w:bottom="1520" w:left="900" w:right="1020"/>
        </w:sectPr>
      </w:pPr>
    </w:p>
    <w:p>
      <w:pPr>
        <w:spacing w:before="160"/>
        <w:ind w:left="4421" w:right="0" w:firstLine="0"/>
        <w:jc w:val="center"/>
        <w:rPr>
          <w:rFonts w:ascii="Calibri"/>
          <w:sz w:val="18"/>
        </w:rPr>
      </w:pPr>
      <w:r>
        <w:rPr>
          <w:rFonts w:ascii="Calibri"/>
          <w:sz w:val="18"/>
        </w:rPr>
        <w:t>0</w:t>
      </w:r>
    </w:p>
    <w:p>
      <w:pPr>
        <w:pStyle w:val="BodyText"/>
        <w:spacing w:before="5"/>
        <w:rPr>
          <w:rFonts w:ascii="Calibri"/>
          <w:sz w:val="13"/>
        </w:rPr>
      </w:pPr>
    </w:p>
    <w:p>
      <w:pPr>
        <w:spacing w:before="1"/>
        <w:ind w:left="4476" w:right="0" w:firstLine="0"/>
        <w:jc w:val="center"/>
        <w:rPr>
          <w:rFonts w:ascii="Calibri"/>
          <w:sz w:val="18"/>
        </w:rPr>
      </w:pPr>
      <w:r>
        <w:rPr>
          <w:rFonts w:ascii="Calibri"/>
          <w:sz w:val="18"/>
        </w:rPr>
        <w:t>-2</w:t>
      </w:r>
    </w:p>
    <w:p>
      <w:pPr>
        <w:pStyle w:val="BodyText"/>
        <w:spacing w:before="5"/>
        <w:rPr>
          <w:rFonts w:ascii="Calibri"/>
          <w:sz w:val="13"/>
        </w:rPr>
      </w:pPr>
    </w:p>
    <w:p>
      <w:pPr>
        <w:spacing w:before="0"/>
        <w:ind w:left="4476" w:right="0" w:firstLine="0"/>
        <w:jc w:val="center"/>
        <w:rPr>
          <w:rFonts w:ascii="Calibri"/>
          <w:sz w:val="18"/>
        </w:rPr>
      </w:pPr>
      <w:r>
        <w:rPr>
          <w:rFonts w:ascii="Calibri"/>
          <w:sz w:val="18"/>
        </w:rPr>
        <w:t>-4</w:t>
      </w:r>
    </w:p>
    <w:p>
      <w:pPr>
        <w:pStyle w:val="BodyText"/>
        <w:spacing w:before="5"/>
        <w:rPr>
          <w:rFonts w:ascii="Calibri"/>
          <w:sz w:val="13"/>
        </w:rPr>
      </w:pPr>
    </w:p>
    <w:p>
      <w:pPr>
        <w:spacing w:before="1"/>
        <w:ind w:left="4476" w:right="0" w:firstLine="0"/>
        <w:jc w:val="center"/>
        <w:rPr>
          <w:rFonts w:ascii="Calibri"/>
          <w:sz w:val="18"/>
        </w:rPr>
      </w:pPr>
      <w:r>
        <w:rPr>
          <w:rFonts w:ascii="Calibri"/>
          <w:sz w:val="18"/>
        </w:rPr>
        <w:t>-6</w:t>
      </w:r>
    </w:p>
    <w:p>
      <w:pPr>
        <w:pStyle w:val="BodyText"/>
        <w:spacing w:before="5"/>
        <w:rPr>
          <w:rFonts w:ascii="Calibri"/>
          <w:sz w:val="13"/>
        </w:rPr>
      </w:pPr>
    </w:p>
    <w:p>
      <w:pPr>
        <w:spacing w:before="0"/>
        <w:ind w:left="4476" w:right="0" w:firstLine="0"/>
        <w:jc w:val="center"/>
        <w:rPr>
          <w:rFonts w:ascii="Calibri"/>
          <w:sz w:val="18"/>
        </w:rPr>
      </w:pPr>
      <w:r>
        <w:rPr>
          <w:rFonts w:ascii="Calibri"/>
          <w:sz w:val="18"/>
        </w:rPr>
        <w:t>-8</w:t>
      </w:r>
    </w:p>
    <w:p>
      <w:pPr>
        <w:tabs>
          <w:tab w:pos="1122" w:val="left" w:leader="none"/>
          <w:tab w:pos="2107" w:val="left" w:leader="none"/>
          <w:tab w:pos="3011" w:val="left" w:leader="none"/>
        </w:tabs>
        <w:spacing w:before="14"/>
        <w:ind w:left="138" w:right="0" w:firstLine="0"/>
        <w:jc w:val="center"/>
        <w:rPr>
          <w:rFonts w:ascii="Calibri"/>
          <w:sz w:val="18"/>
        </w:rPr>
      </w:pPr>
      <w:r>
        <w:rPr>
          <w:rFonts w:ascii="Calibri"/>
          <w:sz w:val="18"/>
        </w:rPr>
        <w:t>2000-07</w:t>
        <w:tab/>
        <w:t>2007-09</w:t>
        <w:tab/>
        <w:t>2009-15</w:t>
        <w:tab/>
        <w:t>Difference</w:t>
      </w:r>
    </w:p>
    <w:p>
      <w:pPr>
        <w:spacing w:line="219" w:lineRule="exact" w:before="1"/>
        <w:ind w:left="3012" w:right="0" w:firstLine="0"/>
        <w:jc w:val="center"/>
        <w:rPr>
          <w:rFonts w:ascii="Calibri"/>
          <w:sz w:val="18"/>
        </w:rPr>
      </w:pPr>
      <w:r>
        <w:rPr>
          <w:rFonts w:ascii="Calibri"/>
          <w:sz w:val="18"/>
        </w:rPr>
        <w:t>(09-15 minus</w:t>
      </w:r>
    </w:p>
    <w:p>
      <w:pPr>
        <w:spacing w:line="219" w:lineRule="exact" w:before="0"/>
        <w:ind w:left="3010" w:right="0" w:firstLine="0"/>
        <w:jc w:val="center"/>
        <w:rPr>
          <w:rFonts w:ascii="Calibri"/>
          <w:sz w:val="18"/>
        </w:rPr>
      </w:pPr>
      <w:r>
        <w:rPr>
          <w:rFonts w:ascii="Calibri"/>
          <w:sz w:val="18"/>
        </w:rPr>
        <w:t>00-07)</w:t>
      </w:r>
    </w:p>
    <w:p>
      <w:pPr>
        <w:spacing w:before="57"/>
        <w:ind w:left="512" w:right="0" w:firstLine="0"/>
        <w:jc w:val="left"/>
        <w:rPr>
          <w:rFonts w:ascii="Calibri"/>
          <w:sz w:val="18"/>
        </w:rPr>
      </w:pPr>
      <w:r>
        <w:rPr/>
        <w:br w:type="column"/>
      </w:r>
      <w:r>
        <w:rPr>
          <w:rFonts w:ascii="Calibri"/>
          <w:sz w:val="18"/>
        </w:rPr>
        <w:t>8</w:t>
      </w:r>
    </w:p>
    <w:p>
      <w:pPr>
        <w:pStyle w:val="BodyText"/>
        <w:spacing w:before="12"/>
        <w:rPr>
          <w:rFonts w:ascii="Calibri"/>
          <w:sz w:val="21"/>
        </w:rPr>
      </w:pPr>
    </w:p>
    <w:p>
      <w:pPr>
        <w:spacing w:before="0"/>
        <w:ind w:left="512" w:right="0" w:firstLine="0"/>
        <w:jc w:val="left"/>
        <w:rPr>
          <w:rFonts w:ascii="Calibri"/>
          <w:sz w:val="18"/>
        </w:rPr>
      </w:pPr>
      <w:r>
        <w:rPr>
          <w:rFonts w:ascii="Calibri"/>
          <w:sz w:val="18"/>
        </w:rPr>
        <w:t>6</w:t>
      </w:r>
    </w:p>
    <w:p>
      <w:pPr>
        <w:pStyle w:val="BodyText"/>
        <w:spacing w:before="11"/>
        <w:rPr>
          <w:rFonts w:ascii="Calibri"/>
          <w:sz w:val="21"/>
        </w:rPr>
      </w:pPr>
    </w:p>
    <w:p>
      <w:pPr>
        <w:spacing w:before="1"/>
        <w:ind w:left="512" w:right="0" w:firstLine="0"/>
        <w:jc w:val="left"/>
        <w:rPr>
          <w:rFonts w:ascii="Calibri"/>
          <w:sz w:val="18"/>
        </w:rPr>
      </w:pPr>
      <w:r>
        <w:rPr>
          <w:rFonts w:ascii="Calibri"/>
          <w:sz w:val="18"/>
        </w:rPr>
        <w:t>4</w:t>
      </w:r>
    </w:p>
    <w:p>
      <w:pPr>
        <w:pStyle w:val="BodyText"/>
        <w:spacing w:before="11"/>
        <w:rPr>
          <w:rFonts w:ascii="Calibri"/>
          <w:sz w:val="21"/>
        </w:rPr>
      </w:pPr>
    </w:p>
    <w:p>
      <w:pPr>
        <w:spacing w:before="0"/>
        <w:ind w:left="512" w:right="0" w:firstLine="0"/>
        <w:jc w:val="left"/>
        <w:rPr>
          <w:rFonts w:ascii="Calibri"/>
          <w:sz w:val="18"/>
        </w:rPr>
      </w:pPr>
      <w:r>
        <w:rPr>
          <w:rFonts w:ascii="Calibri"/>
          <w:sz w:val="18"/>
        </w:rPr>
        <w:t>2</w:t>
      </w:r>
    </w:p>
    <w:p>
      <w:pPr>
        <w:pStyle w:val="BodyText"/>
        <w:spacing w:before="11"/>
        <w:rPr>
          <w:rFonts w:ascii="Calibri"/>
          <w:sz w:val="21"/>
        </w:rPr>
      </w:pPr>
    </w:p>
    <w:p>
      <w:pPr>
        <w:spacing w:before="1"/>
        <w:ind w:left="512" w:right="0" w:firstLine="0"/>
        <w:jc w:val="left"/>
        <w:rPr>
          <w:rFonts w:ascii="Calibri"/>
          <w:sz w:val="18"/>
        </w:rPr>
      </w:pPr>
      <w:r>
        <w:rPr>
          <w:rFonts w:ascii="Calibri"/>
          <w:sz w:val="18"/>
        </w:rPr>
        <w:t>0</w:t>
      </w:r>
    </w:p>
    <w:p>
      <w:pPr>
        <w:tabs>
          <w:tab w:pos="1326" w:val="left" w:leader="none"/>
          <w:tab w:pos="1982" w:val="left" w:leader="none"/>
          <w:tab w:pos="2639" w:val="left" w:leader="none"/>
          <w:tab w:pos="3295" w:val="left" w:leader="none"/>
          <w:tab w:pos="3951" w:val="left" w:leader="none"/>
        </w:tabs>
        <w:spacing w:before="14"/>
        <w:ind w:left="670" w:right="0" w:firstLine="0"/>
        <w:jc w:val="left"/>
        <w:rPr>
          <w:rFonts w:ascii="Calibri"/>
          <w:sz w:val="18"/>
        </w:rPr>
      </w:pPr>
      <w:r>
        <w:rPr>
          <w:rFonts w:ascii="Calibri"/>
          <w:sz w:val="18"/>
        </w:rPr>
        <w:t>1995</w:t>
        <w:tab/>
        <w:t>1999</w:t>
        <w:tab/>
        <w:t>2003</w:t>
        <w:tab/>
        <w:t>2007</w:t>
        <w:tab/>
        <w:t>2011</w:t>
        <w:tab/>
      </w:r>
      <w:r>
        <w:rPr>
          <w:rFonts w:ascii="Calibri"/>
          <w:spacing w:val="-5"/>
          <w:sz w:val="18"/>
        </w:rPr>
        <w:t>2015</w:t>
      </w:r>
    </w:p>
    <w:p>
      <w:pPr>
        <w:spacing w:before="57"/>
        <w:ind w:left="26" w:right="0" w:firstLine="0"/>
        <w:jc w:val="left"/>
        <w:rPr>
          <w:rFonts w:ascii="Calibri"/>
          <w:sz w:val="18"/>
        </w:rPr>
      </w:pPr>
      <w:r>
        <w:rPr/>
        <w:br w:type="column"/>
      </w:r>
      <w:r>
        <w:rPr>
          <w:rFonts w:ascii="Calibri"/>
          <w:sz w:val="18"/>
        </w:rPr>
        <w:t>100</w:t>
      </w:r>
    </w:p>
    <w:p>
      <w:pPr>
        <w:pStyle w:val="BodyText"/>
        <w:rPr>
          <w:rFonts w:ascii="Calibri"/>
          <w:sz w:val="14"/>
        </w:rPr>
      </w:pPr>
    </w:p>
    <w:p>
      <w:pPr>
        <w:spacing w:before="0"/>
        <w:ind w:left="26" w:right="0" w:firstLine="0"/>
        <w:jc w:val="left"/>
        <w:rPr>
          <w:rFonts w:ascii="Calibri"/>
          <w:sz w:val="18"/>
        </w:rPr>
      </w:pPr>
      <w:r>
        <w:rPr>
          <w:rFonts w:ascii="Calibri"/>
          <w:sz w:val="18"/>
        </w:rPr>
        <w:t>80</w:t>
      </w:r>
    </w:p>
    <w:p>
      <w:pPr>
        <w:pStyle w:val="BodyText"/>
        <w:spacing w:before="12"/>
        <w:rPr>
          <w:rFonts w:ascii="Calibri"/>
          <w:sz w:val="13"/>
        </w:rPr>
      </w:pPr>
    </w:p>
    <w:p>
      <w:pPr>
        <w:spacing w:before="0"/>
        <w:ind w:left="26" w:right="0" w:firstLine="0"/>
        <w:jc w:val="left"/>
        <w:rPr>
          <w:rFonts w:ascii="Calibri"/>
          <w:sz w:val="18"/>
        </w:rPr>
      </w:pPr>
      <w:r>
        <w:rPr>
          <w:rFonts w:ascii="Calibri"/>
          <w:sz w:val="18"/>
        </w:rPr>
        <w:t>60</w:t>
      </w:r>
    </w:p>
    <w:p>
      <w:pPr>
        <w:pStyle w:val="BodyText"/>
        <w:spacing w:before="11"/>
        <w:rPr>
          <w:rFonts w:ascii="Calibri"/>
          <w:sz w:val="13"/>
        </w:rPr>
      </w:pPr>
    </w:p>
    <w:p>
      <w:pPr>
        <w:spacing w:before="0"/>
        <w:ind w:left="26" w:right="0" w:firstLine="0"/>
        <w:jc w:val="left"/>
        <w:rPr>
          <w:rFonts w:ascii="Calibri"/>
          <w:sz w:val="18"/>
        </w:rPr>
      </w:pPr>
      <w:r>
        <w:rPr>
          <w:rFonts w:ascii="Calibri"/>
          <w:sz w:val="18"/>
        </w:rPr>
        <w:t>40</w:t>
      </w:r>
    </w:p>
    <w:p>
      <w:pPr>
        <w:pStyle w:val="BodyText"/>
        <w:spacing w:before="12"/>
        <w:rPr>
          <w:rFonts w:ascii="Calibri"/>
          <w:sz w:val="13"/>
        </w:rPr>
      </w:pPr>
    </w:p>
    <w:p>
      <w:pPr>
        <w:spacing w:before="0"/>
        <w:ind w:left="26" w:right="0" w:firstLine="0"/>
        <w:jc w:val="left"/>
        <w:rPr>
          <w:rFonts w:ascii="Calibri"/>
          <w:sz w:val="18"/>
        </w:rPr>
      </w:pPr>
      <w:r>
        <w:rPr>
          <w:rFonts w:ascii="Calibri"/>
          <w:sz w:val="18"/>
        </w:rPr>
        <w:t>20</w:t>
      </w:r>
    </w:p>
    <w:p>
      <w:pPr>
        <w:pStyle w:val="BodyText"/>
        <w:spacing w:before="11"/>
        <w:rPr>
          <w:rFonts w:ascii="Calibri"/>
          <w:sz w:val="13"/>
        </w:rPr>
      </w:pPr>
    </w:p>
    <w:p>
      <w:pPr>
        <w:spacing w:before="1"/>
        <w:ind w:left="26" w:right="0" w:firstLine="0"/>
        <w:jc w:val="left"/>
        <w:rPr>
          <w:rFonts w:ascii="Calibri"/>
          <w:sz w:val="18"/>
        </w:rPr>
      </w:pPr>
      <w:r>
        <w:rPr>
          <w:rFonts w:ascii="Calibri"/>
          <w:sz w:val="18"/>
        </w:rPr>
        <w:t>0</w:t>
      </w:r>
    </w:p>
    <w:p>
      <w:pPr>
        <w:spacing w:after="0"/>
        <w:jc w:val="left"/>
        <w:rPr>
          <w:rFonts w:ascii="Calibri"/>
          <w:sz w:val="18"/>
        </w:rPr>
        <w:sectPr>
          <w:type w:val="continuous"/>
          <w:pgSz w:w="11910" w:h="16840"/>
          <w:pgMar w:top="1180" w:bottom="1520" w:left="900" w:right="1020"/>
          <w:cols w:num="3" w:equalWidth="0">
            <w:col w:w="4624" w:space="40"/>
            <w:col w:w="4317" w:space="39"/>
            <w:col w:w="970"/>
          </w:cols>
        </w:sectPr>
      </w:pPr>
    </w:p>
    <w:p>
      <w:pPr>
        <w:pStyle w:val="BodyText"/>
        <w:spacing w:before="2"/>
        <w:rPr>
          <w:rFonts w:ascii="Calibri"/>
          <w:sz w:val="15"/>
        </w:rPr>
      </w:pPr>
    </w:p>
    <w:p>
      <w:pPr>
        <w:tabs>
          <w:tab w:pos="4950" w:val="left" w:leader="none"/>
        </w:tabs>
        <w:spacing w:before="0"/>
        <w:ind w:left="233" w:right="0" w:firstLine="0"/>
        <w:jc w:val="left"/>
        <w:rPr>
          <w:sz w:val="16"/>
        </w:rPr>
      </w:pPr>
      <w:r>
        <w:rPr>
          <w:sz w:val="16"/>
        </w:rPr>
        <w:t>Sources:  ONS and</w:t>
      </w:r>
      <w:r>
        <w:rPr>
          <w:spacing w:val="-11"/>
          <w:sz w:val="16"/>
        </w:rPr>
        <w:t> </w:t>
      </w:r>
      <w:r>
        <w:rPr>
          <w:sz w:val="16"/>
        </w:rPr>
        <w:t>Bank</w:t>
      </w:r>
      <w:r>
        <w:rPr>
          <w:spacing w:val="-2"/>
          <w:sz w:val="16"/>
        </w:rPr>
        <w:t> </w:t>
      </w:r>
      <w:r>
        <w:rPr>
          <w:sz w:val="16"/>
        </w:rPr>
        <w:t>calculations.</w:t>
        <w:tab/>
      </w:r>
      <w:r>
        <w:rPr>
          <w:position w:val="1"/>
          <w:sz w:val="16"/>
        </w:rPr>
        <w:t>Sources: ONS and Bank</w:t>
      </w:r>
      <w:r>
        <w:rPr>
          <w:spacing w:val="-5"/>
          <w:position w:val="1"/>
          <w:sz w:val="16"/>
        </w:rPr>
        <w:t> </w:t>
      </w:r>
      <w:r>
        <w:rPr>
          <w:position w:val="1"/>
          <w:sz w:val="16"/>
        </w:rPr>
        <w:t>calculations.</w:t>
      </w:r>
    </w:p>
    <w:p>
      <w:pPr>
        <w:pStyle w:val="BodyText"/>
        <w:rPr>
          <w:sz w:val="18"/>
        </w:rPr>
      </w:pPr>
    </w:p>
    <w:p>
      <w:pPr>
        <w:pStyle w:val="BodyText"/>
        <w:spacing w:line="360" w:lineRule="auto" w:before="138"/>
        <w:ind w:left="233" w:right="231"/>
      </w:pPr>
      <w:r>
        <w:rPr/>
        <w:t>The finance productivity slowdown is overwhelmingly a slowdown in TFP (Chart 15). Capital deepening has held up better than in manufacturing and modest labour quality growth has continued, such that TFP accounts for over 80% of the fall in productivity growth.</w:t>
      </w:r>
    </w:p>
    <w:p>
      <w:pPr>
        <w:pStyle w:val="BodyText"/>
        <w:rPr>
          <w:sz w:val="30"/>
        </w:rPr>
      </w:pPr>
    </w:p>
    <w:p>
      <w:pPr>
        <w:pStyle w:val="BodyText"/>
        <w:spacing w:line="360" w:lineRule="auto" w:before="1"/>
        <w:ind w:left="233" w:right="521"/>
      </w:pPr>
      <w:r>
        <w:rPr/>
        <w:t>Changes in the structural distribution of industry cannot explain much of the fall (Chart 16). Unlike manufacturing, the measured relative price of financial-sector output was increasing during the pre-crisis period. (This is a key difference between these two sectors, which I will come back to later).</w:t>
      </w:r>
    </w:p>
    <w:p>
      <w:pPr>
        <w:pStyle w:val="BodyText"/>
        <w:spacing w:before="11"/>
        <w:rPr>
          <w:sz w:val="23"/>
        </w:rPr>
      </w:pPr>
      <w:r>
        <w:rPr/>
        <w:pict>
          <v:shape style="position:absolute;margin-left:56.664001pt;margin-top:15.975368pt;width:144.050pt;height:.1pt;mso-position-horizontal-relative:page;mso-position-vertical-relative:paragraph;z-index:-251598848;mso-wrap-distance-left:0;mso-wrap-distance-right:0" coordorigin="1133,320" coordsize="2881,0" path="m1133,320l4014,320e" filled="false" stroked="true" strokeweight=".47998pt" strokecolor="#000000">
            <v:path arrowok="t"/>
            <v:stroke dashstyle="solid"/>
            <w10:wrap type="topAndBottom"/>
          </v:shape>
        </w:pict>
      </w:r>
    </w:p>
    <w:p>
      <w:pPr>
        <w:spacing w:before="27"/>
        <w:ind w:left="233" w:right="105" w:firstLine="0"/>
        <w:jc w:val="left"/>
        <w:rPr>
          <w:sz w:val="16"/>
        </w:rPr>
      </w:pPr>
      <w:r>
        <w:rPr>
          <w:position w:val="8"/>
          <w:sz w:val="10"/>
        </w:rPr>
        <w:t>23 </w:t>
      </w:r>
      <w:r>
        <w:rPr>
          <w:sz w:val="16"/>
        </w:rPr>
        <w:t>Researchers have explored the hypothesis of zombie firms, finding that it was an unlikely explanation for the UK slowdown (Arrowsmith </w:t>
      </w:r>
      <w:r>
        <w:rPr>
          <w:i/>
          <w:sz w:val="16"/>
        </w:rPr>
        <w:t>et al</w:t>
      </w:r>
      <w:r>
        <w:rPr>
          <w:sz w:val="16"/>
        </w:rPr>
        <w:t>, 2013; Haldane, 2017). The existence of zombie-firms would lead to investment in unproductive capital and low TFP growth, but not necessarily the collapse of investment. And perhaps more importantly, as economists at the Bank of England have recently pointed out, the biggest contribution to falls in productivity growth are made by firms at the top deciles of the productivity distribution. In other words, this appears to be a story of the most productive firms not keeping pace with their growth, rather a slowdown caused by less productive firms.</w:t>
      </w:r>
    </w:p>
    <w:p>
      <w:pPr>
        <w:spacing w:after="0"/>
        <w:jc w:val="left"/>
        <w:rPr>
          <w:sz w:val="16"/>
        </w:rPr>
        <w:sectPr>
          <w:type w:val="continuous"/>
          <w:pgSz w:w="11910" w:h="16840"/>
          <w:pgMar w:top="1180" w:bottom="1520" w:left="900" w:right="1020"/>
        </w:sectPr>
      </w:pPr>
    </w:p>
    <w:p>
      <w:pPr>
        <w:pStyle w:val="BodyText"/>
        <w:spacing w:line="360" w:lineRule="auto" w:before="185"/>
        <w:ind w:left="233" w:right="231"/>
      </w:pPr>
      <w:r>
        <w:rPr/>
        <w:t>There are two possible explanations for the rapid rise and subsequent fall of financial-sector growth and productivity: one real; but another related again to measurement. Both are tightly linked to growth of leverage and under-pricing of systemic risk in the pre-crisis period. And both probably have some role to play in the sector’s slowdown.</w:t>
      </w:r>
    </w:p>
    <w:p>
      <w:pPr>
        <w:pStyle w:val="BodyText"/>
        <w:spacing w:before="9"/>
        <w:rPr>
          <w:sz w:val="29"/>
        </w:rPr>
      </w:pPr>
    </w:p>
    <w:p>
      <w:pPr>
        <w:pStyle w:val="BodyText"/>
        <w:spacing w:line="360" w:lineRule="auto"/>
        <w:ind w:left="233" w:right="110"/>
      </w:pPr>
      <w:r>
        <w:rPr/>
        <w:t>Financial services is an acute example of some of the challenges inherent in measuring services output more generally. Rapid product innovation; quality change adjustment; and simply defining what constitutes a unit of output all complicate measurement. One particular issue is how to accurately measure the output produced by banks carrying out their day-to-day business of intermediating between borrowers and lenders – a concept known as FISIM (financial intermediation services indirectly measured).</w:t>
      </w:r>
      <w:r>
        <w:rPr>
          <w:vertAlign w:val="superscript"/>
        </w:rPr>
        <w:t>24</w:t>
      </w:r>
      <w:r>
        <w:rPr>
          <w:vertAlign w:val="baseline"/>
        </w:rPr>
        <w:t>  Many of the issues relate to its price and hence are less important for real output or productivity. But the growth of real FISIM output</w:t>
      </w:r>
      <w:r>
        <w:rPr>
          <w:spacing w:val="-4"/>
          <w:vertAlign w:val="baseline"/>
        </w:rPr>
        <w:t> </w:t>
      </w:r>
      <w:r>
        <w:rPr>
          <w:vertAlign w:val="baseline"/>
        </w:rPr>
        <w:t>is</w:t>
      </w:r>
      <w:r>
        <w:rPr>
          <w:spacing w:val="-2"/>
          <w:vertAlign w:val="baseline"/>
        </w:rPr>
        <w:t> </w:t>
      </w:r>
      <w:r>
        <w:rPr>
          <w:vertAlign w:val="baseline"/>
        </w:rPr>
        <w:t>closely</w:t>
      </w:r>
      <w:r>
        <w:rPr>
          <w:spacing w:val="-5"/>
          <w:vertAlign w:val="baseline"/>
        </w:rPr>
        <w:t> </w:t>
      </w:r>
      <w:r>
        <w:rPr>
          <w:vertAlign w:val="baseline"/>
        </w:rPr>
        <w:t>related</w:t>
      </w:r>
      <w:r>
        <w:rPr>
          <w:spacing w:val="-4"/>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growth</w:t>
      </w:r>
      <w:r>
        <w:rPr>
          <w:spacing w:val="-3"/>
          <w:vertAlign w:val="baseline"/>
        </w:rPr>
        <w:t> </w:t>
      </w:r>
      <w:r>
        <w:rPr>
          <w:vertAlign w:val="baseline"/>
        </w:rPr>
        <w:t>rate</w:t>
      </w:r>
      <w:r>
        <w:rPr>
          <w:spacing w:val="-2"/>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stock</w:t>
      </w:r>
      <w:r>
        <w:rPr>
          <w:spacing w:val="2"/>
          <w:vertAlign w:val="baseline"/>
        </w:rPr>
        <w:t> </w:t>
      </w:r>
      <w:r>
        <w:rPr>
          <w:vertAlign w:val="baseline"/>
        </w:rPr>
        <w:t>of</w:t>
      </w:r>
      <w:r>
        <w:rPr>
          <w:spacing w:val="-1"/>
          <w:vertAlign w:val="baseline"/>
        </w:rPr>
        <w:t> </w:t>
      </w:r>
      <w:r>
        <w:rPr>
          <w:vertAlign w:val="baseline"/>
        </w:rPr>
        <w:t>loans</w:t>
      </w:r>
      <w:r>
        <w:rPr>
          <w:spacing w:val="-2"/>
          <w:vertAlign w:val="baseline"/>
        </w:rPr>
        <w:t> </w:t>
      </w:r>
      <w:r>
        <w:rPr>
          <w:vertAlign w:val="baseline"/>
        </w:rPr>
        <w:t>and</w:t>
      </w:r>
      <w:r>
        <w:rPr>
          <w:spacing w:val="-1"/>
          <w:vertAlign w:val="baseline"/>
        </w:rPr>
        <w:t> </w:t>
      </w:r>
      <w:r>
        <w:rPr>
          <w:vertAlign w:val="baseline"/>
        </w:rPr>
        <w:t>deposits</w:t>
      </w:r>
      <w:r>
        <w:rPr>
          <w:spacing w:val="-2"/>
          <w:vertAlign w:val="baseline"/>
        </w:rPr>
        <w:t> </w:t>
      </w:r>
      <w:r>
        <w:rPr>
          <w:vertAlign w:val="baseline"/>
        </w:rPr>
        <w:t>on</w:t>
      </w:r>
      <w:r>
        <w:rPr>
          <w:spacing w:val="-3"/>
          <w:vertAlign w:val="baseline"/>
        </w:rPr>
        <w:t> </w:t>
      </w:r>
      <w:r>
        <w:rPr>
          <w:vertAlign w:val="baseline"/>
        </w:rPr>
        <w:t>banks’</w:t>
      </w:r>
      <w:r>
        <w:rPr>
          <w:spacing w:val="-3"/>
          <w:vertAlign w:val="baseline"/>
        </w:rPr>
        <w:t> </w:t>
      </w:r>
      <w:r>
        <w:rPr>
          <w:vertAlign w:val="baseline"/>
        </w:rPr>
        <w:t>balance</w:t>
      </w:r>
      <w:r>
        <w:rPr>
          <w:spacing w:val="-3"/>
          <w:vertAlign w:val="baseline"/>
        </w:rPr>
        <w:t> </w:t>
      </w:r>
      <w:r>
        <w:rPr>
          <w:vertAlign w:val="baseline"/>
        </w:rPr>
        <w:t>sheets.</w:t>
      </w:r>
    </w:p>
    <w:p>
      <w:pPr>
        <w:pStyle w:val="BodyText"/>
        <w:spacing w:line="357" w:lineRule="auto" w:before="3"/>
        <w:ind w:left="233"/>
      </w:pPr>
      <w:r>
        <w:rPr/>
        <w:t>While this is not mismeasurement as such, it is conceptually debatable that the intermediation services provided by banks really increase one-for-one with the size of their balance sheets.</w:t>
      </w:r>
      <w:r>
        <w:rPr>
          <w:vertAlign w:val="superscript"/>
        </w:rPr>
        <w:t>25</w:t>
      </w:r>
    </w:p>
    <w:p>
      <w:pPr>
        <w:pStyle w:val="BodyText"/>
        <w:spacing w:before="4"/>
        <w:rPr>
          <w:sz w:val="30"/>
        </w:rPr>
      </w:pPr>
    </w:p>
    <w:p>
      <w:pPr>
        <w:pStyle w:val="BodyText"/>
        <w:spacing w:line="360" w:lineRule="auto"/>
        <w:ind w:left="233" w:right="127"/>
      </w:pPr>
      <w:r>
        <w:rPr/>
        <w:t>Finance-sector mismeasurement has been suggested many times before as a partial explanation for the UK productivity puzzle. Previous analyses argued that banking-sector mismeasurement could only account for a small amount of the pre-crisis boom.</w:t>
      </w:r>
      <w:r>
        <w:rPr>
          <w:vertAlign w:val="superscript"/>
        </w:rPr>
        <w:t>26</w:t>
      </w:r>
      <w:r>
        <w:rPr>
          <w:vertAlign w:val="baseline"/>
        </w:rPr>
        <w:t> But just as rapid balance sheet growth pre-crisis may have inflated measured finance output and productivity, post-crisis deleveraging may have detracted from it. Some rough calculations can give us a sense of the potential magnitudes. If the contribution of FISIM to real GDP had grown in line with the rest of GDP both pre- and post-crisis, it could explain around 0.2pp per year of the slowdown in GDP, or about one-third of the fall in financial sector TFP growth. If we were to exclude the financial-sector completely from the analysis – an extreme assumption, so definitely an upper bound – aggregate productivity growth would have been 0.2pp weaker per year pre-crisis </w:t>
      </w:r>
      <w:r>
        <w:rPr>
          <w:i/>
          <w:vertAlign w:val="baseline"/>
        </w:rPr>
        <w:t>and </w:t>
      </w:r>
      <w:r>
        <w:rPr>
          <w:vertAlign w:val="baseline"/>
        </w:rPr>
        <w:t>0.4pp stronger post- crisis. The overall productivity slowdown would go from an annual average of 1.5pp to just 0.9pp.</w:t>
      </w:r>
    </w:p>
    <w:p>
      <w:pPr>
        <w:pStyle w:val="BodyText"/>
        <w:rPr>
          <w:sz w:val="30"/>
        </w:rPr>
      </w:pPr>
    </w:p>
    <w:p>
      <w:pPr>
        <w:pStyle w:val="BodyText"/>
        <w:spacing w:line="360" w:lineRule="auto"/>
        <w:ind w:left="233" w:right="198"/>
      </w:pPr>
      <w:r>
        <w:rPr/>
        <w:t>It is unlikely that the entire slowdown in financial sector TFP is down to mismeasurement. A complementary explanation is that the key contributors to the crisis itself – risk illusion and increasing financial-sector leverage – may have increased (correctly measured) pre-crisis productivity growth. In doing so, they may also have sowed the seeds of the crisis and subsequent weakness. Increased leverage and higher risk tolerance boosted profits, earnings and output. That may have attracted capital and employees from other sectors of the economy. More broadly, rapid credit growth and low risk premia fed into higher asset prices, with positive spillovers to demand elsewhere in the economy. As the crisis hit, these channels went into reverse, leading to falls in wealth and higher uncertainty. Both lowered spending and output and probably also increased households’ labour supply.</w:t>
      </w:r>
    </w:p>
    <w:p>
      <w:pPr>
        <w:pStyle w:val="BodyText"/>
      </w:pPr>
    </w:p>
    <w:p>
      <w:pPr>
        <w:pStyle w:val="BodyText"/>
      </w:pPr>
    </w:p>
    <w:p>
      <w:pPr>
        <w:pStyle w:val="BodyText"/>
        <w:spacing w:before="8"/>
        <w:rPr>
          <w:sz w:val="18"/>
        </w:rPr>
      </w:pPr>
      <w:r>
        <w:rPr/>
        <w:pict>
          <v:shape style="position:absolute;margin-left:56.664001pt;margin-top:12.998164pt;width:144.050pt;height:.1pt;mso-position-horizontal-relative:page;mso-position-vertical-relative:paragraph;z-index:-251590656;mso-wrap-distance-left:0;mso-wrap-distance-right:0" coordorigin="1133,260" coordsize="2881,0" path="m1133,260l4014,260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24 </w:t>
      </w:r>
      <w:r>
        <w:rPr>
          <w:sz w:val="16"/>
        </w:rPr>
        <w:t>For more detail on this issue, see Haldane, Brennan and Madouros (2010), Burgess (2011) and Akritidis and Francis (2017).</w:t>
      </w:r>
    </w:p>
    <w:p>
      <w:pPr>
        <w:spacing w:line="185" w:lineRule="exact" w:before="0"/>
        <w:ind w:left="233" w:right="0" w:firstLine="0"/>
        <w:jc w:val="left"/>
        <w:rPr>
          <w:sz w:val="16"/>
        </w:rPr>
      </w:pPr>
      <w:r>
        <w:rPr>
          <w:position w:val="8"/>
          <w:sz w:val="10"/>
        </w:rPr>
        <w:t>25 </w:t>
      </w:r>
      <w:r>
        <w:rPr>
          <w:sz w:val="16"/>
        </w:rPr>
        <w:t>Inklaar and Wang (2007).</w:t>
      </w:r>
    </w:p>
    <w:p>
      <w:pPr>
        <w:spacing w:line="196" w:lineRule="exact" w:before="0"/>
        <w:ind w:left="233" w:right="0" w:firstLine="0"/>
        <w:jc w:val="left"/>
        <w:rPr>
          <w:sz w:val="16"/>
        </w:rPr>
      </w:pPr>
      <w:r>
        <w:rPr>
          <w:position w:val="8"/>
          <w:sz w:val="10"/>
        </w:rPr>
        <w:t>26 </w:t>
      </w:r>
      <w:r>
        <w:rPr>
          <w:sz w:val="16"/>
        </w:rPr>
        <w:t>For example, Burgess (2011) and Oulton (2013).</w:t>
      </w:r>
    </w:p>
    <w:p>
      <w:pPr>
        <w:spacing w:after="0" w:line="196" w:lineRule="exact"/>
        <w:jc w:val="left"/>
        <w:rPr>
          <w:sz w:val="16"/>
        </w:rPr>
        <w:sectPr>
          <w:footerReference w:type="default" r:id="rId44"/>
          <w:pgSz w:w="11910" w:h="16840"/>
          <w:pgMar w:footer="1338" w:header="0" w:top="1580" w:bottom="1520" w:left="900" w:right="1020"/>
          <w:pgNumType w:start="16"/>
        </w:sectPr>
      </w:pPr>
    </w:p>
    <w:p>
      <w:pPr>
        <w:pStyle w:val="BodyText"/>
        <w:spacing w:line="360" w:lineRule="auto" w:before="79"/>
        <w:ind w:left="233" w:right="231"/>
      </w:pPr>
      <w:r>
        <w:rPr/>
        <w:t>Whatever the ultimate trigger of the finance-sector slowdown, its contributions to measured GDP and productivity growth are unlikely to pick up to those we saw in its pre-crisis boom. To achieve that would require a repeat of the type of unsustainable increases in leverage that we saw in the 2000s.</w:t>
      </w:r>
    </w:p>
    <w:p>
      <w:pPr>
        <w:pStyle w:val="BodyText"/>
        <w:spacing w:line="360" w:lineRule="auto"/>
        <w:ind w:left="233"/>
      </w:pPr>
      <w:r>
        <w:rPr/>
        <w:t>The financial-stability reforms we have seen since the crisis were put in place precisely to prevent the damaging consequences of those episodes.</w:t>
      </w:r>
    </w:p>
    <w:p>
      <w:pPr>
        <w:pStyle w:val="BodyText"/>
        <w:spacing w:before="10"/>
        <w:rPr>
          <w:sz w:val="29"/>
        </w:rPr>
      </w:pPr>
    </w:p>
    <w:p>
      <w:pPr>
        <w:pStyle w:val="BodyText"/>
        <w:spacing w:line="360" w:lineRule="auto"/>
        <w:ind w:left="233" w:right="198"/>
      </w:pPr>
      <w:r>
        <w:rPr/>
        <w:t>But nor should we expect finance to continue to drag </w:t>
      </w:r>
      <w:r>
        <w:rPr>
          <w:spacing w:val="3"/>
        </w:rPr>
        <w:t>on </w:t>
      </w:r>
      <w:r>
        <w:rPr/>
        <w:t>aggregate productivity. The sector’s post-crisis performance has been as poor as its pre-crisis performance was strong. Credit and deposit growth have been weak as banks and households have sought to deleverage. But those processes have largely run</w:t>
      </w:r>
      <w:r>
        <w:rPr>
          <w:spacing w:val="-35"/>
        </w:rPr>
        <w:t> </w:t>
      </w:r>
      <w:r>
        <w:rPr/>
        <w:t>their course. Looking ahead, a neutral projection might assume that the performance of the finance industry begins to move in lockstep with aggregate GDP and productivity in the rest of the economy. Relative to the past few years, that would amount to a helpful boost to productivity growth. If there were positive spillovers to professional services and other complementary industries, there may be even greater grounds for optimism.</w:t>
      </w:r>
    </w:p>
    <w:p>
      <w:pPr>
        <w:pStyle w:val="BodyText"/>
        <w:spacing w:before="2"/>
        <w:rPr>
          <w:sz w:val="30"/>
        </w:rPr>
      </w:pPr>
    </w:p>
    <w:p>
      <w:pPr>
        <w:pStyle w:val="BodyText"/>
        <w:spacing w:line="360" w:lineRule="auto"/>
        <w:ind w:left="233" w:right="220"/>
      </w:pPr>
      <w:r>
        <w:rPr/>
        <w:t>Let me re-emphasise an important difference between the productivity performance of manufacturing and finance, the two biggest contributors to the slowdown. This is where the distinction between revenue productivity (defined as nominal value added in the industry deflated by the aggregate GDP deflator) and quantity or physical productivity (nominal value added in the sector deflated by a sector-specific price index) becomes relevant, as prices are an important part of the return to any activity.</w:t>
      </w:r>
    </w:p>
    <w:p>
      <w:pPr>
        <w:pStyle w:val="BodyText"/>
        <w:spacing w:before="10"/>
        <w:rPr>
          <w:sz w:val="29"/>
        </w:rPr>
      </w:pPr>
    </w:p>
    <w:p>
      <w:pPr>
        <w:pStyle w:val="BodyText"/>
        <w:spacing w:line="360" w:lineRule="auto"/>
        <w:ind w:left="233"/>
      </w:pPr>
      <w:r>
        <w:rPr/>
        <w:t>While manufacturing was experiencing growth in quantity or physical productivity before the crisis, trends in revenue productivity growth were very different. Because manufacturing prices were falling quickly pre-crisis but flat post-crisis, revenue productivity growth was actually stable over the two periods. In finance, sectoral prices were rising pre-crisis relative to the aggregate GDP deflator.</w:t>
      </w:r>
    </w:p>
    <w:p>
      <w:pPr>
        <w:pStyle w:val="BodyText"/>
        <w:spacing w:before="1"/>
        <w:rPr>
          <w:sz w:val="30"/>
        </w:rPr>
      </w:pPr>
    </w:p>
    <w:p>
      <w:pPr>
        <w:pStyle w:val="BodyText"/>
        <w:spacing w:line="360" w:lineRule="auto"/>
        <w:ind w:left="233"/>
      </w:pPr>
      <w:r>
        <w:rPr/>
        <w:t>Indeed, consistent with the fall in manufacturing prices, the sector had been shrinking as a share of the total economy before the crisis. Finance, on the other hand, registered the highest growth rates of revenue productivity growth in the UK and it arguably yielded the highest returns in the pre-crisis period. The sector grew remarkably fast in the UK before the crisis.</w:t>
      </w:r>
    </w:p>
    <w:p>
      <w:pPr>
        <w:pStyle w:val="BodyText"/>
        <w:spacing w:before="1"/>
        <w:rPr>
          <w:sz w:val="30"/>
        </w:rPr>
      </w:pPr>
    </w:p>
    <w:p>
      <w:pPr>
        <w:pStyle w:val="BodyText"/>
        <w:spacing w:line="360" w:lineRule="auto"/>
        <w:ind w:left="233" w:right="109"/>
      </w:pPr>
      <w:r>
        <w:rPr/>
        <w:t>As said, together with manufacturing, finance explains three quarters of the productivity slowdown. Professional services and ICT account for the other quarter. The two main subsectors within professional services, accounting for 50 percent of its value added are “Legal and accounting services” and “Management and management consultancy.” Naturally, the performance of these services is tightly linked to that of financial services, given the complementarities in activity. These services saw sharp falls in labour productivity during the period. Given the link to finance, their rise and fall likely obey the same causes.</w:t>
      </w:r>
    </w:p>
    <w:p>
      <w:pPr>
        <w:pStyle w:val="BodyText"/>
        <w:spacing w:line="230" w:lineRule="exact"/>
        <w:ind w:left="233"/>
      </w:pPr>
      <w:r>
        <w:rPr/>
        <w:t>Let me just say a few words about ICT.</w:t>
      </w:r>
    </w:p>
    <w:p>
      <w:pPr>
        <w:spacing w:after="0" w:line="230" w:lineRule="exact"/>
        <w:sectPr>
          <w:pgSz w:w="11910" w:h="16840"/>
          <w:pgMar w:header="0" w:footer="1338" w:top="1340" w:bottom="1520" w:left="900" w:right="1020"/>
        </w:sectPr>
      </w:pPr>
    </w:p>
    <w:p>
      <w:pPr>
        <w:pStyle w:val="BodyText"/>
        <w:spacing w:line="360" w:lineRule="auto" w:before="79"/>
        <w:ind w:left="233" w:right="324"/>
      </w:pPr>
      <w:r>
        <w:rPr>
          <w:u w:val="single"/>
        </w:rPr>
        <w:t>ICT</w:t>
      </w:r>
      <w:r>
        <w:rPr/>
        <w:t> also experienced a productivity boom pre-crisis, although unlike manufacturing and finance this largely took place in the late 1990s. Productivity growth in the industry then fell steadily from 6.4% per year in 1995-2000, to 3.4% in 2000-07, 1.5% during the crisis, and 0.4% from 2009-15.</w:t>
      </w:r>
    </w:p>
    <w:p>
      <w:pPr>
        <w:pStyle w:val="BodyText"/>
        <w:rPr>
          <w:sz w:val="30"/>
        </w:rPr>
      </w:pPr>
    </w:p>
    <w:p>
      <w:pPr>
        <w:pStyle w:val="BodyText"/>
        <w:spacing w:line="360" w:lineRule="auto"/>
        <w:ind w:left="233"/>
      </w:pPr>
      <w:r>
        <w:rPr/>
        <w:t>In terms of measured inputs into production, around 60% of the slowdown relative to the 2000-07 period can largely be explained with slower capital deepening, with lower TFP growth more than accounting for the rest. ICT capital per hour worked grew at an average rate of 1.4% pre-crisis, but </w:t>
      </w:r>
      <w:r>
        <w:rPr>
          <w:i/>
        </w:rPr>
        <w:t>fell </w:t>
      </w:r>
      <w:r>
        <w:rPr/>
        <w:t>by 1.1% per year afterwards. This has been amplified by sharp falls in the relative price of ICT goods and services – by around one-fifth since 2000 (and by around one-third since the mid-1990s) – more than any other industry.</w:t>
      </w:r>
    </w:p>
    <w:p>
      <w:pPr>
        <w:pStyle w:val="BodyText"/>
        <w:spacing w:before="10"/>
        <w:rPr>
          <w:sz w:val="29"/>
        </w:rPr>
      </w:pPr>
    </w:p>
    <w:p>
      <w:pPr>
        <w:pStyle w:val="BodyText"/>
        <w:spacing w:line="360" w:lineRule="auto"/>
        <w:ind w:left="233" w:right="231"/>
      </w:pPr>
      <w:r>
        <w:rPr/>
        <w:t>Measurement challenges – and specifically adjusting for quality changes is a particular concern in this industry, given the proliferation of free services.</w:t>
      </w:r>
      <w:r>
        <w:rPr>
          <w:vertAlign w:val="superscript"/>
        </w:rPr>
        <w:t>27</w:t>
      </w:r>
      <w:r>
        <w:rPr>
          <w:vertAlign w:val="baseline"/>
        </w:rPr>
        <w:t> There is also an interesting debate on the role of intangibles investment that I will not have time to address, but could probably account for some of the missing growth in productivity in the sector.</w:t>
      </w:r>
      <w:r>
        <w:rPr>
          <w:vertAlign w:val="superscript"/>
        </w:rPr>
        <w:t>28</w:t>
      </w:r>
    </w:p>
    <w:p>
      <w:pPr>
        <w:pStyle w:val="BodyText"/>
        <w:spacing w:before="11"/>
        <w:rPr>
          <w:sz w:val="29"/>
        </w:rPr>
      </w:pPr>
    </w:p>
    <w:p>
      <w:pPr>
        <w:spacing w:before="0"/>
        <w:ind w:left="233" w:right="0" w:firstLine="0"/>
        <w:jc w:val="left"/>
        <w:rPr>
          <w:i/>
          <w:sz w:val="20"/>
        </w:rPr>
      </w:pPr>
      <w:r>
        <w:rPr>
          <w:i/>
          <w:sz w:val="20"/>
          <w:u w:val="single"/>
        </w:rPr>
        <w:t>Factor decomposition of the productivity growth slowdown</w:t>
      </w:r>
    </w:p>
    <w:p>
      <w:pPr>
        <w:pStyle w:val="BodyText"/>
        <w:rPr>
          <w:i/>
        </w:rPr>
      </w:pPr>
    </w:p>
    <w:p>
      <w:pPr>
        <w:pStyle w:val="BodyText"/>
        <w:spacing w:before="3"/>
        <w:rPr>
          <w:i/>
        </w:rPr>
      </w:pPr>
    </w:p>
    <w:p>
      <w:pPr>
        <w:pStyle w:val="BodyText"/>
        <w:spacing w:line="360" w:lineRule="auto" w:before="1"/>
        <w:ind w:left="233" w:right="153"/>
      </w:pPr>
      <w:r>
        <w:rPr/>
        <w:t>So far, I have shown that a small number of industries can account for the fall in productivity growth. I have also suggested that there are a couple of hypotheses – both real and related to measurement – which may help explain the slowdown in measured aggregate productivity. Before turning to the implications, it is useful to see how this maps back into the aggregate data. One reason is that some stories may only be apparent at the aggregate level – reallocations of labour between different sectors can have effects on aggregate productivity, even if sector-level productivity is unchanged. In addition, as I have highlighted so far, there</w:t>
      </w:r>
      <w:r>
        <w:rPr>
          <w:spacing w:val="-34"/>
        </w:rPr>
        <w:t> </w:t>
      </w:r>
      <w:r>
        <w:rPr/>
        <w:t>are measurement challenges in the collection of GDP data, which may lead one to place more weight on the whole-economy factor decomposition than its sectoral</w:t>
      </w:r>
      <w:r>
        <w:rPr>
          <w:spacing w:val="-6"/>
        </w:rPr>
        <w:t> </w:t>
      </w:r>
      <w:r>
        <w:rPr/>
        <w:t>split.</w:t>
      </w:r>
    </w:p>
    <w:p>
      <w:pPr>
        <w:pStyle w:val="BodyText"/>
        <w:spacing w:before="10"/>
        <w:rPr>
          <w:sz w:val="29"/>
        </w:rPr>
      </w:pPr>
    </w:p>
    <w:p>
      <w:pPr>
        <w:pStyle w:val="BodyText"/>
        <w:spacing w:line="360" w:lineRule="auto"/>
        <w:ind w:left="233"/>
      </w:pPr>
      <w:r>
        <w:rPr/>
        <w:t>Table 1 shows an aggregated version of the industry-level decompositions. I will offer a few words on what I take from this, although other interpretations are equally possible.</w:t>
      </w:r>
    </w:p>
    <w:p>
      <w:pPr>
        <w:pStyle w:val="BodyText"/>
        <w:spacing w:before="11"/>
        <w:rPr>
          <w:sz w:val="29"/>
        </w:rPr>
      </w:pPr>
    </w:p>
    <w:p>
      <w:pPr>
        <w:pStyle w:val="BodyText"/>
        <w:spacing w:line="360" w:lineRule="auto"/>
        <w:ind w:left="233" w:right="120"/>
      </w:pPr>
      <w:r>
        <w:rPr/>
        <w:t>It is easiest to start with what the decompositions do not show: on these data, we can rule out labour quality and labour allocation explanations for the aggregate productivity slowdown. The quality-adjusted labour data suggest that human capital variations have contributed </w:t>
      </w:r>
      <w:r>
        <w:rPr>
          <w:i/>
        </w:rPr>
        <w:t>more positively </w:t>
      </w:r>
      <w:r>
        <w:rPr/>
        <w:t>to post-crisis productivity growth, so controlling for these actually slightly increases the size of the puzzle.</w:t>
      </w:r>
      <w:r>
        <w:rPr>
          <w:vertAlign w:val="superscript"/>
        </w:rPr>
        <w:t>29</w:t>
      </w:r>
      <w:r>
        <w:rPr>
          <w:vertAlign w:val="baseline"/>
        </w:rPr>
        <w:t> Pre-crisis, there was a small drag on productivity growth from labour reallocating to less productive sectors. But this has not occurred post-crisis, so this channel has also lessened the slowdown and slightly increases the size of the puzzle.</w:t>
      </w:r>
    </w:p>
    <w:p>
      <w:pPr>
        <w:pStyle w:val="BodyText"/>
      </w:pPr>
    </w:p>
    <w:p>
      <w:pPr>
        <w:pStyle w:val="BodyText"/>
      </w:pPr>
    </w:p>
    <w:p>
      <w:pPr>
        <w:pStyle w:val="BodyText"/>
        <w:spacing w:before="10"/>
        <w:rPr>
          <w:sz w:val="16"/>
        </w:rPr>
      </w:pPr>
      <w:r>
        <w:rPr/>
        <w:pict>
          <v:shape style="position:absolute;margin-left:56.664001pt;margin-top:11.933007pt;width:144.050pt;height:.1pt;mso-position-horizontal-relative:page;mso-position-vertical-relative:paragraph;z-index:-251589632;mso-wrap-distance-left:0;mso-wrap-distance-right:0" coordorigin="1133,239" coordsize="2881,0" path="m1133,239l4014,239e" filled="false" stroked="true" strokeweight=".48004pt" strokecolor="#000000">
            <v:path arrowok="t"/>
            <v:stroke dashstyle="solid"/>
            <w10:wrap type="topAndBottom"/>
          </v:shape>
        </w:pict>
      </w:r>
    </w:p>
    <w:p>
      <w:pPr>
        <w:spacing w:before="30"/>
        <w:ind w:left="233" w:right="176" w:firstLine="0"/>
        <w:jc w:val="left"/>
        <w:rPr>
          <w:sz w:val="16"/>
        </w:rPr>
      </w:pPr>
      <w:r>
        <w:rPr>
          <w:position w:val="8"/>
          <w:sz w:val="10"/>
        </w:rPr>
        <w:t>27 </w:t>
      </w:r>
      <w:r>
        <w:rPr>
          <w:sz w:val="16"/>
        </w:rPr>
        <w:t>More broadly, Bean (2016) discusses a range of emerging challenges introduced by the digital economy in measuring GDP. Coyle (2017) argues that mismeasurement due to digital activities may be making significant contribution to the productivity growth slowdown. She also discusses the role of digital technologies in enabling a shift from market to non-market production.</w:t>
      </w:r>
    </w:p>
    <w:p>
      <w:pPr>
        <w:spacing w:line="172" w:lineRule="exact" w:before="0"/>
        <w:ind w:left="233" w:right="0" w:firstLine="0"/>
        <w:jc w:val="left"/>
        <w:rPr>
          <w:sz w:val="16"/>
        </w:rPr>
      </w:pPr>
      <w:r>
        <w:rPr>
          <w:position w:val="8"/>
          <w:sz w:val="10"/>
        </w:rPr>
        <w:t>28 </w:t>
      </w:r>
      <w:r>
        <w:rPr>
          <w:sz w:val="16"/>
        </w:rPr>
        <w:t>See Goodridge, Haskel and Wallis (2013).</w:t>
      </w:r>
    </w:p>
    <w:p>
      <w:pPr>
        <w:spacing w:line="196" w:lineRule="exact" w:before="0"/>
        <w:ind w:left="233" w:right="0" w:firstLine="0"/>
        <w:jc w:val="left"/>
        <w:rPr>
          <w:sz w:val="16"/>
        </w:rPr>
      </w:pPr>
      <w:r>
        <w:rPr>
          <w:position w:val="8"/>
          <w:sz w:val="10"/>
        </w:rPr>
        <w:t>29 </w:t>
      </w:r>
      <w:r>
        <w:rPr>
          <w:sz w:val="16"/>
        </w:rPr>
        <w:t>Although post-crisis, the contribution fell in 2014 and 2015.</w:t>
      </w:r>
    </w:p>
    <w:p>
      <w:pPr>
        <w:spacing w:after="0" w:line="196" w:lineRule="exact"/>
        <w:jc w:val="left"/>
        <w:rPr>
          <w:sz w:val="16"/>
        </w:rPr>
        <w:sectPr>
          <w:pgSz w:w="11910" w:h="16840"/>
          <w:pgMar w:header="0" w:footer="1338" w:top="1340" w:bottom="1520" w:left="900" w:right="1020"/>
        </w:sectPr>
      </w:pPr>
    </w:p>
    <w:p>
      <w:pPr>
        <w:pStyle w:val="Heading1"/>
        <w:spacing w:before="67"/>
        <w:ind w:left="924"/>
      </w:pPr>
      <w:r>
        <w:rPr/>
        <w:t>Table 1 – Contributions to average annual labour productivity growth, pp</w:t>
      </w:r>
    </w:p>
    <w:p>
      <w:pPr>
        <w:pStyle w:val="BodyText"/>
        <w:spacing w:before="10"/>
        <w:rPr>
          <w:b/>
          <w:sz w:val="29"/>
        </w:rPr>
      </w:pPr>
    </w:p>
    <w:tbl>
      <w:tblPr>
        <w:tblW w:w="0" w:type="auto"/>
        <w:jc w:val="left"/>
        <w:tblInd w:w="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1"/>
        <w:gridCol w:w="1174"/>
        <w:gridCol w:w="1128"/>
        <w:gridCol w:w="1316"/>
        <w:gridCol w:w="1295"/>
        <w:gridCol w:w="1119"/>
      </w:tblGrid>
      <w:tr>
        <w:trPr>
          <w:trHeight w:val="599" w:hRule="atLeast"/>
        </w:trPr>
        <w:tc>
          <w:tcPr>
            <w:tcW w:w="1951" w:type="dxa"/>
            <w:tcBorders>
              <w:bottom w:val="single" w:sz="4" w:space="0" w:color="000000"/>
            </w:tcBorders>
          </w:tcPr>
          <w:p>
            <w:pPr>
              <w:pStyle w:val="TableParagraph"/>
              <w:spacing w:line="225" w:lineRule="exact" w:before="0"/>
              <w:ind w:left="107"/>
              <w:jc w:val="left"/>
              <w:rPr>
                <w:rFonts w:ascii="Arial"/>
                <w:b/>
                <w:sz w:val="20"/>
              </w:rPr>
            </w:pPr>
            <w:r>
              <w:rPr>
                <w:rFonts w:ascii="Arial"/>
                <w:b/>
                <w:sz w:val="20"/>
              </w:rPr>
              <w:t>Factor</w:t>
            </w:r>
          </w:p>
        </w:tc>
        <w:tc>
          <w:tcPr>
            <w:tcW w:w="1174" w:type="dxa"/>
            <w:tcBorders>
              <w:bottom w:val="single" w:sz="4" w:space="0" w:color="000000"/>
            </w:tcBorders>
          </w:tcPr>
          <w:p>
            <w:pPr>
              <w:pStyle w:val="TableParagraph"/>
              <w:spacing w:line="240" w:lineRule="auto" w:before="0"/>
              <w:ind w:left="166" w:right="117" w:hanging="22"/>
              <w:jc w:val="left"/>
              <w:rPr>
                <w:rFonts w:ascii="Arial"/>
                <w:b/>
                <w:sz w:val="20"/>
              </w:rPr>
            </w:pPr>
            <w:r>
              <w:rPr>
                <w:rFonts w:ascii="Arial"/>
                <w:b/>
                <w:w w:val="95"/>
                <w:sz w:val="20"/>
              </w:rPr>
              <w:t>Pre-crisis </w:t>
            </w:r>
            <w:r>
              <w:rPr>
                <w:rFonts w:ascii="Arial"/>
                <w:b/>
                <w:sz w:val="20"/>
              </w:rPr>
              <w:t>(2000-07)</w:t>
            </w:r>
          </w:p>
        </w:tc>
        <w:tc>
          <w:tcPr>
            <w:tcW w:w="1128" w:type="dxa"/>
            <w:tcBorders>
              <w:bottom w:val="single" w:sz="4" w:space="0" w:color="000000"/>
            </w:tcBorders>
          </w:tcPr>
          <w:p>
            <w:pPr>
              <w:pStyle w:val="TableParagraph"/>
              <w:spacing w:line="240" w:lineRule="auto" w:before="0"/>
              <w:ind w:left="120" w:right="139" w:firstLine="156"/>
              <w:jc w:val="left"/>
              <w:rPr>
                <w:rFonts w:ascii="Arial"/>
                <w:b/>
                <w:sz w:val="20"/>
              </w:rPr>
            </w:pPr>
            <w:r>
              <w:rPr>
                <w:rFonts w:ascii="Arial"/>
                <w:b/>
                <w:sz w:val="20"/>
              </w:rPr>
              <w:t>Crisis </w:t>
            </w:r>
            <w:r>
              <w:rPr>
                <w:rFonts w:ascii="Arial"/>
                <w:b/>
                <w:w w:val="95"/>
                <w:sz w:val="20"/>
              </w:rPr>
              <w:t>(2007-09)</w:t>
            </w:r>
          </w:p>
        </w:tc>
        <w:tc>
          <w:tcPr>
            <w:tcW w:w="1316" w:type="dxa"/>
            <w:tcBorders>
              <w:bottom w:val="single" w:sz="4" w:space="0" w:color="000000"/>
              <w:right w:val="single" w:sz="4" w:space="0" w:color="000000"/>
            </w:tcBorders>
          </w:tcPr>
          <w:p>
            <w:pPr>
              <w:pStyle w:val="TableParagraph"/>
              <w:spacing w:line="240" w:lineRule="auto" w:before="0"/>
              <w:ind w:left="219" w:right="146" w:hanging="77"/>
              <w:jc w:val="left"/>
              <w:rPr>
                <w:rFonts w:ascii="Arial"/>
                <w:b/>
                <w:sz w:val="20"/>
              </w:rPr>
            </w:pPr>
            <w:r>
              <w:rPr>
                <w:rFonts w:ascii="Arial"/>
                <w:b/>
                <w:w w:val="95"/>
                <w:sz w:val="20"/>
              </w:rPr>
              <w:t>Post-crisis </w:t>
            </w:r>
            <w:r>
              <w:rPr>
                <w:rFonts w:ascii="Arial"/>
                <w:b/>
                <w:sz w:val="20"/>
              </w:rPr>
              <w:t>(2009-15)</w:t>
            </w:r>
          </w:p>
        </w:tc>
        <w:tc>
          <w:tcPr>
            <w:tcW w:w="1295" w:type="dxa"/>
            <w:tcBorders>
              <w:left w:val="single" w:sz="4" w:space="0" w:color="000000"/>
              <w:bottom w:val="single" w:sz="4" w:space="0" w:color="000000"/>
            </w:tcBorders>
          </w:tcPr>
          <w:p>
            <w:pPr>
              <w:pStyle w:val="TableParagraph"/>
              <w:spacing w:line="240" w:lineRule="auto" w:before="0"/>
              <w:ind w:left="158" w:hanging="34"/>
              <w:jc w:val="left"/>
              <w:rPr>
                <w:rFonts w:ascii="Arial"/>
                <w:b/>
                <w:sz w:val="20"/>
              </w:rPr>
            </w:pPr>
            <w:r>
              <w:rPr>
                <w:rFonts w:ascii="Arial"/>
                <w:b/>
                <w:w w:val="95"/>
                <w:sz w:val="20"/>
              </w:rPr>
              <w:t>Post-crisis </w:t>
            </w:r>
            <w:r>
              <w:rPr>
                <w:rFonts w:ascii="Arial"/>
                <w:b/>
                <w:sz w:val="20"/>
              </w:rPr>
              <w:t>difference</w:t>
            </w:r>
          </w:p>
        </w:tc>
        <w:tc>
          <w:tcPr>
            <w:tcW w:w="1119" w:type="dxa"/>
            <w:tcBorders>
              <w:bottom w:val="single" w:sz="4" w:space="0" w:color="000000"/>
            </w:tcBorders>
          </w:tcPr>
          <w:p>
            <w:pPr>
              <w:pStyle w:val="TableParagraph"/>
              <w:spacing w:line="240" w:lineRule="auto" w:before="0"/>
              <w:ind w:left="215" w:right="17" w:hanging="72"/>
              <w:jc w:val="left"/>
              <w:rPr>
                <w:rFonts w:ascii="Arial"/>
                <w:i/>
                <w:sz w:val="20"/>
              </w:rPr>
            </w:pPr>
            <w:r>
              <w:rPr>
                <w:rFonts w:ascii="Arial"/>
                <w:i/>
                <w:sz w:val="20"/>
              </w:rPr>
              <w:t>(Per cent </w:t>
            </w:r>
            <w:r>
              <w:rPr>
                <w:rFonts w:ascii="Arial"/>
                <w:i/>
                <w:sz w:val="20"/>
              </w:rPr>
              <w:t>of total)</w:t>
            </w:r>
          </w:p>
        </w:tc>
      </w:tr>
      <w:tr>
        <w:trPr>
          <w:trHeight w:val="636" w:hRule="atLeast"/>
        </w:trPr>
        <w:tc>
          <w:tcPr>
            <w:tcW w:w="1951" w:type="dxa"/>
            <w:tcBorders>
              <w:top w:val="single" w:sz="4" w:space="0" w:color="000000"/>
            </w:tcBorders>
          </w:tcPr>
          <w:p>
            <w:pPr>
              <w:pStyle w:val="TableParagraph"/>
              <w:spacing w:line="240" w:lineRule="auto" w:before="1"/>
              <w:jc w:val="left"/>
              <w:rPr>
                <w:rFonts w:ascii="Arial"/>
                <w:b/>
                <w:sz w:val="32"/>
              </w:rPr>
            </w:pPr>
          </w:p>
          <w:p>
            <w:pPr>
              <w:pStyle w:val="TableParagraph"/>
              <w:spacing w:line="240" w:lineRule="auto" w:before="0"/>
              <w:ind w:left="107"/>
              <w:jc w:val="left"/>
              <w:rPr>
                <w:rFonts w:ascii="Arial"/>
                <w:sz w:val="20"/>
              </w:rPr>
            </w:pPr>
            <w:r>
              <w:rPr>
                <w:rFonts w:ascii="Arial"/>
                <w:sz w:val="20"/>
              </w:rPr>
              <w:t>TFP</w:t>
            </w:r>
          </w:p>
        </w:tc>
        <w:tc>
          <w:tcPr>
            <w:tcW w:w="1174" w:type="dxa"/>
            <w:tcBorders>
              <w:top w:val="single" w:sz="4" w:space="0" w:color="000000"/>
            </w:tcBorders>
          </w:tcPr>
          <w:p>
            <w:pPr>
              <w:pStyle w:val="TableParagraph"/>
              <w:spacing w:line="240" w:lineRule="auto" w:before="1"/>
              <w:jc w:val="left"/>
              <w:rPr>
                <w:rFonts w:ascii="Arial"/>
                <w:b/>
                <w:sz w:val="32"/>
              </w:rPr>
            </w:pPr>
          </w:p>
          <w:p>
            <w:pPr>
              <w:pStyle w:val="TableParagraph"/>
              <w:spacing w:line="240" w:lineRule="auto" w:before="0"/>
              <w:ind w:left="406" w:right="382"/>
              <w:rPr>
                <w:rFonts w:ascii="Arial"/>
                <w:sz w:val="20"/>
              </w:rPr>
            </w:pPr>
            <w:r>
              <w:rPr>
                <w:rFonts w:ascii="Arial"/>
                <w:sz w:val="20"/>
              </w:rPr>
              <w:t>0.6</w:t>
            </w:r>
          </w:p>
        </w:tc>
        <w:tc>
          <w:tcPr>
            <w:tcW w:w="1128" w:type="dxa"/>
            <w:tcBorders>
              <w:top w:val="single" w:sz="4" w:space="0" w:color="000000"/>
            </w:tcBorders>
          </w:tcPr>
          <w:p>
            <w:pPr>
              <w:pStyle w:val="TableParagraph"/>
              <w:spacing w:line="240" w:lineRule="auto" w:before="1"/>
              <w:jc w:val="left"/>
              <w:rPr>
                <w:rFonts w:ascii="Arial"/>
                <w:b/>
                <w:sz w:val="32"/>
              </w:rPr>
            </w:pPr>
          </w:p>
          <w:p>
            <w:pPr>
              <w:pStyle w:val="TableParagraph"/>
              <w:spacing w:line="240" w:lineRule="auto" w:before="0"/>
              <w:ind w:left="362" w:right="381"/>
              <w:rPr>
                <w:rFonts w:ascii="Arial"/>
                <w:sz w:val="20"/>
              </w:rPr>
            </w:pPr>
            <w:r>
              <w:rPr>
                <w:rFonts w:ascii="Arial"/>
                <w:sz w:val="20"/>
              </w:rPr>
              <w:t>-3.3</w:t>
            </w:r>
          </w:p>
        </w:tc>
        <w:tc>
          <w:tcPr>
            <w:tcW w:w="1316" w:type="dxa"/>
            <w:tcBorders>
              <w:top w:val="single" w:sz="4" w:space="0" w:color="000000"/>
              <w:right w:val="single" w:sz="4" w:space="0" w:color="000000"/>
            </w:tcBorders>
          </w:tcPr>
          <w:p>
            <w:pPr>
              <w:pStyle w:val="TableParagraph"/>
              <w:spacing w:line="240" w:lineRule="auto" w:before="1"/>
              <w:jc w:val="left"/>
              <w:rPr>
                <w:rFonts w:ascii="Arial"/>
                <w:b/>
                <w:sz w:val="32"/>
              </w:rPr>
            </w:pPr>
          </w:p>
          <w:p>
            <w:pPr>
              <w:pStyle w:val="TableParagraph"/>
              <w:spacing w:line="240" w:lineRule="auto" w:before="0"/>
              <w:ind w:left="458" w:right="467"/>
              <w:rPr>
                <w:rFonts w:ascii="Arial"/>
                <w:sz w:val="20"/>
              </w:rPr>
            </w:pPr>
            <w:r>
              <w:rPr>
                <w:rFonts w:ascii="Arial"/>
                <w:sz w:val="20"/>
              </w:rPr>
              <w:t>-0.2</w:t>
            </w:r>
          </w:p>
        </w:tc>
        <w:tc>
          <w:tcPr>
            <w:tcW w:w="1295" w:type="dxa"/>
            <w:tcBorders>
              <w:top w:val="single" w:sz="4" w:space="0" w:color="000000"/>
              <w:left w:val="single" w:sz="4" w:space="0" w:color="000000"/>
            </w:tcBorders>
          </w:tcPr>
          <w:p>
            <w:pPr>
              <w:pStyle w:val="TableParagraph"/>
              <w:spacing w:line="240" w:lineRule="auto" w:before="10"/>
              <w:jc w:val="left"/>
              <w:rPr>
                <w:rFonts w:ascii="Arial"/>
                <w:b/>
                <w:sz w:val="31"/>
              </w:rPr>
            </w:pPr>
          </w:p>
          <w:p>
            <w:pPr>
              <w:pStyle w:val="TableParagraph"/>
              <w:spacing w:line="240" w:lineRule="auto" w:before="0"/>
              <w:ind w:left="462"/>
              <w:jc w:val="left"/>
              <w:rPr>
                <w:rFonts w:ascii="Arial"/>
                <w:b/>
                <w:sz w:val="20"/>
              </w:rPr>
            </w:pPr>
            <w:r>
              <w:rPr>
                <w:rFonts w:ascii="Arial"/>
                <w:b/>
                <w:sz w:val="20"/>
              </w:rPr>
              <w:t>-0.8</w:t>
            </w:r>
          </w:p>
        </w:tc>
        <w:tc>
          <w:tcPr>
            <w:tcW w:w="1119" w:type="dxa"/>
            <w:tcBorders>
              <w:top w:val="single" w:sz="4" w:space="0" w:color="000000"/>
            </w:tcBorders>
          </w:tcPr>
          <w:p>
            <w:pPr>
              <w:pStyle w:val="TableParagraph"/>
              <w:spacing w:line="240" w:lineRule="auto" w:before="10"/>
              <w:jc w:val="left"/>
              <w:rPr>
                <w:rFonts w:ascii="Arial"/>
                <w:b/>
                <w:sz w:val="31"/>
              </w:rPr>
            </w:pPr>
          </w:p>
          <w:p>
            <w:pPr>
              <w:pStyle w:val="TableParagraph"/>
              <w:spacing w:line="240" w:lineRule="auto" w:before="0"/>
              <w:ind w:left="371"/>
              <w:jc w:val="left"/>
              <w:rPr>
                <w:rFonts w:ascii="Arial"/>
                <w:i/>
                <w:sz w:val="20"/>
              </w:rPr>
            </w:pPr>
            <w:r>
              <w:rPr>
                <w:rFonts w:ascii="Arial"/>
                <w:i/>
                <w:sz w:val="20"/>
              </w:rPr>
              <w:t>(54)</w:t>
            </w:r>
          </w:p>
        </w:tc>
      </w:tr>
      <w:tr>
        <w:trPr>
          <w:trHeight w:val="300" w:hRule="atLeast"/>
        </w:trPr>
        <w:tc>
          <w:tcPr>
            <w:tcW w:w="1951" w:type="dxa"/>
          </w:tcPr>
          <w:p>
            <w:pPr>
              <w:pStyle w:val="TableParagraph"/>
              <w:spacing w:line="240" w:lineRule="auto" w:before="32"/>
              <w:ind w:left="107"/>
              <w:jc w:val="left"/>
              <w:rPr>
                <w:rFonts w:ascii="Arial"/>
                <w:sz w:val="20"/>
              </w:rPr>
            </w:pPr>
            <w:r>
              <w:rPr>
                <w:rFonts w:ascii="Arial"/>
                <w:sz w:val="20"/>
              </w:rPr>
              <w:t>Capital services</w:t>
            </w:r>
          </w:p>
        </w:tc>
        <w:tc>
          <w:tcPr>
            <w:tcW w:w="1174" w:type="dxa"/>
          </w:tcPr>
          <w:p>
            <w:pPr>
              <w:pStyle w:val="TableParagraph"/>
              <w:spacing w:line="240" w:lineRule="auto" w:before="32"/>
              <w:ind w:left="406" w:right="382"/>
              <w:rPr>
                <w:rFonts w:ascii="Arial"/>
                <w:sz w:val="20"/>
              </w:rPr>
            </w:pPr>
            <w:r>
              <w:rPr>
                <w:rFonts w:ascii="Arial"/>
                <w:sz w:val="20"/>
              </w:rPr>
              <w:t>1.1</w:t>
            </w:r>
          </w:p>
        </w:tc>
        <w:tc>
          <w:tcPr>
            <w:tcW w:w="1128" w:type="dxa"/>
          </w:tcPr>
          <w:p>
            <w:pPr>
              <w:pStyle w:val="TableParagraph"/>
              <w:spacing w:line="240" w:lineRule="auto" w:before="32"/>
              <w:ind w:left="362" w:right="381"/>
              <w:rPr>
                <w:rFonts w:ascii="Arial"/>
                <w:sz w:val="20"/>
              </w:rPr>
            </w:pPr>
            <w:r>
              <w:rPr>
                <w:rFonts w:ascii="Arial"/>
                <w:sz w:val="20"/>
              </w:rPr>
              <w:t>1.0</w:t>
            </w:r>
          </w:p>
        </w:tc>
        <w:tc>
          <w:tcPr>
            <w:tcW w:w="1316" w:type="dxa"/>
            <w:tcBorders>
              <w:right w:val="single" w:sz="4" w:space="0" w:color="000000"/>
            </w:tcBorders>
          </w:tcPr>
          <w:p>
            <w:pPr>
              <w:pStyle w:val="TableParagraph"/>
              <w:spacing w:line="240" w:lineRule="auto" w:before="32"/>
              <w:ind w:left="458" w:right="467"/>
              <w:rPr>
                <w:rFonts w:ascii="Arial"/>
                <w:sz w:val="20"/>
              </w:rPr>
            </w:pPr>
            <w:r>
              <w:rPr>
                <w:rFonts w:ascii="Arial"/>
                <w:sz w:val="20"/>
              </w:rPr>
              <w:t>0.1</w:t>
            </w:r>
          </w:p>
        </w:tc>
        <w:tc>
          <w:tcPr>
            <w:tcW w:w="1295" w:type="dxa"/>
            <w:tcBorders>
              <w:left w:val="single" w:sz="4" w:space="0" w:color="000000"/>
            </w:tcBorders>
          </w:tcPr>
          <w:p>
            <w:pPr>
              <w:pStyle w:val="TableParagraph"/>
              <w:spacing w:line="240" w:lineRule="auto" w:before="30"/>
              <w:ind w:left="462"/>
              <w:jc w:val="left"/>
              <w:rPr>
                <w:rFonts w:ascii="Arial"/>
                <w:b/>
                <w:sz w:val="20"/>
              </w:rPr>
            </w:pPr>
            <w:r>
              <w:rPr>
                <w:rFonts w:ascii="Arial"/>
                <w:b/>
                <w:sz w:val="20"/>
              </w:rPr>
              <w:t>-1.0</w:t>
            </w:r>
          </w:p>
        </w:tc>
        <w:tc>
          <w:tcPr>
            <w:tcW w:w="1119" w:type="dxa"/>
          </w:tcPr>
          <w:p>
            <w:pPr>
              <w:pStyle w:val="TableParagraph"/>
              <w:spacing w:line="240" w:lineRule="auto" w:before="30"/>
              <w:ind w:left="371"/>
              <w:jc w:val="left"/>
              <w:rPr>
                <w:rFonts w:ascii="Arial"/>
                <w:i/>
                <w:sz w:val="20"/>
              </w:rPr>
            </w:pPr>
            <w:r>
              <w:rPr>
                <w:rFonts w:ascii="Arial"/>
                <w:i/>
                <w:sz w:val="20"/>
              </w:rPr>
              <w:t>(66)</w:t>
            </w:r>
          </w:p>
        </w:tc>
      </w:tr>
      <w:tr>
        <w:trPr>
          <w:trHeight w:val="300" w:hRule="atLeast"/>
        </w:trPr>
        <w:tc>
          <w:tcPr>
            <w:tcW w:w="1951" w:type="dxa"/>
          </w:tcPr>
          <w:p>
            <w:pPr>
              <w:pStyle w:val="TableParagraph"/>
              <w:spacing w:line="240" w:lineRule="auto" w:before="32"/>
              <w:ind w:left="107"/>
              <w:jc w:val="left"/>
              <w:rPr>
                <w:rFonts w:ascii="Arial"/>
                <w:sz w:val="20"/>
              </w:rPr>
            </w:pPr>
            <w:r>
              <w:rPr>
                <w:rFonts w:ascii="Arial"/>
                <w:sz w:val="20"/>
              </w:rPr>
              <w:t>Labour quality</w:t>
            </w:r>
          </w:p>
        </w:tc>
        <w:tc>
          <w:tcPr>
            <w:tcW w:w="1174" w:type="dxa"/>
          </w:tcPr>
          <w:p>
            <w:pPr>
              <w:pStyle w:val="TableParagraph"/>
              <w:spacing w:line="240" w:lineRule="auto" w:before="32"/>
              <w:ind w:left="406" w:right="382"/>
              <w:rPr>
                <w:rFonts w:ascii="Arial"/>
                <w:sz w:val="20"/>
              </w:rPr>
            </w:pPr>
            <w:r>
              <w:rPr>
                <w:rFonts w:ascii="Arial"/>
                <w:sz w:val="20"/>
              </w:rPr>
              <w:t>0.4</w:t>
            </w:r>
          </w:p>
        </w:tc>
        <w:tc>
          <w:tcPr>
            <w:tcW w:w="1128" w:type="dxa"/>
          </w:tcPr>
          <w:p>
            <w:pPr>
              <w:pStyle w:val="TableParagraph"/>
              <w:spacing w:line="240" w:lineRule="auto" w:before="32"/>
              <w:ind w:left="362" w:right="381"/>
              <w:rPr>
                <w:rFonts w:ascii="Arial"/>
                <w:sz w:val="20"/>
              </w:rPr>
            </w:pPr>
            <w:r>
              <w:rPr>
                <w:rFonts w:ascii="Arial"/>
                <w:sz w:val="20"/>
              </w:rPr>
              <w:t>0.6</w:t>
            </w:r>
          </w:p>
        </w:tc>
        <w:tc>
          <w:tcPr>
            <w:tcW w:w="1316" w:type="dxa"/>
            <w:tcBorders>
              <w:right w:val="single" w:sz="4" w:space="0" w:color="000000"/>
            </w:tcBorders>
          </w:tcPr>
          <w:p>
            <w:pPr>
              <w:pStyle w:val="TableParagraph"/>
              <w:spacing w:line="240" w:lineRule="auto" w:before="32"/>
              <w:ind w:left="458" w:right="467"/>
              <w:rPr>
                <w:rFonts w:ascii="Arial"/>
                <w:sz w:val="20"/>
              </w:rPr>
            </w:pPr>
            <w:r>
              <w:rPr>
                <w:rFonts w:ascii="Arial"/>
                <w:sz w:val="20"/>
              </w:rPr>
              <w:t>0.5</w:t>
            </w:r>
          </w:p>
        </w:tc>
        <w:tc>
          <w:tcPr>
            <w:tcW w:w="1295" w:type="dxa"/>
            <w:tcBorders>
              <w:left w:val="single" w:sz="4" w:space="0" w:color="000000"/>
            </w:tcBorders>
          </w:tcPr>
          <w:p>
            <w:pPr>
              <w:pStyle w:val="TableParagraph"/>
              <w:spacing w:line="240" w:lineRule="auto" w:before="30"/>
              <w:ind w:left="497"/>
              <w:jc w:val="left"/>
              <w:rPr>
                <w:rFonts w:ascii="Arial"/>
                <w:b/>
                <w:sz w:val="20"/>
              </w:rPr>
            </w:pPr>
            <w:r>
              <w:rPr>
                <w:rFonts w:ascii="Arial"/>
                <w:b/>
                <w:sz w:val="20"/>
              </w:rPr>
              <w:t>0.1</w:t>
            </w:r>
          </w:p>
        </w:tc>
        <w:tc>
          <w:tcPr>
            <w:tcW w:w="1119" w:type="dxa"/>
          </w:tcPr>
          <w:p>
            <w:pPr>
              <w:pStyle w:val="TableParagraph"/>
              <w:spacing w:line="240" w:lineRule="auto" w:before="30"/>
              <w:ind w:left="392"/>
              <w:jc w:val="left"/>
              <w:rPr>
                <w:rFonts w:ascii="Arial"/>
                <w:i/>
                <w:sz w:val="20"/>
              </w:rPr>
            </w:pPr>
            <w:r>
              <w:rPr>
                <w:rFonts w:ascii="Arial"/>
                <w:i/>
                <w:sz w:val="20"/>
              </w:rPr>
              <w:t>(-7)</w:t>
            </w:r>
          </w:p>
        </w:tc>
      </w:tr>
      <w:tr>
        <w:trPr>
          <w:trHeight w:val="300" w:hRule="atLeast"/>
        </w:trPr>
        <w:tc>
          <w:tcPr>
            <w:tcW w:w="1951" w:type="dxa"/>
          </w:tcPr>
          <w:p>
            <w:pPr>
              <w:pStyle w:val="TableParagraph"/>
              <w:spacing w:line="240" w:lineRule="auto" w:before="32"/>
              <w:ind w:left="107"/>
              <w:jc w:val="left"/>
              <w:rPr>
                <w:rFonts w:ascii="Arial"/>
                <w:sz w:val="20"/>
              </w:rPr>
            </w:pPr>
            <w:r>
              <w:rPr>
                <w:rFonts w:ascii="Arial"/>
                <w:sz w:val="20"/>
              </w:rPr>
              <w:t>Labour reallocation</w:t>
            </w:r>
          </w:p>
        </w:tc>
        <w:tc>
          <w:tcPr>
            <w:tcW w:w="1174" w:type="dxa"/>
          </w:tcPr>
          <w:p>
            <w:pPr>
              <w:pStyle w:val="TableParagraph"/>
              <w:spacing w:line="240" w:lineRule="auto" w:before="32"/>
              <w:ind w:left="406" w:right="382"/>
              <w:rPr>
                <w:rFonts w:ascii="Arial"/>
                <w:sz w:val="20"/>
              </w:rPr>
            </w:pPr>
            <w:r>
              <w:rPr>
                <w:rFonts w:ascii="Arial"/>
                <w:sz w:val="20"/>
              </w:rPr>
              <w:t>-0.2</w:t>
            </w:r>
          </w:p>
        </w:tc>
        <w:tc>
          <w:tcPr>
            <w:tcW w:w="1128" w:type="dxa"/>
          </w:tcPr>
          <w:p>
            <w:pPr>
              <w:pStyle w:val="TableParagraph"/>
              <w:spacing w:line="240" w:lineRule="auto" w:before="32"/>
              <w:ind w:left="362" w:right="381"/>
              <w:rPr>
                <w:rFonts w:ascii="Arial"/>
                <w:sz w:val="20"/>
              </w:rPr>
            </w:pPr>
            <w:r>
              <w:rPr>
                <w:rFonts w:ascii="Arial"/>
                <w:sz w:val="20"/>
              </w:rPr>
              <w:t>0.0</w:t>
            </w:r>
          </w:p>
        </w:tc>
        <w:tc>
          <w:tcPr>
            <w:tcW w:w="1316" w:type="dxa"/>
            <w:tcBorders>
              <w:right w:val="single" w:sz="4" w:space="0" w:color="000000"/>
            </w:tcBorders>
          </w:tcPr>
          <w:p>
            <w:pPr>
              <w:pStyle w:val="TableParagraph"/>
              <w:spacing w:line="240" w:lineRule="auto" w:before="32"/>
              <w:ind w:left="458" w:right="467"/>
              <w:rPr>
                <w:rFonts w:ascii="Arial"/>
                <w:sz w:val="20"/>
              </w:rPr>
            </w:pPr>
            <w:r>
              <w:rPr>
                <w:rFonts w:ascii="Arial"/>
                <w:sz w:val="20"/>
              </w:rPr>
              <w:t>0.0</w:t>
            </w:r>
          </w:p>
        </w:tc>
        <w:tc>
          <w:tcPr>
            <w:tcW w:w="1295" w:type="dxa"/>
            <w:tcBorders>
              <w:left w:val="single" w:sz="4" w:space="0" w:color="000000"/>
            </w:tcBorders>
          </w:tcPr>
          <w:p>
            <w:pPr>
              <w:pStyle w:val="TableParagraph"/>
              <w:spacing w:line="240" w:lineRule="auto" w:before="30"/>
              <w:ind w:left="497"/>
              <w:jc w:val="left"/>
              <w:rPr>
                <w:rFonts w:ascii="Arial"/>
                <w:b/>
                <w:sz w:val="20"/>
              </w:rPr>
            </w:pPr>
            <w:r>
              <w:rPr>
                <w:rFonts w:ascii="Arial"/>
                <w:b/>
                <w:sz w:val="20"/>
              </w:rPr>
              <w:t>0.2</w:t>
            </w:r>
          </w:p>
        </w:tc>
        <w:tc>
          <w:tcPr>
            <w:tcW w:w="1119" w:type="dxa"/>
          </w:tcPr>
          <w:p>
            <w:pPr>
              <w:pStyle w:val="TableParagraph"/>
              <w:spacing w:line="240" w:lineRule="auto" w:before="30"/>
              <w:ind w:left="337"/>
              <w:jc w:val="left"/>
              <w:rPr>
                <w:rFonts w:ascii="Arial"/>
                <w:i/>
                <w:sz w:val="20"/>
              </w:rPr>
            </w:pPr>
            <w:r>
              <w:rPr>
                <w:rFonts w:ascii="Arial"/>
                <w:i/>
                <w:sz w:val="20"/>
              </w:rPr>
              <w:t>(-13)</w:t>
            </w:r>
          </w:p>
        </w:tc>
      </w:tr>
      <w:tr>
        <w:trPr>
          <w:trHeight w:val="565" w:hRule="atLeast"/>
        </w:trPr>
        <w:tc>
          <w:tcPr>
            <w:tcW w:w="1951" w:type="dxa"/>
            <w:tcBorders>
              <w:bottom w:val="single" w:sz="4" w:space="0" w:color="000000"/>
            </w:tcBorders>
          </w:tcPr>
          <w:p>
            <w:pPr>
              <w:pStyle w:val="TableParagraph"/>
              <w:spacing w:line="240" w:lineRule="auto" w:before="32"/>
              <w:ind w:left="107"/>
              <w:jc w:val="left"/>
              <w:rPr>
                <w:rFonts w:ascii="Arial"/>
                <w:sz w:val="20"/>
              </w:rPr>
            </w:pPr>
            <w:r>
              <w:rPr>
                <w:rFonts w:ascii="Arial"/>
                <w:sz w:val="20"/>
              </w:rPr>
              <w:t>Other</w:t>
            </w:r>
          </w:p>
        </w:tc>
        <w:tc>
          <w:tcPr>
            <w:tcW w:w="1174" w:type="dxa"/>
            <w:tcBorders>
              <w:bottom w:val="single" w:sz="4" w:space="0" w:color="000000"/>
            </w:tcBorders>
          </w:tcPr>
          <w:p>
            <w:pPr>
              <w:pStyle w:val="TableParagraph"/>
              <w:spacing w:line="240" w:lineRule="auto" w:before="32"/>
              <w:ind w:left="406" w:right="382"/>
              <w:rPr>
                <w:rFonts w:ascii="Arial"/>
                <w:sz w:val="20"/>
              </w:rPr>
            </w:pPr>
            <w:r>
              <w:rPr>
                <w:rFonts w:ascii="Arial"/>
                <w:sz w:val="20"/>
              </w:rPr>
              <w:t>0.1</w:t>
            </w:r>
          </w:p>
        </w:tc>
        <w:tc>
          <w:tcPr>
            <w:tcW w:w="1128" w:type="dxa"/>
            <w:tcBorders>
              <w:bottom w:val="single" w:sz="4" w:space="0" w:color="000000"/>
            </w:tcBorders>
          </w:tcPr>
          <w:p>
            <w:pPr>
              <w:pStyle w:val="TableParagraph"/>
              <w:spacing w:line="240" w:lineRule="auto" w:before="32"/>
              <w:ind w:left="362" w:right="381"/>
              <w:rPr>
                <w:rFonts w:ascii="Arial"/>
                <w:sz w:val="20"/>
              </w:rPr>
            </w:pPr>
            <w:r>
              <w:rPr>
                <w:rFonts w:ascii="Arial"/>
                <w:sz w:val="20"/>
              </w:rPr>
              <w:t>0.1</w:t>
            </w:r>
          </w:p>
        </w:tc>
        <w:tc>
          <w:tcPr>
            <w:tcW w:w="1316" w:type="dxa"/>
            <w:tcBorders>
              <w:bottom w:val="single" w:sz="4" w:space="0" w:color="000000"/>
              <w:right w:val="single" w:sz="4" w:space="0" w:color="000000"/>
            </w:tcBorders>
          </w:tcPr>
          <w:p>
            <w:pPr>
              <w:pStyle w:val="TableParagraph"/>
              <w:spacing w:line="240" w:lineRule="auto" w:before="32"/>
              <w:ind w:left="458" w:right="467"/>
              <w:rPr>
                <w:rFonts w:ascii="Arial"/>
                <w:sz w:val="20"/>
              </w:rPr>
            </w:pPr>
            <w:r>
              <w:rPr>
                <w:rFonts w:ascii="Arial"/>
                <w:sz w:val="20"/>
              </w:rPr>
              <w:t>0.1</w:t>
            </w:r>
          </w:p>
        </w:tc>
        <w:tc>
          <w:tcPr>
            <w:tcW w:w="1295" w:type="dxa"/>
            <w:tcBorders>
              <w:left w:val="single" w:sz="4" w:space="0" w:color="000000"/>
              <w:bottom w:val="single" w:sz="4" w:space="0" w:color="000000"/>
            </w:tcBorders>
          </w:tcPr>
          <w:p>
            <w:pPr>
              <w:pStyle w:val="TableParagraph"/>
              <w:spacing w:line="240" w:lineRule="auto" w:before="30"/>
              <w:ind w:left="497"/>
              <w:jc w:val="left"/>
              <w:rPr>
                <w:rFonts w:ascii="Arial"/>
                <w:b/>
                <w:sz w:val="20"/>
              </w:rPr>
            </w:pPr>
            <w:r>
              <w:rPr>
                <w:rFonts w:ascii="Arial"/>
                <w:b/>
                <w:sz w:val="20"/>
              </w:rPr>
              <w:t>0.0</w:t>
            </w:r>
          </w:p>
        </w:tc>
        <w:tc>
          <w:tcPr>
            <w:tcW w:w="1119" w:type="dxa"/>
            <w:tcBorders>
              <w:bottom w:val="single" w:sz="4" w:space="0" w:color="000000"/>
            </w:tcBorders>
          </w:tcPr>
          <w:p>
            <w:pPr>
              <w:pStyle w:val="TableParagraph"/>
              <w:spacing w:line="240" w:lineRule="auto" w:before="30"/>
              <w:ind w:left="426"/>
              <w:jc w:val="left"/>
              <w:rPr>
                <w:rFonts w:ascii="Arial"/>
                <w:i/>
                <w:sz w:val="20"/>
              </w:rPr>
            </w:pPr>
            <w:r>
              <w:rPr>
                <w:rFonts w:ascii="Arial"/>
                <w:i/>
                <w:sz w:val="20"/>
              </w:rPr>
              <w:t>(0)</w:t>
            </w:r>
          </w:p>
        </w:tc>
      </w:tr>
      <w:tr>
        <w:trPr>
          <w:trHeight w:val="338" w:hRule="atLeast"/>
        </w:trPr>
        <w:tc>
          <w:tcPr>
            <w:tcW w:w="1951" w:type="dxa"/>
            <w:tcBorders>
              <w:top w:val="single" w:sz="4" w:space="0" w:color="000000"/>
              <w:bottom w:val="single" w:sz="4" w:space="0" w:color="000000"/>
            </w:tcBorders>
          </w:tcPr>
          <w:p>
            <w:pPr>
              <w:pStyle w:val="TableParagraph"/>
              <w:spacing w:line="211" w:lineRule="exact" w:before="107"/>
              <w:ind w:left="107"/>
              <w:jc w:val="left"/>
              <w:rPr>
                <w:rFonts w:ascii="Arial"/>
                <w:sz w:val="20"/>
              </w:rPr>
            </w:pPr>
            <w:r>
              <w:rPr>
                <w:rFonts w:ascii="Arial"/>
                <w:sz w:val="20"/>
              </w:rPr>
              <w:t>Total</w:t>
            </w:r>
          </w:p>
        </w:tc>
        <w:tc>
          <w:tcPr>
            <w:tcW w:w="1174" w:type="dxa"/>
            <w:tcBorders>
              <w:top w:val="single" w:sz="4" w:space="0" w:color="000000"/>
              <w:bottom w:val="single" w:sz="4" w:space="0" w:color="000000"/>
            </w:tcBorders>
          </w:tcPr>
          <w:p>
            <w:pPr>
              <w:pStyle w:val="TableParagraph"/>
              <w:spacing w:line="211" w:lineRule="exact" w:before="107"/>
              <w:ind w:left="406" w:right="382"/>
              <w:rPr>
                <w:rFonts w:ascii="Arial"/>
                <w:sz w:val="20"/>
              </w:rPr>
            </w:pPr>
            <w:r>
              <w:rPr>
                <w:rFonts w:ascii="Arial"/>
                <w:sz w:val="20"/>
              </w:rPr>
              <w:t>2.0</w:t>
            </w:r>
          </w:p>
        </w:tc>
        <w:tc>
          <w:tcPr>
            <w:tcW w:w="1128" w:type="dxa"/>
            <w:tcBorders>
              <w:top w:val="single" w:sz="4" w:space="0" w:color="000000"/>
              <w:bottom w:val="single" w:sz="4" w:space="0" w:color="000000"/>
            </w:tcBorders>
          </w:tcPr>
          <w:p>
            <w:pPr>
              <w:pStyle w:val="TableParagraph"/>
              <w:spacing w:line="211" w:lineRule="exact" w:before="107"/>
              <w:ind w:left="362" w:right="381"/>
              <w:rPr>
                <w:rFonts w:ascii="Arial"/>
                <w:sz w:val="20"/>
              </w:rPr>
            </w:pPr>
            <w:r>
              <w:rPr>
                <w:rFonts w:ascii="Arial"/>
                <w:sz w:val="20"/>
              </w:rPr>
              <w:t>-1.6</w:t>
            </w:r>
          </w:p>
        </w:tc>
        <w:tc>
          <w:tcPr>
            <w:tcW w:w="1316" w:type="dxa"/>
            <w:tcBorders>
              <w:top w:val="single" w:sz="4" w:space="0" w:color="000000"/>
              <w:bottom w:val="single" w:sz="4" w:space="0" w:color="000000"/>
              <w:right w:val="single" w:sz="4" w:space="0" w:color="000000"/>
            </w:tcBorders>
          </w:tcPr>
          <w:p>
            <w:pPr>
              <w:pStyle w:val="TableParagraph"/>
              <w:spacing w:line="211" w:lineRule="exact" w:before="107"/>
              <w:ind w:left="458" w:right="467"/>
              <w:rPr>
                <w:rFonts w:ascii="Arial"/>
                <w:sz w:val="20"/>
              </w:rPr>
            </w:pPr>
            <w:r>
              <w:rPr>
                <w:rFonts w:ascii="Arial"/>
                <w:sz w:val="20"/>
              </w:rPr>
              <w:t>0.4</w:t>
            </w:r>
          </w:p>
        </w:tc>
        <w:tc>
          <w:tcPr>
            <w:tcW w:w="2414" w:type="dxa"/>
            <w:gridSpan w:val="2"/>
            <w:tcBorders>
              <w:top w:val="single" w:sz="4" w:space="0" w:color="000000"/>
              <w:left w:val="single" w:sz="4" w:space="0" w:color="000000"/>
              <w:bottom w:val="single" w:sz="4" w:space="0" w:color="000000"/>
            </w:tcBorders>
          </w:tcPr>
          <w:p>
            <w:pPr>
              <w:pStyle w:val="TableParagraph"/>
              <w:spacing w:before="105"/>
              <w:ind w:left="462"/>
              <w:jc w:val="left"/>
              <w:rPr>
                <w:rFonts w:ascii="Arial"/>
                <w:b/>
                <w:sz w:val="20"/>
              </w:rPr>
            </w:pPr>
            <w:r>
              <w:rPr>
                <w:rFonts w:ascii="Arial"/>
                <w:b/>
                <w:sz w:val="20"/>
              </w:rPr>
              <w:t>-1.5</w:t>
            </w:r>
          </w:p>
        </w:tc>
      </w:tr>
    </w:tbl>
    <w:p>
      <w:pPr>
        <w:spacing w:before="154"/>
        <w:ind w:left="1032" w:right="0" w:firstLine="0"/>
        <w:jc w:val="left"/>
        <w:rPr>
          <w:sz w:val="16"/>
        </w:rPr>
      </w:pPr>
      <w:r>
        <w:rPr>
          <w:sz w:val="16"/>
        </w:rPr>
        <w:t>Sources: ONS and Bank calculations.</w:t>
      </w:r>
    </w:p>
    <w:p>
      <w:pPr>
        <w:pStyle w:val="BodyText"/>
        <w:rPr>
          <w:sz w:val="22"/>
        </w:rPr>
      </w:pPr>
    </w:p>
    <w:p>
      <w:pPr>
        <w:pStyle w:val="BodyText"/>
        <w:spacing w:line="360" w:lineRule="auto" w:before="93"/>
        <w:ind w:left="233" w:right="431"/>
      </w:pPr>
      <w:r>
        <w:rPr/>
        <w:t>As with manufacturing and finance in isolation, the results from aggregating together our 18 industry-level decompositions pinpoint to TFP and lower capital deepening as the sources of the aggregate productivity slowdown. The TFP slowdown is concentrated in finance, manufacturing, and to a lesser extent ICT and professional services – entirely consistent with the sectoral story in TFP I discussed earlier. But in aggregate, capital deepening is at least as important as TFP, accounting for over half of the overall productivity slowdown.</w:t>
      </w:r>
      <w:r>
        <w:rPr>
          <w:vertAlign w:val="superscript"/>
        </w:rPr>
        <w:t>30</w:t>
      </w:r>
    </w:p>
    <w:p>
      <w:pPr>
        <w:pStyle w:val="BodyText"/>
        <w:spacing w:before="11"/>
        <w:rPr>
          <w:sz w:val="29"/>
        </w:rPr>
      </w:pPr>
    </w:p>
    <w:p>
      <w:pPr>
        <w:pStyle w:val="BodyText"/>
        <w:spacing w:line="360" w:lineRule="auto"/>
        <w:ind w:left="233" w:right="297"/>
      </w:pPr>
      <w:r>
        <w:rPr/>
        <w:t>The contribution from lower capital intensity is broad-based across industries, which is suggestive of an economy-wide story. Only three sectors recorded a stronger contribution from capital deepening in the post-crisis period, compared to fifteen where it was lower.</w:t>
      </w:r>
      <w:r>
        <w:rPr>
          <w:vertAlign w:val="superscript"/>
        </w:rPr>
        <w:t>31</w:t>
      </w:r>
      <w:r>
        <w:rPr>
          <w:vertAlign w:val="baseline"/>
        </w:rPr>
        <w:t> This contrasts with the contribution from TFP, which </w:t>
      </w:r>
      <w:r>
        <w:rPr>
          <w:i/>
          <w:vertAlign w:val="baseline"/>
        </w:rPr>
        <w:t>increased </w:t>
      </w:r>
      <w:r>
        <w:rPr>
          <w:vertAlign w:val="baseline"/>
        </w:rPr>
        <w:t>in the post-crisis period in almost as many industries (eight) as it reduced (ten). Thus, the weakness in labour productivity is partly the consequence of an industry-wide fall in business investment during the crisis, as well as its subdued growth since. Given the productivity gains on offer, why has business investment been so weak? It is likely that the behaviour of the labour market, with unemployment at a 30-year low, is part of the explanation.</w:t>
      </w:r>
    </w:p>
    <w:p>
      <w:pPr>
        <w:pStyle w:val="BodyText"/>
        <w:spacing w:before="1"/>
        <w:rPr>
          <w:sz w:val="30"/>
        </w:rPr>
      </w:pPr>
    </w:p>
    <w:p>
      <w:pPr>
        <w:pStyle w:val="BodyText"/>
        <w:spacing w:line="360" w:lineRule="auto"/>
        <w:ind w:left="233" w:right="231"/>
      </w:pPr>
      <w:r>
        <w:rPr/>
        <w:t>Various factors may have led firms to substitute from capital towards greater labour in their production processes, dragging on labour productivity growth (Pessoa and Van Reenen, 2014). This substitution channel was sometimes downplayed in early years of the crisis, as the data showed that capital shallowing was not an important driver of weak productivity at the time.</w:t>
      </w:r>
      <w:r>
        <w:rPr>
          <w:vertAlign w:val="superscript"/>
        </w:rPr>
        <w:t>32</w:t>
      </w:r>
      <w:r>
        <w:rPr>
          <w:vertAlign w:val="baseline"/>
        </w:rPr>
        <w:t> But as an investment recovery has failed to arrive, it has become increasingly important.</w:t>
      </w:r>
    </w:p>
    <w:p>
      <w:pPr>
        <w:pStyle w:val="BodyText"/>
      </w:pPr>
    </w:p>
    <w:p>
      <w:pPr>
        <w:pStyle w:val="BodyText"/>
      </w:pPr>
    </w:p>
    <w:p>
      <w:pPr>
        <w:pStyle w:val="BodyText"/>
      </w:pPr>
    </w:p>
    <w:p>
      <w:pPr>
        <w:pStyle w:val="BodyText"/>
        <w:rPr>
          <w:sz w:val="15"/>
        </w:rPr>
      </w:pPr>
      <w:r>
        <w:rPr/>
        <w:pict>
          <v:shape style="position:absolute;margin-left:56.664001pt;margin-top:10.860478pt;width:144.050pt;height:.1pt;mso-position-horizontal-relative:page;mso-position-vertical-relative:paragraph;z-index:-251588608;mso-wrap-distance-left:0;mso-wrap-distance-right:0" coordorigin="1133,217" coordsize="2881,0" path="m1133,217l4014,217e" filled="false" stroked="true" strokeweight=".48004pt" strokecolor="#000000">
            <v:path arrowok="t"/>
            <v:stroke dashstyle="solid"/>
            <w10:wrap type="topAndBottom"/>
          </v:shape>
        </w:pict>
      </w:r>
    </w:p>
    <w:p>
      <w:pPr>
        <w:spacing w:before="30"/>
        <w:ind w:left="233" w:right="120" w:firstLine="0"/>
        <w:jc w:val="left"/>
        <w:rPr>
          <w:sz w:val="16"/>
        </w:rPr>
      </w:pPr>
      <w:r>
        <w:rPr>
          <w:position w:val="8"/>
          <w:sz w:val="10"/>
        </w:rPr>
        <w:t>30 </w:t>
      </w:r>
      <w:r>
        <w:rPr>
          <w:sz w:val="16"/>
        </w:rPr>
        <w:t>Grouping the crisis and post-crisis periods together and comparing 2000-07 to 2007-15, lower capital deepening accounts for 39% of the puzzle (TFP accounts for 78%). Timing is the main reason for the greater role of capital and smaller role of TFP compared to Goodridge, Haskel and Wallis (2016), who compare 2000-07 to 2007-11.</w:t>
      </w:r>
    </w:p>
    <w:p>
      <w:pPr>
        <w:spacing w:line="184" w:lineRule="exact" w:before="2"/>
        <w:ind w:left="233" w:right="0" w:firstLine="0"/>
        <w:jc w:val="left"/>
        <w:rPr>
          <w:sz w:val="16"/>
        </w:rPr>
      </w:pPr>
      <w:r>
        <w:rPr>
          <w:position w:val="8"/>
          <w:sz w:val="10"/>
        </w:rPr>
        <w:t>31 </w:t>
      </w:r>
      <w:r>
        <w:rPr>
          <w:sz w:val="16"/>
        </w:rPr>
        <w:t>Two of those three industries (agriculture and utilities) are very small as a share of nominal value added. The other is public administration and defence.</w:t>
      </w:r>
    </w:p>
    <w:p>
      <w:pPr>
        <w:spacing w:line="183" w:lineRule="exact" w:before="0"/>
        <w:ind w:left="233" w:right="0" w:firstLine="0"/>
        <w:jc w:val="left"/>
        <w:rPr>
          <w:sz w:val="16"/>
        </w:rPr>
      </w:pPr>
      <w:r>
        <w:rPr>
          <w:position w:val="8"/>
          <w:sz w:val="10"/>
        </w:rPr>
        <w:t>32 </w:t>
      </w:r>
      <w:r>
        <w:rPr>
          <w:sz w:val="16"/>
        </w:rPr>
        <w:t>Broadbent (2012), Goodridge, Haskel and Wallis (2016), Oulton (2016a).</w:t>
      </w:r>
    </w:p>
    <w:p>
      <w:pPr>
        <w:spacing w:after="0" w:line="183" w:lineRule="exact"/>
        <w:jc w:val="left"/>
        <w:rPr>
          <w:sz w:val="16"/>
        </w:rPr>
        <w:sectPr>
          <w:footerReference w:type="default" r:id="rId45"/>
          <w:pgSz w:w="11910" w:h="16840"/>
          <w:pgMar w:footer="1338" w:header="0" w:top="1460" w:bottom="1520" w:left="900" w:right="1020"/>
          <w:pgNumType w:start="19"/>
        </w:sectPr>
      </w:pPr>
    </w:p>
    <w:p>
      <w:pPr>
        <w:pStyle w:val="BodyText"/>
        <w:spacing w:line="360" w:lineRule="auto" w:before="79"/>
        <w:ind w:left="233"/>
      </w:pPr>
      <w:r>
        <w:rPr/>
        <w:t>Pessoa and van Reenen stressed the role of the UK’s flexible labour market in facilitating a fall in real wages, as well as an increase in the cost of capital following the crisis.</w:t>
      </w:r>
      <w:r>
        <w:rPr>
          <w:vertAlign w:val="superscript"/>
        </w:rPr>
        <w:t>33</w:t>
      </w:r>
      <w:r>
        <w:rPr>
          <w:vertAlign w:val="baseline"/>
        </w:rPr>
        <w:t> But this is probably not the whole story.</w:t>
      </w:r>
    </w:p>
    <w:p>
      <w:pPr>
        <w:pStyle w:val="BodyText"/>
        <w:spacing w:line="360" w:lineRule="auto"/>
        <w:ind w:left="233" w:right="120"/>
      </w:pPr>
      <w:r>
        <w:rPr/>
        <w:t>Higher levels of uncertainty post-crisis may also have led firms to opt for labour over capital – employment decisions that can now be more easily reversed – rather than invest in new capital. Higher uncertainty and lower income expectations may also have increased households’ desired labour supply for precautionary motives, contributing to lower real wages.</w:t>
      </w:r>
      <w:r>
        <w:rPr>
          <w:vertAlign w:val="superscript"/>
        </w:rPr>
        <w:t>34</w:t>
      </w:r>
      <w:r>
        <w:rPr>
          <w:vertAlign w:val="baseline"/>
        </w:rPr>
        <w:t> Arguably, uncertainty hit harder in the UK as finance represented a much bigger share of the economy.</w:t>
      </w:r>
    </w:p>
    <w:p>
      <w:pPr>
        <w:pStyle w:val="BodyText"/>
        <w:spacing w:before="9"/>
        <w:rPr>
          <w:sz w:val="29"/>
        </w:rPr>
      </w:pPr>
    </w:p>
    <w:p>
      <w:pPr>
        <w:pStyle w:val="BodyText"/>
        <w:spacing w:line="360" w:lineRule="auto"/>
        <w:ind w:left="233" w:right="242"/>
      </w:pPr>
      <w:r>
        <w:rPr/>
        <w:t>International comparisons show that these trends in capital accumulation are one cause of the UK’s </w:t>
      </w:r>
      <w:r>
        <w:rPr>
          <w:i/>
        </w:rPr>
        <w:t>relative </w:t>
      </w:r>
      <w:r>
        <w:rPr/>
        <w:t>productivity slowdown (Chart 18). Globally, there has been an increase in capital deepening, though this is partly an emerging markets story. Greater capital also explains a significant part of the stronger post-crisis productivity performance in the euro area, however. By contrast, in the US, the post-crisis slowdown in investment has weighed on productivity growth similarly to the UK. Flexible labour markets are one structural feature shared by both economies (but less so in the euro area).</w:t>
      </w:r>
    </w:p>
    <w:p>
      <w:pPr>
        <w:pStyle w:val="BodyText"/>
        <w:rPr>
          <w:sz w:val="22"/>
        </w:rPr>
      </w:pPr>
    </w:p>
    <w:p>
      <w:pPr>
        <w:pStyle w:val="BodyText"/>
        <w:spacing w:before="2"/>
        <w:rPr>
          <w:sz w:val="17"/>
        </w:rPr>
      </w:pPr>
    </w:p>
    <w:p>
      <w:pPr>
        <w:pStyle w:val="Heading1"/>
        <w:spacing w:before="1"/>
        <w:ind w:left="530"/>
      </w:pPr>
      <w:r>
        <w:rPr/>
        <w:t>Chart 18 – Contributions to PPP-weighted average annual labour productivity growth</w:t>
      </w:r>
    </w:p>
    <w:p>
      <w:pPr>
        <w:pStyle w:val="BodyText"/>
        <w:rPr>
          <w:b/>
        </w:rPr>
      </w:pPr>
    </w:p>
    <w:p>
      <w:pPr>
        <w:pStyle w:val="BodyText"/>
        <w:spacing w:before="1"/>
        <w:rPr>
          <w:b/>
          <w:sz w:val="17"/>
        </w:rPr>
      </w:pPr>
    </w:p>
    <w:p>
      <w:pPr>
        <w:spacing w:before="0"/>
        <w:ind w:left="0" w:right="698" w:firstLine="0"/>
        <w:jc w:val="right"/>
        <w:rPr>
          <w:rFonts w:ascii="Calibri"/>
          <w:sz w:val="18"/>
        </w:rPr>
      </w:pPr>
      <w:r>
        <w:rPr/>
        <w:pict>
          <v:group style="position:absolute;margin-left:84.599998pt;margin-top:-2.210673pt;width:414.5pt;height:211.05pt;mso-position-horizontal-relative:page;mso-position-vertical-relative:paragraph;z-index:251742208" coordorigin="1692,-44" coordsize="8290,4221">
            <v:rect style="position:absolute;left:1737;top:2054;width:356;height:416" filled="true" fillcolor="#00af50" stroked="false">
              <v:fill type="solid"/>
            </v:rect>
            <v:rect style="position:absolute;left:1737;top:1413;width:356;height:641" filled="true" fillcolor="#c00000" stroked="false">
              <v:fill type="solid"/>
            </v:rect>
            <v:rect style="position:absolute;left:2169;top:1675;width:356;height:795" filled="true" fillcolor="#00af50" stroked="false">
              <v:fill type="solid"/>
            </v:rect>
            <v:rect style="position:absolute;left:2169;top:2469;width:356;height:250" filled="true" fillcolor="#c00000" stroked="false">
              <v:fill type="solid"/>
            </v:rect>
            <v:rect style="position:absolute;left:2604;top:1893;width:356;height:576" filled="true" fillcolor="#00af50" stroked="false">
              <v:fill type="solid"/>
            </v:rect>
            <v:rect style="position:absolute;left:2604;top:1533;width:356;height:360" filled="true" fillcolor="#c00000" stroked="false">
              <v:fill type="solid"/>
            </v:rect>
            <v:rect style="position:absolute;left:3468;top:1706;width:356;height:764" filled="true" fillcolor="#00af50" stroked="false">
              <v:fill type="solid"/>
            </v:rect>
            <v:rect style="position:absolute;left:3468;top:643;width:356;height:1064" filled="true" fillcolor="#c00000" stroked="false">
              <v:fill type="solid"/>
            </v:rect>
            <v:rect style="position:absolute;left:3902;top:1348;width:356;height:1121" filled="true" fillcolor="#00af50" stroked="false">
              <v:fill type="solid"/>
            </v:rect>
            <v:rect style="position:absolute;left:3902;top:1286;width:356;height:63" filled="true" fillcolor="#c00000" stroked="false">
              <v:fill type="solid"/>
            </v:rect>
            <v:rect style="position:absolute;left:4334;top:1411;width:356;height:1059" filled="true" fillcolor="#00af50" stroked="false">
              <v:fill type="solid"/>
            </v:rect>
            <v:rect style="position:absolute;left:4334;top:957;width:356;height:454" filled="true" fillcolor="#c00000" stroked="false">
              <v:fill type="solid"/>
            </v:rect>
            <v:rect style="position:absolute;left:5200;top:2349;width:356;height:120" filled="true" fillcolor="#00af50" stroked="false">
              <v:fill type="solid"/>
            </v:rect>
            <v:rect style="position:absolute;left:5200;top:2087;width:356;height:262" filled="true" fillcolor="#c00000" stroked="false">
              <v:fill type="solid"/>
            </v:rect>
            <v:rect style="position:absolute;left:5632;top:1989;width:356;height:480" filled="true" fillcolor="#00af50" stroked="false">
              <v:fill type="solid"/>
            </v:rect>
            <v:rect style="position:absolute;left:5632;top:2469;width:356;height:680" filled="true" fillcolor="#c00000" stroked="false">
              <v:fill type="solid"/>
            </v:rect>
            <v:rect style="position:absolute;left:6067;top:2311;width:356;height:159" filled="true" fillcolor="#00af50" stroked="false">
              <v:fill type="solid"/>
            </v:rect>
            <v:rect style="position:absolute;left:6067;top:2073;width:356;height:238" filled="true" fillcolor="#c00000" stroked="false">
              <v:fill type="solid"/>
            </v:rect>
            <v:rect style="position:absolute;left:6933;top:2253;width:356;height:216" filled="true" fillcolor="#00af50" stroked="false">
              <v:fill type="solid"/>
            </v:rect>
            <v:rect style="position:absolute;left:6933;top:1871;width:356;height:382" filled="true" fillcolor="#c00000" stroked="false">
              <v:fill type="solid"/>
            </v:rect>
            <v:rect style="position:absolute;left:7365;top:1886;width:356;height:584" filled="true" fillcolor="#00af50" stroked="false">
              <v:fill type="solid"/>
            </v:rect>
            <v:rect style="position:absolute;left:7365;top:2469;width:356;height:108" filled="true" fillcolor="#c00000" stroked="false">
              <v:fill type="solid"/>
            </v:rect>
            <v:rect style="position:absolute;left:7797;top:2469;width:356;height:34" filled="true" fillcolor="#00af50" stroked="false">
              <v:fill type="solid"/>
            </v:rect>
            <v:rect style="position:absolute;left:7797;top:2150;width:356;height:320" filled="true" fillcolor="#c00000" stroked="false">
              <v:fill type="solid"/>
            </v:rect>
            <v:rect style="position:absolute;left:8664;top:2030;width:356;height:440" filled="true" fillcolor="#00af50" stroked="false">
              <v:fill type="solid"/>
            </v:rect>
            <v:rect style="position:absolute;left:8664;top:1761;width:356;height:269" filled="true" fillcolor="#c00000" stroked="false">
              <v:fill type="solid"/>
            </v:rect>
            <v:rect style="position:absolute;left:9098;top:1975;width:356;height:495" filled="true" fillcolor="#00af50" stroked="false">
              <v:fill type="solid"/>
            </v:rect>
            <v:rect style="position:absolute;left:9098;top:2469;width:356;height:766" filled="true" fillcolor="#c00000" stroked="false">
              <v:fill type="solid"/>
            </v:rect>
            <v:rect style="position:absolute;left:9530;top:2347;width:356;height:123" filled="true" fillcolor="#00af50" stroked="false">
              <v:fill type="solid"/>
            </v:rect>
            <v:rect style="position:absolute;left:9530;top:2303;width:356;height:44" filled="true" fillcolor="#c00000" stroked="false">
              <v:fill type="solid"/>
            </v:rect>
            <v:shape style="position:absolute;left:1699;top:119;width:8283;height:3708" coordorigin="1699,120" coordsize="8283,3708" path="m9924,3478l9924,120m9924,3478l9982,3478m9924,3142l9982,3142m9924,2806l9982,2806m9924,2470l9982,2470m9924,2134l9982,2134m9924,1798l9982,1798m9924,1462l9982,1462m9924,1126l9982,1126m9924,792l9982,792m9924,456l9982,456m9924,120l9982,120m1699,2470l9924,2470m1699,3478l1699,3828m3430,3478l3430,3828m5162,3478l5162,3828m6893,3478l6893,3828m8626,3478l8626,3828m9924,3478l9924,3828e" filled="false" stroked="true" strokeweight=".72pt" strokecolor="#000000">
              <v:path arrowok="t"/>
              <v:stroke dashstyle="solid"/>
            </v:shape>
            <v:shape style="position:absolute;left:1699;top:3827;width:8225;height:348" coordorigin="1699,3828" coordsize="8225,348" path="m1699,3828l1699,4176m3430,3828l3430,4176m5162,3828l5162,4176m6893,3828l6893,4176m8626,3828l8626,4176m9924,3828l9924,4176e" filled="false" stroked="true" strokeweight=".72pt" strokecolor="#000000">
              <v:path arrowok="t"/>
              <v:stroke dashstyle="solid"/>
            </v:shape>
            <v:shape style="position:absolute;left:1915;top:643;width:7793;height:2098" coordorigin="1915,643" coordsize="7793,2098" path="m1915,1414l2347,1925,2782,1534m3646,643l4080,1286,4512,958m5378,2088l5810,2671,6245,2074m7111,1872l7543,1994,7975,2186m8842,1762l9276,2741,9708,2304e" filled="false" stroked="true" strokeweight="1.44pt" strokecolor="#000000">
              <v:path arrowok="t"/>
              <v:stroke dashstyle="solid"/>
            </v:shape>
            <v:shape style="position:absolute;left:1863;top:593;width:7896;height:2199" coordorigin="1863,594" coordsize="7896,2199" path="m1964,1465l1913,1364,1863,1465,1964,1465m2399,1974l2348,1873,2298,1974,2399,1974m2831,1585l2780,1484,2730,1585,2831,1585m3697,695l3646,594,3596,695,3697,695m4129,1338l4078,1237,4028,1338,4129,1338m4563,1007l4513,906,4463,1007,4563,1007m5430,2140l5379,2039,5329,2140,5430,2140m5862,2720l5811,2620,5761,2720,5862,2720m6294,2125l6243,2024,6193,2125,6294,2125m7160,1921l7109,1820,7059,1921,7160,1921m7595,2044l7544,1943,7494,2044,7595,2044m8027,2236l7976,2135,7926,2236,8027,2236m8893,1813l8842,1712,8792,1813,8893,1813m9325,2792l9274,2692,9224,2792,9325,2792m9759,2353l9709,2252,9659,2353,9759,2353e" filled="true" fillcolor="#f58d33" stroked="false">
              <v:path arrowok="t"/>
              <v:fill type="solid"/>
            </v:shape>
            <v:line style="position:absolute" from="2124,38" to="2508,38" stroked="true" strokeweight="5.04pt" strokecolor="#c00000">
              <v:stroke dashstyle="solid"/>
            </v:line>
            <v:line style="position:absolute" from="2124,268" to="2508,268" stroked="true" strokeweight="4.92pt" strokecolor="#00af50">
              <v:stroke dashstyle="solid"/>
            </v:line>
            <v:line style="position:absolute" from="2124,497" to="2508,497" stroked="true" strokeweight="1.44pt" strokecolor="#000000">
              <v:stroke dashstyle="solid"/>
            </v:line>
            <v:shape style="position:absolute;left:2266;top:446;width:100;height:100" coordorigin="2266,447" coordsize="100,100" path="m2316,447l2266,547,2366,547,2316,447xe" filled="true" fillcolor="#f58d33" stroked="false">
              <v:path arrowok="t"/>
              <v:fill type="solid"/>
            </v:shape>
            <v:shape style="position:absolute;left:2549;top:-45;width:1452;height:639" type="#_x0000_t202" filled="false" stroked="false">
              <v:textbox inset="0,0,0,0">
                <w:txbxContent>
                  <w:p>
                    <w:pPr>
                      <w:spacing w:line="183" w:lineRule="exact" w:before="0"/>
                      <w:ind w:left="0" w:right="0" w:firstLine="0"/>
                      <w:jc w:val="left"/>
                      <w:rPr>
                        <w:rFonts w:ascii="Calibri"/>
                        <w:sz w:val="18"/>
                      </w:rPr>
                    </w:pPr>
                    <w:r>
                      <w:rPr>
                        <w:rFonts w:ascii="Calibri"/>
                        <w:sz w:val="18"/>
                      </w:rPr>
                      <w:t>TFP</w:t>
                    </w:r>
                  </w:p>
                  <w:p>
                    <w:pPr>
                      <w:spacing w:before="9"/>
                      <w:ind w:left="0" w:right="0" w:firstLine="0"/>
                      <w:jc w:val="left"/>
                      <w:rPr>
                        <w:rFonts w:ascii="Calibri"/>
                        <w:sz w:val="18"/>
                      </w:rPr>
                    </w:pPr>
                    <w:r>
                      <w:rPr>
                        <w:rFonts w:ascii="Calibri"/>
                        <w:sz w:val="18"/>
                      </w:rPr>
                      <w:t>Capital</w:t>
                    </w:r>
                  </w:p>
                  <w:p>
                    <w:pPr>
                      <w:spacing w:line="216" w:lineRule="exact" w:before="10"/>
                      <w:ind w:left="0" w:right="0" w:firstLine="0"/>
                      <w:jc w:val="left"/>
                      <w:rPr>
                        <w:rFonts w:ascii="Calibri"/>
                        <w:sz w:val="18"/>
                      </w:rPr>
                    </w:pPr>
                    <w:r>
                      <w:rPr>
                        <w:rFonts w:ascii="Calibri"/>
                        <w:sz w:val="18"/>
                      </w:rPr>
                      <w:t>Labour productivity</w:t>
                    </w:r>
                  </w:p>
                </w:txbxContent>
              </v:textbox>
              <w10:wrap type="none"/>
            </v:shape>
            <v:shape style="position:absolute;left:8495;top:25;width:1341;height:180" type="#_x0000_t202" filled="false" stroked="false">
              <v:textbox inset="0,0,0,0">
                <w:txbxContent>
                  <w:p>
                    <w:pPr>
                      <w:spacing w:line="180" w:lineRule="exact" w:before="0"/>
                      <w:ind w:left="0" w:right="0" w:firstLine="0"/>
                      <w:jc w:val="left"/>
                      <w:rPr>
                        <w:rFonts w:ascii="Calibri"/>
                        <w:sz w:val="18"/>
                      </w:rPr>
                    </w:pPr>
                    <w:r>
                      <w:rPr>
                        <w:rFonts w:ascii="Calibri"/>
                        <w:sz w:val="18"/>
                      </w:rPr>
                      <w:t>Percentage points</w:t>
                    </w:r>
                  </w:p>
                </w:txbxContent>
              </v:textbox>
              <w10:wrap type="none"/>
            </v:shape>
            <v:shape style="position:absolute;left:1705;top:3630;width:1306;height:180" type="#_x0000_t202" filled="false" stroked="false">
              <v:textbox inset="0,0,0,0">
                <w:txbxContent>
                  <w:p>
                    <w:pPr>
                      <w:spacing w:line="180" w:lineRule="exact" w:before="0"/>
                      <w:ind w:left="0" w:right="0" w:firstLine="0"/>
                      <w:jc w:val="left"/>
                      <w:rPr>
                        <w:rFonts w:ascii="Calibri"/>
                        <w:sz w:val="18"/>
                      </w:rPr>
                    </w:pPr>
                    <w:r>
                      <w:rPr>
                        <w:rFonts w:ascii="Calibri"/>
                        <w:sz w:val="18"/>
                      </w:rPr>
                      <w:t>00-0707-0909-16</w:t>
                    </w:r>
                  </w:p>
                </w:txbxContent>
              </v:textbox>
              <w10:wrap type="none"/>
            </v:shape>
            <v:shape style="position:absolute;left:3437;top:3630;width:1307;height:180" type="#_x0000_t202" filled="false" stroked="false">
              <v:textbox inset="0,0,0,0">
                <w:txbxContent>
                  <w:p>
                    <w:pPr>
                      <w:spacing w:line="180" w:lineRule="exact" w:before="0"/>
                      <w:ind w:left="0" w:right="0" w:firstLine="0"/>
                      <w:jc w:val="left"/>
                      <w:rPr>
                        <w:rFonts w:ascii="Calibri"/>
                        <w:sz w:val="18"/>
                      </w:rPr>
                    </w:pPr>
                    <w:r>
                      <w:rPr>
                        <w:rFonts w:ascii="Calibri"/>
                        <w:sz w:val="18"/>
                      </w:rPr>
                      <w:t>00-0707-0909-16</w:t>
                    </w:r>
                  </w:p>
                </w:txbxContent>
              </v:textbox>
              <w10:wrap type="none"/>
            </v:shape>
            <v:shape style="position:absolute;left:5170;top:3630;width:1307;height:180" type="#_x0000_t202" filled="false" stroked="false">
              <v:textbox inset="0,0,0,0">
                <w:txbxContent>
                  <w:p>
                    <w:pPr>
                      <w:spacing w:line="180" w:lineRule="exact" w:before="0"/>
                      <w:ind w:left="0" w:right="0" w:firstLine="0"/>
                      <w:jc w:val="left"/>
                      <w:rPr>
                        <w:rFonts w:ascii="Calibri"/>
                        <w:sz w:val="18"/>
                      </w:rPr>
                    </w:pPr>
                    <w:r>
                      <w:rPr>
                        <w:rFonts w:ascii="Calibri"/>
                        <w:sz w:val="18"/>
                      </w:rPr>
                      <w:t>00-0707-0909-16</w:t>
                    </w:r>
                  </w:p>
                </w:txbxContent>
              </v:textbox>
              <w10:wrap type="none"/>
            </v:shape>
            <v:shape style="position:absolute;left:6902;top:3630;width:1306;height:180" type="#_x0000_t202" filled="false" stroked="false">
              <v:textbox inset="0,0,0,0">
                <w:txbxContent>
                  <w:p>
                    <w:pPr>
                      <w:spacing w:line="180" w:lineRule="exact" w:before="0"/>
                      <w:ind w:left="0" w:right="0" w:firstLine="0"/>
                      <w:jc w:val="left"/>
                      <w:rPr>
                        <w:rFonts w:ascii="Calibri"/>
                        <w:sz w:val="18"/>
                      </w:rPr>
                    </w:pPr>
                    <w:r>
                      <w:rPr>
                        <w:rFonts w:ascii="Calibri"/>
                        <w:sz w:val="18"/>
                      </w:rPr>
                      <w:t>00-0707-0909-16</w:t>
                    </w:r>
                  </w:p>
                </w:txbxContent>
              </v:textbox>
              <w10:wrap type="none"/>
            </v:shape>
            <v:shape style="position:absolute;left:8634;top:3630;width:1306;height:180" type="#_x0000_t202" filled="false" stroked="false">
              <v:textbox inset="0,0,0,0">
                <w:txbxContent>
                  <w:p>
                    <w:pPr>
                      <w:spacing w:line="180" w:lineRule="exact" w:before="0"/>
                      <w:ind w:left="0" w:right="0" w:firstLine="0"/>
                      <w:jc w:val="left"/>
                      <w:rPr>
                        <w:rFonts w:ascii="Calibri"/>
                        <w:sz w:val="18"/>
                      </w:rPr>
                    </w:pPr>
                    <w:r>
                      <w:rPr>
                        <w:rFonts w:ascii="Calibri"/>
                        <w:sz w:val="18"/>
                      </w:rPr>
                      <w:t>00-0707-0909-16</w:t>
                    </w:r>
                  </w:p>
                </w:txbxContent>
              </v:textbox>
              <w10:wrap type="none"/>
            </v:shape>
            <v:shape style="position:absolute;left:2338;top:3978;width:475;height:180" type="#_x0000_t202" filled="false" stroked="false">
              <v:textbox inset="0,0,0,0">
                <w:txbxContent>
                  <w:p>
                    <w:pPr>
                      <w:spacing w:line="180" w:lineRule="exact" w:before="0"/>
                      <w:ind w:left="0" w:right="0" w:firstLine="0"/>
                      <w:jc w:val="left"/>
                      <w:rPr>
                        <w:rFonts w:ascii="Calibri"/>
                        <w:sz w:val="18"/>
                      </w:rPr>
                    </w:pPr>
                    <w:r>
                      <w:rPr>
                        <w:rFonts w:ascii="Calibri"/>
                        <w:sz w:val="18"/>
                      </w:rPr>
                      <w:t>World</w:t>
                    </w:r>
                  </w:p>
                </w:txbxContent>
              </v:textbox>
              <w10:wrap type="none"/>
            </v:shape>
            <v:shape style="position:absolute;left:4097;top:3978;width:419;height:180" type="#_x0000_t202" filled="false" stroked="false">
              <v:textbox inset="0,0,0,0">
                <w:txbxContent>
                  <w:p>
                    <w:pPr>
                      <w:spacing w:line="180" w:lineRule="exact" w:before="0"/>
                      <w:ind w:left="0" w:right="0" w:firstLine="0"/>
                      <w:jc w:val="left"/>
                      <w:rPr>
                        <w:rFonts w:ascii="Calibri"/>
                        <w:sz w:val="18"/>
                      </w:rPr>
                    </w:pPr>
                    <w:r>
                      <w:rPr>
                        <w:rFonts w:ascii="Calibri"/>
                        <w:sz w:val="18"/>
                      </w:rPr>
                      <w:t>EMEs</w:t>
                    </w:r>
                  </w:p>
                </w:txbxContent>
              </v:textbox>
              <w10:wrap type="none"/>
            </v:shape>
            <v:shape style="position:absolute;left:5933;top:3978;width:214;height:180" type="#_x0000_t202" filled="false" stroked="false">
              <v:textbox inset="0,0,0,0">
                <w:txbxContent>
                  <w:p>
                    <w:pPr>
                      <w:spacing w:line="180" w:lineRule="exact" w:before="0"/>
                      <w:ind w:left="0" w:right="0" w:firstLine="0"/>
                      <w:jc w:val="left"/>
                      <w:rPr>
                        <w:rFonts w:ascii="Calibri"/>
                        <w:sz w:val="18"/>
                      </w:rPr>
                    </w:pPr>
                    <w:r>
                      <w:rPr>
                        <w:rFonts w:ascii="Calibri"/>
                        <w:sz w:val="18"/>
                      </w:rPr>
                      <w:t>EA</w:t>
                    </w:r>
                  </w:p>
                </w:txbxContent>
              </v:textbox>
              <w10:wrap type="none"/>
            </v:shape>
            <v:shape style="position:absolute;left:7662;top:3978;width:218;height:180" type="#_x0000_t202" filled="false" stroked="false">
              <v:textbox inset="0,0,0,0">
                <w:txbxContent>
                  <w:p>
                    <w:pPr>
                      <w:spacing w:line="180" w:lineRule="exact" w:before="0"/>
                      <w:ind w:left="0" w:right="0" w:firstLine="0"/>
                      <w:jc w:val="left"/>
                      <w:rPr>
                        <w:rFonts w:ascii="Calibri"/>
                        <w:sz w:val="18"/>
                      </w:rPr>
                    </w:pPr>
                    <w:r>
                      <w:rPr>
                        <w:rFonts w:ascii="Calibri"/>
                        <w:sz w:val="18"/>
                      </w:rPr>
                      <w:t>US</w:t>
                    </w:r>
                  </w:p>
                </w:txbxContent>
              </v:textbox>
              <w10:wrap type="none"/>
            </v:shape>
            <v:shape style="position:absolute;left:9173;top:3978;width:229;height:180" type="#_x0000_t202" filled="false" stroked="false">
              <v:textbox inset="0,0,0,0">
                <w:txbxContent>
                  <w:p>
                    <w:pPr>
                      <w:spacing w:line="180" w:lineRule="exact" w:before="0"/>
                      <w:ind w:left="0" w:right="0" w:firstLine="0"/>
                      <w:jc w:val="left"/>
                      <w:rPr>
                        <w:rFonts w:ascii="Calibri"/>
                        <w:sz w:val="18"/>
                      </w:rPr>
                    </w:pPr>
                    <w:r>
                      <w:rPr>
                        <w:rFonts w:ascii="Calibri"/>
                        <w:sz w:val="18"/>
                      </w:rPr>
                      <w:t>UK</w:t>
                    </w:r>
                  </w:p>
                </w:txbxContent>
              </v:textbox>
              <w10:wrap type="none"/>
            </v:shape>
            <w10:wrap type="none"/>
          </v:group>
        </w:pict>
      </w:r>
      <w:r>
        <w:rPr>
          <w:rFonts w:ascii="Calibri"/>
          <w:sz w:val="18"/>
        </w:rPr>
        <w:t>7</w:t>
      </w:r>
    </w:p>
    <w:p>
      <w:pPr>
        <w:spacing w:before="116"/>
        <w:ind w:left="0" w:right="698" w:firstLine="0"/>
        <w:jc w:val="right"/>
        <w:rPr>
          <w:rFonts w:ascii="Calibri"/>
          <w:sz w:val="18"/>
        </w:rPr>
      </w:pPr>
      <w:r>
        <w:rPr>
          <w:rFonts w:ascii="Calibri"/>
          <w:sz w:val="18"/>
        </w:rPr>
        <w:t>6</w:t>
      </w:r>
    </w:p>
    <w:p>
      <w:pPr>
        <w:spacing w:before="117"/>
        <w:ind w:left="0" w:right="698" w:firstLine="0"/>
        <w:jc w:val="right"/>
        <w:rPr>
          <w:rFonts w:ascii="Calibri"/>
          <w:sz w:val="18"/>
        </w:rPr>
      </w:pPr>
      <w:r>
        <w:rPr>
          <w:rFonts w:ascii="Calibri"/>
          <w:sz w:val="18"/>
        </w:rPr>
        <w:t>5</w:t>
      </w:r>
    </w:p>
    <w:p>
      <w:pPr>
        <w:spacing w:before="116"/>
        <w:ind w:left="0" w:right="698" w:firstLine="0"/>
        <w:jc w:val="right"/>
        <w:rPr>
          <w:rFonts w:ascii="Calibri"/>
          <w:sz w:val="18"/>
        </w:rPr>
      </w:pPr>
      <w:r>
        <w:rPr>
          <w:rFonts w:ascii="Calibri"/>
          <w:sz w:val="18"/>
        </w:rPr>
        <w:t>4</w:t>
      </w:r>
    </w:p>
    <w:p>
      <w:pPr>
        <w:spacing w:before="116"/>
        <w:ind w:left="0" w:right="698" w:firstLine="0"/>
        <w:jc w:val="right"/>
        <w:rPr>
          <w:rFonts w:ascii="Calibri"/>
          <w:sz w:val="18"/>
        </w:rPr>
      </w:pPr>
      <w:r>
        <w:rPr>
          <w:rFonts w:ascii="Calibri"/>
          <w:sz w:val="18"/>
        </w:rPr>
        <w:t>3</w:t>
      </w:r>
    </w:p>
    <w:p>
      <w:pPr>
        <w:spacing w:before="116"/>
        <w:ind w:left="0" w:right="698" w:firstLine="0"/>
        <w:jc w:val="right"/>
        <w:rPr>
          <w:rFonts w:ascii="Calibri"/>
          <w:sz w:val="18"/>
        </w:rPr>
      </w:pPr>
      <w:r>
        <w:rPr>
          <w:rFonts w:ascii="Calibri"/>
          <w:sz w:val="18"/>
        </w:rPr>
        <w:t>2</w:t>
      </w:r>
    </w:p>
    <w:p>
      <w:pPr>
        <w:spacing w:before="116"/>
        <w:ind w:left="0" w:right="698" w:firstLine="0"/>
        <w:jc w:val="right"/>
        <w:rPr>
          <w:rFonts w:ascii="Calibri"/>
          <w:sz w:val="18"/>
        </w:rPr>
      </w:pPr>
      <w:r>
        <w:rPr>
          <w:rFonts w:ascii="Calibri"/>
          <w:sz w:val="18"/>
        </w:rPr>
        <w:t>1</w:t>
      </w:r>
    </w:p>
    <w:p>
      <w:pPr>
        <w:spacing w:before="116"/>
        <w:ind w:left="0" w:right="698" w:firstLine="0"/>
        <w:jc w:val="right"/>
        <w:rPr>
          <w:rFonts w:ascii="Calibri"/>
          <w:sz w:val="18"/>
        </w:rPr>
      </w:pPr>
      <w:r>
        <w:rPr>
          <w:rFonts w:ascii="Calibri"/>
          <w:sz w:val="18"/>
        </w:rPr>
        <w:t>0</w:t>
      </w:r>
    </w:p>
    <w:p>
      <w:pPr>
        <w:spacing w:before="117"/>
        <w:ind w:left="0" w:right="643" w:firstLine="0"/>
        <w:jc w:val="right"/>
        <w:rPr>
          <w:rFonts w:ascii="Calibri"/>
          <w:sz w:val="18"/>
        </w:rPr>
      </w:pPr>
      <w:r>
        <w:rPr>
          <w:rFonts w:ascii="Calibri"/>
          <w:sz w:val="18"/>
        </w:rPr>
        <w:t>-1</w:t>
      </w:r>
    </w:p>
    <w:p>
      <w:pPr>
        <w:spacing w:before="116"/>
        <w:ind w:left="0" w:right="643" w:firstLine="0"/>
        <w:jc w:val="right"/>
        <w:rPr>
          <w:rFonts w:ascii="Calibri"/>
          <w:sz w:val="18"/>
        </w:rPr>
      </w:pPr>
      <w:r>
        <w:rPr>
          <w:rFonts w:ascii="Calibri"/>
          <w:sz w:val="18"/>
        </w:rPr>
        <w:t>-2</w:t>
      </w:r>
    </w:p>
    <w:p>
      <w:pPr>
        <w:spacing w:before="116"/>
        <w:ind w:left="0" w:right="643" w:firstLine="0"/>
        <w:jc w:val="right"/>
        <w:rPr>
          <w:rFonts w:ascii="Calibri"/>
          <w:sz w:val="18"/>
        </w:rPr>
      </w:pPr>
      <w:r>
        <w:rPr>
          <w:rFonts w:ascii="Calibri"/>
          <w:sz w:val="18"/>
        </w:rPr>
        <w:t>-3</w:t>
      </w:r>
    </w:p>
    <w:p>
      <w:pPr>
        <w:pStyle w:val="BodyText"/>
        <w:rPr>
          <w:rFonts w:ascii="Calibri"/>
        </w:rPr>
      </w:pPr>
    </w:p>
    <w:p>
      <w:pPr>
        <w:pStyle w:val="BodyText"/>
        <w:rPr>
          <w:rFonts w:ascii="Calibri"/>
        </w:rPr>
      </w:pPr>
    </w:p>
    <w:p>
      <w:pPr>
        <w:pStyle w:val="BodyText"/>
        <w:rPr>
          <w:rFonts w:ascii="Calibri"/>
          <w:sz w:val="16"/>
        </w:rPr>
      </w:pPr>
    </w:p>
    <w:p>
      <w:pPr>
        <w:spacing w:before="96"/>
        <w:ind w:left="530" w:right="231" w:firstLine="0"/>
        <w:jc w:val="left"/>
        <w:rPr>
          <w:sz w:val="16"/>
        </w:rPr>
      </w:pPr>
      <w:r>
        <w:rPr>
          <w:sz w:val="16"/>
        </w:rPr>
        <w:t>Sources: Eurostat, Feenstra, Inklaar and Timmer (2015), IMF </w:t>
      </w:r>
      <w:r>
        <w:rPr>
          <w:i/>
          <w:sz w:val="16"/>
        </w:rPr>
        <w:t>WEO</w:t>
      </w:r>
      <w:r>
        <w:rPr>
          <w:sz w:val="16"/>
        </w:rPr>
        <w:t>, US Bureau of Economic Analysis and Bank calculations. Notes: Decompositions use capital services data for the UK, but capital stocks for other countries.</w:t>
      </w:r>
    </w:p>
    <w:p>
      <w:pPr>
        <w:pStyle w:val="BodyText"/>
        <w:rPr>
          <w:sz w:val="18"/>
        </w:rPr>
      </w:pPr>
    </w:p>
    <w:p>
      <w:pPr>
        <w:pStyle w:val="BodyText"/>
        <w:spacing w:line="360" w:lineRule="auto" w:before="139"/>
        <w:ind w:left="233" w:right="231"/>
      </w:pPr>
      <w:r>
        <w:rPr/>
        <w:t>In the more recent data, however, investment has recovered in advanced economies, including the US, but not in the UK. One of the reasons why the UK might be lagging behind is the added uncertainty over the future trading relationship with the European Union. In the short term, this is likely to continue to weigh on business investment and capital accumulation.</w:t>
      </w:r>
    </w:p>
    <w:p>
      <w:pPr>
        <w:pStyle w:val="BodyText"/>
      </w:pPr>
    </w:p>
    <w:p>
      <w:pPr>
        <w:pStyle w:val="BodyText"/>
      </w:pPr>
    </w:p>
    <w:p>
      <w:pPr>
        <w:pStyle w:val="BodyText"/>
      </w:pPr>
    </w:p>
    <w:p>
      <w:pPr>
        <w:pStyle w:val="BodyText"/>
        <w:spacing w:before="7"/>
        <w:rPr>
          <w:sz w:val="17"/>
        </w:rPr>
      </w:pPr>
      <w:r>
        <w:rPr/>
        <w:pict>
          <v:shape style="position:absolute;margin-left:56.664001pt;margin-top:12.36209pt;width:144.050pt;height:.1pt;mso-position-horizontal-relative:page;mso-position-vertical-relative:paragraph;z-index:-251587584;mso-wrap-distance-left:0;mso-wrap-distance-right:0" coordorigin="1133,247" coordsize="2881,0" path="m1133,247l4014,247e" filled="false" stroked="true" strokeweight=".47998pt" strokecolor="#000000">
            <v:path arrowok="t"/>
            <v:stroke dashstyle="solid"/>
            <w10:wrap type="topAndBottom"/>
          </v:shape>
        </w:pict>
      </w:r>
    </w:p>
    <w:p>
      <w:pPr>
        <w:spacing w:line="196" w:lineRule="exact" w:before="29"/>
        <w:ind w:left="233" w:right="0" w:firstLine="0"/>
        <w:jc w:val="left"/>
        <w:rPr>
          <w:sz w:val="16"/>
        </w:rPr>
      </w:pPr>
      <w:r>
        <w:rPr>
          <w:position w:val="8"/>
          <w:sz w:val="10"/>
        </w:rPr>
        <w:t>33 </w:t>
      </w:r>
      <w:r>
        <w:rPr>
          <w:sz w:val="16"/>
        </w:rPr>
        <w:t>Oulton (2017) argues that in the UK context of high migration, this channel is stronger.</w:t>
      </w:r>
    </w:p>
    <w:p>
      <w:pPr>
        <w:spacing w:line="196" w:lineRule="exact" w:before="0"/>
        <w:ind w:left="233" w:right="0" w:firstLine="0"/>
        <w:jc w:val="left"/>
        <w:rPr>
          <w:sz w:val="16"/>
        </w:rPr>
      </w:pPr>
      <w:r>
        <w:rPr>
          <w:position w:val="8"/>
          <w:sz w:val="10"/>
        </w:rPr>
        <w:t>34 </w:t>
      </w:r>
      <w:r>
        <w:rPr>
          <w:sz w:val="16"/>
        </w:rPr>
        <w:t>Blundell, Crawford and Jin (2014) and Carney (2014) make similar arguments about the role of labour supply.</w:t>
      </w:r>
    </w:p>
    <w:p>
      <w:pPr>
        <w:spacing w:after="0" w:line="196" w:lineRule="exact"/>
        <w:jc w:val="left"/>
        <w:rPr>
          <w:sz w:val="16"/>
        </w:rPr>
        <w:sectPr>
          <w:footerReference w:type="default" r:id="rId46"/>
          <w:pgSz w:w="11910" w:h="16840"/>
          <w:pgMar w:footer="1338" w:header="0" w:top="1340" w:bottom="1520" w:left="900" w:right="1020"/>
          <w:pgNumType w:start="20"/>
        </w:sectPr>
      </w:pPr>
    </w:p>
    <w:p>
      <w:pPr>
        <w:pStyle w:val="BodyText"/>
        <w:spacing w:line="360" w:lineRule="auto" w:before="79"/>
        <w:ind w:left="233" w:right="161"/>
      </w:pPr>
      <w:r>
        <w:rPr/>
        <w:t>Looking further ahead, there are more grounds for optimism.  As some of the uncertainty is resolved, I expect the drag on investment to wane. Moreover, the cost of capital has fallen in recent years as the</w:t>
      </w:r>
      <w:r>
        <w:rPr>
          <w:spacing w:val="-36"/>
        </w:rPr>
        <w:t> </w:t>
      </w:r>
      <w:r>
        <w:rPr/>
        <w:t>health of the banking sector has improved. And if the current tightness in the labour mark</w:t>
      </w:r>
      <w:r>
        <w:rPr>
          <w:i/>
        </w:rPr>
        <w:t>e</w:t>
      </w:r>
      <w:r>
        <w:rPr/>
        <w:t>t also translates into a real-wage pickup, as we forecast in November, then the capital-labour substitution process may start to reverse.</w:t>
      </w:r>
    </w:p>
    <w:p>
      <w:pPr>
        <w:pStyle w:val="BodyText"/>
        <w:spacing w:before="8"/>
        <w:rPr>
          <w:sz w:val="29"/>
        </w:rPr>
      </w:pPr>
    </w:p>
    <w:p>
      <w:pPr>
        <w:spacing w:before="0"/>
        <w:ind w:left="233" w:right="0" w:firstLine="0"/>
        <w:jc w:val="left"/>
        <w:rPr>
          <w:i/>
          <w:sz w:val="20"/>
        </w:rPr>
      </w:pPr>
      <w:r>
        <w:rPr>
          <w:i/>
          <w:sz w:val="20"/>
          <w:u w:val="single"/>
        </w:rPr>
        <w:t>Taking stock</w:t>
      </w:r>
    </w:p>
    <w:p>
      <w:pPr>
        <w:pStyle w:val="BodyText"/>
        <w:rPr>
          <w:i/>
        </w:rPr>
      </w:pPr>
    </w:p>
    <w:p>
      <w:pPr>
        <w:pStyle w:val="BodyText"/>
        <w:spacing w:before="4"/>
        <w:rPr>
          <w:i/>
        </w:rPr>
      </w:pPr>
    </w:p>
    <w:p>
      <w:pPr>
        <w:pStyle w:val="ListParagraph"/>
        <w:numPr>
          <w:ilvl w:val="0"/>
          <w:numId w:val="4"/>
        </w:numPr>
        <w:tabs>
          <w:tab w:pos="593" w:val="left" w:leader="none"/>
          <w:tab w:pos="594" w:val="left" w:leader="none"/>
        </w:tabs>
        <w:spacing w:line="355" w:lineRule="auto" w:before="1" w:after="0"/>
        <w:ind w:left="593" w:right="552" w:hanging="360"/>
        <w:jc w:val="left"/>
        <w:rPr>
          <w:sz w:val="20"/>
        </w:rPr>
      </w:pPr>
      <w:r>
        <w:rPr>
          <w:sz w:val="20"/>
        </w:rPr>
        <w:t>I have shown that a small number of sectors can account for the slowing in productivity growth</w:t>
      </w:r>
      <w:r>
        <w:rPr>
          <w:spacing w:val="-35"/>
          <w:sz w:val="20"/>
        </w:rPr>
        <w:t> </w:t>
      </w:r>
      <w:r>
        <w:rPr>
          <w:sz w:val="20"/>
        </w:rPr>
        <w:t>since 2009. Those were the sectors driving aggregate productivity growth before the crisis and the ones where growth fell with the</w:t>
      </w:r>
      <w:r>
        <w:rPr>
          <w:spacing w:val="-3"/>
          <w:sz w:val="20"/>
        </w:rPr>
        <w:t> </w:t>
      </w:r>
      <w:r>
        <w:rPr>
          <w:sz w:val="20"/>
        </w:rPr>
        <w:t>crisis.</w:t>
      </w:r>
    </w:p>
    <w:p>
      <w:pPr>
        <w:pStyle w:val="BodyText"/>
        <w:spacing w:before="4"/>
        <w:rPr>
          <w:sz w:val="30"/>
        </w:rPr>
      </w:pPr>
    </w:p>
    <w:p>
      <w:pPr>
        <w:pStyle w:val="ListParagraph"/>
        <w:numPr>
          <w:ilvl w:val="0"/>
          <w:numId w:val="4"/>
        </w:numPr>
        <w:tabs>
          <w:tab w:pos="593" w:val="left" w:leader="none"/>
          <w:tab w:pos="594" w:val="left" w:leader="none"/>
        </w:tabs>
        <w:spacing w:line="355" w:lineRule="auto" w:before="0" w:after="0"/>
        <w:ind w:left="593" w:right="300" w:hanging="360"/>
        <w:jc w:val="left"/>
        <w:rPr>
          <w:sz w:val="20"/>
        </w:rPr>
      </w:pPr>
      <w:r>
        <w:rPr>
          <w:sz w:val="20"/>
        </w:rPr>
        <w:t>For the rest of the economy, low productivity growth after the crisis is fairly similar to their low growth before the crisis. So, in some sense, the true puzzle is why was productivity in the rest of the economy growing so slowly before the</w:t>
      </w:r>
      <w:r>
        <w:rPr>
          <w:spacing w:val="-6"/>
          <w:sz w:val="20"/>
        </w:rPr>
        <w:t> </w:t>
      </w:r>
      <w:r>
        <w:rPr>
          <w:sz w:val="20"/>
        </w:rPr>
        <w:t>crisis.</w:t>
      </w:r>
    </w:p>
    <w:p>
      <w:pPr>
        <w:pStyle w:val="BodyText"/>
        <w:spacing w:before="6"/>
        <w:rPr>
          <w:sz w:val="30"/>
        </w:rPr>
      </w:pPr>
    </w:p>
    <w:p>
      <w:pPr>
        <w:pStyle w:val="ListParagraph"/>
        <w:numPr>
          <w:ilvl w:val="0"/>
          <w:numId w:val="4"/>
        </w:numPr>
        <w:tabs>
          <w:tab w:pos="593" w:val="left" w:leader="none"/>
          <w:tab w:pos="594" w:val="left" w:leader="none"/>
        </w:tabs>
        <w:spacing w:line="357" w:lineRule="auto" w:before="0" w:after="0"/>
        <w:ind w:left="593" w:right="218" w:hanging="360"/>
        <w:jc w:val="left"/>
        <w:rPr>
          <w:sz w:val="20"/>
        </w:rPr>
      </w:pPr>
      <w:r>
        <w:rPr>
          <w:sz w:val="20"/>
        </w:rPr>
        <w:t>I</w:t>
      </w:r>
      <w:r>
        <w:rPr>
          <w:spacing w:val="-4"/>
          <w:sz w:val="20"/>
        </w:rPr>
        <w:t> </w:t>
      </w:r>
      <w:r>
        <w:rPr>
          <w:sz w:val="20"/>
        </w:rPr>
        <w:t>have</w:t>
      </w:r>
      <w:r>
        <w:rPr>
          <w:spacing w:val="-1"/>
          <w:sz w:val="20"/>
        </w:rPr>
        <w:t> </w:t>
      </w:r>
      <w:r>
        <w:rPr>
          <w:sz w:val="20"/>
        </w:rPr>
        <w:t>also</w:t>
      </w:r>
      <w:r>
        <w:rPr>
          <w:spacing w:val="-3"/>
          <w:sz w:val="20"/>
        </w:rPr>
        <w:t> </w:t>
      </w:r>
      <w:r>
        <w:rPr>
          <w:sz w:val="20"/>
        </w:rPr>
        <w:t>shown</w:t>
      </w:r>
      <w:r>
        <w:rPr>
          <w:spacing w:val="-3"/>
          <w:sz w:val="20"/>
        </w:rPr>
        <w:t> </w:t>
      </w:r>
      <w:r>
        <w:rPr>
          <w:sz w:val="20"/>
        </w:rPr>
        <w:t>that</w:t>
      </w:r>
      <w:r>
        <w:rPr>
          <w:spacing w:val="-2"/>
          <w:sz w:val="20"/>
        </w:rPr>
        <w:t> </w:t>
      </w:r>
      <w:r>
        <w:rPr>
          <w:sz w:val="20"/>
        </w:rPr>
        <w:t>there</w:t>
      </w:r>
      <w:r>
        <w:rPr>
          <w:spacing w:val="-3"/>
          <w:sz w:val="20"/>
        </w:rPr>
        <w:t> </w:t>
      </w:r>
      <w:r>
        <w:rPr>
          <w:sz w:val="20"/>
        </w:rPr>
        <w:t>is</w:t>
      </w:r>
      <w:r>
        <w:rPr>
          <w:spacing w:val="-2"/>
          <w:sz w:val="20"/>
        </w:rPr>
        <w:t> </w:t>
      </w:r>
      <w:r>
        <w:rPr>
          <w:sz w:val="20"/>
        </w:rPr>
        <w:t>an</w:t>
      </w:r>
      <w:r>
        <w:rPr>
          <w:spacing w:val="-3"/>
          <w:sz w:val="20"/>
        </w:rPr>
        <w:t> </w:t>
      </w:r>
      <w:r>
        <w:rPr>
          <w:sz w:val="20"/>
        </w:rPr>
        <w:t>important</w:t>
      </w:r>
      <w:r>
        <w:rPr>
          <w:spacing w:val="-1"/>
          <w:sz w:val="20"/>
        </w:rPr>
        <w:t> </w:t>
      </w:r>
      <w:r>
        <w:rPr>
          <w:sz w:val="20"/>
        </w:rPr>
        <w:t>difference</w:t>
      </w:r>
      <w:r>
        <w:rPr>
          <w:spacing w:val="-4"/>
          <w:sz w:val="20"/>
        </w:rPr>
        <w:t> </w:t>
      </w:r>
      <w:r>
        <w:rPr>
          <w:sz w:val="20"/>
        </w:rPr>
        <w:t>in</w:t>
      </w:r>
      <w:r>
        <w:rPr>
          <w:spacing w:val="-3"/>
          <w:sz w:val="20"/>
        </w:rPr>
        <w:t> </w:t>
      </w:r>
      <w:r>
        <w:rPr>
          <w:sz w:val="20"/>
        </w:rPr>
        <w:t>the</w:t>
      </w:r>
      <w:r>
        <w:rPr>
          <w:spacing w:val="-3"/>
          <w:sz w:val="20"/>
        </w:rPr>
        <w:t> </w:t>
      </w:r>
      <w:r>
        <w:rPr>
          <w:sz w:val="20"/>
        </w:rPr>
        <w:t>revenue</w:t>
      </w:r>
      <w:r>
        <w:rPr>
          <w:spacing w:val="-1"/>
          <w:sz w:val="20"/>
        </w:rPr>
        <w:t> </w:t>
      </w:r>
      <w:r>
        <w:rPr>
          <w:sz w:val="20"/>
        </w:rPr>
        <w:t>productivity</w:t>
      </w:r>
      <w:r>
        <w:rPr>
          <w:spacing w:val="-4"/>
          <w:sz w:val="20"/>
        </w:rPr>
        <w:t> </w:t>
      </w:r>
      <w:r>
        <w:rPr>
          <w:sz w:val="20"/>
        </w:rPr>
        <w:t>performance</w:t>
      </w:r>
      <w:r>
        <w:rPr>
          <w:spacing w:val="-4"/>
          <w:sz w:val="20"/>
        </w:rPr>
        <w:t> </w:t>
      </w:r>
      <w:r>
        <w:rPr>
          <w:sz w:val="20"/>
        </w:rPr>
        <w:t>between manufacturing and finance, the two biggest contributors to the slow down. Revenue productivity in finance grew remarkably fast in the UK before the crisis, while in manufacturing revenue productivity growth was modest. In other words, the “returns” to financial sector activities were much higher than in manufacturing - and indeed much higher than in any other sector in the</w:t>
      </w:r>
      <w:r>
        <w:rPr>
          <w:spacing w:val="-11"/>
          <w:sz w:val="20"/>
        </w:rPr>
        <w:t> </w:t>
      </w:r>
      <w:r>
        <w:rPr>
          <w:sz w:val="20"/>
        </w:rPr>
        <w:t>economy.</w:t>
      </w:r>
    </w:p>
    <w:p>
      <w:pPr>
        <w:pStyle w:val="BodyText"/>
        <w:spacing w:before="2"/>
        <w:rPr>
          <w:sz w:val="30"/>
        </w:rPr>
      </w:pPr>
    </w:p>
    <w:p>
      <w:pPr>
        <w:pStyle w:val="ListParagraph"/>
        <w:numPr>
          <w:ilvl w:val="0"/>
          <w:numId w:val="4"/>
        </w:numPr>
        <w:tabs>
          <w:tab w:pos="593" w:val="left" w:leader="none"/>
          <w:tab w:pos="594" w:val="left" w:leader="none"/>
        </w:tabs>
        <w:spacing w:line="357" w:lineRule="auto" w:before="0" w:after="0"/>
        <w:ind w:left="593" w:right="242" w:hanging="360"/>
        <w:jc w:val="left"/>
        <w:rPr>
          <w:sz w:val="20"/>
        </w:rPr>
      </w:pPr>
      <w:r>
        <w:rPr>
          <w:sz w:val="20"/>
        </w:rPr>
        <w:t>It is possible that the growth of financial activities somehow crowded out the growth in the rest of the economy in a competition for talent and resources.</w:t>
      </w:r>
      <w:r>
        <w:rPr>
          <w:sz w:val="20"/>
          <w:vertAlign w:val="superscript"/>
        </w:rPr>
        <w:t>35</w:t>
      </w:r>
      <w:r>
        <w:rPr>
          <w:sz w:val="20"/>
          <w:vertAlign w:val="baseline"/>
        </w:rPr>
        <w:t> In recent years, significant effort has gone into reducing the incidence of bubbles and imbalances in the economy and in the banking sector in particular. The economy is, in this regard, on a stronger position now. While the sector will probably</w:t>
      </w:r>
      <w:r>
        <w:rPr>
          <w:spacing w:val="-37"/>
          <w:sz w:val="20"/>
          <w:vertAlign w:val="baseline"/>
        </w:rPr>
        <w:t> </w:t>
      </w:r>
      <w:r>
        <w:rPr>
          <w:sz w:val="20"/>
          <w:vertAlign w:val="baseline"/>
        </w:rPr>
        <w:t>not come back to the high levels of measured productivity growth pre-crisis, as the process of deleveraging runs its course, the negative contribution to aggregate productivity growth in the post crisis period will also, in all likelihood, come to an</w:t>
      </w:r>
      <w:r>
        <w:rPr>
          <w:spacing w:val="-4"/>
          <w:sz w:val="20"/>
          <w:vertAlign w:val="baseline"/>
        </w:rPr>
        <w:t> </w:t>
      </w:r>
      <w:r>
        <w:rPr>
          <w:sz w:val="20"/>
          <w:vertAlign w:val="baseline"/>
        </w:rPr>
        <w:t>end.</w:t>
      </w:r>
    </w:p>
    <w:p>
      <w:pPr>
        <w:pStyle w:val="BodyText"/>
        <w:spacing w:before="9"/>
        <w:rPr>
          <w:sz w:val="30"/>
        </w:rPr>
      </w:pPr>
    </w:p>
    <w:p>
      <w:pPr>
        <w:pStyle w:val="ListParagraph"/>
        <w:numPr>
          <w:ilvl w:val="0"/>
          <w:numId w:val="4"/>
        </w:numPr>
        <w:tabs>
          <w:tab w:pos="593" w:val="left" w:leader="none"/>
          <w:tab w:pos="594" w:val="left" w:leader="none"/>
        </w:tabs>
        <w:spacing w:line="355" w:lineRule="auto" w:before="0" w:after="0"/>
        <w:ind w:left="593" w:right="135" w:hanging="360"/>
        <w:jc w:val="left"/>
        <w:rPr>
          <w:sz w:val="20"/>
        </w:rPr>
      </w:pPr>
      <w:r>
        <w:rPr/>
        <w:pict>
          <v:shape style="position:absolute;margin-left:56.664001pt;margin-top:53.973694pt;width:144.050pt;height:.1pt;mso-position-horizontal-relative:page;mso-position-vertical-relative:paragraph;z-index:-251573248;mso-wrap-distance-left:0;mso-wrap-distance-right:0" coordorigin="1133,1079" coordsize="2881,0" path="m1133,1079l4014,1079e" filled="false" stroked="true" strokeweight=".48004pt" strokecolor="#000000">
            <v:path arrowok="t"/>
            <v:stroke dashstyle="solid"/>
            <w10:wrap type="topAndBottom"/>
          </v:shape>
        </w:pict>
      </w:r>
      <w:r>
        <w:rPr>
          <w:sz w:val="20"/>
        </w:rPr>
        <w:t>What are the prospects for aggregate productivity going forward? The UK productivity level is below that of other advanced economies. The silver lining is that there is scope to catch up with the frontier. How? By adopting technologies and processes that enhance productivity and are already tested and in place</w:t>
      </w:r>
      <w:r>
        <w:rPr>
          <w:spacing w:val="-25"/>
          <w:sz w:val="20"/>
        </w:rPr>
        <w:t> </w:t>
      </w:r>
      <w:r>
        <w:rPr>
          <w:sz w:val="20"/>
        </w:rPr>
        <w:t>in</w:t>
      </w:r>
    </w:p>
    <w:p>
      <w:pPr>
        <w:spacing w:before="27"/>
        <w:ind w:left="233" w:right="0" w:firstLine="0"/>
        <w:jc w:val="left"/>
        <w:rPr>
          <w:sz w:val="16"/>
        </w:rPr>
      </w:pPr>
      <w:r>
        <w:rPr>
          <w:position w:val="8"/>
          <w:sz w:val="10"/>
        </w:rPr>
        <w:t>35 </w:t>
      </w:r>
      <w:r>
        <w:rPr>
          <w:sz w:val="16"/>
        </w:rPr>
        <w:t>This relates to a hypothesis put forward by Murphy, Shleifer and Vishny in 1991. They argued that when rent-seeking rewards talent more than entrepreneurship or innovation, aggregate productivity suffers. They conjectured back then, and I quote literally, that</w:t>
      </w:r>
    </w:p>
    <w:p>
      <w:pPr>
        <w:spacing w:before="2"/>
        <w:ind w:left="233" w:right="140" w:firstLine="0"/>
        <w:jc w:val="left"/>
        <w:rPr>
          <w:sz w:val="16"/>
        </w:rPr>
      </w:pPr>
      <w:r>
        <w:rPr>
          <w:sz w:val="16"/>
        </w:rPr>
        <w:t>“[t</w:t>
      </w:r>
      <w:r>
        <w:rPr>
          <w:i/>
          <w:sz w:val="16"/>
        </w:rPr>
        <w:t>]he flow of some of the most talented people in the United States into law and financial services might be one of the sources of our  </w:t>
      </w:r>
      <w:r>
        <w:rPr>
          <w:i/>
          <w:sz w:val="16"/>
        </w:rPr>
        <w:t>low productivity growth</w:t>
      </w:r>
      <w:r>
        <w:rPr>
          <w:sz w:val="16"/>
        </w:rPr>
        <w:t>”. If indeed most of our talent is applied to finance and law, rather than, say, engineering, health or potentially new</w:t>
      </w:r>
      <w:r>
        <w:rPr>
          <w:spacing w:val="-5"/>
          <w:sz w:val="16"/>
        </w:rPr>
        <w:t> </w:t>
      </w:r>
      <w:r>
        <w:rPr>
          <w:sz w:val="16"/>
        </w:rPr>
        <w:t>areas of</w:t>
      </w:r>
      <w:r>
        <w:rPr>
          <w:spacing w:val="-1"/>
          <w:sz w:val="16"/>
        </w:rPr>
        <w:t> </w:t>
      </w:r>
      <w:r>
        <w:rPr>
          <w:sz w:val="16"/>
        </w:rPr>
        <w:t>knowledge</w:t>
      </w:r>
      <w:r>
        <w:rPr>
          <w:spacing w:val="-1"/>
          <w:sz w:val="16"/>
        </w:rPr>
        <w:t> </w:t>
      </w:r>
      <w:r>
        <w:rPr>
          <w:sz w:val="16"/>
        </w:rPr>
        <w:t>in</w:t>
      </w:r>
      <w:r>
        <w:rPr>
          <w:spacing w:val="-2"/>
          <w:sz w:val="16"/>
        </w:rPr>
        <w:t> </w:t>
      </w:r>
      <w:r>
        <w:rPr>
          <w:sz w:val="16"/>
        </w:rPr>
        <w:t>which</w:t>
      </w:r>
      <w:r>
        <w:rPr>
          <w:spacing w:val="-4"/>
          <w:sz w:val="16"/>
        </w:rPr>
        <w:t> </w:t>
      </w:r>
      <w:r>
        <w:rPr>
          <w:sz w:val="16"/>
        </w:rPr>
        <w:t>there</w:t>
      </w:r>
      <w:r>
        <w:rPr>
          <w:spacing w:val="-1"/>
          <w:sz w:val="16"/>
        </w:rPr>
        <w:t> </w:t>
      </w:r>
      <w:r>
        <w:rPr>
          <w:sz w:val="16"/>
        </w:rPr>
        <w:t>is</w:t>
      </w:r>
      <w:r>
        <w:rPr>
          <w:spacing w:val="-2"/>
          <w:sz w:val="16"/>
        </w:rPr>
        <w:t> </w:t>
      </w:r>
      <w:r>
        <w:rPr>
          <w:sz w:val="16"/>
        </w:rPr>
        <w:t>more</w:t>
      </w:r>
      <w:r>
        <w:rPr>
          <w:spacing w:val="-4"/>
          <w:sz w:val="16"/>
        </w:rPr>
        <w:t> </w:t>
      </w:r>
      <w:r>
        <w:rPr>
          <w:sz w:val="16"/>
        </w:rPr>
        <w:t>scope</w:t>
      </w:r>
      <w:r>
        <w:rPr>
          <w:spacing w:val="-3"/>
          <w:sz w:val="16"/>
        </w:rPr>
        <w:t> </w:t>
      </w:r>
      <w:r>
        <w:rPr>
          <w:sz w:val="16"/>
        </w:rPr>
        <w:t>for</w:t>
      </w:r>
      <w:r>
        <w:rPr>
          <w:spacing w:val="-4"/>
          <w:sz w:val="16"/>
        </w:rPr>
        <w:t> </w:t>
      </w:r>
      <w:r>
        <w:rPr>
          <w:sz w:val="16"/>
        </w:rPr>
        <w:t>sustainable</w:t>
      </w:r>
      <w:r>
        <w:rPr>
          <w:spacing w:val="-4"/>
          <w:sz w:val="16"/>
        </w:rPr>
        <w:t> </w:t>
      </w:r>
      <w:r>
        <w:rPr>
          <w:sz w:val="16"/>
        </w:rPr>
        <w:t>growth, aggregate</w:t>
      </w:r>
      <w:r>
        <w:rPr>
          <w:spacing w:val="-2"/>
          <w:sz w:val="16"/>
        </w:rPr>
        <w:t> </w:t>
      </w:r>
      <w:r>
        <w:rPr>
          <w:sz w:val="16"/>
        </w:rPr>
        <w:t>productivity</w:t>
      </w:r>
      <w:r>
        <w:rPr>
          <w:spacing w:val="-3"/>
          <w:sz w:val="16"/>
        </w:rPr>
        <w:t> </w:t>
      </w:r>
      <w:r>
        <w:rPr>
          <w:sz w:val="16"/>
        </w:rPr>
        <w:t>will</w:t>
      </w:r>
      <w:r>
        <w:rPr>
          <w:spacing w:val="-1"/>
          <w:sz w:val="16"/>
        </w:rPr>
        <w:t> </w:t>
      </w:r>
      <w:r>
        <w:rPr>
          <w:sz w:val="16"/>
        </w:rPr>
        <w:t>inevitably</w:t>
      </w:r>
      <w:r>
        <w:rPr>
          <w:spacing w:val="-4"/>
          <w:sz w:val="16"/>
        </w:rPr>
        <w:t> </w:t>
      </w:r>
      <w:r>
        <w:rPr>
          <w:sz w:val="16"/>
        </w:rPr>
        <w:t>suffer.</w:t>
      </w:r>
      <w:r>
        <w:rPr>
          <w:spacing w:val="-3"/>
          <w:sz w:val="16"/>
        </w:rPr>
        <w:t> </w:t>
      </w:r>
      <w:r>
        <w:rPr>
          <w:spacing w:val="2"/>
          <w:sz w:val="16"/>
        </w:rPr>
        <w:t>But</w:t>
      </w:r>
      <w:r>
        <w:rPr>
          <w:spacing w:val="-3"/>
          <w:sz w:val="16"/>
        </w:rPr>
        <w:t> </w:t>
      </w:r>
      <w:r>
        <w:rPr>
          <w:sz w:val="16"/>
        </w:rPr>
        <w:t>this</w:t>
      </w:r>
      <w:r>
        <w:rPr>
          <w:spacing w:val="-2"/>
          <w:sz w:val="16"/>
        </w:rPr>
        <w:t> </w:t>
      </w:r>
      <w:r>
        <w:rPr>
          <w:sz w:val="16"/>
        </w:rPr>
        <w:t>should not make us rush to extreme inferences. It does not mean that finance is not good for growth. On the contrary, finance is critical to channel resources from less productive to more productive activities. Finance is also much needed to put talent to good use. And for centuries the UK has shown a comparative advantage in financial services vis a vis other countries. Finance has been an important export and source of national income. But it is also true that there were excesses before the crisis; the amount of systemic risk that built in the economy was unhealthy; and the returns seemed disproportionate once the sector’s valued added and returns over the longer period are taken into account. What the rapid rise and fall in the financial sector has highlighted is the need of a different approach to assessing systemic risk and to containing risky activities that are not conducive to sustainable</w:t>
      </w:r>
      <w:r>
        <w:rPr>
          <w:spacing w:val="-21"/>
          <w:sz w:val="16"/>
        </w:rPr>
        <w:t> </w:t>
      </w:r>
      <w:r>
        <w:rPr>
          <w:sz w:val="16"/>
        </w:rPr>
        <w:t>growth.</w:t>
      </w:r>
    </w:p>
    <w:p>
      <w:pPr>
        <w:spacing w:after="0"/>
        <w:jc w:val="left"/>
        <w:rPr>
          <w:sz w:val="16"/>
        </w:rPr>
        <w:sectPr>
          <w:footerReference w:type="default" r:id="rId47"/>
          <w:pgSz w:w="11910" w:h="16840"/>
          <w:pgMar w:footer="1338" w:header="0" w:top="1340" w:bottom="1520" w:left="900" w:right="1020"/>
          <w:pgNumType w:start="21"/>
        </w:sectPr>
      </w:pPr>
    </w:p>
    <w:p>
      <w:pPr>
        <w:pStyle w:val="BodyText"/>
        <w:spacing w:line="360" w:lineRule="auto" w:before="79"/>
        <w:ind w:left="593" w:right="231"/>
      </w:pPr>
      <w:r>
        <w:rPr/>
        <w:t>other countries. I am optimistic about the long term. Firms in the UK have all the fundamental factors in their favour to be at the technological frontier: an advantageous institutional and legal framework, a favourable geographic location, top-rate research and innovation centres and the human capital to harness resources to foster growth.</w:t>
      </w:r>
    </w:p>
    <w:p>
      <w:pPr>
        <w:pStyle w:val="BodyText"/>
        <w:spacing w:before="1"/>
        <w:rPr>
          <w:sz w:val="30"/>
        </w:rPr>
      </w:pPr>
    </w:p>
    <w:p>
      <w:pPr>
        <w:pStyle w:val="ListParagraph"/>
        <w:numPr>
          <w:ilvl w:val="0"/>
          <w:numId w:val="4"/>
        </w:numPr>
        <w:tabs>
          <w:tab w:pos="593" w:val="left" w:leader="none"/>
          <w:tab w:pos="594" w:val="left" w:leader="none"/>
        </w:tabs>
        <w:spacing w:line="357" w:lineRule="auto" w:before="1" w:after="0"/>
        <w:ind w:left="593" w:right="125" w:hanging="360"/>
        <w:jc w:val="left"/>
        <w:rPr>
          <w:sz w:val="20"/>
        </w:rPr>
      </w:pPr>
      <w:r>
        <w:rPr>
          <w:sz w:val="20"/>
        </w:rPr>
        <w:t>The big question is the timing for that catch up. The global economy and Europe in particular are undergoing</w:t>
      </w:r>
      <w:r>
        <w:rPr>
          <w:spacing w:val="-1"/>
          <w:sz w:val="20"/>
        </w:rPr>
        <w:t> </w:t>
      </w:r>
      <w:r>
        <w:rPr>
          <w:sz w:val="20"/>
        </w:rPr>
        <w:t>a</w:t>
      </w:r>
      <w:r>
        <w:rPr>
          <w:spacing w:val="-2"/>
          <w:sz w:val="20"/>
        </w:rPr>
        <w:t> </w:t>
      </w:r>
      <w:r>
        <w:rPr>
          <w:sz w:val="20"/>
        </w:rPr>
        <w:t>big investment</w:t>
      </w:r>
      <w:r>
        <w:rPr>
          <w:spacing w:val="-3"/>
          <w:sz w:val="20"/>
        </w:rPr>
        <w:t> </w:t>
      </w:r>
      <w:r>
        <w:rPr>
          <w:sz w:val="20"/>
        </w:rPr>
        <w:t>boom,</w:t>
      </w:r>
      <w:r>
        <w:rPr>
          <w:spacing w:val="-1"/>
          <w:sz w:val="20"/>
        </w:rPr>
        <w:t> </w:t>
      </w:r>
      <w:r>
        <w:rPr>
          <w:sz w:val="20"/>
        </w:rPr>
        <w:t>yet</w:t>
      </w:r>
      <w:r>
        <w:rPr>
          <w:spacing w:val="-2"/>
          <w:sz w:val="20"/>
        </w:rPr>
        <w:t> </w:t>
      </w:r>
      <w:r>
        <w:rPr>
          <w:sz w:val="20"/>
        </w:rPr>
        <w:t>the</w:t>
      </w:r>
      <w:r>
        <w:rPr>
          <w:spacing w:val="-3"/>
          <w:sz w:val="20"/>
        </w:rPr>
        <w:t> </w:t>
      </w:r>
      <w:r>
        <w:rPr>
          <w:sz w:val="20"/>
        </w:rPr>
        <w:t>UK</w:t>
      </w:r>
      <w:r>
        <w:rPr>
          <w:spacing w:val="-2"/>
          <w:sz w:val="20"/>
        </w:rPr>
        <w:t> </w:t>
      </w:r>
      <w:r>
        <w:rPr>
          <w:sz w:val="20"/>
        </w:rPr>
        <w:t>is</w:t>
      </w:r>
      <w:r>
        <w:rPr>
          <w:spacing w:val="-2"/>
          <w:sz w:val="20"/>
        </w:rPr>
        <w:t> </w:t>
      </w:r>
      <w:r>
        <w:rPr>
          <w:sz w:val="20"/>
        </w:rPr>
        <w:t>not part</w:t>
      </w:r>
      <w:r>
        <w:rPr>
          <w:spacing w:val="-3"/>
          <w:sz w:val="20"/>
        </w:rPr>
        <w:t> </w:t>
      </w:r>
      <w:r>
        <w:rPr>
          <w:sz w:val="20"/>
        </w:rPr>
        <w:t>of</w:t>
      </w:r>
      <w:r>
        <w:rPr>
          <w:spacing w:val="-1"/>
          <w:sz w:val="20"/>
        </w:rPr>
        <w:t> </w:t>
      </w:r>
      <w:r>
        <w:rPr>
          <w:sz w:val="20"/>
        </w:rPr>
        <w:t>it.</w:t>
      </w:r>
      <w:r>
        <w:rPr>
          <w:spacing w:val="-5"/>
          <w:sz w:val="20"/>
        </w:rPr>
        <w:t> </w:t>
      </w:r>
      <w:r>
        <w:rPr>
          <w:spacing w:val="3"/>
          <w:sz w:val="20"/>
        </w:rPr>
        <w:t>Why</w:t>
      </w:r>
      <w:r>
        <w:rPr>
          <w:spacing w:val="-7"/>
          <w:sz w:val="20"/>
        </w:rPr>
        <w:t> </w:t>
      </w:r>
      <w:r>
        <w:rPr>
          <w:sz w:val="20"/>
        </w:rPr>
        <w:t>is</w:t>
      </w:r>
      <w:r>
        <w:rPr>
          <w:spacing w:val="-1"/>
          <w:sz w:val="20"/>
        </w:rPr>
        <w:t> </w:t>
      </w:r>
      <w:r>
        <w:rPr>
          <w:sz w:val="20"/>
        </w:rPr>
        <w:t>the</w:t>
      </w:r>
      <w:r>
        <w:rPr>
          <w:spacing w:val="-1"/>
          <w:sz w:val="20"/>
        </w:rPr>
        <w:t> </w:t>
      </w:r>
      <w:r>
        <w:rPr>
          <w:sz w:val="20"/>
        </w:rPr>
        <w:t>UK the</w:t>
      </w:r>
      <w:r>
        <w:rPr>
          <w:spacing w:val="-1"/>
          <w:sz w:val="20"/>
        </w:rPr>
        <w:t> </w:t>
      </w:r>
      <w:r>
        <w:rPr>
          <w:sz w:val="20"/>
        </w:rPr>
        <w:t>odd</w:t>
      </w:r>
      <w:r>
        <w:rPr>
          <w:spacing w:val="-1"/>
          <w:sz w:val="20"/>
        </w:rPr>
        <w:t> </w:t>
      </w:r>
      <w:r>
        <w:rPr>
          <w:sz w:val="20"/>
        </w:rPr>
        <w:t>one out?</w:t>
      </w:r>
      <w:r>
        <w:rPr>
          <w:spacing w:val="-3"/>
          <w:sz w:val="20"/>
        </w:rPr>
        <w:t> </w:t>
      </w:r>
      <w:r>
        <w:rPr>
          <w:sz w:val="20"/>
        </w:rPr>
        <w:t>The</w:t>
      </w:r>
      <w:r>
        <w:rPr>
          <w:spacing w:val="-2"/>
          <w:sz w:val="20"/>
        </w:rPr>
        <w:t> </w:t>
      </w:r>
      <w:r>
        <w:rPr>
          <w:sz w:val="20"/>
        </w:rPr>
        <w:t>likely culprit, as I mentioned earlier, is the uncertainty regarding future EU trading relations, which many have argued, and I agree, is keeping the levels of domestic and foreign investment in the country relatively</w:t>
      </w:r>
      <w:r>
        <w:rPr>
          <w:spacing w:val="-34"/>
          <w:sz w:val="20"/>
        </w:rPr>
        <w:t> </w:t>
      </w:r>
      <w:r>
        <w:rPr>
          <w:sz w:val="20"/>
        </w:rPr>
        <w:t>low in relation to what one would expect at this stage of the global cycle. </w:t>
      </w:r>
      <w:r>
        <w:rPr>
          <w:spacing w:val="4"/>
          <w:sz w:val="20"/>
        </w:rPr>
        <w:t>We </w:t>
      </w:r>
      <w:r>
        <w:rPr>
          <w:sz w:val="20"/>
        </w:rPr>
        <w:t>will have to live with some of that uncertainty for some time. And, understandably, firms will postpone some of the investments and structural changes needed to increase</w:t>
      </w:r>
      <w:r>
        <w:rPr>
          <w:spacing w:val="-4"/>
          <w:sz w:val="20"/>
        </w:rPr>
        <w:t> </w:t>
      </w:r>
      <w:r>
        <w:rPr>
          <w:sz w:val="20"/>
        </w:rPr>
        <w:t>productivity.</w:t>
      </w:r>
    </w:p>
    <w:p>
      <w:pPr>
        <w:pStyle w:val="BodyText"/>
        <w:spacing w:before="6"/>
        <w:rPr>
          <w:sz w:val="30"/>
        </w:rPr>
      </w:pPr>
    </w:p>
    <w:p>
      <w:pPr>
        <w:pStyle w:val="ListParagraph"/>
        <w:numPr>
          <w:ilvl w:val="0"/>
          <w:numId w:val="4"/>
        </w:numPr>
        <w:tabs>
          <w:tab w:pos="593" w:val="left" w:leader="none"/>
          <w:tab w:pos="594" w:val="left" w:leader="none"/>
        </w:tabs>
        <w:spacing w:line="357" w:lineRule="auto" w:before="0" w:after="0"/>
        <w:ind w:left="593" w:right="163" w:hanging="360"/>
        <w:jc w:val="left"/>
        <w:rPr>
          <w:sz w:val="20"/>
        </w:rPr>
      </w:pPr>
      <w:r>
        <w:rPr>
          <w:sz w:val="20"/>
        </w:rPr>
        <w:t>Measured UK productivity growth was strikingly weak at the start of 2017, even by recent standards. But the quarterly growth rate since recovered somewhat in Q3, picking up to 0.9%. And if the recent slowing in employment growth persists, then we may see some further cyclical recovery in productivity. In the medium-term, I am optimistic that productivity growth will recover to rates above its weak, post-crisis average. It is perhaps a sign of how poor our productivity performance has been, however, that even as an optimist, I think growth rates close to those we saw pre-crisis are</w:t>
      </w:r>
      <w:r>
        <w:rPr>
          <w:spacing w:val="-7"/>
          <w:sz w:val="20"/>
        </w:rPr>
        <w:t> </w:t>
      </w:r>
      <w:r>
        <w:rPr>
          <w:sz w:val="20"/>
        </w:rPr>
        <w:t>unlikely.</w:t>
      </w:r>
    </w:p>
    <w:p>
      <w:pPr>
        <w:pStyle w:val="BodyText"/>
        <w:spacing w:before="4"/>
        <w:rPr>
          <w:sz w:val="30"/>
        </w:rPr>
      </w:pPr>
    </w:p>
    <w:p>
      <w:pPr>
        <w:pStyle w:val="BodyText"/>
        <w:spacing w:before="1"/>
        <w:ind w:left="233"/>
      </w:pPr>
      <w:r>
        <w:rPr/>
        <w:t>Let me now turn to my views on policy.</w:t>
      </w:r>
    </w:p>
    <w:p>
      <w:pPr>
        <w:pStyle w:val="BodyText"/>
        <w:rPr>
          <w:sz w:val="22"/>
        </w:rPr>
      </w:pPr>
    </w:p>
    <w:p>
      <w:pPr>
        <w:pStyle w:val="BodyText"/>
        <w:spacing w:before="7"/>
        <w:rPr>
          <w:sz w:val="17"/>
        </w:rPr>
      </w:pPr>
    </w:p>
    <w:p>
      <w:pPr>
        <w:pStyle w:val="Heading1"/>
        <w:numPr>
          <w:ilvl w:val="0"/>
          <w:numId w:val="3"/>
        </w:numPr>
        <w:tabs>
          <w:tab w:pos="594" w:val="left" w:leader="none"/>
        </w:tabs>
        <w:spacing w:line="240" w:lineRule="auto" w:before="1" w:after="0"/>
        <w:ind w:left="593" w:right="0" w:hanging="361"/>
        <w:jc w:val="left"/>
      </w:pPr>
      <w:r>
        <w:rPr/>
        <w:t>Monetary policy</w:t>
      </w:r>
      <w:r>
        <w:rPr>
          <w:spacing w:val="-3"/>
        </w:rPr>
        <w:t> </w:t>
      </w:r>
      <w:r>
        <w:rPr/>
        <w:t>implications</w:t>
      </w:r>
    </w:p>
    <w:p>
      <w:pPr>
        <w:pStyle w:val="BodyText"/>
        <w:rPr>
          <w:b/>
          <w:sz w:val="22"/>
        </w:rPr>
      </w:pPr>
    </w:p>
    <w:p>
      <w:pPr>
        <w:pStyle w:val="BodyText"/>
        <w:spacing w:before="3"/>
        <w:rPr>
          <w:b/>
          <w:sz w:val="18"/>
        </w:rPr>
      </w:pPr>
    </w:p>
    <w:p>
      <w:pPr>
        <w:pStyle w:val="BodyText"/>
        <w:spacing w:line="360" w:lineRule="auto" w:before="1"/>
        <w:ind w:left="233" w:right="98"/>
      </w:pPr>
      <w:r>
        <w:rPr/>
        <w:t>Since I joined the MPC, we have faced an outlook of above-target inflation accompanied by modest domestic output growth and of a tight labour market coupled with weak wage growth. Inflation has been above target, but this can be traced back to the sharp fall in sterling following the referendum, which I have expected to dissipate as pass-through nears completion.</w:t>
      </w:r>
    </w:p>
    <w:p>
      <w:pPr>
        <w:pStyle w:val="BodyText"/>
        <w:rPr>
          <w:sz w:val="30"/>
        </w:rPr>
      </w:pPr>
    </w:p>
    <w:p>
      <w:pPr>
        <w:pStyle w:val="BodyText"/>
        <w:ind w:left="233"/>
      </w:pPr>
      <w:r>
        <w:rPr/>
        <w:t>When I joined, measures of domestically generated inflation, by contrast, had been at or below</w:t>
      </w:r>
    </w:p>
    <w:p>
      <w:pPr>
        <w:pStyle w:val="BodyText"/>
        <w:spacing w:line="360" w:lineRule="auto" w:before="114"/>
        <w:ind w:left="233"/>
      </w:pPr>
      <w:r>
        <w:rPr/>
        <w:t>target-consistent levels. In line with this, my reading was that activity was still somewhat below potential, though there were signs in the labour market that the gap had been narrowing.</w:t>
      </w:r>
    </w:p>
    <w:p>
      <w:pPr>
        <w:pStyle w:val="BodyText"/>
        <w:spacing w:before="1"/>
        <w:rPr>
          <w:sz w:val="30"/>
        </w:rPr>
      </w:pPr>
    </w:p>
    <w:p>
      <w:pPr>
        <w:pStyle w:val="BodyText"/>
        <w:spacing w:line="360" w:lineRule="auto"/>
        <w:ind w:left="233" w:right="186"/>
      </w:pPr>
      <w:r>
        <w:rPr/>
        <w:t>With a small but negative output gap, weak wage growth and only temporarily high inflation, I judged the policy stance prevailing when I joined was appropriate, but that an increase in Bank Rate might be needed if the output gap continued to narrow. As a result, I voted for no change in Bank Rate and the stock of asset purchases in August and September.</w:t>
      </w:r>
    </w:p>
    <w:p>
      <w:pPr>
        <w:spacing w:after="0" w:line="360" w:lineRule="auto"/>
        <w:sectPr>
          <w:pgSz w:w="11910" w:h="16840"/>
          <w:pgMar w:header="0" w:footer="1338" w:top="1340" w:bottom="1520" w:left="900" w:right="1020"/>
        </w:sectPr>
      </w:pPr>
    </w:p>
    <w:p>
      <w:pPr>
        <w:pStyle w:val="BodyText"/>
        <w:spacing w:line="360" w:lineRule="auto" w:before="79"/>
        <w:ind w:left="233" w:right="321"/>
      </w:pPr>
      <w:r>
        <w:rPr/>
        <w:t>As labour market slack reduced – evidenced by surveys reporting increasing recruitment difficulties, robust employment growth and record-low unemployment – by November I felt that removing a small amount of stimulus was justified.</w:t>
      </w:r>
    </w:p>
    <w:p>
      <w:pPr>
        <w:pStyle w:val="BodyText"/>
        <w:rPr>
          <w:sz w:val="30"/>
        </w:rPr>
      </w:pPr>
    </w:p>
    <w:p>
      <w:pPr>
        <w:pStyle w:val="BodyText"/>
        <w:spacing w:line="360" w:lineRule="auto"/>
        <w:ind w:left="233" w:right="176"/>
      </w:pPr>
      <w:r>
        <w:rPr/>
        <w:t>In December, with unit labour cost growth still subdued and inflation likely to be around its peak, my view was that there was ample time for us to continue to monitor the transmission of the November policy change before voting for another change in interest rates.</w:t>
      </w:r>
    </w:p>
    <w:p>
      <w:pPr>
        <w:pStyle w:val="BodyText"/>
        <w:rPr>
          <w:sz w:val="30"/>
        </w:rPr>
      </w:pPr>
    </w:p>
    <w:p>
      <w:pPr>
        <w:pStyle w:val="BodyText"/>
        <w:spacing w:line="360" w:lineRule="auto"/>
        <w:ind w:left="233" w:right="198"/>
      </w:pPr>
      <w:r>
        <w:rPr/>
        <w:t>Going forward, if the economy evolves as in our November forecast, with steadily increasing domestic inflationary pressures, I expect perhaps a couple more increases in Bank Rate will be required over the next three years. But a different outturn for productivity growth would affect that policy rate path. Although I concurred with our November </w:t>
      </w:r>
      <w:r>
        <w:rPr>
          <w:i/>
        </w:rPr>
        <w:t>IR </w:t>
      </w:r>
      <w:r>
        <w:rPr/>
        <w:t>projections for potential growth, the analysis I have discussed today leads me to think that in the medium-term, the risks to productivity may be skewed to the upside. Whether a more or less positive scenario for productivity materialises, as always, the question from an MPC perspective will be how quickly demand responds. A key part of my job will be to gauge the size of any emergent gaps between demand and output potential.</w:t>
      </w:r>
    </w:p>
    <w:p>
      <w:pPr>
        <w:spacing w:after="0" w:line="360" w:lineRule="auto"/>
        <w:sectPr>
          <w:pgSz w:w="11910" w:h="16840"/>
          <w:pgMar w:header="0" w:footer="1338" w:top="1340" w:bottom="1520" w:left="900" w:right="1020"/>
        </w:sectPr>
      </w:pPr>
    </w:p>
    <w:p>
      <w:pPr>
        <w:pStyle w:val="Heading1"/>
        <w:spacing w:before="76"/>
      </w:pPr>
      <w:r>
        <w:rPr/>
        <w:t>References</w:t>
      </w:r>
    </w:p>
    <w:p>
      <w:pPr>
        <w:pStyle w:val="BodyText"/>
        <w:spacing w:before="1"/>
        <w:rPr>
          <w:b/>
        </w:rPr>
      </w:pPr>
    </w:p>
    <w:p>
      <w:pPr>
        <w:spacing w:before="0"/>
        <w:ind w:left="233" w:right="400" w:firstLine="0"/>
        <w:jc w:val="left"/>
        <w:rPr>
          <w:sz w:val="20"/>
        </w:rPr>
      </w:pPr>
      <w:r>
        <w:rPr>
          <w:b/>
          <w:sz w:val="20"/>
        </w:rPr>
        <w:t>Akritidis, L. and Francis, P. (2017)</w:t>
      </w:r>
      <w:r>
        <w:rPr>
          <w:sz w:val="20"/>
        </w:rPr>
        <w:t>, “Financial intermediation services indirectly measured (FISIM) in the UK revisited”, Office for National Statistics article.</w:t>
      </w:r>
    </w:p>
    <w:p>
      <w:pPr>
        <w:pStyle w:val="BodyText"/>
        <w:spacing w:before="11"/>
        <w:rPr>
          <w:sz w:val="19"/>
        </w:rPr>
      </w:pPr>
    </w:p>
    <w:p>
      <w:pPr>
        <w:spacing w:line="242" w:lineRule="auto" w:before="0"/>
        <w:ind w:left="233" w:right="550" w:firstLine="0"/>
        <w:jc w:val="left"/>
        <w:rPr>
          <w:sz w:val="20"/>
        </w:rPr>
      </w:pPr>
      <w:r>
        <w:rPr>
          <w:b/>
          <w:sz w:val="20"/>
        </w:rPr>
        <w:t>Arrowsmith, M., Griffiths, M., Franklin, J., Wohlmann, E., Young, G. and Gregory, D. (2013)</w:t>
      </w:r>
      <w:r>
        <w:rPr>
          <w:sz w:val="20"/>
        </w:rPr>
        <w:t>, "SME forbearance and its implications for monetary and financial stability," </w:t>
      </w:r>
      <w:r>
        <w:rPr>
          <w:i/>
          <w:sz w:val="20"/>
        </w:rPr>
        <w:t>Bank of England Quarterly Bulletin</w:t>
      </w:r>
      <w:r>
        <w:rPr>
          <w:sz w:val="20"/>
        </w:rPr>
        <w:t>, 53(4): 296-303.</w:t>
      </w:r>
    </w:p>
    <w:p>
      <w:pPr>
        <w:pStyle w:val="BodyText"/>
        <w:spacing w:before="3"/>
        <w:rPr>
          <w:sz w:val="19"/>
        </w:rPr>
      </w:pPr>
    </w:p>
    <w:p>
      <w:pPr>
        <w:spacing w:before="1"/>
        <w:ind w:left="233" w:right="552" w:firstLine="0"/>
        <w:jc w:val="left"/>
        <w:rPr>
          <w:sz w:val="20"/>
        </w:rPr>
      </w:pPr>
      <w:r>
        <w:rPr>
          <w:b/>
          <w:sz w:val="20"/>
        </w:rPr>
        <w:t>Autor, D. H., Dorn, D. and Hanson, G. H. (2013)</w:t>
      </w:r>
      <w:r>
        <w:rPr>
          <w:sz w:val="20"/>
        </w:rPr>
        <w:t>. "The China Syndrome: Local Labor Market Effects of Import Competition in the United States," </w:t>
      </w:r>
      <w:r>
        <w:rPr>
          <w:i/>
          <w:sz w:val="20"/>
        </w:rPr>
        <w:t>American Economic Review</w:t>
      </w:r>
      <w:r>
        <w:rPr>
          <w:sz w:val="20"/>
        </w:rPr>
        <w:t>, 103(6): 2121-68.</w:t>
      </w:r>
    </w:p>
    <w:p>
      <w:pPr>
        <w:pStyle w:val="BodyText"/>
        <w:spacing w:before="1"/>
      </w:pPr>
    </w:p>
    <w:p>
      <w:pPr>
        <w:spacing w:line="240" w:lineRule="auto" w:before="0"/>
        <w:ind w:left="233" w:right="231" w:firstLine="0"/>
        <w:jc w:val="left"/>
        <w:rPr>
          <w:sz w:val="20"/>
        </w:rPr>
      </w:pPr>
      <w:r>
        <w:rPr>
          <w:b/>
          <w:sz w:val="20"/>
        </w:rPr>
        <w:t>Basu, S., Fernald, J. G., Oulton, N. and Srinivasan, S. (2003)</w:t>
      </w:r>
      <w:r>
        <w:rPr>
          <w:sz w:val="20"/>
        </w:rPr>
        <w:t>, "The Case of the Missing Productivity Growth, or Does Information Technology Explain Why Productivity Accelerated in the United States but Not in the United Kingdom?" </w:t>
      </w:r>
      <w:r>
        <w:rPr>
          <w:i/>
          <w:sz w:val="20"/>
        </w:rPr>
        <w:t>NBER Macroeconomics Annual</w:t>
      </w:r>
      <w:r>
        <w:rPr>
          <w:sz w:val="20"/>
        </w:rPr>
        <w:t>, </w:t>
      </w:r>
      <w:r>
        <w:rPr>
          <w:i/>
          <w:sz w:val="20"/>
        </w:rPr>
        <w:t>18</w:t>
      </w:r>
      <w:r>
        <w:rPr>
          <w:sz w:val="20"/>
        </w:rPr>
        <w:t>: 9-63.</w:t>
      </w:r>
    </w:p>
    <w:p>
      <w:pPr>
        <w:pStyle w:val="BodyText"/>
        <w:spacing w:before="10"/>
        <w:rPr>
          <w:sz w:val="19"/>
        </w:rPr>
      </w:pPr>
    </w:p>
    <w:p>
      <w:pPr>
        <w:pStyle w:val="BodyText"/>
        <w:spacing w:line="242" w:lineRule="auto" w:before="1"/>
        <w:ind w:left="233" w:right="757"/>
      </w:pPr>
      <w:r>
        <w:rPr>
          <w:b/>
        </w:rPr>
        <w:t>Bean, C. (2016), </w:t>
      </w:r>
      <w:r>
        <w:rPr/>
        <w:t>“Independent Review of UK Economic Statistics,” available at </w:t>
      </w:r>
      <w:hyperlink r:id="rId48">
        <w:r>
          <w:rPr>
            <w:color w:val="0000FF"/>
            <w:w w:val="95"/>
            <w:u w:val="single" w:color="0000FF"/>
          </w:rPr>
          <w:t>https://www.gov.uk/government/publications/independent-review-of-uk-economic-statistics-final-report</w:t>
        </w:r>
      </w:hyperlink>
    </w:p>
    <w:p>
      <w:pPr>
        <w:pStyle w:val="BodyText"/>
        <w:spacing w:before="7"/>
        <w:rPr>
          <w:sz w:val="11"/>
        </w:rPr>
      </w:pPr>
    </w:p>
    <w:p>
      <w:pPr>
        <w:spacing w:before="93"/>
        <w:ind w:left="233" w:right="231" w:firstLine="0"/>
        <w:jc w:val="left"/>
        <w:rPr>
          <w:sz w:val="20"/>
        </w:rPr>
      </w:pPr>
      <w:r>
        <w:rPr>
          <w:b/>
          <w:sz w:val="20"/>
        </w:rPr>
        <w:t>Bloom, N., Draca, M. and Van Reenen, J. (2016)</w:t>
      </w:r>
      <w:r>
        <w:rPr>
          <w:sz w:val="20"/>
        </w:rPr>
        <w:t>, “Trade Induced Technical Change? The Impact of Chinese Imports on Innovation, IT and Productivity,” </w:t>
      </w:r>
      <w:r>
        <w:rPr>
          <w:i/>
          <w:sz w:val="20"/>
        </w:rPr>
        <w:t>The Review of Economic Studies</w:t>
      </w:r>
      <w:r>
        <w:rPr>
          <w:sz w:val="20"/>
        </w:rPr>
        <w:t>,  83(1):</w:t>
      </w:r>
      <w:r>
        <w:rPr>
          <w:spacing w:val="-39"/>
          <w:sz w:val="20"/>
        </w:rPr>
        <w:t> </w:t>
      </w:r>
      <w:r>
        <w:rPr>
          <w:sz w:val="20"/>
        </w:rPr>
        <w:t>87-117.</w:t>
      </w:r>
    </w:p>
    <w:p>
      <w:pPr>
        <w:pStyle w:val="BodyText"/>
        <w:spacing w:before="11"/>
        <w:rPr>
          <w:sz w:val="19"/>
        </w:rPr>
      </w:pPr>
    </w:p>
    <w:p>
      <w:pPr>
        <w:spacing w:before="0"/>
        <w:ind w:left="233" w:right="251" w:firstLine="0"/>
        <w:jc w:val="left"/>
        <w:rPr>
          <w:sz w:val="20"/>
        </w:rPr>
      </w:pPr>
      <w:r>
        <w:rPr>
          <w:b/>
          <w:sz w:val="20"/>
        </w:rPr>
        <w:t>Blundell, R., Crawford, C. and Jin, W. (2014)</w:t>
      </w:r>
      <w:r>
        <w:rPr>
          <w:sz w:val="20"/>
        </w:rPr>
        <w:t>, “What Can Wages and Employment Tell Us about the UK's Productivity Puzzle?” </w:t>
      </w:r>
      <w:r>
        <w:rPr>
          <w:i/>
          <w:sz w:val="20"/>
        </w:rPr>
        <w:t>The Economic Journal</w:t>
      </w:r>
      <w:r>
        <w:rPr>
          <w:sz w:val="20"/>
        </w:rPr>
        <w:t>, 124: 377–407.</w:t>
      </w:r>
    </w:p>
    <w:p>
      <w:pPr>
        <w:pStyle w:val="BodyText"/>
        <w:spacing w:before="1"/>
      </w:pPr>
    </w:p>
    <w:p>
      <w:pPr>
        <w:pStyle w:val="BodyText"/>
        <w:ind w:left="233" w:right="588"/>
      </w:pPr>
      <w:r>
        <w:rPr>
          <w:b/>
        </w:rPr>
        <w:t>Broadbent, B. (2012)</w:t>
      </w:r>
      <w:r>
        <w:rPr/>
        <w:t>, “Productivity and the allocation of resources”, speech given at Durham Business School.</w:t>
      </w:r>
    </w:p>
    <w:p>
      <w:pPr>
        <w:pStyle w:val="BodyText"/>
        <w:spacing w:before="10"/>
        <w:rPr>
          <w:sz w:val="19"/>
        </w:rPr>
      </w:pPr>
    </w:p>
    <w:p>
      <w:pPr>
        <w:spacing w:before="0"/>
        <w:ind w:left="233" w:right="465" w:firstLine="0"/>
        <w:jc w:val="left"/>
        <w:rPr>
          <w:sz w:val="20"/>
        </w:rPr>
      </w:pPr>
      <w:r>
        <w:rPr>
          <w:b/>
          <w:sz w:val="20"/>
        </w:rPr>
        <w:t>Burgess, S. (2011)</w:t>
      </w:r>
      <w:r>
        <w:rPr>
          <w:sz w:val="20"/>
        </w:rPr>
        <w:t>, “Measuring financial sector output and its contribution to UK GDP,” </w:t>
      </w:r>
      <w:r>
        <w:rPr>
          <w:i/>
          <w:sz w:val="20"/>
        </w:rPr>
        <w:t>Bank of England </w:t>
      </w:r>
      <w:r>
        <w:rPr>
          <w:i/>
          <w:sz w:val="20"/>
        </w:rPr>
        <w:t>Quarterly Bulletin </w:t>
      </w:r>
      <w:r>
        <w:rPr>
          <w:sz w:val="20"/>
        </w:rPr>
        <w:t>51(3): 234-246.</w:t>
      </w:r>
    </w:p>
    <w:p>
      <w:pPr>
        <w:pStyle w:val="BodyText"/>
        <w:spacing w:before="1"/>
      </w:pPr>
    </w:p>
    <w:p>
      <w:pPr>
        <w:pStyle w:val="Heading1"/>
        <w:spacing w:line="229" w:lineRule="exact" w:before="1"/>
      </w:pPr>
      <w:r>
        <w:rPr/>
        <w:t>Burgess, S., Fernandez-Corugedo, E., Groth, C., Harrison, R., Monti, F., Theodoridis, K. and</w:t>
      </w:r>
      <w:r>
        <w:rPr>
          <w:spacing w:val="-36"/>
        </w:rPr>
        <w:t> </w:t>
      </w:r>
      <w:r>
        <w:rPr/>
        <w:t>Waldron,</w:t>
      </w:r>
    </w:p>
    <w:p>
      <w:pPr>
        <w:pStyle w:val="BodyText"/>
        <w:spacing w:line="229" w:lineRule="exact"/>
        <w:ind w:left="233"/>
      </w:pPr>
      <w:r>
        <w:rPr>
          <w:b/>
        </w:rPr>
        <w:t>M. (2013)</w:t>
      </w:r>
      <w:r>
        <w:rPr/>
        <w:t>, "The Bank of England's forecasting platform: COMPASS, MAPS, EASE and the suite of</w:t>
      </w:r>
      <w:r>
        <w:rPr>
          <w:spacing w:val="-26"/>
        </w:rPr>
        <w:t> </w:t>
      </w:r>
      <w:r>
        <w:rPr/>
        <w:t>models,"</w:t>
      </w:r>
    </w:p>
    <w:p>
      <w:pPr>
        <w:spacing w:before="0"/>
        <w:ind w:left="233" w:right="0" w:firstLine="0"/>
        <w:jc w:val="left"/>
        <w:rPr>
          <w:sz w:val="20"/>
        </w:rPr>
      </w:pPr>
      <w:r>
        <w:rPr>
          <w:i/>
          <w:sz w:val="20"/>
        </w:rPr>
        <w:t>Bank of England working papers </w:t>
      </w:r>
      <w:r>
        <w:rPr>
          <w:sz w:val="20"/>
        </w:rPr>
        <w:t>471.</w:t>
      </w:r>
    </w:p>
    <w:p>
      <w:pPr>
        <w:pStyle w:val="BodyText"/>
        <w:spacing w:before="1"/>
      </w:pPr>
    </w:p>
    <w:p>
      <w:pPr>
        <w:pStyle w:val="BodyText"/>
        <w:ind w:left="233"/>
      </w:pPr>
      <w:r>
        <w:rPr>
          <w:b/>
        </w:rPr>
        <w:t>Carney, M. (2014)</w:t>
      </w:r>
      <w:r>
        <w:rPr/>
        <w:t>, speech given at the 146th Annual Trades Union Congress, Liverpool.</w:t>
      </w:r>
    </w:p>
    <w:p>
      <w:pPr>
        <w:pStyle w:val="BodyText"/>
        <w:spacing w:before="1"/>
      </w:pPr>
    </w:p>
    <w:p>
      <w:pPr>
        <w:spacing w:before="0"/>
        <w:ind w:left="233" w:right="0" w:firstLine="0"/>
        <w:jc w:val="left"/>
        <w:rPr>
          <w:sz w:val="20"/>
        </w:rPr>
      </w:pPr>
      <w:r>
        <w:rPr>
          <w:b/>
          <w:sz w:val="20"/>
        </w:rPr>
        <w:t>Carney, M. (2017)</w:t>
      </w:r>
      <w:r>
        <w:rPr>
          <w:sz w:val="20"/>
        </w:rPr>
        <w:t>, “Lambda,” speech given at the London School of Economics.</w:t>
      </w:r>
    </w:p>
    <w:p>
      <w:pPr>
        <w:pStyle w:val="BodyText"/>
        <w:spacing w:before="10"/>
        <w:rPr>
          <w:sz w:val="19"/>
        </w:rPr>
      </w:pPr>
    </w:p>
    <w:p>
      <w:pPr>
        <w:spacing w:before="0"/>
        <w:ind w:left="233" w:right="154" w:firstLine="0"/>
        <w:jc w:val="left"/>
        <w:rPr>
          <w:sz w:val="20"/>
        </w:rPr>
      </w:pPr>
      <w:r>
        <w:rPr>
          <w:b/>
          <w:sz w:val="20"/>
        </w:rPr>
        <w:t>Caselli, F. (2008)</w:t>
      </w:r>
      <w:r>
        <w:rPr>
          <w:sz w:val="20"/>
        </w:rPr>
        <w:t>, “Growth accounting” in </w:t>
      </w:r>
      <w:r>
        <w:rPr>
          <w:i/>
          <w:sz w:val="20"/>
        </w:rPr>
        <w:t>The new Palgrave dictionary of economics </w:t>
      </w:r>
      <w:r>
        <w:rPr>
          <w:sz w:val="20"/>
        </w:rPr>
        <w:t>(edited by S.N. Durlauf and L.E Blume)</w:t>
      </w:r>
      <w:r>
        <w:rPr>
          <w:i/>
          <w:sz w:val="20"/>
        </w:rPr>
        <w:t>. </w:t>
      </w:r>
      <w:r>
        <w:rPr>
          <w:sz w:val="20"/>
        </w:rPr>
        <w:t>New York: Palgrave Macmillan.</w:t>
      </w:r>
    </w:p>
    <w:p>
      <w:pPr>
        <w:pStyle w:val="BodyText"/>
        <w:spacing w:before="1"/>
      </w:pPr>
    </w:p>
    <w:p>
      <w:pPr>
        <w:spacing w:before="0"/>
        <w:ind w:left="233" w:right="122" w:firstLine="0"/>
        <w:jc w:val="left"/>
        <w:rPr>
          <w:sz w:val="20"/>
        </w:rPr>
      </w:pPr>
      <w:r>
        <w:rPr>
          <w:b/>
          <w:sz w:val="20"/>
        </w:rPr>
        <w:t>Cette, G., Fernald, J. and Mojon, B. (2016)</w:t>
      </w:r>
      <w:r>
        <w:rPr>
          <w:sz w:val="20"/>
        </w:rPr>
        <w:t>, “The pre-Great Recession slowdown in productivity,” </w:t>
      </w:r>
      <w:r>
        <w:rPr>
          <w:i/>
          <w:sz w:val="20"/>
        </w:rPr>
        <w:t>European </w:t>
      </w:r>
      <w:r>
        <w:rPr>
          <w:i/>
          <w:sz w:val="20"/>
        </w:rPr>
        <w:t>Economic Review</w:t>
      </w:r>
      <w:r>
        <w:rPr>
          <w:sz w:val="20"/>
        </w:rPr>
        <w:t>, 88(C): 3-20.</w:t>
      </w:r>
    </w:p>
    <w:p>
      <w:pPr>
        <w:pStyle w:val="BodyText"/>
        <w:spacing w:before="10"/>
        <w:rPr>
          <w:sz w:val="19"/>
        </w:rPr>
      </w:pPr>
    </w:p>
    <w:p>
      <w:pPr>
        <w:spacing w:before="1"/>
        <w:ind w:left="233" w:right="555" w:firstLine="0"/>
        <w:jc w:val="left"/>
        <w:rPr>
          <w:sz w:val="20"/>
        </w:rPr>
      </w:pPr>
      <w:r>
        <w:rPr>
          <w:b/>
          <w:sz w:val="20"/>
        </w:rPr>
        <w:t>Coyle, D. (2017), </w:t>
      </w:r>
      <w:r>
        <w:rPr>
          <w:sz w:val="20"/>
        </w:rPr>
        <w:t>“Do-it-Yourself Digital: The Production Boundary and the Productivity Puzzle,” </w:t>
      </w:r>
      <w:r>
        <w:rPr>
          <w:i/>
          <w:sz w:val="20"/>
        </w:rPr>
        <w:t>ESCoE </w:t>
      </w:r>
      <w:r>
        <w:rPr>
          <w:i/>
          <w:sz w:val="20"/>
        </w:rPr>
        <w:t>Discussion Paper </w:t>
      </w:r>
      <w:r>
        <w:rPr>
          <w:sz w:val="20"/>
        </w:rPr>
        <w:t>2017-01.</w:t>
      </w:r>
    </w:p>
    <w:p>
      <w:pPr>
        <w:pStyle w:val="BodyText"/>
        <w:spacing w:before="1"/>
      </w:pPr>
    </w:p>
    <w:p>
      <w:pPr>
        <w:pStyle w:val="BodyText"/>
        <w:ind w:left="233" w:right="231"/>
      </w:pPr>
      <w:r>
        <w:rPr>
          <w:b/>
        </w:rPr>
        <w:t>Dale, S. (2011)</w:t>
      </w:r>
      <w:r>
        <w:rPr/>
        <w:t>, “Productivity and monetary policy,” speech given at the South Tyneside Manufacturing Forum.</w:t>
      </w:r>
    </w:p>
    <w:p>
      <w:pPr>
        <w:pStyle w:val="BodyText"/>
        <w:spacing w:before="11"/>
        <w:rPr>
          <w:sz w:val="19"/>
        </w:rPr>
      </w:pPr>
    </w:p>
    <w:p>
      <w:pPr>
        <w:spacing w:before="0"/>
        <w:ind w:left="233" w:right="244" w:firstLine="0"/>
        <w:jc w:val="left"/>
        <w:rPr>
          <w:sz w:val="20"/>
        </w:rPr>
      </w:pPr>
      <w:r>
        <w:rPr>
          <w:b/>
          <w:sz w:val="20"/>
        </w:rPr>
        <w:t>Diewert, W.E. (2015)</w:t>
      </w:r>
      <w:r>
        <w:rPr>
          <w:sz w:val="20"/>
        </w:rPr>
        <w:t>, “Decompositions of Productivity Growth into Sectoral Effects”, </w:t>
      </w:r>
      <w:r>
        <w:rPr>
          <w:i/>
          <w:sz w:val="20"/>
        </w:rPr>
        <w:t>Journal of Productivity </w:t>
      </w:r>
      <w:r>
        <w:rPr>
          <w:i/>
          <w:sz w:val="20"/>
        </w:rPr>
        <w:t>Analysis</w:t>
      </w:r>
      <w:r>
        <w:rPr>
          <w:sz w:val="20"/>
        </w:rPr>
        <w:t>, 43: 367-387.</w:t>
      </w:r>
    </w:p>
    <w:p>
      <w:pPr>
        <w:pStyle w:val="BodyText"/>
        <w:spacing w:before="1"/>
      </w:pPr>
    </w:p>
    <w:p>
      <w:pPr>
        <w:spacing w:line="229" w:lineRule="exact" w:before="0"/>
        <w:ind w:left="233" w:right="0" w:firstLine="0"/>
        <w:jc w:val="left"/>
        <w:rPr>
          <w:sz w:val="20"/>
        </w:rPr>
      </w:pPr>
      <w:r>
        <w:rPr>
          <w:b/>
          <w:sz w:val="20"/>
        </w:rPr>
        <w:t>Feenstra, R. C., Inklaar, R. and Timmer, M. P. (2015)</w:t>
      </w:r>
      <w:r>
        <w:rPr>
          <w:sz w:val="20"/>
        </w:rPr>
        <w:t>, "The Next Generation of the Penn World Table,"</w:t>
      </w:r>
    </w:p>
    <w:p>
      <w:pPr>
        <w:spacing w:line="229" w:lineRule="exact" w:before="0"/>
        <w:ind w:left="233" w:right="0" w:firstLine="0"/>
        <w:jc w:val="left"/>
        <w:rPr>
          <w:sz w:val="20"/>
        </w:rPr>
      </w:pPr>
      <w:r>
        <w:rPr>
          <w:i/>
          <w:sz w:val="20"/>
        </w:rPr>
        <w:t>American Economic Review</w:t>
      </w:r>
      <w:r>
        <w:rPr>
          <w:sz w:val="20"/>
        </w:rPr>
        <w:t>, 105(10): 3150-82, available for download at </w:t>
      </w:r>
      <w:hyperlink r:id="rId49">
        <w:r>
          <w:rPr>
            <w:color w:val="0000FF"/>
            <w:sz w:val="20"/>
            <w:u w:val="single" w:color="0000FF"/>
          </w:rPr>
          <w:t>www.ggdc.net/pwt</w:t>
        </w:r>
        <w:r>
          <w:rPr>
            <w:sz w:val="20"/>
          </w:rPr>
          <w:t>.</w:t>
        </w:r>
      </w:hyperlink>
    </w:p>
    <w:p>
      <w:pPr>
        <w:pStyle w:val="BodyText"/>
        <w:rPr>
          <w:sz w:val="12"/>
        </w:rPr>
      </w:pPr>
    </w:p>
    <w:p>
      <w:pPr>
        <w:spacing w:before="93"/>
        <w:ind w:left="233" w:right="1555" w:firstLine="0"/>
        <w:jc w:val="left"/>
        <w:rPr>
          <w:sz w:val="20"/>
        </w:rPr>
      </w:pPr>
      <w:r>
        <w:rPr>
          <w:b/>
          <w:sz w:val="20"/>
        </w:rPr>
        <w:t>Goodridge, P., Haskel, J. and Wallis, G. (2013)</w:t>
      </w:r>
      <w:r>
        <w:rPr>
          <w:sz w:val="20"/>
        </w:rPr>
        <w:t>, “Can intangible investment explain the UK productivity puzzle?” </w:t>
      </w:r>
      <w:r>
        <w:rPr>
          <w:i/>
          <w:sz w:val="20"/>
        </w:rPr>
        <w:t>National Institute Economic Review</w:t>
      </w:r>
      <w:r>
        <w:rPr>
          <w:sz w:val="20"/>
        </w:rPr>
        <w:t>, 224(1): 48-58.</w:t>
      </w:r>
    </w:p>
    <w:p>
      <w:pPr>
        <w:spacing w:after="0"/>
        <w:jc w:val="left"/>
        <w:rPr>
          <w:sz w:val="20"/>
        </w:rPr>
        <w:sectPr>
          <w:pgSz w:w="11910" w:h="16840"/>
          <w:pgMar w:header="0" w:footer="1338" w:top="1340" w:bottom="1520" w:left="900" w:right="1020"/>
        </w:sectPr>
      </w:pPr>
    </w:p>
    <w:p>
      <w:pPr>
        <w:spacing w:before="76"/>
        <w:ind w:left="233" w:right="1278" w:firstLine="0"/>
        <w:jc w:val="left"/>
        <w:rPr>
          <w:sz w:val="20"/>
        </w:rPr>
      </w:pPr>
      <w:r>
        <w:rPr>
          <w:b/>
          <w:sz w:val="20"/>
        </w:rPr>
        <w:t>Goodridge, P., Haskel, J. and Wallis, G. (2016)</w:t>
      </w:r>
      <w:r>
        <w:rPr>
          <w:sz w:val="20"/>
        </w:rPr>
        <w:t>, “Accounting for the UK Productivity Puzzle: A Decomposition and Predictions," </w:t>
      </w:r>
      <w:r>
        <w:rPr>
          <w:i/>
          <w:sz w:val="20"/>
        </w:rPr>
        <w:t>Economica</w:t>
      </w:r>
      <w:r>
        <w:rPr>
          <w:sz w:val="20"/>
        </w:rPr>
        <w:t>.</w:t>
      </w:r>
    </w:p>
    <w:p>
      <w:pPr>
        <w:pStyle w:val="BodyText"/>
        <w:spacing w:before="11"/>
        <w:rPr>
          <w:sz w:val="19"/>
        </w:rPr>
      </w:pPr>
    </w:p>
    <w:p>
      <w:pPr>
        <w:spacing w:line="242" w:lineRule="auto" w:before="0"/>
        <w:ind w:left="233" w:right="188" w:firstLine="0"/>
        <w:jc w:val="left"/>
        <w:rPr>
          <w:sz w:val="20"/>
        </w:rPr>
      </w:pPr>
      <w:r>
        <w:rPr>
          <w:b/>
          <w:sz w:val="20"/>
        </w:rPr>
        <w:t>Gordon, R. J. (2016)</w:t>
      </w:r>
      <w:r>
        <w:rPr>
          <w:sz w:val="20"/>
        </w:rPr>
        <w:t>, </w:t>
      </w:r>
      <w:r>
        <w:rPr>
          <w:i/>
          <w:sz w:val="20"/>
        </w:rPr>
        <w:t>The Rise and Fall of American Growth: the US Standard of Living since the Civil War</w:t>
      </w:r>
      <w:r>
        <w:rPr>
          <w:color w:val="1F487C"/>
          <w:sz w:val="20"/>
        </w:rPr>
        <w:t>, </w:t>
      </w:r>
      <w:r>
        <w:rPr>
          <w:sz w:val="20"/>
        </w:rPr>
        <w:t>Princeton, NJ, and Oxford: Princeton University Press.</w:t>
      </w:r>
    </w:p>
    <w:p>
      <w:pPr>
        <w:pStyle w:val="BodyText"/>
        <w:spacing w:before="8"/>
        <w:rPr>
          <w:sz w:val="19"/>
        </w:rPr>
      </w:pPr>
    </w:p>
    <w:p>
      <w:pPr>
        <w:pStyle w:val="BodyText"/>
        <w:ind w:left="233"/>
      </w:pPr>
      <w:r>
        <w:rPr>
          <w:b/>
        </w:rPr>
        <w:t>Haldane, A. (2017)</w:t>
      </w:r>
      <w:r>
        <w:rPr/>
        <w:t>, “Productivity puzzles,” speech given at the London School of Economics.</w:t>
      </w:r>
    </w:p>
    <w:p>
      <w:pPr>
        <w:pStyle w:val="BodyText"/>
        <w:spacing w:before="1"/>
      </w:pPr>
    </w:p>
    <w:p>
      <w:pPr>
        <w:spacing w:before="0"/>
        <w:ind w:left="233" w:right="0" w:firstLine="0"/>
        <w:jc w:val="left"/>
        <w:rPr>
          <w:sz w:val="20"/>
        </w:rPr>
      </w:pPr>
      <w:r>
        <w:rPr>
          <w:b/>
          <w:sz w:val="20"/>
        </w:rPr>
        <w:t>Haldane, A., Brennan, S. and Madouros, V. (2010)</w:t>
      </w:r>
      <w:r>
        <w:rPr>
          <w:sz w:val="20"/>
        </w:rPr>
        <w:t>, “The Contribution to the Financial Sector, Miracle or Mirage?” in </w:t>
      </w:r>
      <w:r>
        <w:rPr>
          <w:i/>
          <w:sz w:val="20"/>
        </w:rPr>
        <w:t>The future of finance: the LSE report</w:t>
      </w:r>
      <w:r>
        <w:rPr>
          <w:sz w:val="20"/>
        </w:rPr>
        <w:t>, LSE.</w:t>
      </w:r>
    </w:p>
    <w:p>
      <w:pPr>
        <w:pStyle w:val="BodyText"/>
        <w:spacing w:before="10"/>
        <w:rPr>
          <w:sz w:val="19"/>
        </w:rPr>
      </w:pPr>
    </w:p>
    <w:p>
      <w:pPr>
        <w:spacing w:before="0"/>
        <w:ind w:left="233" w:right="367" w:firstLine="0"/>
        <w:jc w:val="left"/>
        <w:rPr>
          <w:sz w:val="20"/>
        </w:rPr>
      </w:pPr>
      <w:r>
        <w:rPr>
          <w:b/>
          <w:sz w:val="20"/>
        </w:rPr>
        <w:t>Houseman, S. N. and Mandel, M. eds. (2015). </w:t>
      </w:r>
      <w:r>
        <w:rPr>
          <w:i/>
          <w:sz w:val="20"/>
        </w:rPr>
        <w:t>Measuring Globalization: Better Trade Statistics for Better </w:t>
      </w:r>
      <w:r>
        <w:rPr>
          <w:i/>
          <w:sz w:val="20"/>
        </w:rPr>
        <w:t>Policy</w:t>
      </w:r>
      <w:r>
        <w:rPr>
          <w:sz w:val="20"/>
        </w:rPr>
        <w:t>, Kalamazoo, MI: W.E. Upjohn Institute for Employment Research</w:t>
      </w:r>
    </w:p>
    <w:p>
      <w:pPr>
        <w:pStyle w:val="BodyText"/>
        <w:spacing w:before="1"/>
      </w:pPr>
    </w:p>
    <w:p>
      <w:pPr>
        <w:spacing w:before="0"/>
        <w:ind w:left="233" w:right="297" w:firstLine="0"/>
        <w:jc w:val="left"/>
        <w:rPr>
          <w:sz w:val="20"/>
        </w:rPr>
      </w:pPr>
      <w:r>
        <w:rPr>
          <w:b/>
          <w:sz w:val="20"/>
        </w:rPr>
        <w:t>Inklaar, R., and Wang, J. C. (2007)</w:t>
      </w:r>
      <w:r>
        <w:rPr>
          <w:sz w:val="20"/>
        </w:rPr>
        <w:t>, “Not Your Grandfather’s Bank Any More? Consistent Measurement of Non-Traditional Bank Output,” mimeo.</w:t>
      </w:r>
    </w:p>
    <w:p>
      <w:pPr>
        <w:pStyle w:val="BodyText"/>
        <w:spacing w:before="11"/>
        <w:rPr>
          <w:sz w:val="19"/>
        </w:rPr>
      </w:pPr>
    </w:p>
    <w:p>
      <w:pPr>
        <w:pStyle w:val="BodyText"/>
        <w:spacing w:line="242" w:lineRule="auto"/>
        <w:ind w:left="233" w:right="410"/>
      </w:pPr>
      <w:r>
        <w:rPr>
          <w:b/>
        </w:rPr>
        <w:t>Jäger, K. (2017)</w:t>
      </w:r>
      <w:r>
        <w:rPr/>
        <w:t>, (The Conference Board), “EU KLEMS Growth and Productivity Accounts 2017 release - Description of Methodology and General Notes” September 2017.</w:t>
      </w:r>
    </w:p>
    <w:p>
      <w:pPr>
        <w:pStyle w:val="BodyText"/>
        <w:spacing w:before="8"/>
        <w:rPr>
          <w:sz w:val="19"/>
        </w:rPr>
      </w:pPr>
    </w:p>
    <w:p>
      <w:pPr>
        <w:spacing w:before="1"/>
        <w:ind w:left="233" w:right="701" w:firstLine="0"/>
        <w:jc w:val="left"/>
        <w:rPr>
          <w:sz w:val="20"/>
        </w:rPr>
      </w:pPr>
      <w:r>
        <w:rPr>
          <w:b/>
          <w:sz w:val="20"/>
        </w:rPr>
        <w:t>Jorgenson, D.W., Gollop, F.M. and Fraumeni, B.M. (1987)</w:t>
      </w:r>
      <w:r>
        <w:rPr>
          <w:sz w:val="20"/>
        </w:rPr>
        <w:t>, </w:t>
      </w:r>
      <w:r>
        <w:rPr>
          <w:i/>
          <w:sz w:val="20"/>
        </w:rPr>
        <w:t>Productivity and U.S. Economic Growth</w:t>
      </w:r>
      <w:r>
        <w:rPr>
          <w:sz w:val="20"/>
        </w:rPr>
        <w:t>, Harvard University Press, Cambridge, MA</w:t>
      </w:r>
    </w:p>
    <w:p>
      <w:pPr>
        <w:pStyle w:val="BodyText"/>
        <w:spacing w:before="10"/>
        <w:rPr>
          <w:sz w:val="19"/>
        </w:rPr>
      </w:pPr>
    </w:p>
    <w:p>
      <w:pPr>
        <w:spacing w:before="0"/>
        <w:ind w:left="233" w:right="214" w:firstLine="0"/>
        <w:jc w:val="left"/>
        <w:rPr>
          <w:sz w:val="20"/>
        </w:rPr>
      </w:pPr>
      <w:r>
        <w:rPr>
          <w:b/>
          <w:sz w:val="20"/>
        </w:rPr>
        <w:t>Kehoe, T. J. and Ruhl, K. J. (2008)</w:t>
      </w:r>
      <w:r>
        <w:rPr>
          <w:sz w:val="20"/>
        </w:rPr>
        <w:t>, "Are Shocks to the Terms of Trade Shocks to Productivity?" </w:t>
      </w:r>
      <w:r>
        <w:rPr>
          <w:i/>
          <w:sz w:val="20"/>
        </w:rPr>
        <w:t>Review of </w:t>
      </w:r>
      <w:r>
        <w:rPr>
          <w:i/>
          <w:sz w:val="20"/>
        </w:rPr>
        <w:t>Economic Dynamics</w:t>
      </w:r>
      <w:r>
        <w:rPr>
          <w:sz w:val="20"/>
        </w:rPr>
        <w:t>, 11(4): 804-819.</w:t>
      </w:r>
    </w:p>
    <w:p>
      <w:pPr>
        <w:pStyle w:val="BodyText"/>
        <w:spacing w:before="10"/>
        <w:rPr>
          <w:sz w:val="19"/>
        </w:rPr>
      </w:pPr>
    </w:p>
    <w:p>
      <w:pPr>
        <w:pStyle w:val="BodyText"/>
        <w:spacing w:line="242" w:lineRule="auto"/>
        <w:ind w:left="233" w:right="266"/>
      </w:pPr>
      <w:r>
        <w:rPr>
          <w:b/>
        </w:rPr>
        <w:t>McCafferty, I. (2014)</w:t>
      </w:r>
      <w:r>
        <w:rPr/>
        <w:t>, “The UK productivity puzzle – a sectoral perspective,” speech given at Market News, London.</w:t>
      </w:r>
    </w:p>
    <w:p>
      <w:pPr>
        <w:pStyle w:val="BodyText"/>
        <w:spacing w:before="8"/>
        <w:rPr>
          <w:sz w:val="19"/>
        </w:rPr>
      </w:pPr>
    </w:p>
    <w:p>
      <w:pPr>
        <w:spacing w:before="0"/>
        <w:ind w:left="233" w:right="514" w:firstLine="0"/>
        <w:jc w:val="left"/>
        <w:rPr>
          <w:sz w:val="20"/>
        </w:rPr>
      </w:pPr>
      <w:r>
        <w:rPr>
          <w:b/>
          <w:sz w:val="20"/>
        </w:rPr>
        <w:t>Murphy, K., Shleifer, A. and Vishny, R. (1991)</w:t>
      </w:r>
      <w:r>
        <w:rPr>
          <w:sz w:val="20"/>
        </w:rPr>
        <w:t>, "The Allocation of Talent: Implications for Growth," </w:t>
      </w:r>
      <w:r>
        <w:rPr>
          <w:i/>
          <w:sz w:val="20"/>
        </w:rPr>
        <w:t>The </w:t>
      </w:r>
      <w:r>
        <w:rPr>
          <w:i/>
          <w:sz w:val="20"/>
        </w:rPr>
        <w:t>Quarterly Journal of Economics</w:t>
      </w:r>
      <w:r>
        <w:rPr>
          <w:sz w:val="20"/>
        </w:rPr>
        <w:t>, 106(2): 503-530.</w:t>
      </w:r>
    </w:p>
    <w:p>
      <w:pPr>
        <w:pStyle w:val="BodyText"/>
        <w:spacing w:before="11"/>
        <w:rPr>
          <w:sz w:val="19"/>
        </w:rPr>
      </w:pPr>
    </w:p>
    <w:p>
      <w:pPr>
        <w:spacing w:before="0"/>
        <w:ind w:left="233" w:right="317" w:firstLine="0"/>
        <w:jc w:val="left"/>
        <w:rPr>
          <w:sz w:val="20"/>
        </w:rPr>
      </w:pPr>
      <w:r>
        <w:rPr>
          <w:b/>
          <w:sz w:val="20"/>
        </w:rPr>
        <w:t>Oulton, N. (2013)</w:t>
      </w:r>
      <w:r>
        <w:rPr>
          <w:sz w:val="20"/>
        </w:rPr>
        <w:t>, "Has the Growth of Real GDP in the UK Been Overstated Because of Mismeasurement of Banking Output?" </w:t>
      </w:r>
      <w:r>
        <w:rPr>
          <w:i/>
          <w:sz w:val="20"/>
        </w:rPr>
        <w:t>National Institute Economic Review</w:t>
      </w:r>
      <w:r>
        <w:rPr>
          <w:sz w:val="20"/>
        </w:rPr>
        <w:t>, 224(1): 59-65.</w:t>
      </w:r>
    </w:p>
    <w:p>
      <w:pPr>
        <w:pStyle w:val="BodyText"/>
        <w:spacing w:before="1"/>
      </w:pPr>
    </w:p>
    <w:p>
      <w:pPr>
        <w:spacing w:before="0"/>
        <w:ind w:left="233" w:right="278" w:firstLine="0"/>
        <w:jc w:val="left"/>
        <w:rPr>
          <w:sz w:val="20"/>
        </w:rPr>
      </w:pPr>
      <w:r>
        <w:rPr>
          <w:b/>
          <w:sz w:val="20"/>
        </w:rPr>
        <w:t>Oulton, N. (2016a)</w:t>
      </w:r>
      <w:r>
        <w:rPr>
          <w:sz w:val="20"/>
        </w:rPr>
        <w:t>, “Prospects for UK growth in the aftermath of the financial crisis” in </w:t>
      </w:r>
      <w:r>
        <w:rPr>
          <w:i/>
          <w:sz w:val="20"/>
        </w:rPr>
        <w:t>The UK Economy in </w:t>
      </w:r>
      <w:r>
        <w:rPr>
          <w:i/>
          <w:sz w:val="20"/>
        </w:rPr>
        <w:t>the Long Expansion and its Aftermath </w:t>
      </w:r>
      <w:r>
        <w:rPr>
          <w:sz w:val="20"/>
        </w:rPr>
        <w:t>(edited by J. Chadha,A. Chrystal, J. Pearlman, P. Smith, and</w:t>
      </w:r>
    </w:p>
    <w:p>
      <w:pPr>
        <w:pStyle w:val="BodyText"/>
        <w:spacing w:before="4"/>
        <w:ind w:left="233"/>
      </w:pPr>
      <w:r>
        <w:rPr/>
        <w:t>S. Wright), Cambridge: CambridgeUniversity Press.</w:t>
      </w:r>
    </w:p>
    <w:p>
      <w:pPr>
        <w:pStyle w:val="BodyText"/>
        <w:spacing w:before="7"/>
        <w:rPr>
          <w:sz w:val="19"/>
        </w:rPr>
      </w:pPr>
    </w:p>
    <w:p>
      <w:pPr>
        <w:pStyle w:val="BodyText"/>
        <w:ind w:left="233"/>
      </w:pPr>
      <w:r>
        <w:rPr>
          <w:b/>
        </w:rPr>
        <w:t>Oulton, N. (2016b)</w:t>
      </w:r>
      <w:r>
        <w:rPr/>
        <w:t>, “The mystery of TFP,” International Productivity Monitor, No. 31, Fall: 68-87.</w:t>
      </w:r>
    </w:p>
    <w:p>
      <w:pPr>
        <w:pStyle w:val="BodyText"/>
        <w:spacing w:before="1"/>
      </w:pPr>
    </w:p>
    <w:p>
      <w:pPr>
        <w:pStyle w:val="BodyText"/>
        <w:ind w:left="233"/>
      </w:pPr>
      <w:r>
        <w:rPr>
          <w:b/>
        </w:rPr>
        <w:t>Oulton, N. (2017)</w:t>
      </w:r>
      <w:r>
        <w:rPr/>
        <w:t>, “The UK Productivity Puzzle: Does Arthur Lewis Hold the Key?” mimeo.</w:t>
      </w:r>
    </w:p>
    <w:p>
      <w:pPr>
        <w:pStyle w:val="BodyText"/>
        <w:spacing w:before="10"/>
        <w:rPr>
          <w:sz w:val="19"/>
        </w:rPr>
      </w:pPr>
    </w:p>
    <w:p>
      <w:pPr>
        <w:spacing w:before="0"/>
        <w:ind w:left="233" w:right="1509" w:firstLine="0"/>
        <w:jc w:val="left"/>
        <w:rPr>
          <w:sz w:val="20"/>
        </w:rPr>
      </w:pPr>
      <w:r>
        <w:rPr>
          <w:b/>
          <w:sz w:val="20"/>
        </w:rPr>
        <w:t>Oulton, N. and Wallis, G. (2016)</w:t>
      </w:r>
      <w:r>
        <w:rPr>
          <w:sz w:val="20"/>
        </w:rPr>
        <w:t>, “Capital stocks and capital services: integrated and consistent estimates for the United Kingdom, 1950–2013,” </w:t>
      </w:r>
      <w:r>
        <w:rPr>
          <w:i/>
          <w:sz w:val="20"/>
        </w:rPr>
        <w:t>Economic Modelling</w:t>
      </w:r>
      <w:r>
        <w:rPr>
          <w:sz w:val="20"/>
        </w:rPr>
        <w:t>, 54: 117-125.</w:t>
      </w:r>
    </w:p>
    <w:p>
      <w:pPr>
        <w:pStyle w:val="BodyText"/>
        <w:spacing w:before="1"/>
      </w:pPr>
    </w:p>
    <w:p>
      <w:pPr>
        <w:spacing w:before="0"/>
        <w:ind w:left="233" w:right="354" w:firstLine="0"/>
        <w:jc w:val="left"/>
        <w:rPr>
          <w:sz w:val="20"/>
        </w:rPr>
      </w:pPr>
      <w:r>
        <w:rPr>
          <w:b/>
          <w:sz w:val="20"/>
        </w:rPr>
        <w:t>Pessoa, J. P. and Van Reenen, J. (2014)</w:t>
      </w:r>
      <w:r>
        <w:rPr>
          <w:sz w:val="20"/>
        </w:rPr>
        <w:t>, “The UK Productivity and Jobs Puzzle: Does the Answer Lie in Wage Flexibility?” </w:t>
      </w:r>
      <w:r>
        <w:rPr>
          <w:i/>
          <w:sz w:val="20"/>
        </w:rPr>
        <w:t>The Economic Journal </w:t>
      </w:r>
      <w:r>
        <w:rPr>
          <w:sz w:val="20"/>
        </w:rPr>
        <w:t>124: 433–452.</w:t>
      </w:r>
    </w:p>
    <w:p>
      <w:pPr>
        <w:pStyle w:val="BodyText"/>
        <w:spacing w:before="10"/>
        <w:rPr>
          <w:sz w:val="19"/>
        </w:rPr>
      </w:pPr>
    </w:p>
    <w:p>
      <w:pPr>
        <w:pStyle w:val="BodyText"/>
        <w:spacing w:line="242" w:lineRule="auto" w:before="1"/>
        <w:ind w:left="233"/>
      </w:pPr>
      <w:r>
        <w:rPr>
          <w:b/>
        </w:rPr>
        <w:t>Thomas, R. and Dimsdale, N. (2017)</w:t>
      </w:r>
      <w:r>
        <w:rPr/>
        <w:t>, "A Millennium of UK Data," Bank of England OBRA dataset, available at </w:t>
      </w:r>
      <w:hyperlink r:id="rId50">
        <w:r>
          <w:rPr>
            <w:color w:val="0000FF"/>
            <w:u w:val="single" w:color="0000FF"/>
          </w:rPr>
          <w:t>http://www.bankofengland.co.uk/research/Pages/onebank/threecenturies.asp</w:t>
        </w:r>
      </w:hyperlink>
    </w:p>
    <w:p>
      <w:pPr>
        <w:pStyle w:val="BodyText"/>
        <w:spacing w:before="7"/>
        <w:rPr>
          <w:sz w:val="11"/>
        </w:rPr>
      </w:pPr>
    </w:p>
    <w:p>
      <w:pPr>
        <w:pStyle w:val="BodyText"/>
        <w:spacing w:line="242" w:lineRule="auto" w:before="93"/>
        <w:ind w:left="233" w:right="332"/>
      </w:pPr>
      <w:r>
        <w:rPr>
          <w:b/>
        </w:rPr>
        <w:t>Weale, M. (2014)</w:t>
      </w:r>
      <w:r>
        <w:rPr/>
        <w:t>, “The UK productivity puzzle: an international perspective,” speech given at the Mile End Group, Queen Mary, University of London.</w:t>
      </w:r>
    </w:p>
    <w:p>
      <w:pPr>
        <w:spacing w:after="0" w:line="242" w:lineRule="auto"/>
        <w:sectPr>
          <w:pgSz w:w="11910" w:h="16840"/>
          <w:pgMar w:header="0" w:footer="1338" w:top="1340" w:bottom="1520" w:left="900" w:right="1020"/>
        </w:sectPr>
      </w:pPr>
    </w:p>
    <w:p>
      <w:pPr>
        <w:pStyle w:val="BodyText"/>
      </w:pPr>
      <w:r>
        <w:rPr/>
        <w:pict>
          <v:line style="position:absolute;mso-position-horizontal-relative:page;mso-position-vertical-relative:page;z-index:251744256" from="761.135986pt,38.880009pt" to="761.135986pt,556.440009pt" stroked="true" strokeweight=".23999pt" strokecolor="#000000">
            <v:stroke dashstyle="solid"/>
            <w10:wrap type="none"/>
          </v:line>
        </w:pict>
      </w:r>
      <w:r>
        <w:rPr/>
        <w:pict>
          <v:shape style="position:absolute;margin-left:71.103462pt;margin-top:243.920212pt;width:13.15pt;height:295.75pt;mso-position-horizontal-relative:page;mso-position-vertical-relative:page;z-index:251745280" type="#_x0000_t202" filled="false" stroked="false">
            <v:textbox inset="0,0,0,0" style="layout-flow:vertical;mso-layout-flow-alt:bottom-to-top">
              <w:txbxContent>
                <w:p>
                  <w:pPr>
                    <w:spacing w:before="12"/>
                    <w:ind w:left="20" w:right="0" w:firstLine="0"/>
                    <w:jc w:val="left"/>
                    <w:rPr>
                      <w:b/>
                      <w:sz w:val="20"/>
                    </w:rPr>
                  </w:pPr>
                  <w:r>
                    <w:rPr>
                      <w:b/>
                      <w:sz w:val="20"/>
                    </w:rPr>
                    <w:t>Appendix A1 – Growth accounting decomposition by industry</w:t>
                  </w:r>
                </w:p>
              </w:txbxContent>
            </v:textbox>
            <w10:wrap type="none"/>
          </v:shape>
        </w:pict>
      </w:r>
      <w:r>
        <w:rPr/>
        <w:pict>
          <v:shape style="position:absolute;margin-left:187.359314pt;margin-top:221.548676pt;width:11.05pt;height:27.65pt;mso-position-horizontal-relative:page;mso-position-vertical-relative:page;z-index:251746304" type="#_x0000_t202" filled="false" stroked="false">
            <v:textbox inset="0,0,0,0" style="layout-flow:vertical;mso-layout-flow-alt:bottom-to-top">
              <w:txbxContent>
                <w:p>
                  <w:pPr>
                    <w:spacing w:line="204" w:lineRule="exact" w:before="0"/>
                    <w:ind w:left="20" w:right="0" w:firstLine="0"/>
                    <w:jc w:val="left"/>
                    <w:rPr>
                      <w:rFonts w:ascii="Calibri"/>
                      <w:b/>
                      <w:sz w:val="18"/>
                    </w:rPr>
                  </w:pPr>
                  <w:r>
                    <w:rPr>
                      <w:rFonts w:ascii="Calibri"/>
                      <w:b/>
                      <w:w w:val="110"/>
                      <w:sz w:val="18"/>
                    </w:rPr>
                    <w:t>Sector</w:t>
                  </w:r>
                </w:p>
              </w:txbxContent>
            </v:textbox>
            <w10:wrap type="none"/>
          </v:shape>
        </w:pict>
      </w:r>
      <w:r>
        <w:rPr/>
        <w:pict>
          <v:shape style="position:absolute;margin-left:296.986603pt;margin-top:118.222458pt;width:11.05pt;height:131pt;mso-position-horizontal-relative:page;mso-position-vertical-relative:page;z-index:251747328" type="#_x0000_t202" filled="false" stroked="false">
            <v:textbox inset="0,0,0,0" style="layout-flow:vertical;mso-layout-flow-alt:bottom-to-top">
              <w:txbxContent>
                <w:p>
                  <w:pPr>
                    <w:spacing w:line="204" w:lineRule="exact" w:before="0"/>
                    <w:ind w:left="20" w:right="0" w:firstLine="0"/>
                    <w:jc w:val="left"/>
                    <w:rPr>
                      <w:rFonts w:ascii="Calibri"/>
                      <w:b/>
                      <w:sz w:val="18"/>
                    </w:rPr>
                  </w:pPr>
                  <w:r>
                    <w:rPr>
                      <w:rFonts w:ascii="Calibri"/>
                      <w:b/>
                      <w:w w:val="110"/>
                      <w:sz w:val="18"/>
                    </w:rPr>
                    <w:t>Pre-crisis (2000-07) average, pp</w:t>
                  </w:r>
                </w:p>
              </w:txbxContent>
            </v:textbox>
            <w10:wrap type="none"/>
          </v:shape>
        </w:pict>
      </w:r>
      <w:r>
        <w:rPr/>
        <w:pict>
          <v:shape style="position:absolute;margin-left:335.510590pt;margin-top:133.861694pt;width:11.05pt;height:115.35pt;mso-position-horizontal-relative:page;mso-position-vertical-relative:page;z-index:251748352" type="#_x0000_t202" filled="false" stroked="false">
            <v:textbox inset="0,0,0,0" style="layout-flow:vertical;mso-layout-flow-alt:bottom-to-top">
              <w:txbxContent>
                <w:p>
                  <w:pPr>
                    <w:spacing w:line="204" w:lineRule="exact" w:before="0"/>
                    <w:ind w:left="20" w:right="0" w:firstLine="0"/>
                    <w:jc w:val="left"/>
                    <w:rPr>
                      <w:rFonts w:ascii="Calibri"/>
                      <w:b/>
                      <w:sz w:val="18"/>
                    </w:rPr>
                  </w:pPr>
                  <w:r>
                    <w:rPr>
                      <w:rFonts w:ascii="Calibri"/>
                      <w:b/>
                      <w:w w:val="110"/>
                      <w:sz w:val="18"/>
                    </w:rPr>
                    <w:t>Crisis (2007-09) average, pp</w:t>
                  </w:r>
                </w:p>
              </w:txbxContent>
            </v:textbox>
            <w10:wrap type="none"/>
          </v:shape>
        </w:pict>
      </w:r>
      <w:r>
        <w:rPr/>
        <w:pict>
          <v:shape style="position:absolute;margin-left:374.066681pt;margin-top:114.314384pt;width:11.05pt;height:134.9pt;mso-position-horizontal-relative:page;mso-position-vertical-relative:page;z-index:251749376" type="#_x0000_t202" filled="false" stroked="false">
            <v:textbox inset="0,0,0,0" style="layout-flow:vertical;mso-layout-flow-alt:bottom-to-top">
              <w:txbxContent>
                <w:p>
                  <w:pPr>
                    <w:spacing w:line="204" w:lineRule="exact" w:before="0"/>
                    <w:ind w:left="20" w:right="0" w:firstLine="0"/>
                    <w:jc w:val="left"/>
                    <w:rPr>
                      <w:rFonts w:ascii="Calibri"/>
                      <w:b/>
                      <w:sz w:val="18"/>
                    </w:rPr>
                  </w:pPr>
                  <w:r>
                    <w:rPr>
                      <w:rFonts w:ascii="Calibri"/>
                      <w:b/>
                      <w:w w:val="110"/>
                      <w:sz w:val="18"/>
                    </w:rPr>
                    <w:t>Post-crisis (2009-15) average, pp</w:t>
                  </w:r>
                </w:p>
              </w:txbxContent>
            </v:textbox>
            <w10:wrap type="none"/>
          </v:shape>
        </w:pict>
      </w:r>
      <w:r>
        <w:rPr/>
        <w:pict>
          <v:shape style="position:absolute;margin-left:412.614746pt;margin-top:140.306046pt;width:11.05pt;height:108.9pt;mso-position-horizontal-relative:page;mso-position-vertical-relative:page;z-index:251750400" type="#_x0000_t202" filled="false" stroked="false">
            <v:textbox inset="0,0,0,0" style="layout-flow:vertical;mso-layout-flow-alt:bottom-to-top">
              <w:txbxContent>
                <w:p>
                  <w:pPr>
                    <w:spacing w:line="204" w:lineRule="exact" w:before="0"/>
                    <w:ind w:left="20" w:right="0" w:firstLine="0"/>
                    <w:jc w:val="left"/>
                    <w:rPr>
                      <w:rFonts w:ascii="Calibri"/>
                      <w:b/>
                      <w:sz w:val="18"/>
                    </w:rPr>
                  </w:pPr>
                  <w:r>
                    <w:rPr>
                      <w:rFonts w:ascii="Calibri"/>
                      <w:b/>
                      <w:w w:val="110"/>
                      <w:sz w:val="18"/>
                    </w:rPr>
                    <w:t>Change</w:t>
                  </w:r>
                  <w:r>
                    <w:rPr>
                      <w:rFonts w:ascii="Calibri"/>
                      <w:b/>
                      <w:spacing w:val="-15"/>
                      <w:w w:val="110"/>
                      <w:sz w:val="18"/>
                    </w:rPr>
                    <w:t> </w:t>
                  </w:r>
                  <w:r>
                    <w:rPr>
                      <w:rFonts w:ascii="Calibri"/>
                      <w:b/>
                      <w:w w:val="110"/>
                      <w:sz w:val="18"/>
                    </w:rPr>
                    <w:t>in</w:t>
                  </w:r>
                  <w:r>
                    <w:rPr>
                      <w:rFonts w:ascii="Calibri"/>
                      <w:b/>
                      <w:spacing w:val="-18"/>
                      <w:w w:val="110"/>
                      <w:sz w:val="18"/>
                    </w:rPr>
                    <w:t> </w:t>
                  </w:r>
                  <w:r>
                    <w:rPr>
                      <w:rFonts w:ascii="Calibri"/>
                      <w:b/>
                      <w:w w:val="110"/>
                      <w:sz w:val="18"/>
                    </w:rPr>
                    <w:t>contribution,</w:t>
                  </w:r>
                  <w:r>
                    <w:rPr>
                      <w:rFonts w:ascii="Calibri"/>
                      <w:b/>
                      <w:spacing w:val="-18"/>
                      <w:w w:val="110"/>
                      <w:sz w:val="18"/>
                    </w:rPr>
                    <w:t> </w:t>
                  </w:r>
                  <w:r>
                    <w:rPr>
                      <w:rFonts w:ascii="Calibri"/>
                      <w:b/>
                      <w:w w:val="110"/>
                      <w:sz w:val="18"/>
                    </w:rPr>
                    <w:t>pp</w:t>
                  </w:r>
                </w:p>
              </w:txbxContent>
            </v:textbox>
            <w10:wrap type="none"/>
          </v:shape>
        </w:pict>
      </w:r>
      <w:r>
        <w:rPr/>
        <w:pict>
          <v:shape style="position:absolute;margin-left:451.154785pt;margin-top:203.166748pt;width:11.05pt;height:46.05pt;mso-position-horizontal-relative:page;mso-position-vertical-relative:page;z-index:251751424" type="#_x0000_t202" filled="false" stroked="false">
            <v:textbox inset="0,0,0,0" style="layout-flow:vertical;mso-layout-flow-alt:bottom-to-top">
              <w:txbxContent>
                <w:p>
                  <w:pPr>
                    <w:spacing w:line="204" w:lineRule="exact" w:before="0"/>
                    <w:ind w:left="20" w:right="0" w:firstLine="0"/>
                    <w:jc w:val="left"/>
                    <w:rPr>
                      <w:rFonts w:ascii="Calibri"/>
                      <w:sz w:val="18"/>
                    </w:rPr>
                  </w:pPr>
                  <w:r>
                    <w:rPr>
                      <w:rFonts w:ascii="Calibri"/>
                      <w:w w:val="110"/>
                      <w:sz w:val="18"/>
                    </w:rPr>
                    <w:t>(% of total)</w:t>
                  </w:r>
                </w:p>
              </w:txbxContent>
            </v:textbox>
            <w10:wrap type="none"/>
          </v:shape>
        </w:pict>
      </w:r>
      <w:r>
        <w:rPr/>
        <w:pict>
          <v:shape style="position:absolute;margin-left:483.669922pt;margin-top:140.482681pt;width:23.15pt;height:108.75pt;mso-position-horizontal-relative:page;mso-position-vertical-relative:page;z-index:251752448" type="#_x0000_t202" filled="false" stroked="false">
            <v:textbox inset="0,0,0,0" style="layout-flow:vertical;mso-layout-flow-alt:bottom-to-top">
              <w:txbxContent>
                <w:p>
                  <w:pPr>
                    <w:spacing w:line="204" w:lineRule="exact" w:before="0"/>
                    <w:ind w:left="20" w:right="0" w:firstLine="0"/>
                    <w:jc w:val="left"/>
                    <w:rPr>
                      <w:rFonts w:ascii="Calibri"/>
                      <w:sz w:val="18"/>
                    </w:rPr>
                  </w:pPr>
                  <w:r>
                    <w:rPr>
                      <w:rFonts w:ascii="Calibri"/>
                      <w:w w:val="110"/>
                      <w:sz w:val="18"/>
                    </w:rPr>
                    <w:t>of which, change in capital</w:t>
                  </w:r>
                </w:p>
                <w:p>
                  <w:pPr>
                    <w:spacing w:before="21"/>
                    <w:ind w:left="20" w:right="0" w:firstLine="0"/>
                    <w:jc w:val="left"/>
                    <w:rPr>
                      <w:rFonts w:ascii="Calibri"/>
                      <w:sz w:val="18"/>
                    </w:rPr>
                  </w:pPr>
                  <w:r>
                    <w:rPr>
                      <w:rFonts w:ascii="Calibri"/>
                      <w:spacing w:val="-3"/>
                      <w:w w:val="110"/>
                      <w:sz w:val="18"/>
                    </w:rPr>
                    <w:t>deepening </w:t>
                  </w:r>
                  <w:r>
                    <w:rPr>
                      <w:rFonts w:ascii="Calibri"/>
                      <w:w w:val="110"/>
                      <w:sz w:val="18"/>
                    </w:rPr>
                    <w:t>contribution,</w:t>
                  </w:r>
                  <w:r>
                    <w:rPr>
                      <w:rFonts w:ascii="Calibri"/>
                      <w:spacing w:val="-33"/>
                      <w:w w:val="110"/>
                      <w:sz w:val="18"/>
                    </w:rPr>
                    <w:t> </w:t>
                  </w:r>
                  <w:r>
                    <w:rPr>
                      <w:rFonts w:ascii="Calibri"/>
                      <w:w w:val="110"/>
                      <w:sz w:val="18"/>
                    </w:rPr>
                    <w:t>pp</w:t>
                  </w:r>
                </w:p>
              </w:txbxContent>
            </v:textbox>
            <w10:wrap type="none"/>
          </v:shape>
        </w:pict>
      </w:r>
      <w:r>
        <w:rPr/>
        <w:pict>
          <v:shape style="position:absolute;margin-left:522.217957pt;margin-top:115.723511pt;width:23.15pt;height:133.5pt;mso-position-horizontal-relative:page;mso-position-vertical-relative:page;z-index:251753472" type="#_x0000_t202" filled="false" stroked="false">
            <v:textbox inset="0,0,0,0" style="layout-flow:vertical;mso-layout-flow-alt:bottom-to-top">
              <w:txbxContent>
                <w:p>
                  <w:pPr>
                    <w:spacing w:line="204" w:lineRule="exact" w:before="0"/>
                    <w:ind w:left="20" w:right="0" w:firstLine="0"/>
                    <w:jc w:val="left"/>
                    <w:rPr>
                      <w:rFonts w:ascii="Calibri"/>
                      <w:sz w:val="18"/>
                    </w:rPr>
                  </w:pPr>
                  <w:r>
                    <w:rPr>
                      <w:rFonts w:ascii="Calibri"/>
                      <w:w w:val="110"/>
                      <w:sz w:val="18"/>
                    </w:rPr>
                    <w:t>of</w:t>
                  </w:r>
                  <w:r>
                    <w:rPr>
                      <w:rFonts w:ascii="Calibri"/>
                      <w:spacing w:val="-13"/>
                      <w:w w:val="110"/>
                      <w:sz w:val="18"/>
                    </w:rPr>
                    <w:t> </w:t>
                  </w:r>
                  <w:r>
                    <w:rPr>
                      <w:rFonts w:ascii="Calibri"/>
                      <w:w w:val="110"/>
                      <w:sz w:val="18"/>
                    </w:rPr>
                    <w:t>which,</w:t>
                  </w:r>
                  <w:r>
                    <w:rPr>
                      <w:rFonts w:ascii="Calibri"/>
                      <w:spacing w:val="-14"/>
                      <w:w w:val="110"/>
                      <w:sz w:val="18"/>
                    </w:rPr>
                    <w:t> </w:t>
                  </w:r>
                  <w:r>
                    <w:rPr>
                      <w:rFonts w:ascii="Calibri"/>
                      <w:w w:val="110"/>
                      <w:sz w:val="18"/>
                    </w:rPr>
                    <w:t>change</w:t>
                  </w:r>
                  <w:r>
                    <w:rPr>
                      <w:rFonts w:ascii="Calibri"/>
                      <w:spacing w:val="-21"/>
                      <w:w w:val="110"/>
                      <w:sz w:val="18"/>
                    </w:rPr>
                    <w:t> </w:t>
                  </w:r>
                  <w:r>
                    <w:rPr>
                      <w:rFonts w:ascii="Calibri"/>
                      <w:spacing w:val="-3"/>
                      <w:w w:val="110"/>
                      <w:sz w:val="18"/>
                    </w:rPr>
                    <w:t>in</w:t>
                  </w:r>
                  <w:r>
                    <w:rPr>
                      <w:rFonts w:ascii="Calibri"/>
                      <w:spacing w:val="-15"/>
                      <w:w w:val="110"/>
                      <w:sz w:val="18"/>
                    </w:rPr>
                    <w:t> </w:t>
                  </w:r>
                  <w:r>
                    <w:rPr>
                      <w:rFonts w:ascii="Calibri"/>
                      <w:w w:val="110"/>
                      <w:sz w:val="18"/>
                    </w:rPr>
                    <w:t>labour</w:t>
                  </w:r>
                  <w:r>
                    <w:rPr>
                      <w:rFonts w:ascii="Calibri"/>
                      <w:spacing w:val="-19"/>
                      <w:w w:val="110"/>
                      <w:sz w:val="18"/>
                    </w:rPr>
                    <w:t> </w:t>
                  </w:r>
                  <w:r>
                    <w:rPr>
                      <w:rFonts w:ascii="Calibri"/>
                      <w:w w:val="110"/>
                      <w:sz w:val="18"/>
                    </w:rPr>
                    <w:t>quality</w:t>
                  </w:r>
                </w:p>
                <w:p>
                  <w:pPr>
                    <w:spacing w:before="21"/>
                    <w:ind w:left="20" w:right="0" w:firstLine="0"/>
                    <w:jc w:val="left"/>
                    <w:rPr>
                      <w:rFonts w:ascii="Calibri"/>
                      <w:sz w:val="18"/>
                    </w:rPr>
                  </w:pPr>
                  <w:r>
                    <w:rPr>
                      <w:rFonts w:ascii="Calibri"/>
                      <w:w w:val="110"/>
                      <w:sz w:val="18"/>
                    </w:rPr>
                    <w:t>contribution, pp</w:t>
                  </w:r>
                </w:p>
              </w:txbxContent>
            </v:textbox>
            <w10:wrap type="none"/>
          </v:shape>
        </w:pict>
      </w:r>
      <w:r>
        <w:rPr/>
        <w:pict>
          <v:shape style="position:absolute;margin-left:558.960999pt;margin-top:155.502213pt;width:23.1pt;height:93.7pt;mso-position-horizontal-relative:page;mso-position-vertical-relative:page;z-index:251754496" type="#_x0000_t202" filled="false" stroked="false">
            <v:textbox inset="0,0,0,0" style="layout-flow:vertical;mso-layout-flow-alt:bottom-to-top">
              <w:txbxContent>
                <w:p>
                  <w:pPr>
                    <w:spacing w:line="204" w:lineRule="exact" w:before="0"/>
                    <w:ind w:left="20" w:right="0" w:firstLine="0"/>
                    <w:jc w:val="left"/>
                    <w:rPr>
                      <w:rFonts w:ascii="Calibri"/>
                      <w:sz w:val="18"/>
                    </w:rPr>
                  </w:pPr>
                  <w:r>
                    <w:rPr>
                      <w:rFonts w:ascii="Calibri"/>
                      <w:w w:val="110"/>
                      <w:sz w:val="18"/>
                    </w:rPr>
                    <w:t>of</w:t>
                  </w:r>
                  <w:r>
                    <w:rPr>
                      <w:rFonts w:ascii="Calibri"/>
                      <w:spacing w:val="-10"/>
                      <w:w w:val="110"/>
                      <w:sz w:val="18"/>
                    </w:rPr>
                    <w:t> </w:t>
                  </w:r>
                  <w:r>
                    <w:rPr>
                      <w:rFonts w:ascii="Calibri"/>
                      <w:w w:val="110"/>
                      <w:sz w:val="18"/>
                    </w:rPr>
                    <w:t>which,</w:t>
                  </w:r>
                  <w:r>
                    <w:rPr>
                      <w:rFonts w:ascii="Calibri"/>
                      <w:spacing w:val="-11"/>
                      <w:w w:val="110"/>
                      <w:sz w:val="18"/>
                    </w:rPr>
                    <w:t> </w:t>
                  </w:r>
                  <w:r>
                    <w:rPr>
                      <w:rFonts w:ascii="Calibri"/>
                      <w:w w:val="110"/>
                      <w:sz w:val="18"/>
                    </w:rPr>
                    <w:t>change</w:t>
                  </w:r>
                  <w:r>
                    <w:rPr>
                      <w:rFonts w:ascii="Calibri"/>
                      <w:spacing w:val="-18"/>
                      <w:w w:val="110"/>
                      <w:sz w:val="18"/>
                    </w:rPr>
                    <w:t> </w:t>
                  </w:r>
                  <w:r>
                    <w:rPr>
                      <w:rFonts w:ascii="Calibri"/>
                      <w:spacing w:val="-3"/>
                      <w:w w:val="110"/>
                      <w:sz w:val="18"/>
                    </w:rPr>
                    <w:t>in</w:t>
                  </w:r>
                  <w:r>
                    <w:rPr>
                      <w:rFonts w:ascii="Calibri"/>
                      <w:spacing w:val="-13"/>
                      <w:w w:val="110"/>
                      <w:sz w:val="18"/>
                    </w:rPr>
                    <w:t> </w:t>
                  </w:r>
                  <w:r>
                    <w:rPr>
                      <w:rFonts w:ascii="Calibri"/>
                      <w:w w:val="110"/>
                      <w:sz w:val="18"/>
                    </w:rPr>
                    <w:t>TFP</w:t>
                  </w:r>
                </w:p>
                <w:p>
                  <w:pPr>
                    <w:spacing w:before="21"/>
                    <w:ind w:left="20" w:right="0" w:firstLine="0"/>
                    <w:jc w:val="left"/>
                    <w:rPr>
                      <w:rFonts w:ascii="Calibri"/>
                      <w:sz w:val="18"/>
                    </w:rPr>
                  </w:pPr>
                  <w:r>
                    <w:rPr>
                      <w:rFonts w:ascii="Calibri"/>
                      <w:w w:val="110"/>
                      <w:sz w:val="18"/>
                    </w:rPr>
                    <w:t>contribution, pp</w:t>
                  </w:r>
                </w:p>
              </w:txbxContent>
            </v:textbox>
            <w10:wrap type="none"/>
          </v:shape>
        </w:pict>
      </w:r>
      <w:r>
        <w:rPr/>
        <w:pict>
          <v:shape style="position:absolute;margin-left:593.281189pt;margin-top:161.275406pt;width:23.1pt;height:87.95pt;mso-position-horizontal-relative:page;mso-position-vertical-relative:page;z-index:251755520" type="#_x0000_t202" filled="false" stroked="false">
            <v:textbox inset="0,0,0,0" style="layout-flow:vertical;mso-layout-flow-alt:bottom-to-top">
              <w:txbxContent>
                <w:p>
                  <w:pPr>
                    <w:spacing w:line="204" w:lineRule="exact" w:before="0"/>
                    <w:ind w:left="20" w:right="0" w:firstLine="0"/>
                    <w:jc w:val="left"/>
                    <w:rPr>
                      <w:rFonts w:ascii="Calibri"/>
                      <w:sz w:val="18"/>
                    </w:rPr>
                  </w:pPr>
                  <w:r>
                    <w:rPr>
                      <w:rFonts w:ascii="Calibri"/>
                      <w:w w:val="110"/>
                      <w:sz w:val="18"/>
                    </w:rPr>
                    <w:t>of which labour</w:t>
                  </w:r>
                </w:p>
                <w:p>
                  <w:pPr>
                    <w:spacing w:before="21"/>
                    <w:ind w:left="20" w:right="0" w:firstLine="0"/>
                    <w:jc w:val="left"/>
                    <w:rPr>
                      <w:rFonts w:ascii="Calibri"/>
                      <w:sz w:val="18"/>
                    </w:rPr>
                  </w:pPr>
                  <w:r>
                    <w:rPr>
                      <w:rFonts w:ascii="Calibri"/>
                      <w:spacing w:val="-3"/>
                      <w:w w:val="110"/>
                      <w:sz w:val="18"/>
                    </w:rPr>
                    <w:t>reallocation/other, </w:t>
                  </w:r>
                  <w:r>
                    <w:rPr>
                      <w:rFonts w:ascii="Calibri"/>
                      <w:w w:val="110"/>
                      <w:sz w:val="18"/>
                    </w:rPr>
                    <w:t>pp</w:t>
                  </w:r>
                </w:p>
              </w:txbxContent>
            </v:textbox>
            <w10:wrap type="none"/>
          </v:shape>
        </w:pict>
      </w:r>
      <w:r>
        <w:rPr/>
        <w:pict>
          <v:shape style="position:absolute;margin-left:629.422485pt;margin-top:118.916168pt;width:23.1pt;height:130.3pt;mso-position-horizontal-relative:page;mso-position-vertical-relative:page;z-index:251756544" type="#_x0000_t202" filled="false" stroked="false">
            <v:textbox inset="0,0,0,0" style="layout-flow:vertical;mso-layout-flow-alt:bottom-to-top">
              <w:txbxContent>
                <w:p>
                  <w:pPr>
                    <w:spacing w:line="204" w:lineRule="exact" w:before="0"/>
                    <w:ind w:left="20" w:right="0" w:firstLine="0"/>
                    <w:jc w:val="left"/>
                    <w:rPr>
                      <w:rFonts w:ascii="Calibri"/>
                      <w:b/>
                      <w:sz w:val="18"/>
                    </w:rPr>
                  </w:pPr>
                  <w:r>
                    <w:rPr>
                      <w:rFonts w:ascii="Calibri"/>
                      <w:b/>
                      <w:spacing w:val="-3"/>
                      <w:w w:val="110"/>
                      <w:sz w:val="18"/>
                    </w:rPr>
                    <w:t>Share</w:t>
                  </w:r>
                  <w:r>
                    <w:rPr>
                      <w:rFonts w:ascii="Calibri"/>
                      <w:b/>
                      <w:spacing w:val="-8"/>
                      <w:w w:val="110"/>
                      <w:sz w:val="18"/>
                    </w:rPr>
                    <w:t> </w:t>
                  </w:r>
                  <w:r>
                    <w:rPr>
                      <w:rFonts w:ascii="Calibri"/>
                      <w:b/>
                      <w:w w:val="110"/>
                      <w:sz w:val="18"/>
                    </w:rPr>
                    <w:t>of</w:t>
                  </w:r>
                  <w:r>
                    <w:rPr>
                      <w:rFonts w:ascii="Calibri"/>
                      <w:b/>
                      <w:spacing w:val="-10"/>
                      <w:w w:val="110"/>
                      <w:sz w:val="18"/>
                    </w:rPr>
                    <w:t> </w:t>
                  </w:r>
                  <w:r>
                    <w:rPr>
                      <w:rFonts w:ascii="Calibri"/>
                      <w:b/>
                      <w:w w:val="110"/>
                      <w:sz w:val="18"/>
                    </w:rPr>
                    <w:t>Sector</w:t>
                  </w:r>
                  <w:r>
                    <w:rPr>
                      <w:rFonts w:ascii="Calibri"/>
                      <w:b/>
                      <w:spacing w:val="-15"/>
                      <w:w w:val="110"/>
                      <w:sz w:val="18"/>
                    </w:rPr>
                    <w:t> </w:t>
                  </w:r>
                  <w:r>
                    <w:rPr>
                      <w:rFonts w:ascii="Calibri"/>
                      <w:b/>
                      <w:w w:val="110"/>
                      <w:sz w:val="18"/>
                    </w:rPr>
                    <w:t>in</w:t>
                  </w:r>
                  <w:r>
                    <w:rPr>
                      <w:rFonts w:ascii="Calibri"/>
                      <w:b/>
                      <w:spacing w:val="-13"/>
                      <w:w w:val="110"/>
                      <w:sz w:val="18"/>
                    </w:rPr>
                    <w:t> </w:t>
                  </w:r>
                  <w:r>
                    <w:rPr>
                      <w:rFonts w:ascii="Calibri"/>
                      <w:b/>
                      <w:w w:val="110"/>
                      <w:sz w:val="18"/>
                    </w:rPr>
                    <w:t>nominal</w:t>
                  </w:r>
                  <w:r>
                    <w:rPr>
                      <w:rFonts w:ascii="Calibri"/>
                      <w:b/>
                      <w:spacing w:val="-9"/>
                      <w:w w:val="110"/>
                      <w:sz w:val="18"/>
                    </w:rPr>
                    <w:t> </w:t>
                  </w:r>
                  <w:r>
                    <w:rPr>
                      <w:rFonts w:ascii="Calibri"/>
                      <w:b/>
                      <w:w w:val="110"/>
                      <w:sz w:val="18"/>
                    </w:rPr>
                    <w:t>GVA,</w:t>
                  </w:r>
                </w:p>
                <w:p>
                  <w:pPr>
                    <w:spacing w:before="21"/>
                    <w:ind w:left="20" w:right="0" w:firstLine="0"/>
                    <w:jc w:val="left"/>
                    <w:rPr>
                      <w:rFonts w:ascii="Calibri"/>
                      <w:b/>
                      <w:sz w:val="18"/>
                    </w:rPr>
                  </w:pPr>
                  <w:r>
                    <w:rPr>
                      <w:rFonts w:ascii="Calibri"/>
                      <w:b/>
                      <w:w w:val="110"/>
                      <w:sz w:val="18"/>
                    </w:rPr>
                    <w:t>2007, %</w:t>
                  </w:r>
                </w:p>
              </w:txbxContent>
            </v:textbox>
            <w10:wrap type="none"/>
          </v:shape>
        </w:pict>
      </w:r>
      <w:r>
        <w:rPr/>
        <w:pict>
          <v:shape style="position:absolute;margin-left:667.962524pt;margin-top:145.327271pt;width:23.1pt;height:103.9pt;mso-position-horizontal-relative:page;mso-position-vertical-relative:page;z-index:251757568" type="#_x0000_t202" filled="false" stroked="false">
            <v:textbox inset="0,0,0,0" style="layout-flow:vertical;mso-layout-flow-alt:bottom-to-top">
              <w:txbxContent>
                <w:p>
                  <w:pPr>
                    <w:spacing w:line="204" w:lineRule="exact" w:before="0"/>
                    <w:ind w:left="20" w:right="0" w:firstLine="0"/>
                    <w:jc w:val="left"/>
                    <w:rPr>
                      <w:rFonts w:ascii="Calibri"/>
                      <w:b/>
                      <w:sz w:val="18"/>
                    </w:rPr>
                  </w:pPr>
                  <w:r>
                    <w:rPr>
                      <w:rFonts w:ascii="Calibri"/>
                      <w:b/>
                      <w:spacing w:val="-3"/>
                      <w:w w:val="110"/>
                      <w:sz w:val="18"/>
                    </w:rPr>
                    <w:t>Actual change </w:t>
                  </w:r>
                  <w:r>
                    <w:rPr>
                      <w:rFonts w:ascii="Calibri"/>
                      <w:b/>
                      <w:w w:val="110"/>
                      <w:sz w:val="18"/>
                    </w:rPr>
                    <w:t>in </w:t>
                  </w:r>
                  <w:r>
                    <w:rPr>
                      <w:rFonts w:ascii="Calibri"/>
                      <w:b/>
                      <w:w w:val="110"/>
                      <w:sz w:val="18"/>
                      <w:u w:val="single"/>
                    </w:rPr>
                    <w:t>quantity</w:t>
                  </w:r>
                </w:p>
                <w:p>
                  <w:pPr>
                    <w:spacing w:before="21"/>
                    <w:ind w:left="20" w:right="0" w:firstLine="0"/>
                    <w:jc w:val="left"/>
                    <w:rPr>
                      <w:rFonts w:ascii="Calibri"/>
                      <w:b/>
                      <w:sz w:val="18"/>
                    </w:rPr>
                  </w:pPr>
                  <w:r>
                    <w:rPr>
                      <w:rFonts w:ascii="Calibri"/>
                      <w:b/>
                      <w:w w:val="110"/>
                      <w:sz w:val="18"/>
                    </w:rPr>
                    <w:t>productivity growth, pp</w:t>
                  </w:r>
                </w:p>
              </w:txbxContent>
            </v:textbox>
            <w10:wrap type="none"/>
          </v:shape>
        </w:pict>
      </w:r>
      <w:r>
        <w:rPr/>
        <w:pict>
          <v:shape style="position:absolute;margin-left:706.510559pt;margin-top:143.403641pt;width:23.1pt;height:105.8pt;mso-position-horizontal-relative:page;mso-position-vertical-relative:page;z-index:251758592" type="#_x0000_t202" filled="false" stroked="false">
            <v:textbox inset="0,0,0,0" style="layout-flow:vertical;mso-layout-flow-alt:bottom-to-top">
              <w:txbxContent>
                <w:p>
                  <w:pPr>
                    <w:spacing w:line="204" w:lineRule="exact" w:before="0"/>
                    <w:ind w:left="20" w:right="0" w:firstLine="0"/>
                    <w:jc w:val="left"/>
                    <w:rPr>
                      <w:rFonts w:ascii="Calibri"/>
                      <w:b/>
                      <w:sz w:val="18"/>
                    </w:rPr>
                  </w:pPr>
                  <w:r>
                    <w:rPr>
                      <w:rFonts w:ascii="Calibri"/>
                      <w:b/>
                      <w:w w:val="110"/>
                      <w:sz w:val="18"/>
                    </w:rPr>
                    <w:t>Actual change in </w:t>
                  </w:r>
                  <w:r>
                    <w:rPr>
                      <w:rFonts w:ascii="Calibri"/>
                      <w:b/>
                      <w:w w:val="110"/>
                      <w:sz w:val="18"/>
                      <w:u w:val="single"/>
                    </w:rPr>
                    <w:t>revenue</w:t>
                  </w:r>
                  <w:r>
                    <w:rPr>
                      <w:rFonts w:ascii="Calibri"/>
                      <w:b/>
                      <w:sz w:val="18"/>
                      <w:u w:val="single"/>
                    </w:rPr>
                    <w:t> </w:t>
                  </w:r>
                </w:p>
                <w:p>
                  <w:pPr>
                    <w:spacing w:before="21"/>
                    <w:ind w:left="20" w:right="0" w:firstLine="0"/>
                    <w:jc w:val="left"/>
                    <w:rPr>
                      <w:rFonts w:ascii="Calibri"/>
                      <w:b/>
                      <w:sz w:val="18"/>
                    </w:rPr>
                  </w:pPr>
                  <w:r>
                    <w:rPr>
                      <w:rFonts w:ascii="Calibri"/>
                      <w:b/>
                      <w:w w:val="110"/>
                      <w:sz w:val="18"/>
                    </w:rPr>
                    <w:t>productivity growth, pp</w:t>
                  </w:r>
                </w:p>
              </w:txbxContent>
            </v:textbox>
            <w10:wrap type="none"/>
          </v:shape>
        </w:pict>
      </w:r>
      <w:r>
        <w:rPr/>
        <w:pict>
          <v:shape style="position:absolute;margin-left:760.226929pt;margin-top:66.92009pt;width:3.1pt;height:3pt;mso-position-horizontal-relative:page;mso-position-vertical-relative:page;z-index:251759616" type="#_x0000_t202" filled="false" stroked="false">
            <v:textbox inset="0,0,0,0" style="layout-flow:vertical;mso-layout-flow-alt:bottom-to-top">
              <w:txbxContent>
                <w:p>
                  <w:pPr>
                    <w:pStyle w:val="BodyText"/>
                    <w:rPr>
                      <w:sz w:val="2"/>
                    </w:rPr>
                  </w:pPr>
                </w:p>
                <w:p>
                  <w:pPr>
                    <w:spacing w:before="0"/>
                    <w:ind w:left="0" w:right="0" w:firstLine="0"/>
                    <w:jc w:val="center"/>
                    <w:rPr>
                      <w:sz w:val="2"/>
                    </w:rPr>
                  </w:pPr>
                  <w:r>
                    <w:rPr>
                      <w:sz w:val="2"/>
                    </w:rPr>
                    <w:t>26</w:t>
                  </w:r>
                </w:p>
              </w:txbxContent>
            </v:textbox>
            <w10:wrap type="none"/>
          </v:shape>
        </w:pict>
      </w:r>
      <w:r>
        <w:rPr/>
        <w:pict>
          <v:shape style="position:absolute;margin-left:771.999451pt;margin-top:228.520752pt;width:13.15pt;height:323.4pt;mso-position-horizontal-relative:page;mso-position-vertical-relative:page;z-index:251760640" type="#_x0000_t202" filled="false" stroked="false">
            <v:textbox inset="0,0,0,0" style="layout-flow:vertical;mso-layout-flow-alt:bottom-to-top">
              <w:txbxContent>
                <w:p>
                  <w:pPr>
                    <w:pStyle w:val="BodyText"/>
                    <w:spacing w:before="12"/>
                    <w:ind w:left="20"/>
                  </w:pPr>
                  <w:r>
                    <w:rPr/>
                    <w:t>All speeches are available online at </w:t>
                  </w:r>
                  <w:hyperlink r:id="rId52">
                    <w:r>
                      <w:rPr/>
                      <w:t>www.bankofengland.co.uk/speeches</w:t>
                    </w:r>
                  </w:hyperlink>
                </w:p>
              </w:txbxContent>
            </v:textbox>
            <w10:wrap type="none"/>
          </v:shape>
        </w:pict>
      </w:r>
      <w:r>
        <w:rPr/>
        <w:pict>
          <v:shape style="position:absolute;margin-left:773.199463pt;margin-top:43.400085pt;width:13.15pt;height:13.05pt;mso-position-horizontal-relative:page;mso-position-vertical-relative:page;z-index:251761664" type="#_x0000_t202" filled="false" stroked="false">
            <v:textbox inset="0,0,0,0" style="layout-flow:vertical;mso-layout-flow-alt:bottom-to-top">
              <w:txbxContent>
                <w:p>
                  <w:pPr>
                    <w:pStyle w:val="BodyText"/>
                    <w:spacing w:before="12"/>
                    <w:ind w:left="20"/>
                  </w:pPr>
                  <w:r>
                    <w:rPr/>
                    <w:t>26</w:t>
                  </w:r>
                </w:p>
              </w:txbxContent>
            </v:textbox>
            <w10:wrap type="none"/>
          </v:shape>
        </w:pict>
      </w:r>
      <w:r>
        <w:rPr/>
        <w:pict>
          <v:shape style="position:absolute;margin-left:552.288452pt;margin-top:327.819519pt;width:69.3pt;height:65.95pt;mso-position-horizontal-relative:page;mso-position-vertical-relative:page;z-index:25176268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699"/>
                  </w:tblGrid>
                  <w:tr>
                    <w:trPr>
                      <w:trHeight w:val="782" w:hRule="atLeast"/>
                    </w:trPr>
                    <w:tc>
                      <w:tcPr>
                        <w:tcW w:w="1386" w:type="dxa"/>
                        <w:gridSpan w:val="2"/>
                        <w:shd w:val="clear" w:color="auto" w:fill="FBEB84"/>
                      </w:tcPr>
                      <w:p>
                        <w:pPr>
                          <w:pStyle w:val="TableParagraph"/>
                          <w:tabs>
                            <w:tab w:pos="927" w:val="left" w:leader="none"/>
                          </w:tabs>
                          <w:spacing w:line="240" w:lineRule="auto" w:before="27"/>
                          <w:ind w:left="216"/>
                          <w:jc w:val="left"/>
                          <w:rPr>
                            <w:sz w:val="19"/>
                          </w:rPr>
                        </w:pPr>
                        <w:r>
                          <w:rPr>
                            <w:sz w:val="19"/>
                          </w:rPr>
                          <w:t>-0.1</w:t>
                          <w:tab/>
                        </w:r>
                        <w:r>
                          <w:rPr>
                            <w:spacing w:val="-2"/>
                            <w:sz w:val="19"/>
                          </w:rPr>
                          <w:t>0.0</w:t>
                        </w:r>
                      </w:p>
                      <w:p>
                        <w:pPr>
                          <w:pStyle w:val="TableParagraph"/>
                          <w:tabs>
                            <w:tab w:pos="927" w:val="left" w:leader="none"/>
                          </w:tabs>
                          <w:spacing w:line="240" w:lineRule="auto" w:before="30"/>
                          <w:ind w:left="240"/>
                          <w:jc w:val="left"/>
                          <w:rPr>
                            <w:sz w:val="19"/>
                          </w:rPr>
                        </w:pPr>
                        <w:r>
                          <w:rPr>
                            <w:spacing w:val="-2"/>
                            <w:sz w:val="19"/>
                          </w:rPr>
                          <w:t>0.0</w:t>
                          <w:tab/>
                          <w:t>0.0</w:t>
                        </w:r>
                      </w:p>
                      <w:p>
                        <w:pPr>
                          <w:pStyle w:val="TableParagraph"/>
                          <w:tabs>
                            <w:tab w:pos="927" w:val="left" w:leader="none"/>
                          </w:tabs>
                          <w:spacing w:before="29"/>
                          <w:ind w:left="240"/>
                          <w:jc w:val="left"/>
                          <w:rPr>
                            <w:sz w:val="19"/>
                          </w:rPr>
                        </w:pPr>
                        <w:r>
                          <w:rPr>
                            <w:spacing w:val="-2"/>
                            <w:sz w:val="19"/>
                          </w:rPr>
                          <w:t>0.0</w:t>
                          <w:tab/>
                          <w:t>0.0</w:t>
                        </w:r>
                      </w:p>
                    </w:tc>
                  </w:tr>
                  <w:tr>
                    <w:trPr>
                      <w:trHeight w:val="261" w:hRule="atLeast"/>
                    </w:trPr>
                    <w:tc>
                      <w:tcPr>
                        <w:tcW w:w="687" w:type="dxa"/>
                        <w:shd w:val="clear" w:color="auto" w:fill="FCD27E"/>
                      </w:tcPr>
                      <w:p>
                        <w:pPr>
                          <w:pStyle w:val="TableParagraph"/>
                          <w:ind w:left="188" w:right="157"/>
                          <w:rPr>
                            <w:b/>
                            <w:sz w:val="19"/>
                          </w:rPr>
                        </w:pPr>
                        <w:r>
                          <w:rPr>
                            <w:b/>
                            <w:sz w:val="19"/>
                          </w:rPr>
                          <w:t>-0.1</w:t>
                        </w:r>
                      </w:p>
                    </w:tc>
                    <w:tc>
                      <w:tcPr>
                        <w:tcW w:w="699" w:type="dxa"/>
                        <w:shd w:val="clear" w:color="auto" w:fill="F5E884"/>
                      </w:tcPr>
                      <w:p>
                        <w:pPr>
                          <w:pStyle w:val="TableParagraph"/>
                          <w:ind w:left="240"/>
                          <w:jc w:val="left"/>
                          <w:rPr>
                            <w:b/>
                            <w:sz w:val="19"/>
                          </w:rPr>
                        </w:pPr>
                        <w:r>
                          <w:rPr>
                            <w:b/>
                            <w:sz w:val="19"/>
                          </w:rPr>
                          <w:t>0.0</w:t>
                        </w:r>
                      </w:p>
                    </w:tc>
                  </w:tr>
                  <w:tr>
                    <w:trPr>
                      <w:trHeight w:val="274" w:hRule="atLeast"/>
                    </w:trPr>
                    <w:tc>
                      <w:tcPr>
                        <w:tcW w:w="687" w:type="dxa"/>
                        <w:shd w:val="clear" w:color="auto" w:fill="F8696B"/>
                      </w:tcPr>
                      <w:p>
                        <w:pPr>
                          <w:pStyle w:val="TableParagraph"/>
                          <w:spacing w:line="226" w:lineRule="exact"/>
                          <w:ind w:left="188" w:right="157"/>
                          <w:rPr>
                            <w:b/>
                            <w:sz w:val="19"/>
                          </w:rPr>
                        </w:pPr>
                        <w:r>
                          <w:rPr>
                            <w:b/>
                            <w:sz w:val="19"/>
                          </w:rPr>
                          <w:t>-0.5</w:t>
                        </w:r>
                      </w:p>
                    </w:tc>
                    <w:tc>
                      <w:tcPr>
                        <w:tcW w:w="699" w:type="dxa"/>
                        <w:shd w:val="clear" w:color="auto" w:fill="FCD57E"/>
                      </w:tcPr>
                      <w:p>
                        <w:pPr>
                          <w:pStyle w:val="TableParagraph"/>
                          <w:spacing w:line="226" w:lineRule="exact"/>
                          <w:ind w:left="216"/>
                          <w:jc w:val="left"/>
                          <w:rPr>
                            <w:b/>
                            <w:sz w:val="19"/>
                          </w:rPr>
                        </w:pPr>
                        <w:r>
                          <w:rPr>
                            <w:b/>
                            <w:sz w:val="19"/>
                          </w:rPr>
                          <w:t>-0.1</w:t>
                        </w:r>
                      </w:p>
                    </w:tc>
                  </w:tr>
                </w:tbl>
                <w:p>
                  <w:pPr>
                    <w:pStyle w:val="BodyText"/>
                  </w:pPr>
                </w:p>
              </w:txbxContent>
            </v:textbox>
            <w10:wrap type="none"/>
          </v:shape>
        </w:pict>
      </w:r>
      <w:r>
        <w:rPr/>
        <w:pict>
          <v:shape style="position:absolute;margin-left:475.208405pt;margin-top:406.138916pt;width:38.550pt;height:78.350pt;mso-position-horizontal-relative:page;mso-position-vertical-relative:page;z-index:25176371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1"/>
                  </w:tblGrid>
                  <w:tr>
                    <w:trPr>
                      <w:trHeight w:val="261" w:hRule="atLeast"/>
                    </w:trPr>
                    <w:tc>
                      <w:tcPr>
                        <w:tcW w:w="771" w:type="dxa"/>
                        <w:shd w:val="clear" w:color="auto" w:fill="FCCC7D"/>
                      </w:tcPr>
                      <w:p>
                        <w:pPr>
                          <w:pStyle w:val="TableParagraph"/>
                          <w:ind w:left="223" w:right="205"/>
                          <w:rPr>
                            <w:b/>
                            <w:sz w:val="19"/>
                          </w:rPr>
                        </w:pPr>
                        <w:r>
                          <w:rPr>
                            <w:b/>
                            <w:sz w:val="19"/>
                          </w:rPr>
                          <w:t>-0.1</w:t>
                        </w:r>
                      </w:p>
                    </w:tc>
                  </w:tr>
                  <w:tr>
                    <w:trPr>
                      <w:trHeight w:val="261" w:hRule="atLeast"/>
                    </w:trPr>
                    <w:tc>
                      <w:tcPr>
                        <w:tcW w:w="771" w:type="dxa"/>
                        <w:shd w:val="clear" w:color="auto" w:fill="FAAC77"/>
                      </w:tcPr>
                      <w:p>
                        <w:pPr>
                          <w:pStyle w:val="TableParagraph"/>
                          <w:ind w:left="223" w:right="205"/>
                          <w:rPr>
                            <w:sz w:val="19"/>
                          </w:rPr>
                        </w:pPr>
                        <w:r>
                          <w:rPr>
                            <w:sz w:val="19"/>
                          </w:rPr>
                          <w:t>-0.1</w:t>
                        </w:r>
                      </w:p>
                    </w:tc>
                  </w:tr>
                  <w:tr>
                    <w:trPr>
                      <w:trHeight w:val="261" w:hRule="atLeast"/>
                    </w:trPr>
                    <w:tc>
                      <w:tcPr>
                        <w:tcW w:w="771" w:type="dxa"/>
                        <w:shd w:val="clear" w:color="auto" w:fill="62BD7A"/>
                      </w:tcPr>
                      <w:p>
                        <w:pPr>
                          <w:pStyle w:val="TableParagraph"/>
                          <w:ind w:left="223" w:right="193"/>
                          <w:rPr>
                            <w:sz w:val="19"/>
                          </w:rPr>
                        </w:pPr>
                        <w:r>
                          <w:rPr>
                            <w:sz w:val="19"/>
                          </w:rPr>
                          <w:t>0.0</w:t>
                        </w:r>
                      </w:p>
                    </w:tc>
                  </w:tr>
                  <w:tr>
                    <w:trPr>
                      <w:trHeight w:val="261" w:hRule="atLeast"/>
                    </w:trPr>
                    <w:tc>
                      <w:tcPr>
                        <w:tcW w:w="771" w:type="dxa"/>
                        <w:shd w:val="clear" w:color="auto" w:fill="C9DC81"/>
                      </w:tcPr>
                      <w:p>
                        <w:pPr>
                          <w:pStyle w:val="TableParagraph"/>
                          <w:ind w:left="223" w:right="193"/>
                          <w:rPr>
                            <w:sz w:val="19"/>
                          </w:rPr>
                        </w:pPr>
                        <w:r>
                          <w:rPr>
                            <w:sz w:val="19"/>
                          </w:rPr>
                          <w:t>0.0</w:t>
                        </w:r>
                      </w:p>
                    </w:tc>
                  </w:tr>
                  <w:tr>
                    <w:trPr>
                      <w:trHeight w:val="261" w:hRule="atLeast"/>
                    </w:trPr>
                    <w:tc>
                      <w:tcPr>
                        <w:tcW w:w="771" w:type="dxa"/>
                        <w:shd w:val="clear" w:color="auto" w:fill="BBD781"/>
                      </w:tcPr>
                      <w:p>
                        <w:pPr>
                          <w:pStyle w:val="TableParagraph"/>
                          <w:spacing w:before="27"/>
                          <w:ind w:left="223" w:right="193"/>
                          <w:rPr>
                            <w:sz w:val="19"/>
                          </w:rPr>
                        </w:pPr>
                        <w:r>
                          <w:rPr>
                            <w:sz w:val="19"/>
                          </w:rPr>
                          <w:t>0.0</w:t>
                        </w:r>
                      </w:p>
                    </w:tc>
                  </w:tr>
                  <w:tr>
                    <w:trPr>
                      <w:trHeight w:val="261" w:hRule="atLeast"/>
                    </w:trPr>
                    <w:tc>
                      <w:tcPr>
                        <w:tcW w:w="771" w:type="dxa"/>
                        <w:shd w:val="clear" w:color="auto" w:fill="FDDF81"/>
                      </w:tcPr>
                      <w:p>
                        <w:pPr>
                          <w:pStyle w:val="TableParagraph"/>
                          <w:spacing w:before="27"/>
                          <w:ind w:left="223" w:right="205"/>
                          <w:rPr>
                            <w:sz w:val="19"/>
                          </w:rPr>
                        </w:pPr>
                        <w:r>
                          <w:rPr>
                            <w:sz w:val="19"/>
                          </w:rPr>
                          <w:t>-0.1</w:t>
                        </w:r>
                      </w:p>
                    </w:tc>
                  </w:tr>
                </w:tbl>
                <w:p>
                  <w:pPr>
                    <w:pStyle w:val="BodyText"/>
                  </w:pPr>
                </w:p>
              </w:txbxContent>
            </v:textbox>
            <w10:wrap type="none"/>
          </v:shape>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3"/>
        </w:rPr>
      </w:pPr>
    </w:p>
    <w:tbl>
      <w:tblPr>
        <w:tblW w:w="0" w:type="auto"/>
        <w:jc w:val="left"/>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24"/>
        <w:gridCol w:w="683"/>
        <w:gridCol w:w="772"/>
        <w:gridCol w:w="768"/>
        <w:gridCol w:w="778"/>
        <w:gridCol w:w="760"/>
        <w:gridCol w:w="772"/>
        <w:gridCol w:w="772"/>
        <w:gridCol w:w="688"/>
        <w:gridCol w:w="700"/>
        <w:gridCol w:w="760"/>
        <w:gridCol w:w="764"/>
        <w:gridCol w:w="793"/>
      </w:tblGrid>
      <w:tr>
        <w:trPr>
          <w:trHeight w:val="246" w:hRule="atLeast"/>
        </w:trPr>
        <w:tc>
          <w:tcPr>
            <w:tcW w:w="3724" w:type="dxa"/>
            <w:tcBorders>
              <w:top w:val="single" w:sz="12" w:space="0" w:color="000000"/>
            </w:tcBorders>
          </w:tcPr>
          <w:p>
            <w:pPr>
              <w:pStyle w:val="TableParagraph"/>
              <w:spacing w:before="13"/>
              <w:ind w:left="36"/>
              <w:jc w:val="left"/>
              <w:rPr>
                <w:sz w:val="19"/>
              </w:rPr>
            </w:pPr>
            <w:r>
              <w:rPr>
                <w:sz w:val="19"/>
              </w:rPr>
              <w:t>A: Agriculture, forestry and fishing</w:t>
            </w:r>
          </w:p>
        </w:tc>
        <w:tc>
          <w:tcPr>
            <w:tcW w:w="683" w:type="dxa"/>
            <w:tcBorders>
              <w:top w:val="single" w:sz="12" w:space="0" w:color="000000"/>
            </w:tcBorders>
          </w:tcPr>
          <w:p>
            <w:pPr>
              <w:pStyle w:val="TableParagraph"/>
              <w:spacing w:before="13"/>
              <w:ind w:left="190"/>
              <w:jc w:val="left"/>
              <w:rPr>
                <w:sz w:val="19"/>
              </w:rPr>
            </w:pPr>
            <w:r>
              <w:rPr>
                <w:sz w:val="19"/>
              </w:rPr>
              <w:t>0.0</w:t>
            </w:r>
          </w:p>
        </w:tc>
        <w:tc>
          <w:tcPr>
            <w:tcW w:w="772" w:type="dxa"/>
            <w:tcBorders>
              <w:top w:val="single" w:sz="12" w:space="0" w:color="000000"/>
            </w:tcBorders>
          </w:tcPr>
          <w:p>
            <w:pPr>
              <w:pStyle w:val="TableParagraph"/>
              <w:spacing w:before="13"/>
              <w:ind w:left="210" w:right="211"/>
              <w:rPr>
                <w:sz w:val="19"/>
              </w:rPr>
            </w:pPr>
            <w:r>
              <w:rPr>
                <w:sz w:val="19"/>
              </w:rPr>
              <w:t>-0.1</w:t>
            </w:r>
          </w:p>
        </w:tc>
        <w:tc>
          <w:tcPr>
            <w:tcW w:w="768" w:type="dxa"/>
            <w:tcBorders>
              <w:top w:val="single" w:sz="12" w:space="0" w:color="000000"/>
              <w:right w:val="single" w:sz="6" w:space="0" w:color="000000"/>
            </w:tcBorders>
          </w:tcPr>
          <w:p>
            <w:pPr>
              <w:pStyle w:val="TableParagraph"/>
              <w:spacing w:before="13"/>
              <w:ind w:left="277"/>
              <w:jc w:val="left"/>
              <w:rPr>
                <w:sz w:val="19"/>
              </w:rPr>
            </w:pPr>
            <w:r>
              <w:rPr>
                <w:sz w:val="19"/>
              </w:rPr>
              <w:t>0.1</w:t>
            </w:r>
          </w:p>
        </w:tc>
        <w:tc>
          <w:tcPr>
            <w:tcW w:w="778" w:type="dxa"/>
            <w:tcBorders>
              <w:top w:val="single" w:sz="12" w:space="0" w:color="000000"/>
              <w:left w:val="single" w:sz="6" w:space="0" w:color="000000"/>
            </w:tcBorders>
            <w:shd w:val="clear" w:color="auto" w:fill="D1DE82"/>
          </w:tcPr>
          <w:p>
            <w:pPr>
              <w:pStyle w:val="TableParagraph"/>
              <w:spacing w:before="13"/>
              <w:ind w:left="209" w:right="209"/>
              <w:rPr>
                <w:sz w:val="19"/>
              </w:rPr>
            </w:pPr>
            <w:r>
              <w:rPr>
                <w:sz w:val="19"/>
              </w:rPr>
              <w:t>0.0</w:t>
            </w:r>
          </w:p>
        </w:tc>
        <w:tc>
          <w:tcPr>
            <w:tcW w:w="760" w:type="dxa"/>
            <w:tcBorders>
              <w:top w:val="single" w:sz="12" w:space="0" w:color="000000"/>
            </w:tcBorders>
          </w:tcPr>
          <w:p>
            <w:pPr>
              <w:pStyle w:val="TableParagraph"/>
              <w:spacing w:before="13"/>
              <w:ind w:left="138" w:right="162"/>
              <w:rPr>
                <w:i/>
                <w:sz w:val="19"/>
              </w:rPr>
            </w:pPr>
            <w:r>
              <w:rPr>
                <w:i/>
                <w:sz w:val="19"/>
              </w:rPr>
              <w:t>(-2)</w:t>
            </w:r>
          </w:p>
        </w:tc>
        <w:tc>
          <w:tcPr>
            <w:tcW w:w="772" w:type="dxa"/>
            <w:shd w:val="clear" w:color="auto" w:fill="ACD380"/>
          </w:tcPr>
          <w:p>
            <w:pPr>
              <w:pStyle w:val="TableParagraph"/>
              <w:spacing w:before="13"/>
              <w:ind w:left="215" w:right="196"/>
              <w:rPr>
                <w:sz w:val="19"/>
              </w:rPr>
            </w:pPr>
            <w:r>
              <w:rPr>
                <w:sz w:val="19"/>
              </w:rPr>
              <w:t>0.0</w:t>
            </w:r>
          </w:p>
        </w:tc>
        <w:tc>
          <w:tcPr>
            <w:tcW w:w="772" w:type="dxa"/>
            <w:shd w:val="clear" w:color="auto" w:fill="FCEB84"/>
          </w:tcPr>
          <w:p>
            <w:pPr>
              <w:pStyle w:val="TableParagraph"/>
              <w:spacing w:before="13"/>
              <w:ind w:right="263"/>
              <w:jc w:val="right"/>
              <w:rPr>
                <w:sz w:val="19"/>
              </w:rPr>
            </w:pPr>
            <w:r>
              <w:rPr>
                <w:w w:val="95"/>
                <w:sz w:val="19"/>
              </w:rPr>
              <w:t>0.0</w:t>
            </w:r>
          </w:p>
        </w:tc>
        <w:tc>
          <w:tcPr>
            <w:tcW w:w="688" w:type="dxa"/>
            <w:shd w:val="clear" w:color="auto" w:fill="F1E884"/>
          </w:tcPr>
          <w:p>
            <w:pPr>
              <w:pStyle w:val="TableParagraph"/>
              <w:spacing w:before="13"/>
              <w:ind w:left="168" w:right="165"/>
              <w:rPr>
                <w:sz w:val="19"/>
              </w:rPr>
            </w:pPr>
            <w:r>
              <w:rPr>
                <w:sz w:val="19"/>
              </w:rPr>
              <w:t>0.0</w:t>
            </w:r>
          </w:p>
        </w:tc>
        <w:tc>
          <w:tcPr>
            <w:tcW w:w="700" w:type="dxa"/>
            <w:shd w:val="clear" w:color="auto" w:fill="F4E884"/>
          </w:tcPr>
          <w:p>
            <w:pPr>
              <w:pStyle w:val="TableParagraph"/>
              <w:spacing w:before="13"/>
              <w:ind w:left="232"/>
              <w:jc w:val="left"/>
              <w:rPr>
                <w:sz w:val="19"/>
              </w:rPr>
            </w:pPr>
            <w:r>
              <w:rPr>
                <w:sz w:val="19"/>
              </w:rPr>
              <w:t>0.0</w:t>
            </w:r>
          </w:p>
        </w:tc>
        <w:tc>
          <w:tcPr>
            <w:tcW w:w="760" w:type="dxa"/>
            <w:tcBorders>
              <w:top w:val="single" w:sz="12" w:space="0" w:color="000000"/>
            </w:tcBorders>
          </w:tcPr>
          <w:p>
            <w:pPr>
              <w:pStyle w:val="TableParagraph"/>
              <w:spacing w:before="13"/>
              <w:ind w:right="11"/>
              <w:rPr>
                <w:sz w:val="19"/>
              </w:rPr>
            </w:pPr>
            <w:r>
              <w:rPr>
                <w:w w:val="95"/>
                <w:sz w:val="19"/>
              </w:rPr>
              <w:t>1</w:t>
            </w:r>
          </w:p>
        </w:tc>
        <w:tc>
          <w:tcPr>
            <w:tcW w:w="764" w:type="dxa"/>
            <w:tcBorders>
              <w:top w:val="single" w:sz="12" w:space="0" w:color="000000"/>
            </w:tcBorders>
          </w:tcPr>
          <w:p>
            <w:pPr>
              <w:pStyle w:val="TableParagraph"/>
              <w:spacing w:before="13"/>
              <w:ind w:left="212" w:right="197"/>
              <w:rPr>
                <w:sz w:val="19"/>
              </w:rPr>
            </w:pPr>
            <w:r>
              <w:rPr>
                <w:sz w:val="19"/>
              </w:rPr>
              <w:t>3.2</w:t>
            </w:r>
          </w:p>
        </w:tc>
        <w:tc>
          <w:tcPr>
            <w:tcW w:w="793" w:type="dxa"/>
            <w:tcBorders>
              <w:top w:val="single" w:sz="12" w:space="0" w:color="000000"/>
            </w:tcBorders>
          </w:tcPr>
          <w:p>
            <w:pPr>
              <w:pStyle w:val="TableParagraph"/>
              <w:spacing w:before="13"/>
              <w:ind w:left="177" w:right="177"/>
              <w:rPr>
                <w:sz w:val="19"/>
              </w:rPr>
            </w:pPr>
            <w:r>
              <w:rPr>
                <w:sz w:val="19"/>
              </w:rPr>
              <w:t>6.2</w:t>
            </w:r>
          </w:p>
        </w:tc>
      </w:tr>
      <w:tr>
        <w:trPr>
          <w:trHeight w:val="261" w:hRule="atLeast"/>
        </w:trPr>
        <w:tc>
          <w:tcPr>
            <w:tcW w:w="3724" w:type="dxa"/>
          </w:tcPr>
          <w:p>
            <w:pPr>
              <w:pStyle w:val="TableParagraph"/>
              <w:ind w:left="36"/>
              <w:jc w:val="left"/>
              <w:rPr>
                <w:sz w:val="19"/>
              </w:rPr>
            </w:pPr>
            <w:r>
              <w:rPr>
                <w:sz w:val="19"/>
              </w:rPr>
              <w:t>B: Mining and quarrying</w:t>
            </w:r>
          </w:p>
        </w:tc>
        <w:tc>
          <w:tcPr>
            <w:tcW w:w="683" w:type="dxa"/>
          </w:tcPr>
          <w:p>
            <w:pPr>
              <w:pStyle w:val="TableParagraph"/>
              <w:ind w:left="154"/>
              <w:jc w:val="left"/>
              <w:rPr>
                <w:sz w:val="19"/>
              </w:rPr>
            </w:pPr>
            <w:r>
              <w:rPr>
                <w:sz w:val="19"/>
              </w:rPr>
              <w:t>-0.1</w:t>
            </w:r>
          </w:p>
        </w:tc>
        <w:tc>
          <w:tcPr>
            <w:tcW w:w="772" w:type="dxa"/>
          </w:tcPr>
          <w:p>
            <w:pPr>
              <w:pStyle w:val="TableParagraph"/>
              <w:ind w:left="210" w:right="211"/>
              <w:rPr>
                <w:sz w:val="19"/>
              </w:rPr>
            </w:pPr>
            <w:r>
              <w:rPr>
                <w:sz w:val="19"/>
              </w:rPr>
              <w:t>-0.2</w:t>
            </w:r>
          </w:p>
        </w:tc>
        <w:tc>
          <w:tcPr>
            <w:tcW w:w="768" w:type="dxa"/>
            <w:tcBorders>
              <w:right w:val="single" w:sz="6" w:space="0" w:color="000000"/>
            </w:tcBorders>
          </w:tcPr>
          <w:p>
            <w:pPr>
              <w:pStyle w:val="TableParagraph"/>
              <w:ind w:left="241"/>
              <w:jc w:val="left"/>
              <w:rPr>
                <w:sz w:val="19"/>
              </w:rPr>
            </w:pPr>
            <w:r>
              <w:rPr>
                <w:sz w:val="19"/>
              </w:rPr>
              <w:t>-0.1</w:t>
            </w:r>
          </w:p>
        </w:tc>
        <w:tc>
          <w:tcPr>
            <w:tcW w:w="778" w:type="dxa"/>
            <w:tcBorders>
              <w:left w:val="single" w:sz="6" w:space="0" w:color="000000"/>
            </w:tcBorders>
            <w:shd w:val="clear" w:color="auto" w:fill="FAEA84"/>
          </w:tcPr>
          <w:p>
            <w:pPr>
              <w:pStyle w:val="TableParagraph"/>
              <w:ind w:left="209" w:right="209"/>
              <w:rPr>
                <w:sz w:val="19"/>
              </w:rPr>
            </w:pPr>
            <w:r>
              <w:rPr>
                <w:sz w:val="19"/>
              </w:rPr>
              <w:t>0.0</w:t>
            </w:r>
          </w:p>
        </w:tc>
        <w:tc>
          <w:tcPr>
            <w:tcW w:w="760" w:type="dxa"/>
          </w:tcPr>
          <w:p>
            <w:pPr>
              <w:pStyle w:val="TableParagraph"/>
              <w:ind w:left="137" w:right="173"/>
              <w:rPr>
                <w:i/>
                <w:sz w:val="19"/>
              </w:rPr>
            </w:pPr>
            <w:r>
              <w:rPr>
                <w:i/>
                <w:sz w:val="19"/>
              </w:rPr>
              <w:t>(1)</w:t>
            </w:r>
          </w:p>
        </w:tc>
        <w:tc>
          <w:tcPr>
            <w:tcW w:w="772" w:type="dxa"/>
            <w:shd w:val="clear" w:color="auto" w:fill="F8696B"/>
          </w:tcPr>
          <w:p>
            <w:pPr>
              <w:pStyle w:val="TableParagraph"/>
              <w:ind w:left="215" w:right="208"/>
              <w:rPr>
                <w:sz w:val="19"/>
              </w:rPr>
            </w:pPr>
            <w:r>
              <w:rPr>
                <w:sz w:val="19"/>
              </w:rPr>
              <w:t>-0.2</w:t>
            </w:r>
          </w:p>
        </w:tc>
        <w:tc>
          <w:tcPr>
            <w:tcW w:w="772" w:type="dxa"/>
            <w:shd w:val="clear" w:color="auto" w:fill="FDE883"/>
          </w:tcPr>
          <w:p>
            <w:pPr>
              <w:pStyle w:val="TableParagraph"/>
              <w:ind w:right="263"/>
              <w:jc w:val="right"/>
              <w:rPr>
                <w:sz w:val="19"/>
              </w:rPr>
            </w:pPr>
            <w:r>
              <w:rPr>
                <w:w w:val="95"/>
                <w:sz w:val="19"/>
              </w:rPr>
              <w:t>0.0</w:t>
            </w:r>
          </w:p>
        </w:tc>
        <w:tc>
          <w:tcPr>
            <w:tcW w:w="688" w:type="dxa"/>
            <w:shd w:val="clear" w:color="auto" w:fill="FDE382"/>
          </w:tcPr>
          <w:p>
            <w:pPr>
              <w:pStyle w:val="TableParagraph"/>
              <w:ind w:left="168" w:right="165"/>
              <w:rPr>
                <w:sz w:val="19"/>
              </w:rPr>
            </w:pPr>
            <w:r>
              <w:rPr>
                <w:sz w:val="19"/>
              </w:rPr>
              <w:t>0.0</w:t>
            </w:r>
          </w:p>
        </w:tc>
        <w:tc>
          <w:tcPr>
            <w:tcW w:w="700" w:type="dxa"/>
            <w:shd w:val="clear" w:color="auto" w:fill="78C47C"/>
          </w:tcPr>
          <w:p>
            <w:pPr>
              <w:pStyle w:val="TableParagraph"/>
              <w:ind w:left="232"/>
              <w:jc w:val="left"/>
              <w:rPr>
                <w:sz w:val="19"/>
              </w:rPr>
            </w:pPr>
            <w:r>
              <w:rPr>
                <w:sz w:val="19"/>
              </w:rPr>
              <w:t>0.2</w:t>
            </w:r>
          </w:p>
        </w:tc>
        <w:tc>
          <w:tcPr>
            <w:tcW w:w="760" w:type="dxa"/>
          </w:tcPr>
          <w:p>
            <w:pPr>
              <w:pStyle w:val="TableParagraph"/>
              <w:ind w:right="11"/>
              <w:rPr>
                <w:sz w:val="19"/>
              </w:rPr>
            </w:pPr>
            <w:r>
              <w:rPr>
                <w:w w:val="95"/>
                <w:sz w:val="19"/>
              </w:rPr>
              <w:t>3</w:t>
            </w:r>
          </w:p>
        </w:tc>
        <w:tc>
          <w:tcPr>
            <w:tcW w:w="764" w:type="dxa"/>
          </w:tcPr>
          <w:p>
            <w:pPr>
              <w:pStyle w:val="TableParagraph"/>
              <w:ind w:left="212" w:right="209"/>
              <w:rPr>
                <w:sz w:val="19"/>
              </w:rPr>
            </w:pPr>
            <w:r>
              <w:rPr>
                <w:sz w:val="19"/>
              </w:rPr>
              <w:t>-6.2</w:t>
            </w:r>
          </w:p>
        </w:tc>
        <w:tc>
          <w:tcPr>
            <w:tcW w:w="793" w:type="dxa"/>
          </w:tcPr>
          <w:p>
            <w:pPr>
              <w:pStyle w:val="TableParagraph"/>
              <w:ind w:left="177" w:right="177"/>
              <w:rPr>
                <w:sz w:val="19"/>
              </w:rPr>
            </w:pPr>
            <w:r>
              <w:rPr>
                <w:sz w:val="19"/>
              </w:rPr>
              <w:t>-13.5</w:t>
            </w:r>
          </w:p>
        </w:tc>
      </w:tr>
      <w:tr>
        <w:trPr>
          <w:trHeight w:val="261" w:hRule="atLeast"/>
        </w:trPr>
        <w:tc>
          <w:tcPr>
            <w:tcW w:w="3724" w:type="dxa"/>
          </w:tcPr>
          <w:p>
            <w:pPr>
              <w:pStyle w:val="TableParagraph"/>
              <w:ind w:left="36"/>
              <w:jc w:val="left"/>
              <w:rPr>
                <w:b/>
                <w:sz w:val="19"/>
              </w:rPr>
            </w:pPr>
            <w:r>
              <w:rPr>
                <w:b/>
                <w:sz w:val="19"/>
              </w:rPr>
              <w:t>C: Manufacturing</w:t>
            </w:r>
          </w:p>
        </w:tc>
        <w:tc>
          <w:tcPr>
            <w:tcW w:w="683" w:type="dxa"/>
          </w:tcPr>
          <w:p>
            <w:pPr>
              <w:pStyle w:val="TableParagraph"/>
              <w:ind w:left="190"/>
              <w:jc w:val="left"/>
              <w:rPr>
                <w:b/>
                <w:sz w:val="19"/>
              </w:rPr>
            </w:pPr>
            <w:r>
              <w:rPr>
                <w:b/>
                <w:sz w:val="19"/>
              </w:rPr>
              <w:t>0.5</w:t>
            </w:r>
          </w:p>
        </w:tc>
        <w:tc>
          <w:tcPr>
            <w:tcW w:w="772" w:type="dxa"/>
          </w:tcPr>
          <w:p>
            <w:pPr>
              <w:pStyle w:val="TableParagraph"/>
              <w:ind w:left="211" w:right="211"/>
              <w:rPr>
                <w:b/>
                <w:sz w:val="19"/>
              </w:rPr>
            </w:pPr>
            <w:r>
              <w:rPr>
                <w:b/>
                <w:sz w:val="19"/>
              </w:rPr>
              <w:t>-0.1</w:t>
            </w:r>
          </w:p>
        </w:tc>
        <w:tc>
          <w:tcPr>
            <w:tcW w:w="768" w:type="dxa"/>
            <w:tcBorders>
              <w:right w:val="single" w:sz="6" w:space="0" w:color="000000"/>
            </w:tcBorders>
          </w:tcPr>
          <w:p>
            <w:pPr>
              <w:pStyle w:val="TableParagraph"/>
              <w:ind w:left="277"/>
              <w:jc w:val="left"/>
              <w:rPr>
                <w:b/>
                <w:sz w:val="19"/>
              </w:rPr>
            </w:pPr>
            <w:r>
              <w:rPr>
                <w:b/>
                <w:sz w:val="19"/>
              </w:rPr>
              <w:t>0.1</w:t>
            </w:r>
          </w:p>
        </w:tc>
        <w:tc>
          <w:tcPr>
            <w:tcW w:w="778" w:type="dxa"/>
            <w:tcBorders>
              <w:left w:val="single" w:sz="6" w:space="0" w:color="000000"/>
            </w:tcBorders>
            <w:shd w:val="clear" w:color="auto" w:fill="F88D70"/>
          </w:tcPr>
          <w:p>
            <w:pPr>
              <w:pStyle w:val="TableParagraph"/>
              <w:ind w:left="209" w:right="220"/>
              <w:rPr>
                <w:b/>
                <w:sz w:val="19"/>
              </w:rPr>
            </w:pPr>
            <w:r>
              <w:rPr>
                <w:b/>
                <w:sz w:val="19"/>
              </w:rPr>
              <w:t>-0.5</w:t>
            </w:r>
          </w:p>
        </w:tc>
        <w:tc>
          <w:tcPr>
            <w:tcW w:w="760" w:type="dxa"/>
          </w:tcPr>
          <w:p>
            <w:pPr>
              <w:pStyle w:val="TableParagraph"/>
              <w:ind w:left="138" w:right="161"/>
              <w:rPr>
                <w:b/>
                <w:i/>
                <w:sz w:val="19"/>
              </w:rPr>
            </w:pPr>
            <w:r>
              <w:rPr>
                <w:b/>
                <w:i/>
                <w:sz w:val="19"/>
              </w:rPr>
              <w:t>(31)</w:t>
            </w:r>
          </w:p>
        </w:tc>
        <w:tc>
          <w:tcPr>
            <w:tcW w:w="772" w:type="dxa"/>
            <w:shd w:val="clear" w:color="auto" w:fill="F86F6C"/>
          </w:tcPr>
          <w:p>
            <w:pPr>
              <w:pStyle w:val="TableParagraph"/>
              <w:ind w:left="215" w:right="207"/>
              <w:rPr>
                <w:b/>
                <w:sz w:val="19"/>
              </w:rPr>
            </w:pPr>
            <w:r>
              <w:rPr>
                <w:b/>
                <w:sz w:val="19"/>
              </w:rPr>
              <w:t>-0.1</w:t>
            </w:r>
          </w:p>
        </w:tc>
        <w:tc>
          <w:tcPr>
            <w:tcW w:w="772" w:type="dxa"/>
            <w:shd w:val="clear" w:color="auto" w:fill="FDE983"/>
          </w:tcPr>
          <w:p>
            <w:pPr>
              <w:pStyle w:val="TableParagraph"/>
              <w:ind w:right="262"/>
              <w:jc w:val="right"/>
              <w:rPr>
                <w:b/>
                <w:sz w:val="19"/>
              </w:rPr>
            </w:pPr>
            <w:r>
              <w:rPr>
                <w:b/>
                <w:w w:val="95"/>
                <w:sz w:val="19"/>
              </w:rPr>
              <w:t>0.0</w:t>
            </w:r>
          </w:p>
        </w:tc>
        <w:tc>
          <w:tcPr>
            <w:tcW w:w="688" w:type="dxa"/>
            <w:shd w:val="clear" w:color="auto" w:fill="F99373"/>
          </w:tcPr>
          <w:p>
            <w:pPr>
              <w:pStyle w:val="TableParagraph"/>
              <w:ind w:left="180" w:right="165"/>
              <w:rPr>
                <w:b/>
                <w:sz w:val="19"/>
              </w:rPr>
            </w:pPr>
            <w:r>
              <w:rPr>
                <w:b/>
                <w:sz w:val="19"/>
              </w:rPr>
              <w:t>-0.3</w:t>
            </w:r>
          </w:p>
        </w:tc>
        <w:tc>
          <w:tcPr>
            <w:tcW w:w="700" w:type="dxa"/>
            <w:shd w:val="clear" w:color="auto" w:fill="EEE784"/>
          </w:tcPr>
          <w:p>
            <w:pPr>
              <w:pStyle w:val="TableParagraph"/>
              <w:ind w:left="232"/>
              <w:jc w:val="left"/>
              <w:rPr>
                <w:b/>
                <w:sz w:val="19"/>
              </w:rPr>
            </w:pPr>
            <w:r>
              <w:rPr>
                <w:b/>
                <w:sz w:val="19"/>
              </w:rPr>
              <w:t>0.0</w:t>
            </w:r>
          </w:p>
        </w:tc>
        <w:tc>
          <w:tcPr>
            <w:tcW w:w="760" w:type="dxa"/>
          </w:tcPr>
          <w:p>
            <w:pPr>
              <w:pStyle w:val="TableParagraph"/>
              <w:ind w:left="138" w:right="145"/>
              <w:rPr>
                <w:b/>
                <w:sz w:val="19"/>
              </w:rPr>
            </w:pPr>
            <w:r>
              <w:rPr>
                <w:b/>
                <w:sz w:val="19"/>
              </w:rPr>
              <w:t>12</w:t>
            </w:r>
          </w:p>
        </w:tc>
        <w:tc>
          <w:tcPr>
            <w:tcW w:w="764" w:type="dxa"/>
          </w:tcPr>
          <w:p>
            <w:pPr>
              <w:pStyle w:val="TableParagraph"/>
              <w:ind w:left="212" w:right="209"/>
              <w:rPr>
                <w:b/>
                <w:sz w:val="19"/>
              </w:rPr>
            </w:pPr>
            <w:r>
              <w:rPr>
                <w:b/>
                <w:sz w:val="19"/>
              </w:rPr>
              <w:t>-3.5</w:t>
            </w:r>
          </w:p>
        </w:tc>
        <w:tc>
          <w:tcPr>
            <w:tcW w:w="793" w:type="dxa"/>
          </w:tcPr>
          <w:p>
            <w:pPr>
              <w:pStyle w:val="TableParagraph"/>
              <w:ind w:left="177" w:right="177"/>
              <w:rPr>
                <w:b/>
                <w:sz w:val="19"/>
              </w:rPr>
            </w:pPr>
            <w:r>
              <w:rPr>
                <w:b/>
                <w:sz w:val="19"/>
              </w:rPr>
              <w:t>1.3</w:t>
            </w:r>
          </w:p>
        </w:tc>
      </w:tr>
      <w:tr>
        <w:trPr>
          <w:trHeight w:val="261" w:hRule="atLeast"/>
        </w:trPr>
        <w:tc>
          <w:tcPr>
            <w:tcW w:w="3724" w:type="dxa"/>
          </w:tcPr>
          <w:p>
            <w:pPr>
              <w:pStyle w:val="TableParagraph"/>
              <w:ind w:left="36"/>
              <w:jc w:val="left"/>
              <w:rPr>
                <w:sz w:val="19"/>
              </w:rPr>
            </w:pPr>
            <w:r>
              <w:rPr>
                <w:sz w:val="19"/>
              </w:rPr>
              <w:t>D: Electricity, gas, steam and air conditioning</w:t>
            </w:r>
          </w:p>
        </w:tc>
        <w:tc>
          <w:tcPr>
            <w:tcW w:w="683" w:type="dxa"/>
          </w:tcPr>
          <w:p>
            <w:pPr>
              <w:pStyle w:val="TableParagraph"/>
              <w:ind w:left="190"/>
              <w:jc w:val="left"/>
              <w:rPr>
                <w:sz w:val="19"/>
              </w:rPr>
            </w:pPr>
            <w:r>
              <w:rPr>
                <w:sz w:val="19"/>
              </w:rPr>
              <w:t>0.0</w:t>
            </w:r>
          </w:p>
        </w:tc>
        <w:tc>
          <w:tcPr>
            <w:tcW w:w="772" w:type="dxa"/>
          </w:tcPr>
          <w:p>
            <w:pPr>
              <w:pStyle w:val="TableParagraph"/>
              <w:ind w:left="215" w:right="207"/>
              <w:rPr>
                <w:sz w:val="19"/>
              </w:rPr>
            </w:pPr>
            <w:r>
              <w:rPr>
                <w:sz w:val="19"/>
              </w:rPr>
              <w:t>0.0</w:t>
            </w:r>
          </w:p>
        </w:tc>
        <w:tc>
          <w:tcPr>
            <w:tcW w:w="768" w:type="dxa"/>
            <w:tcBorders>
              <w:right w:val="single" w:sz="6" w:space="0" w:color="000000"/>
            </w:tcBorders>
          </w:tcPr>
          <w:p>
            <w:pPr>
              <w:pStyle w:val="TableParagraph"/>
              <w:ind w:left="277"/>
              <w:jc w:val="left"/>
              <w:rPr>
                <w:sz w:val="19"/>
              </w:rPr>
            </w:pPr>
            <w:r>
              <w:rPr>
                <w:sz w:val="19"/>
              </w:rPr>
              <w:t>0.0</w:t>
            </w:r>
          </w:p>
        </w:tc>
        <w:tc>
          <w:tcPr>
            <w:tcW w:w="778" w:type="dxa"/>
            <w:tcBorders>
              <w:left w:val="single" w:sz="6" w:space="0" w:color="000000"/>
            </w:tcBorders>
            <w:shd w:val="clear" w:color="auto" w:fill="FDE282"/>
          </w:tcPr>
          <w:p>
            <w:pPr>
              <w:pStyle w:val="TableParagraph"/>
              <w:ind w:left="209" w:right="220"/>
              <w:rPr>
                <w:sz w:val="19"/>
              </w:rPr>
            </w:pPr>
            <w:r>
              <w:rPr>
                <w:sz w:val="19"/>
              </w:rPr>
              <w:t>-0.1</w:t>
            </w:r>
          </w:p>
        </w:tc>
        <w:tc>
          <w:tcPr>
            <w:tcW w:w="760" w:type="dxa"/>
          </w:tcPr>
          <w:p>
            <w:pPr>
              <w:pStyle w:val="TableParagraph"/>
              <w:ind w:left="137" w:right="173"/>
              <w:rPr>
                <w:i/>
                <w:sz w:val="19"/>
              </w:rPr>
            </w:pPr>
            <w:r>
              <w:rPr>
                <w:i/>
                <w:sz w:val="19"/>
              </w:rPr>
              <w:t>(4)</w:t>
            </w:r>
          </w:p>
        </w:tc>
        <w:tc>
          <w:tcPr>
            <w:tcW w:w="772" w:type="dxa"/>
            <w:shd w:val="clear" w:color="auto" w:fill="9BCE7E"/>
          </w:tcPr>
          <w:p>
            <w:pPr>
              <w:pStyle w:val="TableParagraph"/>
              <w:ind w:left="215" w:right="196"/>
              <w:rPr>
                <w:sz w:val="19"/>
              </w:rPr>
            </w:pPr>
            <w:r>
              <w:rPr>
                <w:sz w:val="19"/>
              </w:rPr>
              <w:t>0.0</w:t>
            </w:r>
          </w:p>
        </w:tc>
        <w:tc>
          <w:tcPr>
            <w:tcW w:w="772" w:type="dxa"/>
            <w:shd w:val="clear" w:color="auto" w:fill="FCEB84"/>
          </w:tcPr>
          <w:p>
            <w:pPr>
              <w:pStyle w:val="TableParagraph"/>
              <w:ind w:right="263"/>
              <w:jc w:val="right"/>
              <w:rPr>
                <w:sz w:val="19"/>
              </w:rPr>
            </w:pPr>
            <w:r>
              <w:rPr>
                <w:w w:val="95"/>
                <w:sz w:val="19"/>
              </w:rPr>
              <w:t>0.0</w:t>
            </w:r>
          </w:p>
        </w:tc>
        <w:tc>
          <w:tcPr>
            <w:tcW w:w="688" w:type="dxa"/>
            <w:shd w:val="clear" w:color="auto" w:fill="FCD27E"/>
          </w:tcPr>
          <w:p>
            <w:pPr>
              <w:pStyle w:val="TableParagraph"/>
              <w:ind w:left="180" w:right="165"/>
              <w:rPr>
                <w:sz w:val="19"/>
              </w:rPr>
            </w:pPr>
            <w:r>
              <w:rPr>
                <w:sz w:val="19"/>
              </w:rPr>
              <w:t>-0.1</w:t>
            </w:r>
          </w:p>
        </w:tc>
        <w:tc>
          <w:tcPr>
            <w:tcW w:w="700" w:type="dxa"/>
            <w:shd w:val="clear" w:color="auto" w:fill="EBE683"/>
          </w:tcPr>
          <w:p>
            <w:pPr>
              <w:pStyle w:val="TableParagraph"/>
              <w:ind w:left="232"/>
              <w:jc w:val="left"/>
              <w:rPr>
                <w:sz w:val="19"/>
              </w:rPr>
            </w:pPr>
            <w:r>
              <w:rPr>
                <w:sz w:val="19"/>
              </w:rPr>
              <w:t>0.0</w:t>
            </w:r>
          </w:p>
        </w:tc>
        <w:tc>
          <w:tcPr>
            <w:tcW w:w="760" w:type="dxa"/>
          </w:tcPr>
          <w:p>
            <w:pPr>
              <w:pStyle w:val="TableParagraph"/>
              <w:ind w:right="11"/>
              <w:rPr>
                <w:sz w:val="19"/>
              </w:rPr>
            </w:pPr>
            <w:r>
              <w:rPr>
                <w:w w:val="95"/>
                <w:sz w:val="19"/>
              </w:rPr>
              <w:t>1</w:t>
            </w:r>
          </w:p>
        </w:tc>
        <w:tc>
          <w:tcPr>
            <w:tcW w:w="764" w:type="dxa"/>
          </w:tcPr>
          <w:p>
            <w:pPr>
              <w:pStyle w:val="TableParagraph"/>
              <w:ind w:left="212" w:right="209"/>
              <w:rPr>
                <w:sz w:val="19"/>
              </w:rPr>
            </w:pPr>
            <w:r>
              <w:rPr>
                <w:sz w:val="19"/>
              </w:rPr>
              <w:t>-4.9</w:t>
            </w:r>
          </w:p>
        </w:tc>
        <w:tc>
          <w:tcPr>
            <w:tcW w:w="793" w:type="dxa"/>
          </w:tcPr>
          <w:p>
            <w:pPr>
              <w:pStyle w:val="TableParagraph"/>
              <w:ind w:left="168" w:right="177"/>
              <w:rPr>
                <w:sz w:val="19"/>
              </w:rPr>
            </w:pPr>
            <w:r>
              <w:rPr>
                <w:sz w:val="19"/>
              </w:rPr>
              <w:t>-0.8</w:t>
            </w:r>
          </w:p>
        </w:tc>
      </w:tr>
      <w:tr>
        <w:trPr>
          <w:trHeight w:val="261" w:hRule="atLeast"/>
        </w:trPr>
        <w:tc>
          <w:tcPr>
            <w:tcW w:w="3724" w:type="dxa"/>
          </w:tcPr>
          <w:p>
            <w:pPr>
              <w:pStyle w:val="TableParagraph"/>
              <w:ind w:left="36"/>
              <w:jc w:val="left"/>
              <w:rPr>
                <w:sz w:val="19"/>
              </w:rPr>
            </w:pPr>
            <w:r>
              <w:rPr>
                <w:sz w:val="19"/>
              </w:rPr>
              <w:t>E: Water supply, sewerage and waste</w:t>
            </w:r>
          </w:p>
        </w:tc>
        <w:tc>
          <w:tcPr>
            <w:tcW w:w="683" w:type="dxa"/>
          </w:tcPr>
          <w:p>
            <w:pPr>
              <w:pStyle w:val="TableParagraph"/>
              <w:ind w:left="190"/>
              <w:jc w:val="left"/>
              <w:rPr>
                <w:sz w:val="19"/>
              </w:rPr>
            </w:pPr>
            <w:r>
              <w:rPr>
                <w:sz w:val="19"/>
              </w:rPr>
              <w:t>0.0</w:t>
            </w:r>
          </w:p>
        </w:tc>
        <w:tc>
          <w:tcPr>
            <w:tcW w:w="772" w:type="dxa"/>
          </w:tcPr>
          <w:p>
            <w:pPr>
              <w:pStyle w:val="TableParagraph"/>
              <w:ind w:left="215" w:right="207"/>
              <w:rPr>
                <w:sz w:val="19"/>
              </w:rPr>
            </w:pPr>
            <w:r>
              <w:rPr>
                <w:sz w:val="19"/>
              </w:rPr>
              <w:t>0.0</w:t>
            </w:r>
          </w:p>
        </w:tc>
        <w:tc>
          <w:tcPr>
            <w:tcW w:w="768" w:type="dxa"/>
            <w:tcBorders>
              <w:right w:val="single" w:sz="6" w:space="0" w:color="000000"/>
            </w:tcBorders>
          </w:tcPr>
          <w:p>
            <w:pPr>
              <w:pStyle w:val="TableParagraph"/>
              <w:ind w:left="277"/>
              <w:jc w:val="left"/>
              <w:rPr>
                <w:sz w:val="19"/>
              </w:rPr>
            </w:pPr>
            <w:r>
              <w:rPr>
                <w:sz w:val="19"/>
              </w:rPr>
              <w:t>0.0</w:t>
            </w:r>
          </w:p>
        </w:tc>
        <w:tc>
          <w:tcPr>
            <w:tcW w:w="778" w:type="dxa"/>
            <w:tcBorders>
              <w:left w:val="single" w:sz="6" w:space="0" w:color="000000"/>
            </w:tcBorders>
            <w:shd w:val="clear" w:color="auto" w:fill="FDEA83"/>
          </w:tcPr>
          <w:p>
            <w:pPr>
              <w:pStyle w:val="TableParagraph"/>
              <w:ind w:left="209" w:right="209"/>
              <w:rPr>
                <w:sz w:val="19"/>
              </w:rPr>
            </w:pPr>
            <w:r>
              <w:rPr>
                <w:sz w:val="19"/>
              </w:rPr>
              <w:t>0.0</w:t>
            </w:r>
          </w:p>
        </w:tc>
        <w:tc>
          <w:tcPr>
            <w:tcW w:w="760" w:type="dxa"/>
          </w:tcPr>
          <w:p>
            <w:pPr>
              <w:pStyle w:val="TableParagraph"/>
              <w:ind w:left="137" w:right="173"/>
              <w:rPr>
                <w:i/>
                <w:sz w:val="19"/>
              </w:rPr>
            </w:pPr>
            <w:r>
              <w:rPr>
                <w:i/>
                <w:sz w:val="19"/>
              </w:rPr>
              <w:t>(1)</w:t>
            </w:r>
          </w:p>
        </w:tc>
        <w:tc>
          <w:tcPr>
            <w:tcW w:w="772" w:type="dxa"/>
            <w:shd w:val="clear" w:color="auto" w:fill="F0E784"/>
          </w:tcPr>
          <w:p>
            <w:pPr>
              <w:pStyle w:val="TableParagraph"/>
              <w:ind w:left="215" w:right="196"/>
              <w:rPr>
                <w:sz w:val="19"/>
              </w:rPr>
            </w:pPr>
            <w:r>
              <w:rPr>
                <w:sz w:val="19"/>
              </w:rPr>
              <w:t>0.0</w:t>
            </w:r>
          </w:p>
        </w:tc>
        <w:tc>
          <w:tcPr>
            <w:tcW w:w="772" w:type="dxa"/>
            <w:shd w:val="clear" w:color="auto" w:fill="F8E984"/>
          </w:tcPr>
          <w:p>
            <w:pPr>
              <w:pStyle w:val="TableParagraph"/>
              <w:ind w:right="263"/>
              <w:jc w:val="right"/>
              <w:rPr>
                <w:sz w:val="19"/>
              </w:rPr>
            </w:pPr>
            <w:r>
              <w:rPr>
                <w:w w:val="95"/>
                <w:sz w:val="19"/>
              </w:rPr>
              <w:t>0.0</w:t>
            </w:r>
          </w:p>
        </w:tc>
        <w:tc>
          <w:tcPr>
            <w:tcW w:w="688" w:type="dxa"/>
            <w:shd w:val="clear" w:color="auto" w:fill="FAEA84"/>
          </w:tcPr>
          <w:p>
            <w:pPr>
              <w:pStyle w:val="TableParagraph"/>
              <w:ind w:left="168" w:right="165"/>
              <w:rPr>
                <w:sz w:val="19"/>
              </w:rPr>
            </w:pPr>
            <w:r>
              <w:rPr>
                <w:sz w:val="19"/>
              </w:rPr>
              <w:t>0.0</w:t>
            </w:r>
          </w:p>
        </w:tc>
        <w:tc>
          <w:tcPr>
            <w:tcW w:w="700" w:type="dxa"/>
            <w:shd w:val="clear" w:color="auto" w:fill="F6E984"/>
          </w:tcPr>
          <w:p>
            <w:pPr>
              <w:pStyle w:val="TableParagraph"/>
              <w:ind w:left="232"/>
              <w:jc w:val="left"/>
              <w:rPr>
                <w:sz w:val="19"/>
              </w:rPr>
            </w:pPr>
            <w:r>
              <w:rPr>
                <w:sz w:val="19"/>
              </w:rPr>
              <w:t>0.0</w:t>
            </w:r>
          </w:p>
        </w:tc>
        <w:tc>
          <w:tcPr>
            <w:tcW w:w="760" w:type="dxa"/>
          </w:tcPr>
          <w:p>
            <w:pPr>
              <w:pStyle w:val="TableParagraph"/>
              <w:ind w:right="11"/>
              <w:rPr>
                <w:sz w:val="19"/>
              </w:rPr>
            </w:pPr>
            <w:r>
              <w:rPr>
                <w:w w:val="95"/>
                <w:sz w:val="19"/>
              </w:rPr>
              <w:t>1</w:t>
            </w:r>
          </w:p>
        </w:tc>
        <w:tc>
          <w:tcPr>
            <w:tcW w:w="764" w:type="dxa"/>
          </w:tcPr>
          <w:p>
            <w:pPr>
              <w:pStyle w:val="TableParagraph"/>
              <w:ind w:left="212" w:right="209"/>
              <w:rPr>
                <w:sz w:val="19"/>
              </w:rPr>
            </w:pPr>
            <w:r>
              <w:rPr>
                <w:sz w:val="19"/>
              </w:rPr>
              <w:t>-2.1</w:t>
            </w:r>
          </w:p>
        </w:tc>
        <w:tc>
          <w:tcPr>
            <w:tcW w:w="793" w:type="dxa"/>
          </w:tcPr>
          <w:p>
            <w:pPr>
              <w:pStyle w:val="TableParagraph"/>
              <w:ind w:left="168" w:right="177"/>
              <w:rPr>
                <w:sz w:val="19"/>
              </w:rPr>
            </w:pPr>
            <w:r>
              <w:rPr>
                <w:sz w:val="19"/>
              </w:rPr>
              <w:t>-6.1</w:t>
            </w:r>
          </w:p>
        </w:tc>
      </w:tr>
      <w:tr>
        <w:trPr>
          <w:trHeight w:val="261" w:hRule="atLeast"/>
        </w:trPr>
        <w:tc>
          <w:tcPr>
            <w:tcW w:w="3724" w:type="dxa"/>
          </w:tcPr>
          <w:p>
            <w:pPr>
              <w:pStyle w:val="TableParagraph"/>
              <w:spacing w:before="27"/>
              <w:ind w:left="36"/>
              <w:jc w:val="left"/>
              <w:rPr>
                <w:sz w:val="19"/>
              </w:rPr>
            </w:pPr>
            <w:r>
              <w:rPr>
                <w:sz w:val="19"/>
              </w:rPr>
              <w:t>F: Construction</w:t>
            </w:r>
          </w:p>
        </w:tc>
        <w:tc>
          <w:tcPr>
            <w:tcW w:w="683" w:type="dxa"/>
          </w:tcPr>
          <w:p>
            <w:pPr>
              <w:pStyle w:val="TableParagraph"/>
              <w:spacing w:before="27"/>
              <w:ind w:left="190"/>
              <w:jc w:val="left"/>
              <w:rPr>
                <w:sz w:val="19"/>
              </w:rPr>
            </w:pPr>
            <w:r>
              <w:rPr>
                <w:sz w:val="19"/>
              </w:rPr>
              <w:t>0.0</w:t>
            </w:r>
          </w:p>
        </w:tc>
        <w:tc>
          <w:tcPr>
            <w:tcW w:w="772" w:type="dxa"/>
          </w:tcPr>
          <w:p>
            <w:pPr>
              <w:pStyle w:val="TableParagraph"/>
              <w:spacing w:before="27"/>
              <w:ind w:left="210" w:right="211"/>
              <w:rPr>
                <w:sz w:val="19"/>
              </w:rPr>
            </w:pPr>
            <w:r>
              <w:rPr>
                <w:sz w:val="19"/>
              </w:rPr>
              <w:t>-0.3</w:t>
            </w:r>
          </w:p>
        </w:tc>
        <w:tc>
          <w:tcPr>
            <w:tcW w:w="768" w:type="dxa"/>
            <w:tcBorders>
              <w:right w:val="single" w:sz="6" w:space="0" w:color="000000"/>
            </w:tcBorders>
          </w:tcPr>
          <w:p>
            <w:pPr>
              <w:pStyle w:val="TableParagraph"/>
              <w:spacing w:before="27"/>
              <w:ind w:left="277"/>
              <w:jc w:val="left"/>
              <w:rPr>
                <w:sz w:val="19"/>
              </w:rPr>
            </w:pPr>
            <w:r>
              <w:rPr>
                <w:sz w:val="19"/>
              </w:rPr>
              <w:t>0.2</w:t>
            </w:r>
          </w:p>
        </w:tc>
        <w:tc>
          <w:tcPr>
            <w:tcW w:w="778" w:type="dxa"/>
            <w:tcBorders>
              <w:left w:val="single" w:sz="6" w:space="0" w:color="000000"/>
            </w:tcBorders>
            <w:shd w:val="clear" w:color="auto" w:fill="62BD7A"/>
          </w:tcPr>
          <w:p>
            <w:pPr>
              <w:pStyle w:val="TableParagraph"/>
              <w:spacing w:before="27"/>
              <w:ind w:left="209" w:right="209"/>
              <w:rPr>
                <w:sz w:val="19"/>
              </w:rPr>
            </w:pPr>
            <w:r>
              <w:rPr>
                <w:sz w:val="19"/>
              </w:rPr>
              <w:t>0.1</w:t>
            </w:r>
          </w:p>
        </w:tc>
        <w:tc>
          <w:tcPr>
            <w:tcW w:w="760" w:type="dxa"/>
          </w:tcPr>
          <w:p>
            <w:pPr>
              <w:pStyle w:val="TableParagraph"/>
              <w:spacing w:before="27"/>
              <w:ind w:left="137" w:right="173"/>
              <w:rPr>
                <w:i/>
                <w:sz w:val="19"/>
              </w:rPr>
            </w:pPr>
            <w:r>
              <w:rPr>
                <w:i/>
                <w:sz w:val="19"/>
              </w:rPr>
              <w:t>(-10)</w:t>
            </w:r>
          </w:p>
        </w:tc>
        <w:tc>
          <w:tcPr>
            <w:tcW w:w="772" w:type="dxa"/>
            <w:shd w:val="clear" w:color="auto" w:fill="FAAF78"/>
          </w:tcPr>
          <w:p>
            <w:pPr>
              <w:pStyle w:val="TableParagraph"/>
              <w:spacing w:before="27"/>
              <w:ind w:left="215" w:right="208"/>
              <w:rPr>
                <w:sz w:val="19"/>
              </w:rPr>
            </w:pPr>
            <w:r>
              <w:rPr>
                <w:sz w:val="19"/>
              </w:rPr>
              <w:t>-0.1</w:t>
            </w:r>
          </w:p>
        </w:tc>
        <w:tc>
          <w:tcPr>
            <w:tcW w:w="772" w:type="dxa"/>
            <w:shd w:val="clear" w:color="auto" w:fill="F4E884"/>
          </w:tcPr>
          <w:p>
            <w:pPr>
              <w:pStyle w:val="TableParagraph"/>
              <w:spacing w:before="27"/>
              <w:ind w:right="263"/>
              <w:jc w:val="right"/>
              <w:rPr>
                <w:sz w:val="19"/>
              </w:rPr>
            </w:pPr>
            <w:r>
              <w:rPr>
                <w:w w:val="95"/>
                <w:sz w:val="19"/>
              </w:rPr>
              <w:t>0.0</w:t>
            </w:r>
          </w:p>
        </w:tc>
        <w:tc>
          <w:tcPr>
            <w:tcW w:w="688" w:type="dxa"/>
            <w:shd w:val="clear" w:color="auto" w:fill="73C37B"/>
          </w:tcPr>
          <w:p>
            <w:pPr>
              <w:pStyle w:val="TableParagraph"/>
              <w:spacing w:before="27"/>
              <w:ind w:left="168" w:right="165"/>
              <w:rPr>
                <w:sz w:val="19"/>
              </w:rPr>
            </w:pPr>
            <w:r>
              <w:rPr>
                <w:sz w:val="19"/>
              </w:rPr>
              <w:t>0.2</w:t>
            </w:r>
          </w:p>
        </w:tc>
        <w:tc>
          <w:tcPr>
            <w:tcW w:w="700" w:type="dxa"/>
            <w:shd w:val="clear" w:color="auto" w:fill="DFE183"/>
          </w:tcPr>
          <w:p>
            <w:pPr>
              <w:pStyle w:val="TableParagraph"/>
              <w:spacing w:before="27"/>
              <w:ind w:left="232"/>
              <w:jc w:val="left"/>
              <w:rPr>
                <w:sz w:val="19"/>
              </w:rPr>
            </w:pPr>
            <w:r>
              <w:rPr>
                <w:sz w:val="19"/>
              </w:rPr>
              <w:t>0.0</w:t>
            </w:r>
          </w:p>
        </w:tc>
        <w:tc>
          <w:tcPr>
            <w:tcW w:w="760" w:type="dxa"/>
          </w:tcPr>
          <w:p>
            <w:pPr>
              <w:pStyle w:val="TableParagraph"/>
              <w:spacing w:before="27"/>
              <w:ind w:right="11"/>
              <w:rPr>
                <w:sz w:val="19"/>
              </w:rPr>
            </w:pPr>
            <w:r>
              <w:rPr>
                <w:w w:val="95"/>
                <w:sz w:val="19"/>
              </w:rPr>
              <w:t>8</w:t>
            </w:r>
          </w:p>
        </w:tc>
        <w:tc>
          <w:tcPr>
            <w:tcW w:w="764" w:type="dxa"/>
          </w:tcPr>
          <w:p>
            <w:pPr>
              <w:pStyle w:val="TableParagraph"/>
              <w:spacing w:before="27"/>
              <w:ind w:left="212" w:right="197"/>
              <w:rPr>
                <w:sz w:val="19"/>
              </w:rPr>
            </w:pPr>
            <w:r>
              <w:rPr>
                <w:sz w:val="19"/>
              </w:rPr>
              <w:t>1.8</w:t>
            </w:r>
          </w:p>
        </w:tc>
        <w:tc>
          <w:tcPr>
            <w:tcW w:w="793" w:type="dxa"/>
          </w:tcPr>
          <w:p>
            <w:pPr>
              <w:pStyle w:val="TableParagraph"/>
              <w:spacing w:before="27"/>
              <w:ind w:left="177" w:right="177"/>
              <w:rPr>
                <w:sz w:val="19"/>
              </w:rPr>
            </w:pPr>
            <w:r>
              <w:rPr>
                <w:sz w:val="19"/>
              </w:rPr>
              <w:t>0.6</w:t>
            </w:r>
          </w:p>
        </w:tc>
      </w:tr>
      <w:tr>
        <w:trPr>
          <w:trHeight w:val="261" w:hRule="atLeast"/>
        </w:trPr>
        <w:tc>
          <w:tcPr>
            <w:tcW w:w="3724" w:type="dxa"/>
          </w:tcPr>
          <w:p>
            <w:pPr>
              <w:pStyle w:val="TableParagraph"/>
              <w:spacing w:before="27"/>
              <w:ind w:left="36"/>
              <w:jc w:val="left"/>
              <w:rPr>
                <w:sz w:val="19"/>
              </w:rPr>
            </w:pPr>
            <w:r>
              <w:rPr>
                <w:sz w:val="19"/>
              </w:rPr>
              <w:t>G: Wholesale and retail trade; repair of vehicles</w:t>
            </w:r>
          </w:p>
        </w:tc>
        <w:tc>
          <w:tcPr>
            <w:tcW w:w="683" w:type="dxa"/>
          </w:tcPr>
          <w:p>
            <w:pPr>
              <w:pStyle w:val="TableParagraph"/>
              <w:spacing w:before="27"/>
              <w:ind w:left="190"/>
              <w:jc w:val="left"/>
              <w:rPr>
                <w:sz w:val="19"/>
              </w:rPr>
            </w:pPr>
            <w:r>
              <w:rPr>
                <w:sz w:val="19"/>
              </w:rPr>
              <w:t>0.4</w:t>
            </w:r>
          </w:p>
        </w:tc>
        <w:tc>
          <w:tcPr>
            <w:tcW w:w="772" w:type="dxa"/>
          </w:tcPr>
          <w:p>
            <w:pPr>
              <w:pStyle w:val="TableParagraph"/>
              <w:spacing w:before="27"/>
              <w:ind w:left="210" w:right="211"/>
              <w:rPr>
                <w:sz w:val="19"/>
              </w:rPr>
            </w:pPr>
            <w:r>
              <w:rPr>
                <w:sz w:val="19"/>
              </w:rPr>
              <w:t>-0.4</w:t>
            </w:r>
          </w:p>
        </w:tc>
        <w:tc>
          <w:tcPr>
            <w:tcW w:w="768" w:type="dxa"/>
            <w:tcBorders>
              <w:right w:val="single" w:sz="6" w:space="0" w:color="000000"/>
            </w:tcBorders>
          </w:tcPr>
          <w:p>
            <w:pPr>
              <w:pStyle w:val="TableParagraph"/>
              <w:spacing w:before="27"/>
              <w:ind w:left="277"/>
              <w:jc w:val="left"/>
              <w:rPr>
                <w:sz w:val="19"/>
              </w:rPr>
            </w:pPr>
            <w:r>
              <w:rPr>
                <w:sz w:val="19"/>
              </w:rPr>
              <w:t>0.3</w:t>
            </w:r>
          </w:p>
        </w:tc>
        <w:tc>
          <w:tcPr>
            <w:tcW w:w="778" w:type="dxa"/>
            <w:tcBorders>
              <w:left w:val="single" w:sz="6" w:space="0" w:color="000000"/>
            </w:tcBorders>
            <w:shd w:val="clear" w:color="auto" w:fill="FCC87C"/>
          </w:tcPr>
          <w:p>
            <w:pPr>
              <w:pStyle w:val="TableParagraph"/>
              <w:spacing w:before="27"/>
              <w:ind w:left="209" w:right="220"/>
              <w:rPr>
                <w:sz w:val="19"/>
              </w:rPr>
            </w:pPr>
            <w:r>
              <w:rPr>
                <w:sz w:val="19"/>
              </w:rPr>
              <w:t>-0.2</w:t>
            </w:r>
          </w:p>
        </w:tc>
        <w:tc>
          <w:tcPr>
            <w:tcW w:w="760" w:type="dxa"/>
          </w:tcPr>
          <w:p>
            <w:pPr>
              <w:pStyle w:val="TableParagraph"/>
              <w:spacing w:before="27"/>
              <w:ind w:left="138" w:right="162"/>
              <w:rPr>
                <w:i/>
                <w:sz w:val="19"/>
              </w:rPr>
            </w:pPr>
            <w:r>
              <w:rPr>
                <w:i/>
                <w:sz w:val="19"/>
              </w:rPr>
              <w:t>(12)</w:t>
            </w:r>
          </w:p>
        </w:tc>
        <w:tc>
          <w:tcPr>
            <w:tcW w:w="772" w:type="dxa"/>
            <w:shd w:val="clear" w:color="auto" w:fill="F8816E"/>
          </w:tcPr>
          <w:p>
            <w:pPr>
              <w:pStyle w:val="TableParagraph"/>
              <w:spacing w:before="27"/>
              <w:ind w:left="215" w:right="208"/>
              <w:rPr>
                <w:sz w:val="19"/>
              </w:rPr>
            </w:pPr>
            <w:r>
              <w:rPr>
                <w:sz w:val="19"/>
              </w:rPr>
              <w:t>-0.1</w:t>
            </w:r>
          </w:p>
        </w:tc>
        <w:tc>
          <w:tcPr>
            <w:tcW w:w="772" w:type="dxa"/>
            <w:shd w:val="clear" w:color="auto" w:fill="EEE784"/>
          </w:tcPr>
          <w:p>
            <w:pPr>
              <w:pStyle w:val="TableParagraph"/>
              <w:spacing w:before="27"/>
              <w:ind w:right="263"/>
              <w:jc w:val="right"/>
              <w:rPr>
                <w:sz w:val="19"/>
              </w:rPr>
            </w:pPr>
            <w:r>
              <w:rPr>
                <w:w w:val="95"/>
                <w:sz w:val="19"/>
              </w:rPr>
              <w:t>0.0</w:t>
            </w:r>
          </w:p>
        </w:tc>
        <w:tc>
          <w:tcPr>
            <w:tcW w:w="688" w:type="dxa"/>
          </w:tcPr>
          <w:p>
            <w:pPr>
              <w:pStyle w:val="TableParagraph"/>
              <w:spacing w:line="240" w:lineRule="auto" w:before="0"/>
              <w:jc w:val="left"/>
              <w:rPr>
                <w:rFonts w:ascii="Times New Roman"/>
                <w:sz w:val="18"/>
              </w:rPr>
            </w:pPr>
          </w:p>
        </w:tc>
        <w:tc>
          <w:tcPr>
            <w:tcW w:w="700" w:type="dxa"/>
          </w:tcPr>
          <w:p>
            <w:pPr>
              <w:pStyle w:val="TableParagraph"/>
              <w:spacing w:line="240" w:lineRule="auto" w:before="0"/>
              <w:jc w:val="left"/>
              <w:rPr>
                <w:rFonts w:ascii="Times New Roman"/>
                <w:sz w:val="18"/>
              </w:rPr>
            </w:pPr>
          </w:p>
        </w:tc>
        <w:tc>
          <w:tcPr>
            <w:tcW w:w="760" w:type="dxa"/>
          </w:tcPr>
          <w:p>
            <w:pPr>
              <w:pStyle w:val="TableParagraph"/>
              <w:spacing w:before="27"/>
              <w:ind w:left="138" w:right="145"/>
              <w:rPr>
                <w:sz w:val="19"/>
              </w:rPr>
            </w:pPr>
            <w:r>
              <w:rPr>
                <w:sz w:val="19"/>
              </w:rPr>
              <w:t>13</w:t>
            </w:r>
          </w:p>
        </w:tc>
        <w:tc>
          <w:tcPr>
            <w:tcW w:w="764" w:type="dxa"/>
          </w:tcPr>
          <w:p>
            <w:pPr>
              <w:pStyle w:val="TableParagraph"/>
              <w:spacing w:before="27"/>
              <w:ind w:left="212" w:right="209"/>
              <w:rPr>
                <w:sz w:val="19"/>
              </w:rPr>
            </w:pPr>
            <w:r>
              <w:rPr>
                <w:sz w:val="19"/>
              </w:rPr>
              <w:t>-1.1</w:t>
            </w:r>
          </w:p>
        </w:tc>
        <w:tc>
          <w:tcPr>
            <w:tcW w:w="793" w:type="dxa"/>
          </w:tcPr>
          <w:p>
            <w:pPr>
              <w:pStyle w:val="TableParagraph"/>
              <w:spacing w:before="27"/>
              <w:ind w:left="168" w:right="177"/>
              <w:rPr>
                <w:sz w:val="19"/>
              </w:rPr>
            </w:pPr>
            <w:r>
              <w:rPr>
                <w:sz w:val="19"/>
              </w:rPr>
              <w:t>-1.0</w:t>
            </w:r>
          </w:p>
        </w:tc>
      </w:tr>
      <w:tr>
        <w:trPr>
          <w:trHeight w:val="260" w:hRule="atLeast"/>
        </w:trPr>
        <w:tc>
          <w:tcPr>
            <w:tcW w:w="3724" w:type="dxa"/>
          </w:tcPr>
          <w:p>
            <w:pPr>
              <w:pStyle w:val="TableParagraph"/>
              <w:spacing w:before="27"/>
              <w:ind w:left="36"/>
              <w:jc w:val="left"/>
              <w:rPr>
                <w:sz w:val="19"/>
              </w:rPr>
            </w:pPr>
            <w:r>
              <w:rPr>
                <w:sz w:val="19"/>
              </w:rPr>
              <w:t>H: Transportation and storage</w:t>
            </w:r>
          </w:p>
        </w:tc>
        <w:tc>
          <w:tcPr>
            <w:tcW w:w="683" w:type="dxa"/>
          </w:tcPr>
          <w:p>
            <w:pPr>
              <w:pStyle w:val="TableParagraph"/>
              <w:spacing w:before="27"/>
              <w:ind w:left="190"/>
              <w:jc w:val="left"/>
              <w:rPr>
                <w:sz w:val="19"/>
              </w:rPr>
            </w:pPr>
            <w:r>
              <w:rPr>
                <w:sz w:val="19"/>
              </w:rPr>
              <w:t>0.1</w:t>
            </w:r>
          </w:p>
        </w:tc>
        <w:tc>
          <w:tcPr>
            <w:tcW w:w="772" w:type="dxa"/>
          </w:tcPr>
          <w:p>
            <w:pPr>
              <w:pStyle w:val="TableParagraph"/>
              <w:spacing w:before="27"/>
              <w:ind w:left="210" w:right="211"/>
              <w:rPr>
                <w:sz w:val="19"/>
              </w:rPr>
            </w:pPr>
            <w:r>
              <w:rPr>
                <w:sz w:val="19"/>
              </w:rPr>
              <w:t>-0.3</w:t>
            </w:r>
          </w:p>
        </w:tc>
        <w:tc>
          <w:tcPr>
            <w:tcW w:w="768" w:type="dxa"/>
            <w:tcBorders>
              <w:right w:val="single" w:sz="6" w:space="0" w:color="000000"/>
            </w:tcBorders>
          </w:tcPr>
          <w:p>
            <w:pPr>
              <w:pStyle w:val="TableParagraph"/>
              <w:spacing w:before="27"/>
              <w:ind w:left="277"/>
              <w:jc w:val="left"/>
              <w:rPr>
                <w:sz w:val="19"/>
              </w:rPr>
            </w:pPr>
            <w:r>
              <w:rPr>
                <w:sz w:val="19"/>
              </w:rPr>
              <w:t>0.1</w:t>
            </w:r>
          </w:p>
        </w:tc>
        <w:tc>
          <w:tcPr>
            <w:tcW w:w="778" w:type="dxa"/>
            <w:tcBorders>
              <w:left w:val="single" w:sz="6" w:space="0" w:color="000000"/>
            </w:tcBorders>
            <w:shd w:val="clear" w:color="auto" w:fill="FDE683"/>
          </w:tcPr>
          <w:p>
            <w:pPr>
              <w:pStyle w:val="TableParagraph"/>
              <w:spacing w:before="27"/>
              <w:ind w:left="209" w:right="209"/>
              <w:rPr>
                <w:sz w:val="19"/>
              </w:rPr>
            </w:pPr>
            <w:r>
              <w:rPr>
                <w:sz w:val="19"/>
              </w:rPr>
              <w:t>0.0</w:t>
            </w:r>
          </w:p>
        </w:tc>
        <w:tc>
          <w:tcPr>
            <w:tcW w:w="760" w:type="dxa"/>
          </w:tcPr>
          <w:p>
            <w:pPr>
              <w:pStyle w:val="TableParagraph"/>
              <w:spacing w:before="27"/>
              <w:ind w:left="137" w:right="173"/>
              <w:rPr>
                <w:i/>
                <w:sz w:val="19"/>
              </w:rPr>
            </w:pPr>
            <w:r>
              <w:rPr>
                <w:i/>
                <w:sz w:val="19"/>
              </w:rPr>
              <w:t>(3)</w:t>
            </w:r>
          </w:p>
        </w:tc>
        <w:tc>
          <w:tcPr>
            <w:tcW w:w="772" w:type="dxa"/>
            <w:shd w:val="clear" w:color="auto" w:fill="CDDD82"/>
          </w:tcPr>
          <w:p>
            <w:pPr>
              <w:pStyle w:val="TableParagraph"/>
              <w:spacing w:before="27"/>
              <w:ind w:left="215" w:right="196"/>
              <w:rPr>
                <w:sz w:val="19"/>
              </w:rPr>
            </w:pPr>
            <w:r>
              <w:rPr>
                <w:sz w:val="19"/>
              </w:rPr>
              <w:t>0.0</w:t>
            </w:r>
          </w:p>
        </w:tc>
        <w:tc>
          <w:tcPr>
            <w:tcW w:w="772" w:type="dxa"/>
            <w:shd w:val="clear" w:color="auto" w:fill="F0E784"/>
          </w:tcPr>
          <w:p>
            <w:pPr>
              <w:pStyle w:val="TableParagraph"/>
              <w:spacing w:before="27"/>
              <w:ind w:right="263"/>
              <w:jc w:val="right"/>
              <w:rPr>
                <w:sz w:val="19"/>
              </w:rPr>
            </w:pPr>
            <w:r>
              <w:rPr>
                <w:w w:val="95"/>
                <w:sz w:val="19"/>
              </w:rPr>
              <w:t>0.0</w:t>
            </w:r>
          </w:p>
        </w:tc>
        <w:tc>
          <w:tcPr>
            <w:tcW w:w="688" w:type="dxa"/>
          </w:tcPr>
          <w:p>
            <w:pPr>
              <w:pStyle w:val="TableParagraph"/>
              <w:spacing w:line="240" w:lineRule="auto" w:before="0"/>
              <w:jc w:val="left"/>
              <w:rPr>
                <w:rFonts w:ascii="Times New Roman"/>
                <w:sz w:val="18"/>
              </w:rPr>
            </w:pPr>
          </w:p>
        </w:tc>
        <w:tc>
          <w:tcPr>
            <w:tcW w:w="700" w:type="dxa"/>
          </w:tcPr>
          <w:p>
            <w:pPr>
              <w:pStyle w:val="TableParagraph"/>
              <w:spacing w:line="240" w:lineRule="auto" w:before="0"/>
              <w:jc w:val="left"/>
              <w:rPr>
                <w:rFonts w:ascii="Times New Roman"/>
                <w:sz w:val="18"/>
              </w:rPr>
            </w:pPr>
          </w:p>
        </w:tc>
        <w:tc>
          <w:tcPr>
            <w:tcW w:w="760" w:type="dxa"/>
          </w:tcPr>
          <w:p>
            <w:pPr>
              <w:pStyle w:val="TableParagraph"/>
              <w:spacing w:before="27"/>
              <w:ind w:right="11"/>
              <w:rPr>
                <w:sz w:val="19"/>
              </w:rPr>
            </w:pPr>
            <w:r>
              <w:rPr>
                <w:w w:val="95"/>
                <w:sz w:val="19"/>
              </w:rPr>
              <w:t>5</w:t>
            </w:r>
          </w:p>
        </w:tc>
        <w:tc>
          <w:tcPr>
            <w:tcW w:w="764" w:type="dxa"/>
          </w:tcPr>
          <w:p>
            <w:pPr>
              <w:pStyle w:val="TableParagraph"/>
              <w:spacing w:before="27"/>
              <w:ind w:left="212" w:right="209"/>
              <w:rPr>
                <w:sz w:val="19"/>
              </w:rPr>
            </w:pPr>
            <w:r>
              <w:rPr>
                <w:sz w:val="19"/>
              </w:rPr>
              <w:t>-0.7</w:t>
            </w:r>
          </w:p>
        </w:tc>
        <w:tc>
          <w:tcPr>
            <w:tcW w:w="793" w:type="dxa"/>
          </w:tcPr>
          <w:p>
            <w:pPr>
              <w:pStyle w:val="TableParagraph"/>
              <w:spacing w:before="27"/>
              <w:ind w:left="177" w:right="177"/>
              <w:rPr>
                <w:sz w:val="19"/>
              </w:rPr>
            </w:pPr>
            <w:r>
              <w:rPr>
                <w:sz w:val="19"/>
              </w:rPr>
              <w:t>2.6</w:t>
            </w:r>
          </w:p>
        </w:tc>
      </w:tr>
      <w:tr>
        <w:trPr>
          <w:trHeight w:val="261" w:hRule="atLeast"/>
        </w:trPr>
        <w:tc>
          <w:tcPr>
            <w:tcW w:w="3724" w:type="dxa"/>
          </w:tcPr>
          <w:p>
            <w:pPr>
              <w:pStyle w:val="TableParagraph"/>
              <w:ind w:left="36"/>
              <w:jc w:val="left"/>
              <w:rPr>
                <w:sz w:val="19"/>
              </w:rPr>
            </w:pPr>
            <w:r>
              <w:rPr>
                <w:sz w:val="19"/>
              </w:rPr>
              <w:t>I: Accomodation and food service</w:t>
            </w:r>
          </w:p>
        </w:tc>
        <w:tc>
          <w:tcPr>
            <w:tcW w:w="683" w:type="dxa"/>
          </w:tcPr>
          <w:p>
            <w:pPr>
              <w:pStyle w:val="TableParagraph"/>
              <w:ind w:left="190"/>
              <w:jc w:val="left"/>
              <w:rPr>
                <w:sz w:val="19"/>
              </w:rPr>
            </w:pPr>
            <w:r>
              <w:rPr>
                <w:sz w:val="19"/>
              </w:rPr>
              <w:t>0.0</w:t>
            </w:r>
          </w:p>
        </w:tc>
        <w:tc>
          <w:tcPr>
            <w:tcW w:w="772" w:type="dxa"/>
          </w:tcPr>
          <w:p>
            <w:pPr>
              <w:pStyle w:val="TableParagraph"/>
              <w:ind w:left="215" w:right="207"/>
              <w:rPr>
                <w:sz w:val="19"/>
              </w:rPr>
            </w:pPr>
            <w:r>
              <w:rPr>
                <w:sz w:val="19"/>
              </w:rPr>
              <w:t>0.0</w:t>
            </w:r>
          </w:p>
        </w:tc>
        <w:tc>
          <w:tcPr>
            <w:tcW w:w="768" w:type="dxa"/>
            <w:tcBorders>
              <w:right w:val="single" w:sz="6" w:space="0" w:color="000000"/>
            </w:tcBorders>
          </w:tcPr>
          <w:p>
            <w:pPr>
              <w:pStyle w:val="TableParagraph"/>
              <w:ind w:left="277"/>
              <w:jc w:val="left"/>
              <w:rPr>
                <w:sz w:val="19"/>
              </w:rPr>
            </w:pPr>
            <w:r>
              <w:rPr>
                <w:sz w:val="19"/>
              </w:rPr>
              <w:t>0.0</w:t>
            </w:r>
          </w:p>
        </w:tc>
        <w:tc>
          <w:tcPr>
            <w:tcW w:w="778" w:type="dxa"/>
            <w:tcBorders>
              <w:left w:val="single" w:sz="6" w:space="0" w:color="000000"/>
            </w:tcBorders>
            <w:shd w:val="clear" w:color="auto" w:fill="FDE482"/>
          </w:tcPr>
          <w:p>
            <w:pPr>
              <w:pStyle w:val="TableParagraph"/>
              <w:ind w:left="209" w:right="209"/>
              <w:rPr>
                <w:sz w:val="19"/>
              </w:rPr>
            </w:pPr>
            <w:r>
              <w:rPr>
                <w:sz w:val="19"/>
              </w:rPr>
              <w:t>0.0</w:t>
            </w:r>
          </w:p>
        </w:tc>
        <w:tc>
          <w:tcPr>
            <w:tcW w:w="760" w:type="dxa"/>
          </w:tcPr>
          <w:p>
            <w:pPr>
              <w:pStyle w:val="TableParagraph"/>
              <w:ind w:left="137" w:right="173"/>
              <w:rPr>
                <w:i/>
                <w:sz w:val="19"/>
              </w:rPr>
            </w:pPr>
            <w:r>
              <w:rPr>
                <w:i/>
                <w:sz w:val="19"/>
              </w:rPr>
              <w:t>(3)</w:t>
            </w:r>
          </w:p>
        </w:tc>
        <w:tc>
          <w:tcPr>
            <w:tcW w:w="772" w:type="dxa"/>
            <w:shd w:val="clear" w:color="auto" w:fill="E9E483"/>
          </w:tcPr>
          <w:p>
            <w:pPr>
              <w:pStyle w:val="TableParagraph"/>
              <w:ind w:left="215" w:right="196"/>
              <w:rPr>
                <w:sz w:val="19"/>
              </w:rPr>
            </w:pPr>
            <w:r>
              <w:rPr>
                <w:sz w:val="19"/>
              </w:rPr>
              <w:t>0.0</w:t>
            </w:r>
          </w:p>
        </w:tc>
        <w:tc>
          <w:tcPr>
            <w:tcW w:w="772" w:type="dxa"/>
            <w:shd w:val="clear" w:color="auto" w:fill="FDEA83"/>
          </w:tcPr>
          <w:p>
            <w:pPr>
              <w:pStyle w:val="TableParagraph"/>
              <w:ind w:right="263"/>
              <w:jc w:val="right"/>
              <w:rPr>
                <w:sz w:val="19"/>
              </w:rPr>
            </w:pPr>
            <w:r>
              <w:rPr>
                <w:w w:val="95"/>
                <w:sz w:val="19"/>
              </w:rPr>
              <w:t>0.0</w:t>
            </w:r>
          </w:p>
        </w:tc>
        <w:tc>
          <w:tcPr>
            <w:tcW w:w="688" w:type="dxa"/>
          </w:tcPr>
          <w:p>
            <w:pPr>
              <w:pStyle w:val="TableParagraph"/>
              <w:spacing w:line="240" w:lineRule="auto" w:before="0"/>
              <w:jc w:val="left"/>
              <w:rPr>
                <w:rFonts w:ascii="Times New Roman"/>
                <w:sz w:val="18"/>
              </w:rPr>
            </w:pPr>
          </w:p>
        </w:tc>
        <w:tc>
          <w:tcPr>
            <w:tcW w:w="700" w:type="dxa"/>
          </w:tcPr>
          <w:p>
            <w:pPr>
              <w:pStyle w:val="TableParagraph"/>
              <w:spacing w:line="240" w:lineRule="auto" w:before="0"/>
              <w:jc w:val="left"/>
              <w:rPr>
                <w:rFonts w:ascii="Times New Roman"/>
                <w:sz w:val="18"/>
              </w:rPr>
            </w:pPr>
          </w:p>
        </w:tc>
        <w:tc>
          <w:tcPr>
            <w:tcW w:w="760" w:type="dxa"/>
          </w:tcPr>
          <w:p>
            <w:pPr>
              <w:pStyle w:val="TableParagraph"/>
              <w:ind w:right="11"/>
              <w:rPr>
                <w:sz w:val="19"/>
              </w:rPr>
            </w:pPr>
            <w:r>
              <w:rPr>
                <w:w w:val="95"/>
                <w:sz w:val="19"/>
              </w:rPr>
              <w:t>3</w:t>
            </w:r>
          </w:p>
        </w:tc>
        <w:tc>
          <w:tcPr>
            <w:tcW w:w="764" w:type="dxa"/>
          </w:tcPr>
          <w:p>
            <w:pPr>
              <w:pStyle w:val="TableParagraph"/>
              <w:ind w:left="212" w:right="209"/>
              <w:rPr>
                <w:sz w:val="19"/>
              </w:rPr>
            </w:pPr>
            <w:r>
              <w:rPr>
                <w:sz w:val="19"/>
              </w:rPr>
              <w:t>-1.3</w:t>
            </w:r>
          </w:p>
        </w:tc>
        <w:tc>
          <w:tcPr>
            <w:tcW w:w="793" w:type="dxa"/>
          </w:tcPr>
          <w:p>
            <w:pPr>
              <w:pStyle w:val="TableParagraph"/>
              <w:ind w:left="177" w:right="177"/>
              <w:rPr>
                <w:sz w:val="19"/>
              </w:rPr>
            </w:pPr>
            <w:r>
              <w:rPr>
                <w:sz w:val="19"/>
              </w:rPr>
              <w:t>2.1</w:t>
            </w:r>
          </w:p>
        </w:tc>
      </w:tr>
      <w:tr>
        <w:trPr>
          <w:trHeight w:val="261" w:hRule="atLeast"/>
        </w:trPr>
        <w:tc>
          <w:tcPr>
            <w:tcW w:w="3724" w:type="dxa"/>
          </w:tcPr>
          <w:p>
            <w:pPr>
              <w:pStyle w:val="TableParagraph"/>
              <w:ind w:left="36"/>
              <w:jc w:val="left"/>
              <w:rPr>
                <w:b/>
                <w:sz w:val="19"/>
              </w:rPr>
            </w:pPr>
            <w:r>
              <w:rPr>
                <w:b/>
                <w:sz w:val="19"/>
              </w:rPr>
              <w:t>J: Information and communication (ICT)</w:t>
            </w:r>
          </w:p>
        </w:tc>
        <w:tc>
          <w:tcPr>
            <w:tcW w:w="683" w:type="dxa"/>
          </w:tcPr>
          <w:p>
            <w:pPr>
              <w:pStyle w:val="TableParagraph"/>
              <w:ind w:left="190"/>
              <w:jc w:val="left"/>
              <w:rPr>
                <w:b/>
                <w:sz w:val="19"/>
              </w:rPr>
            </w:pPr>
            <w:r>
              <w:rPr>
                <w:b/>
                <w:sz w:val="19"/>
              </w:rPr>
              <w:t>0.3</w:t>
            </w:r>
          </w:p>
        </w:tc>
        <w:tc>
          <w:tcPr>
            <w:tcW w:w="772" w:type="dxa"/>
          </w:tcPr>
          <w:p>
            <w:pPr>
              <w:pStyle w:val="TableParagraph"/>
              <w:ind w:left="215" w:right="206"/>
              <w:rPr>
                <w:b/>
                <w:sz w:val="19"/>
              </w:rPr>
            </w:pPr>
            <w:r>
              <w:rPr>
                <w:b/>
                <w:sz w:val="19"/>
              </w:rPr>
              <w:t>0.1</w:t>
            </w:r>
          </w:p>
        </w:tc>
        <w:tc>
          <w:tcPr>
            <w:tcW w:w="768" w:type="dxa"/>
            <w:tcBorders>
              <w:right w:val="single" w:sz="6" w:space="0" w:color="000000"/>
            </w:tcBorders>
          </w:tcPr>
          <w:p>
            <w:pPr>
              <w:pStyle w:val="TableParagraph"/>
              <w:ind w:left="277"/>
              <w:jc w:val="left"/>
              <w:rPr>
                <w:b/>
                <w:sz w:val="19"/>
              </w:rPr>
            </w:pPr>
            <w:r>
              <w:rPr>
                <w:b/>
                <w:sz w:val="19"/>
              </w:rPr>
              <w:t>0.1</w:t>
            </w:r>
          </w:p>
        </w:tc>
        <w:tc>
          <w:tcPr>
            <w:tcW w:w="778" w:type="dxa"/>
            <w:tcBorders>
              <w:left w:val="single" w:sz="6" w:space="0" w:color="000000"/>
            </w:tcBorders>
            <w:shd w:val="clear" w:color="auto" w:fill="FBC57B"/>
          </w:tcPr>
          <w:p>
            <w:pPr>
              <w:pStyle w:val="TableParagraph"/>
              <w:ind w:left="209" w:right="220"/>
              <w:rPr>
                <w:b/>
                <w:sz w:val="19"/>
              </w:rPr>
            </w:pPr>
            <w:r>
              <w:rPr>
                <w:b/>
                <w:sz w:val="19"/>
              </w:rPr>
              <w:t>-0.2</w:t>
            </w:r>
          </w:p>
        </w:tc>
        <w:tc>
          <w:tcPr>
            <w:tcW w:w="760" w:type="dxa"/>
          </w:tcPr>
          <w:p>
            <w:pPr>
              <w:pStyle w:val="TableParagraph"/>
              <w:ind w:left="138" w:right="161"/>
              <w:rPr>
                <w:b/>
                <w:i/>
                <w:sz w:val="19"/>
              </w:rPr>
            </w:pPr>
            <w:r>
              <w:rPr>
                <w:b/>
                <w:i/>
                <w:sz w:val="19"/>
              </w:rPr>
              <w:t>(13)</w:t>
            </w:r>
          </w:p>
        </w:tc>
        <w:tc>
          <w:tcPr>
            <w:tcW w:w="772" w:type="dxa"/>
            <w:shd w:val="clear" w:color="auto" w:fill="F99C74"/>
          </w:tcPr>
          <w:p>
            <w:pPr>
              <w:pStyle w:val="TableParagraph"/>
              <w:ind w:left="215" w:right="207"/>
              <w:rPr>
                <w:b/>
                <w:sz w:val="19"/>
              </w:rPr>
            </w:pPr>
            <w:r>
              <w:rPr>
                <w:b/>
                <w:sz w:val="19"/>
              </w:rPr>
              <w:t>-0.1</w:t>
            </w:r>
          </w:p>
        </w:tc>
        <w:tc>
          <w:tcPr>
            <w:tcW w:w="772" w:type="dxa"/>
            <w:shd w:val="clear" w:color="auto" w:fill="FDEA83"/>
          </w:tcPr>
          <w:p>
            <w:pPr>
              <w:pStyle w:val="TableParagraph"/>
              <w:ind w:right="262"/>
              <w:jc w:val="right"/>
              <w:rPr>
                <w:b/>
                <w:sz w:val="19"/>
              </w:rPr>
            </w:pPr>
            <w:r>
              <w:rPr>
                <w:b/>
                <w:w w:val="95"/>
                <w:sz w:val="19"/>
              </w:rPr>
              <w:t>0.0</w:t>
            </w:r>
          </w:p>
        </w:tc>
        <w:tc>
          <w:tcPr>
            <w:tcW w:w="688" w:type="dxa"/>
          </w:tcPr>
          <w:p>
            <w:pPr>
              <w:pStyle w:val="TableParagraph"/>
              <w:spacing w:line="240" w:lineRule="auto" w:before="0"/>
              <w:jc w:val="left"/>
              <w:rPr>
                <w:rFonts w:ascii="Times New Roman"/>
                <w:sz w:val="18"/>
              </w:rPr>
            </w:pPr>
          </w:p>
        </w:tc>
        <w:tc>
          <w:tcPr>
            <w:tcW w:w="700" w:type="dxa"/>
            <w:shd w:val="clear" w:color="auto" w:fill="F5E884"/>
          </w:tcPr>
          <w:p>
            <w:pPr>
              <w:pStyle w:val="TableParagraph"/>
              <w:spacing w:line="240" w:lineRule="auto" w:before="0"/>
              <w:jc w:val="left"/>
              <w:rPr>
                <w:rFonts w:ascii="Times New Roman"/>
                <w:sz w:val="18"/>
              </w:rPr>
            </w:pPr>
          </w:p>
        </w:tc>
        <w:tc>
          <w:tcPr>
            <w:tcW w:w="760" w:type="dxa"/>
          </w:tcPr>
          <w:p>
            <w:pPr>
              <w:pStyle w:val="TableParagraph"/>
              <w:ind w:right="11"/>
              <w:rPr>
                <w:b/>
                <w:sz w:val="19"/>
              </w:rPr>
            </w:pPr>
            <w:r>
              <w:rPr>
                <w:b/>
                <w:w w:val="95"/>
                <w:sz w:val="19"/>
              </w:rPr>
              <w:t>7</w:t>
            </w:r>
          </w:p>
        </w:tc>
        <w:tc>
          <w:tcPr>
            <w:tcW w:w="764" w:type="dxa"/>
          </w:tcPr>
          <w:p>
            <w:pPr>
              <w:pStyle w:val="TableParagraph"/>
              <w:ind w:left="212" w:right="209"/>
              <w:rPr>
                <w:b/>
                <w:sz w:val="19"/>
              </w:rPr>
            </w:pPr>
            <w:r>
              <w:rPr>
                <w:b/>
                <w:sz w:val="19"/>
              </w:rPr>
              <w:t>-3.0</w:t>
            </w:r>
          </w:p>
        </w:tc>
        <w:tc>
          <w:tcPr>
            <w:tcW w:w="793" w:type="dxa"/>
          </w:tcPr>
          <w:p>
            <w:pPr>
              <w:pStyle w:val="TableParagraph"/>
              <w:ind w:left="168" w:right="177"/>
              <w:rPr>
                <w:b/>
                <w:sz w:val="19"/>
              </w:rPr>
            </w:pPr>
            <w:r>
              <w:rPr>
                <w:b/>
                <w:sz w:val="19"/>
              </w:rPr>
              <w:t>-1.0</w:t>
            </w:r>
          </w:p>
        </w:tc>
      </w:tr>
      <w:tr>
        <w:trPr>
          <w:trHeight w:val="274" w:hRule="atLeast"/>
        </w:trPr>
        <w:tc>
          <w:tcPr>
            <w:tcW w:w="3724" w:type="dxa"/>
          </w:tcPr>
          <w:p>
            <w:pPr>
              <w:pStyle w:val="TableParagraph"/>
              <w:spacing w:line="226" w:lineRule="exact"/>
              <w:ind w:left="36"/>
              <w:jc w:val="left"/>
              <w:rPr>
                <w:b/>
                <w:sz w:val="19"/>
              </w:rPr>
            </w:pPr>
            <w:r>
              <w:rPr>
                <w:b/>
                <w:sz w:val="19"/>
              </w:rPr>
              <w:t>K: Financial and insurance</w:t>
            </w:r>
          </w:p>
        </w:tc>
        <w:tc>
          <w:tcPr>
            <w:tcW w:w="683" w:type="dxa"/>
          </w:tcPr>
          <w:p>
            <w:pPr>
              <w:pStyle w:val="TableParagraph"/>
              <w:spacing w:line="226" w:lineRule="exact"/>
              <w:ind w:left="190"/>
              <w:jc w:val="left"/>
              <w:rPr>
                <w:b/>
                <w:sz w:val="19"/>
              </w:rPr>
            </w:pPr>
            <w:r>
              <w:rPr>
                <w:b/>
                <w:sz w:val="19"/>
              </w:rPr>
              <w:t>0.4</w:t>
            </w:r>
          </w:p>
        </w:tc>
        <w:tc>
          <w:tcPr>
            <w:tcW w:w="772" w:type="dxa"/>
          </w:tcPr>
          <w:p>
            <w:pPr>
              <w:pStyle w:val="TableParagraph"/>
              <w:spacing w:line="226" w:lineRule="exact"/>
              <w:ind w:left="215" w:right="206"/>
              <w:rPr>
                <w:b/>
                <w:sz w:val="19"/>
              </w:rPr>
            </w:pPr>
            <w:r>
              <w:rPr>
                <w:b/>
                <w:sz w:val="19"/>
              </w:rPr>
              <w:t>0.2</w:t>
            </w:r>
          </w:p>
        </w:tc>
        <w:tc>
          <w:tcPr>
            <w:tcW w:w="768" w:type="dxa"/>
            <w:tcBorders>
              <w:right w:val="single" w:sz="6" w:space="0" w:color="000000"/>
            </w:tcBorders>
          </w:tcPr>
          <w:p>
            <w:pPr>
              <w:pStyle w:val="TableParagraph"/>
              <w:spacing w:line="226" w:lineRule="exact"/>
              <w:ind w:left="241"/>
              <w:jc w:val="left"/>
              <w:rPr>
                <w:b/>
                <w:sz w:val="19"/>
              </w:rPr>
            </w:pPr>
            <w:r>
              <w:rPr>
                <w:b/>
                <w:sz w:val="19"/>
              </w:rPr>
              <w:t>-0.3</w:t>
            </w:r>
          </w:p>
        </w:tc>
        <w:tc>
          <w:tcPr>
            <w:tcW w:w="778" w:type="dxa"/>
            <w:tcBorders>
              <w:left w:val="single" w:sz="6" w:space="0" w:color="000000"/>
            </w:tcBorders>
            <w:shd w:val="clear" w:color="auto" w:fill="F8696B"/>
          </w:tcPr>
          <w:p>
            <w:pPr>
              <w:pStyle w:val="TableParagraph"/>
              <w:spacing w:line="226" w:lineRule="exact"/>
              <w:ind w:left="209" w:right="220"/>
              <w:rPr>
                <w:b/>
                <w:sz w:val="19"/>
              </w:rPr>
            </w:pPr>
            <w:r>
              <w:rPr>
                <w:b/>
                <w:sz w:val="19"/>
              </w:rPr>
              <w:t>-0.6</w:t>
            </w:r>
          </w:p>
        </w:tc>
        <w:tc>
          <w:tcPr>
            <w:tcW w:w="760" w:type="dxa"/>
          </w:tcPr>
          <w:p>
            <w:pPr>
              <w:pStyle w:val="TableParagraph"/>
              <w:spacing w:line="226" w:lineRule="exact"/>
              <w:ind w:left="138" w:right="161"/>
              <w:rPr>
                <w:b/>
                <w:i/>
                <w:sz w:val="19"/>
              </w:rPr>
            </w:pPr>
            <w:r>
              <w:rPr>
                <w:b/>
                <w:i/>
                <w:sz w:val="19"/>
              </w:rPr>
              <w:t>(43)</w:t>
            </w:r>
          </w:p>
        </w:tc>
        <w:tc>
          <w:tcPr>
            <w:tcW w:w="772" w:type="dxa"/>
            <w:shd w:val="clear" w:color="auto" w:fill="FDDF81"/>
          </w:tcPr>
          <w:p>
            <w:pPr>
              <w:pStyle w:val="TableParagraph"/>
              <w:spacing w:line="226" w:lineRule="exact"/>
              <w:ind w:left="215" w:right="207"/>
              <w:rPr>
                <w:b/>
                <w:sz w:val="19"/>
              </w:rPr>
            </w:pPr>
            <w:r>
              <w:rPr>
                <w:b/>
                <w:sz w:val="19"/>
              </w:rPr>
              <w:t>-0.1</w:t>
            </w:r>
          </w:p>
        </w:tc>
        <w:tc>
          <w:tcPr>
            <w:tcW w:w="772" w:type="dxa"/>
            <w:shd w:val="clear" w:color="auto" w:fill="FDE983"/>
          </w:tcPr>
          <w:p>
            <w:pPr>
              <w:pStyle w:val="TableParagraph"/>
              <w:spacing w:line="226" w:lineRule="exact"/>
              <w:ind w:right="262"/>
              <w:jc w:val="right"/>
              <w:rPr>
                <w:b/>
                <w:sz w:val="19"/>
              </w:rPr>
            </w:pPr>
            <w:r>
              <w:rPr>
                <w:b/>
                <w:w w:val="95"/>
                <w:sz w:val="19"/>
              </w:rPr>
              <w:t>0.0</w:t>
            </w:r>
          </w:p>
        </w:tc>
        <w:tc>
          <w:tcPr>
            <w:tcW w:w="688" w:type="dxa"/>
          </w:tcPr>
          <w:p>
            <w:pPr>
              <w:pStyle w:val="TableParagraph"/>
              <w:spacing w:line="240" w:lineRule="auto" w:before="0"/>
              <w:jc w:val="left"/>
              <w:rPr>
                <w:rFonts w:ascii="Times New Roman"/>
                <w:sz w:val="18"/>
              </w:rPr>
            </w:pPr>
          </w:p>
        </w:tc>
        <w:tc>
          <w:tcPr>
            <w:tcW w:w="700" w:type="dxa"/>
          </w:tcPr>
          <w:p>
            <w:pPr>
              <w:pStyle w:val="TableParagraph"/>
              <w:spacing w:line="240" w:lineRule="auto" w:before="0"/>
              <w:jc w:val="left"/>
              <w:rPr>
                <w:rFonts w:ascii="Times New Roman"/>
                <w:sz w:val="18"/>
              </w:rPr>
            </w:pPr>
          </w:p>
        </w:tc>
        <w:tc>
          <w:tcPr>
            <w:tcW w:w="760" w:type="dxa"/>
          </w:tcPr>
          <w:p>
            <w:pPr>
              <w:pStyle w:val="TableParagraph"/>
              <w:spacing w:line="226" w:lineRule="exact"/>
              <w:ind w:right="11"/>
              <w:rPr>
                <w:b/>
                <w:sz w:val="19"/>
              </w:rPr>
            </w:pPr>
            <w:r>
              <w:rPr>
                <w:b/>
                <w:w w:val="95"/>
                <w:sz w:val="19"/>
              </w:rPr>
              <w:t>9</w:t>
            </w:r>
          </w:p>
        </w:tc>
        <w:tc>
          <w:tcPr>
            <w:tcW w:w="764" w:type="dxa"/>
          </w:tcPr>
          <w:p>
            <w:pPr>
              <w:pStyle w:val="TableParagraph"/>
              <w:spacing w:line="226" w:lineRule="exact"/>
              <w:ind w:left="212" w:right="209"/>
              <w:rPr>
                <w:b/>
                <w:sz w:val="19"/>
              </w:rPr>
            </w:pPr>
            <w:r>
              <w:rPr>
                <w:b/>
                <w:sz w:val="19"/>
              </w:rPr>
              <w:t>-7.1</w:t>
            </w:r>
          </w:p>
        </w:tc>
        <w:tc>
          <w:tcPr>
            <w:tcW w:w="793" w:type="dxa"/>
          </w:tcPr>
          <w:p>
            <w:pPr>
              <w:pStyle w:val="TableParagraph"/>
              <w:spacing w:line="226" w:lineRule="exact"/>
              <w:ind w:left="177" w:right="177"/>
              <w:rPr>
                <w:b/>
                <w:sz w:val="19"/>
              </w:rPr>
            </w:pPr>
            <w:r>
              <w:rPr>
                <w:b/>
                <w:sz w:val="19"/>
              </w:rPr>
              <w:t>-11.7</w:t>
            </w:r>
          </w:p>
        </w:tc>
      </w:tr>
      <w:tr>
        <w:trPr>
          <w:trHeight w:val="248" w:hRule="atLeast"/>
        </w:trPr>
        <w:tc>
          <w:tcPr>
            <w:tcW w:w="3724" w:type="dxa"/>
          </w:tcPr>
          <w:p>
            <w:pPr>
              <w:pStyle w:val="TableParagraph"/>
              <w:spacing w:before="15"/>
              <w:ind w:left="36"/>
              <w:jc w:val="left"/>
              <w:rPr>
                <w:sz w:val="19"/>
              </w:rPr>
            </w:pPr>
            <w:r>
              <w:rPr>
                <w:sz w:val="19"/>
              </w:rPr>
              <w:t>L: Real estate (excluded)</w:t>
            </w:r>
          </w:p>
        </w:tc>
        <w:tc>
          <w:tcPr>
            <w:tcW w:w="683" w:type="dxa"/>
          </w:tcPr>
          <w:p>
            <w:pPr>
              <w:pStyle w:val="TableParagraph"/>
              <w:spacing w:line="240" w:lineRule="auto" w:before="0"/>
              <w:jc w:val="left"/>
              <w:rPr>
                <w:rFonts w:ascii="Times New Roman"/>
                <w:sz w:val="18"/>
              </w:rPr>
            </w:pPr>
          </w:p>
        </w:tc>
        <w:tc>
          <w:tcPr>
            <w:tcW w:w="772" w:type="dxa"/>
          </w:tcPr>
          <w:p>
            <w:pPr>
              <w:pStyle w:val="TableParagraph"/>
              <w:spacing w:line="240" w:lineRule="auto" w:before="0"/>
              <w:jc w:val="left"/>
              <w:rPr>
                <w:rFonts w:ascii="Times New Roman"/>
                <w:sz w:val="18"/>
              </w:rPr>
            </w:pPr>
          </w:p>
        </w:tc>
        <w:tc>
          <w:tcPr>
            <w:tcW w:w="768" w:type="dxa"/>
            <w:tcBorders>
              <w:right w:val="single" w:sz="6" w:space="0" w:color="000000"/>
            </w:tcBorders>
          </w:tcPr>
          <w:p>
            <w:pPr>
              <w:pStyle w:val="TableParagraph"/>
              <w:spacing w:line="240" w:lineRule="auto" w:before="0"/>
              <w:jc w:val="left"/>
              <w:rPr>
                <w:rFonts w:ascii="Times New Roman"/>
                <w:sz w:val="18"/>
              </w:rPr>
            </w:pPr>
          </w:p>
        </w:tc>
        <w:tc>
          <w:tcPr>
            <w:tcW w:w="778" w:type="dxa"/>
            <w:tcBorders>
              <w:left w:val="single" w:sz="6" w:space="0" w:color="000000"/>
            </w:tcBorders>
          </w:tcPr>
          <w:p>
            <w:pPr>
              <w:pStyle w:val="TableParagraph"/>
              <w:spacing w:line="240" w:lineRule="auto" w:before="0"/>
              <w:jc w:val="left"/>
              <w:rPr>
                <w:rFonts w:ascii="Times New Roman"/>
                <w:sz w:val="18"/>
              </w:rPr>
            </w:pPr>
          </w:p>
        </w:tc>
        <w:tc>
          <w:tcPr>
            <w:tcW w:w="760" w:type="dxa"/>
          </w:tcPr>
          <w:p>
            <w:pPr>
              <w:pStyle w:val="TableParagraph"/>
              <w:spacing w:line="240" w:lineRule="auto" w:before="0"/>
              <w:jc w:val="left"/>
              <w:rPr>
                <w:rFonts w:ascii="Times New Roman"/>
                <w:sz w:val="18"/>
              </w:rPr>
            </w:pPr>
          </w:p>
        </w:tc>
        <w:tc>
          <w:tcPr>
            <w:tcW w:w="772" w:type="dxa"/>
          </w:tcPr>
          <w:p>
            <w:pPr>
              <w:pStyle w:val="TableParagraph"/>
              <w:spacing w:line="240" w:lineRule="auto" w:before="0"/>
              <w:jc w:val="left"/>
              <w:rPr>
                <w:rFonts w:ascii="Times New Roman"/>
                <w:sz w:val="18"/>
              </w:rPr>
            </w:pPr>
          </w:p>
        </w:tc>
        <w:tc>
          <w:tcPr>
            <w:tcW w:w="772" w:type="dxa"/>
          </w:tcPr>
          <w:p>
            <w:pPr>
              <w:pStyle w:val="TableParagraph"/>
              <w:spacing w:line="240" w:lineRule="auto" w:before="0"/>
              <w:jc w:val="left"/>
              <w:rPr>
                <w:rFonts w:ascii="Times New Roman"/>
                <w:sz w:val="18"/>
              </w:rPr>
            </w:pPr>
          </w:p>
        </w:tc>
        <w:tc>
          <w:tcPr>
            <w:tcW w:w="688" w:type="dxa"/>
          </w:tcPr>
          <w:p>
            <w:pPr>
              <w:pStyle w:val="TableParagraph"/>
              <w:spacing w:line="240" w:lineRule="auto" w:before="0"/>
              <w:jc w:val="left"/>
              <w:rPr>
                <w:rFonts w:ascii="Times New Roman"/>
                <w:sz w:val="18"/>
              </w:rPr>
            </w:pPr>
          </w:p>
        </w:tc>
        <w:tc>
          <w:tcPr>
            <w:tcW w:w="700" w:type="dxa"/>
          </w:tcPr>
          <w:p>
            <w:pPr>
              <w:pStyle w:val="TableParagraph"/>
              <w:spacing w:line="240" w:lineRule="auto" w:before="0"/>
              <w:jc w:val="left"/>
              <w:rPr>
                <w:rFonts w:ascii="Times New Roman"/>
                <w:sz w:val="18"/>
              </w:rPr>
            </w:pPr>
          </w:p>
        </w:tc>
        <w:tc>
          <w:tcPr>
            <w:tcW w:w="760" w:type="dxa"/>
          </w:tcPr>
          <w:p>
            <w:pPr>
              <w:pStyle w:val="TableParagraph"/>
              <w:spacing w:line="240" w:lineRule="auto" w:before="0"/>
              <w:jc w:val="left"/>
              <w:rPr>
                <w:rFonts w:ascii="Times New Roman"/>
                <w:sz w:val="18"/>
              </w:rPr>
            </w:pPr>
          </w:p>
        </w:tc>
        <w:tc>
          <w:tcPr>
            <w:tcW w:w="764" w:type="dxa"/>
          </w:tcPr>
          <w:p>
            <w:pPr>
              <w:pStyle w:val="TableParagraph"/>
              <w:spacing w:line="240" w:lineRule="auto" w:before="0"/>
              <w:jc w:val="left"/>
              <w:rPr>
                <w:rFonts w:ascii="Times New Roman"/>
                <w:sz w:val="18"/>
              </w:rPr>
            </w:pPr>
          </w:p>
        </w:tc>
        <w:tc>
          <w:tcPr>
            <w:tcW w:w="793" w:type="dxa"/>
          </w:tcPr>
          <w:p>
            <w:pPr>
              <w:pStyle w:val="TableParagraph"/>
              <w:spacing w:line="240" w:lineRule="auto" w:before="0"/>
              <w:jc w:val="left"/>
              <w:rPr>
                <w:rFonts w:ascii="Times New Roman"/>
                <w:sz w:val="18"/>
              </w:rPr>
            </w:pPr>
          </w:p>
        </w:tc>
      </w:tr>
      <w:tr>
        <w:trPr>
          <w:trHeight w:val="261" w:hRule="atLeast"/>
        </w:trPr>
        <w:tc>
          <w:tcPr>
            <w:tcW w:w="3724" w:type="dxa"/>
          </w:tcPr>
          <w:p>
            <w:pPr>
              <w:pStyle w:val="TableParagraph"/>
              <w:ind w:left="36"/>
              <w:jc w:val="left"/>
              <w:rPr>
                <w:b/>
                <w:sz w:val="19"/>
              </w:rPr>
            </w:pPr>
            <w:r>
              <w:rPr>
                <w:b/>
                <w:sz w:val="19"/>
              </w:rPr>
              <w:t>M: Professional, scientific and technical</w:t>
            </w:r>
          </w:p>
        </w:tc>
        <w:tc>
          <w:tcPr>
            <w:tcW w:w="683" w:type="dxa"/>
          </w:tcPr>
          <w:p>
            <w:pPr>
              <w:pStyle w:val="TableParagraph"/>
              <w:ind w:left="190"/>
              <w:jc w:val="left"/>
              <w:rPr>
                <w:b/>
                <w:sz w:val="19"/>
              </w:rPr>
            </w:pPr>
            <w:r>
              <w:rPr>
                <w:b/>
                <w:sz w:val="19"/>
              </w:rPr>
              <w:t>0.3</w:t>
            </w:r>
          </w:p>
        </w:tc>
        <w:tc>
          <w:tcPr>
            <w:tcW w:w="772" w:type="dxa"/>
          </w:tcPr>
          <w:p>
            <w:pPr>
              <w:pStyle w:val="TableParagraph"/>
              <w:ind w:left="211" w:right="211"/>
              <w:rPr>
                <w:b/>
                <w:sz w:val="19"/>
              </w:rPr>
            </w:pPr>
            <w:r>
              <w:rPr>
                <w:b/>
                <w:sz w:val="19"/>
              </w:rPr>
              <w:t>-0.1</w:t>
            </w:r>
          </w:p>
        </w:tc>
        <w:tc>
          <w:tcPr>
            <w:tcW w:w="768" w:type="dxa"/>
            <w:tcBorders>
              <w:right w:val="single" w:sz="6" w:space="0" w:color="000000"/>
            </w:tcBorders>
          </w:tcPr>
          <w:p>
            <w:pPr>
              <w:pStyle w:val="TableParagraph"/>
              <w:ind w:left="277"/>
              <w:jc w:val="left"/>
              <w:rPr>
                <w:b/>
                <w:sz w:val="19"/>
              </w:rPr>
            </w:pPr>
            <w:r>
              <w:rPr>
                <w:b/>
                <w:sz w:val="19"/>
              </w:rPr>
              <w:t>0.1</w:t>
            </w:r>
          </w:p>
        </w:tc>
        <w:tc>
          <w:tcPr>
            <w:tcW w:w="778" w:type="dxa"/>
            <w:tcBorders>
              <w:left w:val="single" w:sz="6" w:space="0" w:color="000000"/>
            </w:tcBorders>
            <w:shd w:val="clear" w:color="auto" w:fill="FBC27B"/>
          </w:tcPr>
          <w:p>
            <w:pPr>
              <w:pStyle w:val="TableParagraph"/>
              <w:ind w:left="209" w:right="220"/>
              <w:rPr>
                <w:b/>
                <w:sz w:val="19"/>
              </w:rPr>
            </w:pPr>
            <w:r>
              <w:rPr>
                <w:b/>
                <w:sz w:val="19"/>
              </w:rPr>
              <w:t>-0.2</w:t>
            </w:r>
          </w:p>
        </w:tc>
        <w:tc>
          <w:tcPr>
            <w:tcW w:w="760" w:type="dxa"/>
          </w:tcPr>
          <w:p>
            <w:pPr>
              <w:pStyle w:val="TableParagraph"/>
              <w:ind w:left="138" w:right="161"/>
              <w:rPr>
                <w:b/>
                <w:i/>
                <w:sz w:val="19"/>
              </w:rPr>
            </w:pPr>
            <w:r>
              <w:rPr>
                <w:b/>
                <w:i/>
                <w:sz w:val="19"/>
              </w:rPr>
              <w:t>(14)</w:t>
            </w:r>
          </w:p>
        </w:tc>
        <w:tc>
          <w:tcPr>
            <w:tcW w:w="772" w:type="dxa"/>
          </w:tcPr>
          <w:p>
            <w:pPr>
              <w:pStyle w:val="TableParagraph"/>
              <w:spacing w:line="240" w:lineRule="auto" w:before="0"/>
              <w:jc w:val="left"/>
              <w:rPr>
                <w:rFonts w:ascii="Times New Roman"/>
                <w:sz w:val="18"/>
              </w:rPr>
            </w:pPr>
          </w:p>
        </w:tc>
        <w:tc>
          <w:tcPr>
            <w:tcW w:w="772" w:type="dxa"/>
            <w:shd w:val="clear" w:color="auto" w:fill="FBEB84"/>
          </w:tcPr>
          <w:p>
            <w:pPr>
              <w:pStyle w:val="TableParagraph"/>
              <w:ind w:right="262"/>
              <w:jc w:val="right"/>
              <w:rPr>
                <w:b/>
                <w:sz w:val="19"/>
              </w:rPr>
            </w:pPr>
            <w:r>
              <w:rPr>
                <w:b/>
                <w:w w:val="95"/>
                <w:sz w:val="19"/>
              </w:rPr>
              <w:t>0.0</w:t>
            </w:r>
          </w:p>
        </w:tc>
        <w:tc>
          <w:tcPr>
            <w:tcW w:w="688" w:type="dxa"/>
            <w:shd w:val="clear" w:color="auto" w:fill="FCC77C"/>
          </w:tcPr>
          <w:p>
            <w:pPr>
              <w:pStyle w:val="TableParagraph"/>
              <w:ind w:left="180" w:right="165"/>
              <w:rPr>
                <w:b/>
                <w:sz w:val="19"/>
              </w:rPr>
            </w:pPr>
            <w:r>
              <w:rPr>
                <w:b/>
                <w:sz w:val="19"/>
              </w:rPr>
              <w:t>-0.1</w:t>
            </w:r>
          </w:p>
        </w:tc>
        <w:tc>
          <w:tcPr>
            <w:tcW w:w="700" w:type="dxa"/>
            <w:shd w:val="clear" w:color="auto" w:fill="FDE983"/>
          </w:tcPr>
          <w:p>
            <w:pPr>
              <w:pStyle w:val="TableParagraph"/>
              <w:ind w:left="232"/>
              <w:jc w:val="left"/>
              <w:rPr>
                <w:b/>
                <w:sz w:val="19"/>
              </w:rPr>
            </w:pPr>
            <w:r>
              <w:rPr>
                <w:b/>
                <w:sz w:val="19"/>
              </w:rPr>
              <w:t>0.0</w:t>
            </w:r>
          </w:p>
        </w:tc>
        <w:tc>
          <w:tcPr>
            <w:tcW w:w="760" w:type="dxa"/>
          </w:tcPr>
          <w:p>
            <w:pPr>
              <w:pStyle w:val="TableParagraph"/>
              <w:ind w:right="11"/>
              <w:rPr>
                <w:b/>
                <w:sz w:val="19"/>
              </w:rPr>
            </w:pPr>
            <w:r>
              <w:rPr>
                <w:b/>
                <w:w w:val="95"/>
                <w:sz w:val="19"/>
              </w:rPr>
              <w:t>8</w:t>
            </w:r>
          </w:p>
        </w:tc>
        <w:tc>
          <w:tcPr>
            <w:tcW w:w="764" w:type="dxa"/>
          </w:tcPr>
          <w:p>
            <w:pPr>
              <w:pStyle w:val="TableParagraph"/>
              <w:ind w:left="212" w:right="209"/>
              <w:rPr>
                <w:b/>
                <w:sz w:val="19"/>
              </w:rPr>
            </w:pPr>
            <w:r>
              <w:rPr>
                <w:b/>
                <w:sz w:val="19"/>
              </w:rPr>
              <w:t>-2.7</w:t>
            </w:r>
          </w:p>
        </w:tc>
        <w:tc>
          <w:tcPr>
            <w:tcW w:w="793" w:type="dxa"/>
          </w:tcPr>
          <w:p>
            <w:pPr>
              <w:pStyle w:val="TableParagraph"/>
              <w:ind w:left="168" w:right="177"/>
              <w:rPr>
                <w:b/>
                <w:sz w:val="19"/>
              </w:rPr>
            </w:pPr>
            <w:r>
              <w:rPr>
                <w:b/>
                <w:sz w:val="19"/>
              </w:rPr>
              <w:t>-1.2</w:t>
            </w:r>
          </w:p>
        </w:tc>
      </w:tr>
      <w:tr>
        <w:trPr>
          <w:trHeight w:val="261" w:hRule="atLeast"/>
        </w:trPr>
        <w:tc>
          <w:tcPr>
            <w:tcW w:w="3724" w:type="dxa"/>
          </w:tcPr>
          <w:p>
            <w:pPr>
              <w:pStyle w:val="TableParagraph"/>
              <w:ind w:left="36"/>
              <w:jc w:val="left"/>
              <w:rPr>
                <w:sz w:val="19"/>
              </w:rPr>
            </w:pPr>
            <w:r>
              <w:rPr>
                <w:sz w:val="19"/>
              </w:rPr>
              <w:t>N: Administrative and support service</w:t>
            </w:r>
          </w:p>
        </w:tc>
        <w:tc>
          <w:tcPr>
            <w:tcW w:w="683" w:type="dxa"/>
          </w:tcPr>
          <w:p>
            <w:pPr>
              <w:pStyle w:val="TableParagraph"/>
              <w:ind w:left="190"/>
              <w:jc w:val="left"/>
              <w:rPr>
                <w:sz w:val="19"/>
              </w:rPr>
            </w:pPr>
            <w:r>
              <w:rPr>
                <w:sz w:val="19"/>
              </w:rPr>
              <w:t>0.0</w:t>
            </w:r>
          </w:p>
        </w:tc>
        <w:tc>
          <w:tcPr>
            <w:tcW w:w="772" w:type="dxa"/>
          </w:tcPr>
          <w:p>
            <w:pPr>
              <w:pStyle w:val="TableParagraph"/>
              <w:ind w:left="210" w:right="211"/>
              <w:rPr>
                <w:sz w:val="19"/>
              </w:rPr>
            </w:pPr>
            <w:r>
              <w:rPr>
                <w:sz w:val="19"/>
              </w:rPr>
              <w:t>-0.1</w:t>
            </w:r>
          </w:p>
        </w:tc>
        <w:tc>
          <w:tcPr>
            <w:tcW w:w="768" w:type="dxa"/>
            <w:tcBorders>
              <w:right w:val="single" w:sz="6" w:space="0" w:color="000000"/>
            </w:tcBorders>
          </w:tcPr>
          <w:p>
            <w:pPr>
              <w:pStyle w:val="TableParagraph"/>
              <w:ind w:left="277"/>
              <w:jc w:val="left"/>
              <w:rPr>
                <w:sz w:val="19"/>
              </w:rPr>
            </w:pPr>
            <w:r>
              <w:rPr>
                <w:sz w:val="19"/>
              </w:rPr>
              <w:t>0.2</w:t>
            </w:r>
          </w:p>
        </w:tc>
        <w:tc>
          <w:tcPr>
            <w:tcW w:w="778" w:type="dxa"/>
            <w:tcBorders>
              <w:left w:val="single" w:sz="6" w:space="0" w:color="000000"/>
            </w:tcBorders>
            <w:shd w:val="clear" w:color="auto" w:fill="79C57C"/>
          </w:tcPr>
          <w:p>
            <w:pPr>
              <w:pStyle w:val="TableParagraph"/>
              <w:ind w:left="209" w:right="209"/>
              <w:rPr>
                <w:sz w:val="19"/>
              </w:rPr>
            </w:pPr>
            <w:r>
              <w:rPr>
                <w:sz w:val="19"/>
              </w:rPr>
              <w:t>0.1</w:t>
            </w:r>
          </w:p>
        </w:tc>
        <w:tc>
          <w:tcPr>
            <w:tcW w:w="760" w:type="dxa"/>
          </w:tcPr>
          <w:p>
            <w:pPr>
              <w:pStyle w:val="TableParagraph"/>
              <w:ind w:left="138" w:right="162"/>
              <w:rPr>
                <w:i/>
                <w:sz w:val="19"/>
              </w:rPr>
            </w:pPr>
            <w:r>
              <w:rPr>
                <w:i/>
                <w:sz w:val="19"/>
              </w:rPr>
              <w:t>(-8)</w:t>
            </w:r>
          </w:p>
        </w:tc>
        <w:tc>
          <w:tcPr>
            <w:tcW w:w="772" w:type="dxa"/>
          </w:tcPr>
          <w:p>
            <w:pPr>
              <w:pStyle w:val="TableParagraph"/>
              <w:spacing w:line="240" w:lineRule="auto" w:before="0"/>
              <w:jc w:val="left"/>
              <w:rPr>
                <w:rFonts w:ascii="Times New Roman"/>
                <w:sz w:val="18"/>
              </w:rPr>
            </w:pPr>
          </w:p>
        </w:tc>
        <w:tc>
          <w:tcPr>
            <w:tcW w:w="772" w:type="dxa"/>
            <w:shd w:val="clear" w:color="auto" w:fill="F4E884"/>
          </w:tcPr>
          <w:p>
            <w:pPr>
              <w:pStyle w:val="TableParagraph"/>
              <w:ind w:right="263"/>
              <w:jc w:val="right"/>
              <w:rPr>
                <w:sz w:val="19"/>
              </w:rPr>
            </w:pPr>
            <w:r>
              <w:rPr>
                <w:w w:val="95"/>
                <w:sz w:val="19"/>
              </w:rPr>
              <w:t>0.0</w:t>
            </w:r>
          </w:p>
        </w:tc>
        <w:tc>
          <w:tcPr>
            <w:tcW w:w="688" w:type="dxa"/>
            <w:shd w:val="clear" w:color="auto" w:fill="62BD7A"/>
          </w:tcPr>
          <w:p>
            <w:pPr>
              <w:pStyle w:val="TableParagraph"/>
              <w:ind w:left="168" w:right="165"/>
              <w:rPr>
                <w:sz w:val="19"/>
              </w:rPr>
            </w:pPr>
            <w:r>
              <w:rPr>
                <w:sz w:val="19"/>
              </w:rPr>
              <w:t>0.2</w:t>
            </w:r>
          </w:p>
        </w:tc>
        <w:tc>
          <w:tcPr>
            <w:tcW w:w="700" w:type="dxa"/>
            <w:shd w:val="clear" w:color="auto" w:fill="FDEB84"/>
          </w:tcPr>
          <w:p>
            <w:pPr>
              <w:pStyle w:val="TableParagraph"/>
              <w:ind w:left="232"/>
              <w:jc w:val="left"/>
              <w:rPr>
                <w:sz w:val="19"/>
              </w:rPr>
            </w:pPr>
            <w:r>
              <w:rPr>
                <w:sz w:val="19"/>
              </w:rPr>
              <w:t>0.0</w:t>
            </w:r>
          </w:p>
        </w:tc>
        <w:tc>
          <w:tcPr>
            <w:tcW w:w="760" w:type="dxa"/>
          </w:tcPr>
          <w:p>
            <w:pPr>
              <w:pStyle w:val="TableParagraph"/>
              <w:ind w:right="11"/>
              <w:rPr>
                <w:sz w:val="19"/>
              </w:rPr>
            </w:pPr>
            <w:r>
              <w:rPr>
                <w:w w:val="95"/>
                <w:sz w:val="19"/>
              </w:rPr>
              <w:t>5</w:t>
            </w:r>
          </w:p>
        </w:tc>
        <w:tc>
          <w:tcPr>
            <w:tcW w:w="764" w:type="dxa"/>
          </w:tcPr>
          <w:p>
            <w:pPr>
              <w:pStyle w:val="TableParagraph"/>
              <w:ind w:left="212" w:right="197"/>
              <w:rPr>
                <w:sz w:val="19"/>
              </w:rPr>
            </w:pPr>
            <w:r>
              <w:rPr>
                <w:sz w:val="19"/>
              </w:rPr>
              <w:t>2.4</w:t>
            </w:r>
          </w:p>
        </w:tc>
        <w:tc>
          <w:tcPr>
            <w:tcW w:w="793" w:type="dxa"/>
          </w:tcPr>
          <w:p>
            <w:pPr>
              <w:pStyle w:val="TableParagraph"/>
              <w:ind w:left="177" w:right="177"/>
              <w:rPr>
                <w:sz w:val="19"/>
              </w:rPr>
            </w:pPr>
            <w:r>
              <w:rPr>
                <w:sz w:val="19"/>
              </w:rPr>
              <w:t>0.0</w:t>
            </w:r>
          </w:p>
        </w:tc>
      </w:tr>
      <w:tr>
        <w:trPr>
          <w:trHeight w:val="261" w:hRule="atLeast"/>
        </w:trPr>
        <w:tc>
          <w:tcPr>
            <w:tcW w:w="3724" w:type="dxa"/>
          </w:tcPr>
          <w:p>
            <w:pPr>
              <w:pStyle w:val="TableParagraph"/>
              <w:ind w:left="36"/>
              <w:jc w:val="left"/>
              <w:rPr>
                <w:sz w:val="19"/>
              </w:rPr>
            </w:pPr>
            <w:r>
              <w:rPr>
                <w:sz w:val="19"/>
              </w:rPr>
              <w:t>O: Public administration and defence</w:t>
            </w:r>
          </w:p>
        </w:tc>
        <w:tc>
          <w:tcPr>
            <w:tcW w:w="683" w:type="dxa"/>
          </w:tcPr>
          <w:p>
            <w:pPr>
              <w:pStyle w:val="TableParagraph"/>
              <w:ind w:left="190"/>
              <w:jc w:val="left"/>
              <w:rPr>
                <w:sz w:val="19"/>
              </w:rPr>
            </w:pPr>
            <w:r>
              <w:rPr>
                <w:sz w:val="19"/>
              </w:rPr>
              <w:t>0.0</w:t>
            </w:r>
          </w:p>
        </w:tc>
        <w:tc>
          <w:tcPr>
            <w:tcW w:w="772" w:type="dxa"/>
          </w:tcPr>
          <w:p>
            <w:pPr>
              <w:pStyle w:val="TableParagraph"/>
              <w:ind w:left="215" w:right="207"/>
              <w:rPr>
                <w:sz w:val="19"/>
              </w:rPr>
            </w:pPr>
            <w:r>
              <w:rPr>
                <w:sz w:val="19"/>
              </w:rPr>
              <w:t>0.1</w:t>
            </w:r>
          </w:p>
        </w:tc>
        <w:tc>
          <w:tcPr>
            <w:tcW w:w="768" w:type="dxa"/>
            <w:tcBorders>
              <w:right w:val="single" w:sz="6" w:space="0" w:color="000000"/>
            </w:tcBorders>
          </w:tcPr>
          <w:p>
            <w:pPr>
              <w:pStyle w:val="TableParagraph"/>
              <w:ind w:left="277"/>
              <w:jc w:val="left"/>
              <w:rPr>
                <w:sz w:val="19"/>
              </w:rPr>
            </w:pPr>
            <w:r>
              <w:rPr>
                <w:sz w:val="19"/>
              </w:rPr>
              <w:t>0.0</w:t>
            </w:r>
          </w:p>
        </w:tc>
        <w:tc>
          <w:tcPr>
            <w:tcW w:w="778" w:type="dxa"/>
            <w:tcBorders>
              <w:left w:val="single" w:sz="6" w:space="0" w:color="000000"/>
            </w:tcBorders>
            <w:shd w:val="clear" w:color="auto" w:fill="F0E784"/>
          </w:tcPr>
          <w:p>
            <w:pPr>
              <w:pStyle w:val="TableParagraph"/>
              <w:ind w:left="209" w:right="209"/>
              <w:rPr>
                <w:sz w:val="19"/>
              </w:rPr>
            </w:pPr>
            <w:r>
              <w:rPr>
                <w:sz w:val="19"/>
              </w:rPr>
              <w:t>0.0</w:t>
            </w:r>
          </w:p>
        </w:tc>
        <w:tc>
          <w:tcPr>
            <w:tcW w:w="760" w:type="dxa"/>
          </w:tcPr>
          <w:p>
            <w:pPr>
              <w:pStyle w:val="TableParagraph"/>
              <w:ind w:left="137" w:right="173"/>
              <w:rPr>
                <w:i/>
                <w:sz w:val="19"/>
              </w:rPr>
            </w:pPr>
            <w:r>
              <w:rPr>
                <w:i/>
                <w:sz w:val="19"/>
              </w:rPr>
              <w:t>(0)</w:t>
            </w:r>
          </w:p>
        </w:tc>
        <w:tc>
          <w:tcPr>
            <w:tcW w:w="772" w:type="dxa"/>
          </w:tcPr>
          <w:p>
            <w:pPr>
              <w:pStyle w:val="TableParagraph"/>
              <w:spacing w:line="240" w:lineRule="auto" w:before="0"/>
              <w:jc w:val="left"/>
              <w:rPr>
                <w:rFonts w:ascii="Times New Roman"/>
                <w:sz w:val="18"/>
              </w:rPr>
            </w:pPr>
          </w:p>
        </w:tc>
        <w:tc>
          <w:tcPr>
            <w:tcW w:w="772" w:type="dxa"/>
            <w:shd w:val="clear" w:color="auto" w:fill="F0E784"/>
          </w:tcPr>
          <w:p>
            <w:pPr>
              <w:pStyle w:val="TableParagraph"/>
              <w:ind w:right="263"/>
              <w:jc w:val="right"/>
              <w:rPr>
                <w:sz w:val="19"/>
              </w:rPr>
            </w:pPr>
            <w:r>
              <w:rPr>
                <w:w w:val="95"/>
                <w:sz w:val="19"/>
              </w:rPr>
              <w:t>0.0</w:t>
            </w:r>
          </w:p>
        </w:tc>
        <w:tc>
          <w:tcPr>
            <w:tcW w:w="688" w:type="dxa"/>
            <w:shd w:val="clear" w:color="auto" w:fill="FDDF81"/>
          </w:tcPr>
          <w:p>
            <w:pPr>
              <w:pStyle w:val="TableParagraph"/>
              <w:ind w:left="168" w:right="165"/>
              <w:rPr>
                <w:sz w:val="19"/>
              </w:rPr>
            </w:pPr>
            <w:r>
              <w:rPr>
                <w:sz w:val="19"/>
              </w:rPr>
              <w:t>0.0</w:t>
            </w:r>
          </w:p>
        </w:tc>
        <w:tc>
          <w:tcPr>
            <w:tcW w:w="700" w:type="dxa"/>
            <w:shd w:val="clear" w:color="auto" w:fill="FDE683"/>
          </w:tcPr>
          <w:p>
            <w:pPr>
              <w:pStyle w:val="TableParagraph"/>
              <w:ind w:left="232"/>
              <w:jc w:val="left"/>
              <w:rPr>
                <w:sz w:val="19"/>
              </w:rPr>
            </w:pPr>
            <w:r>
              <w:rPr>
                <w:sz w:val="19"/>
              </w:rPr>
              <w:t>0.0</w:t>
            </w:r>
          </w:p>
        </w:tc>
        <w:tc>
          <w:tcPr>
            <w:tcW w:w="760" w:type="dxa"/>
          </w:tcPr>
          <w:p>
            <w:pPr>
              <w:pStyle w:val="TableParagraph"/>
              <w:ind w:right="11"/>
              <w:rPr>
                <w:sz w:val="19"/>
              </w:rPr>
            </w:pPr>
            <w:r>
              <w:rPr>
                <w:w w:val="95"/>
                <w:sz w:val="19"/>
              </w:rPr>
              <w:t>6</w:t>
            </w:r>
          </w:p>
        </w:tc>
        <w:tc>
          <w:tcPr>
            <w:tcW w:w="764" w:type="dxa"/>
          </w:tcPr>
          <w:p>
            <w:pPr>
              <w:pStyle w:val="TableParagraph"/>
              <w:ind w:left="212" w:right="197"/>
              <w:rPr>
                <w:sz w:val="19"/>
              </w:rPr>
            </w:pPr>
            <w:r>
              <w:rPr>
                <w:sz w:val="19"/>
              </w:rPr>
              <w:t>0.3</w:t>
            </w:r>
          </w:p>
        </w:tc>
        <w:tc>
          <w:tcPr>
            <w:tcW w:w="793" w:type="dxa"/>
          </w:tcPr>
          <w:p>
            <w:pPr>
              <w:pStyle w:val="TableParagraph"/>
              <w:ind w:left="177" w:right="177"/>
              <w:rPr>
                <w:sz w:val="19"/>
              </w:rPr>
            </w:pPr>
            <w:r>
              <w:rPr>
                <w:sz w:val="19"/>
              </w:rPr>
              <w:t>0.6</w:t>
            </w:r>
          </w:p>
        </w:tc>
      </w:tr>
      <w:tr>
        <w:trPr>
          <w:trHeight w:val="261" w:hRule="atLeast"/>
        </w:trPr>
        <w:tc>
          <w:tcPr>
            <w:tcW w:w="3724" w:type="dxa"/>
          </w:tcPr>
          <w:p>
            <w:pPr>
              <w:pStyle w:val="TableParagraph"/>
              <w:ind w:left="36"/>
              <w:jc w:val="left"/>
              <w:rPr>
                <w:sz w:val="19"/>
              </w:rPr>
            </w:pPr>
            <w:r>
              <w:rPr>
                <w:sz w:val="19"/>
              </w:rPr>
              <w:t>P: Education</w:t>
            </w:r>
          </w:p>
        </w:tc>
        <w:tc>
          <w:tcPr>
            <w:tcW w:w="683" w:type="dxa"/>
          </w:tcPr>
          <w:p>
            <w:pPr>
              <w:pStyle w:val="TableParagraph"/>
              <w:ind w:left="154"/>
              <w:jc w:val="left"/>
              <w:rPr>
                <w:sz w:val="19"/>
              </w:rPr>
            </w:pPr>
            <w:r>
              <w:rPr>
                <w:sz w:val="19"/>
              </w:rPr>
              <w:t>-0.1</w:t>
            </w:r>
          </w:p>
        </w:tc>
        <w:tc>
          <w:tcPr>
            <w:tcW w:w="772" w:type="dxa"/>
          </w:tcPr>
          <w:p>
            <w:pPr>
              <w:pStyle w:val="TableParagraph"/>
              <w:ind w:left="210" w:right="211"/>
              <w:rPr>
                <w:sz w:val="19"/>
              </w:rPr>
            </w:pPr>
            <w:r>
              <w:rPr>
                <w:sz w:val="19"/>
              </w:rPr>
              <w:t>-0.2</w:t>
            </w:r>
          </w:p>
        </w:tc>
        <w:tc>
          <w:tcPr>
            <w:tcW w:w="768" w:type="dxa"/>
            <w:tcBorders>
              <w:right w:val="single" w:sz="6" w:space="0" w:color="000000"/>
            </w:tcBorders>
          </w:tcPr>
          <w:p>
            <w:pPr>
              <w:pStyle w:val="TableParagraph"/>
              <w:ind w:left="241"/>
              <w:jc w:val="left"/>
              <w:rPr>
                <w:sz w:val="19"/>
              </w:rPr>
            </w:pPr>
            <w:r>
              <w:rPr>
                <w:sz w:val="19"/>
              </w:rPr>
              <w:t>-0.1</w:t>
            </w:r>
          </w:p>
        </w:tc>
        <w:tc>
          <w:tcPr>
            <w:tcW w:w="778" w:type="dxa"/>
            <w:tcBorders>
              <w:left w:val="single" w:sz="6" w:space="0" w:color="000000"/>
            </w:tcBorders>
            <w:shd w:val="clear" w:color="auto" w:fill="D2DE82"/>
          </w:tcPr>
          <w:p>
            <w:pPr>
              <w:pStyle w:val="TableParagraph"/>
              <w:ind w:left="209" w:right="209"/>
              <w:rPr>
                <w:sz w:val="19"/>
              </w:rPr>
            </w:pPr>
            <w:r>
              <w:rPr>
                <w:sz w:val="19"/>
              </w:rPr>
              <w:t>0.0</w:t>
            </w:r>
          </w:p>
        </w:tc>
        <w:tc>
          <w:tcPr>
            <w:tcW w:w="760" w:type="dxa"/>
          </w:tcPr>
          <w:p>
            <w:pPr>
              <w:pStyle w:val="TableParagraph"/>
              <w:ind w:left="138" w:right="162"/>
              <w:rPr>
                <w:i/>
                <w:sz w:val="19"/>
              </w:rPr>
            </w:pPr>
            <w:r>
              <w:rPr>
                <w:i/>
                <w:sz w:val="19"/>
              </w:rPr>
              <w:t>(-2)</w:t>
            </w:r>
          </w:p>
        </w:tc>
        <w:tc>
          <w:tcPr>
            <w:tcW w:w="772" w:type="dxa"/>
          </w:tcPr>
          <w:p>
            <w:pPr>
              <w:pStyle w:val="TableParagraph"/>
              <w:spacing w:line="240" w:lineRule="auto" w:before="0"/>
              <w:jc w:val="left"/>
              <w:rPr>
                <w:rFonts w:ascii="Times New Roman"/>
                <w:sz w:val="18"/>
              </w:rPr>
            </w:pPr>
          </w:p>
        </w:tc>
        <w:tc>
          <w:tcPr>
            <w:tcW w:w="772" w:type="dxa"/>
            <w:shd w:val="clear" w:color="auto" w:fill="E0E283"/>
          </w:tcPr>
          <w:p>
            <w:pPr>
              <w:pStyle w:val="TableParagraph"/>
              <w:ind w:right="263"/>
              <w:jc w:val="right"/>
              <w:rPr>
                <w:sz w:val="19"/>
              </w:rPr>
            </w:pPr>
            <w:r>
              <w:rPr>
                <w:w w:val="95"/>
                <w:sz w:val="19"/>
              </w:rPr>
              <w:t>0.0</w:t>
            </w:r>
          </w:p>
        </w:tc>
        <w:tc>
          <w:tcPr>
            <w:tcW w:w="688" w:type="dxa"/>
            <w:shd w:val="clear" w:color="auto" w:fill="F1E884"/>
          </w:tcPr>
          <w:p>
            <w:pPr>
              <w:pStyle w:val="TableParagraph"/>
              <w:ind w:left="168" w:right="165"/>
              <w:rPr>
                <w:sz w:val="19"/>
              </w:rPr>
            </w:pPr>
            <w:r>
              <w:rPr>
                <w:sz w:val="19"/>
              </w:rPr>
              <w:t>0.0</w:t>
            </w:r>
          </w:p>
        </w:tc>
        <w:tc>
          <w:tcPr>
            <w:tcW w:w="700" w:type="dxa"/>
            <w:shd w:val="clear" w:color="auto" w:fill="FDE983"/>
          </w:tcPr>
          <w:p>
            <w:pPr>
              <w:pStyle w:val="TableParagraph"/>
              <w:ind w:left="232"/>
              <w:jc w:val="left"/>
              <w:rPr>
                <w:sz w:val="19"/>
              </w:rPr>
            </w:pPr>
            <w:r>
              <w:rPr>
                <w:sz w:val="19"/>
              </w:rPr>
              <w:t>0.0</w:t>
            </w:r>
          </w:p>
        </w:tc>
        <w:tc>
          <w:tcPr>
            <w:tcW w:w="760" w:type="dxa"/>
          </w:tcPr>
          <w:p>
            <w:pPr>
              <w:pStyle w:val="TableParagraph"/>
              <w:ind w:right="11"/>
              <w:rPr>
                <w:sz w:val="19"/>
              </w:rPr>
            </w:pPr>
            <w:r>
              <w:rPr>
                <w:w w:val="95"/>
                <w:sz w:val="19"/>
              </w:rPr>
              <w:t>7</w:t>
            </w:r>
          </w:p>
        </w:tc>
        <w:tc>
          <w:tcPr>
            <w:tcW w:w="764" w:type="dxa"/>
          </w:tcPr>
          <w:p>
            <w:pPr>
              <w:pStyle w:val="TableParagraph"/>
              <w:ind w:left="212" w:right="197"/>
              <w:rPr>
                <w:sz w:val="19"/>
              </w:rPr>
            </w:pPr>
            <w:r>
              <w:rPr>
                <w:sz w:val="19"/>
              </w:rPr>
              <w:t>0.7</w:t>
            </w:r>
          </w:p>
        </w:tc>
        <w:tc>
          <w:tcPr>
            <w:tcW w:w="793" w:type="dxa"/>
          </w:tcPr>
          <w:p>
            <w:pPr>
              <w:pStyle w:val="TableParagraph"/>
              <w:ind w:left="168" w:right="177"/>
              <w:rPr>
                <w:sz w:val="19"/>
              </w:rPr>
            </w:pPr>
            <w:r>
              <w:rPr>
                <w:sz w:val="19"/>
              </w:rPr>
              <w:t>-3.3</w:t>
            </w:r>
          </w:p>
        </w:tc>
      </w:tr>
      <w:tr>
        <w:trPr>
          <w:trHeight w:val="261" w:hRule="atLeast"/>
        </w:trPr>
        <w:tc>
          <w:tcPr>
            <w:tcW w:w="3724" w:type="dxa"/>
          </w:tcPr>
          <w:p>
            <w:pPr>
              <w:pStyle w:val="TableParagraph"/>
              <w:spacing w:before="27"/>
              <w:ind w:left="36"/>
              <w:jc w:val="left"/>
              <w:rPr>
                <w:sz w:val="19"/>
              </w:rPr>
            </w:pPr>
            <w:r>
              <w:rPr>
                <w:sz w:val="19"/>
              </w:rPr>
              <w:t>Q: Human health and social work</w:t>
            </w:r>
          </w:p>
        </w:tc>
        <w:tc>
          <w:tcPr>
            <w:tcW w:w="683" w:type="dxa"/>
          </w:tcPr>
          <w:p>
            <w:pPr>
              <w:pStyle w:val="TableParagraph"/>
              <w:spacing w:before="27"/>
              <w:ind w:left="190"/>
              <w:jc w:val="left"/>
              <w:rPr>
                <w:sz w:val="19"/>
              </w:rPr>
            </w:pPr>
            <w:r>
              <w:rPr>
                <w:sz w:val="19"/>
              </w:rPr>
              <w:t>0.1</w:t>
            </w:r>
          </w:p>
        </w:tc>
        <w:tc>
          <w:tcPr>
            <w:tcW w:w="772" w:type="dxa"/>
          </w:tcPr>
          <w:p>
            <w:pPr>
              <w:pStyle w:val="TableParagraph"/>
              <w:spacing w:before="27"/>
              <w:ind w:left="210" w:right="211"/>
              <w:rPr>
                <w:sz w:val="19"/>
              </w:rPr>
            </w:pPr>
            <w:r>
              <w:rPr>
                <w:sz w:val="19"/>
              </w:rPr>
              <w:t>-0.1</w:t>
            </w:r>
          </w:p>
        </w:tc>
        <w:tc>
          <w:tcPr>
            <w:tcW w:w="768" w:type="dxa"/>
            <w:tcBorders>
              <w:right w:val="single" w:sz="6" w:space="0" w:color="000000"/>
            </w:tcBorders>
          </w:tcPr>
          <w:p>
            <w:pPr>
              <w:pStyle w:val="TableParagraph"/>
              <w:spacing w:before="27"/>
              <w:ind w:left="277"/>
              <w:jc w:val="left"/>
              <w:rPr>
                <w:sz w:val="19"/>
              </w:rPr>
            </w:pPr>
            <w:r>
              <w:rPr>
                <w:sz w:val="19"/>
              </w:rPr>
              <w:t>0.0</w:t>
            </w:r>
          </w:p>
        </w:tc>
        <w:tc>
          <w:tcPr>
            <w:tcW w:w="778" w:type="dxa"/>
            <w:tcBorders>
              <w:left w:val="single" w:sz="6" w:space="0" w:color="000000"/>
            </w:tcBorders>
            <w:shd w:val="clear" w:color="auto" w:fill="F8E984"/>
          </w:tcPr>
          <w:p>
            <w:pPr>
              <w:pStyle w:val="TableParagraph"/>
              <w:spacing w:before="27"/>
              <w:ind w:left="209" w:right="209"/>
              <w:rPr>
                <w:sz w:val="19"/>
              </w:rPr>
            </w:pPr>
            <w:r>
              <w:rPr>
                <w:sz w:val="19"/>
              </w:rPr>
              <w:t>0.0</w:t>
            </w:r>
          </w:p>
        </w:tc>
        <w:tc>
          <w:tcPr>
            <w:tcW w:w="760" w:type="dxa"/>
          </w:tcPr>
          <w:p>
            <w:pPr>
              <w:pStyle w:val="TableParagraph"/>
              <w:spacing w:before="27"/>
              <w:ind w:left="137" w:right="173"/>
              <w:rPr>
                <w:i/>
                <w:sz w:val="19"/>
              </w:rPr>
            </w:pPr>
            <w:r>
              <w:rPr>
                <w:i/>
                <w:sz w:val="19"/>
              </w:rPr>
              <w:t>(1)</w:t>
            </w:r>
          </w:p>
        </w:tc>
        <w:tc>
          <w:tcPr>
            <w:tcW w:w="772" w:type="dxa"/>
          </w:tcPr>
          <w:p>
            <w:pPr>
              <w:pStyle w:val="TableParagraph"/>
              <w:spacing w:line="240" w:lineRule="auto" w:before="0"/>
              <w:jc w:val="left"/>
              <w:rPr>
                <w:rFonts w:ascii="Times New Roman"/>
                <w:sz w:val="18"/>
              </w:rPr>
            </w:pPr>
          </w:p>
        </w:tc>
        <w:tc>
          <w:tcPr>
            <w:tcW w:w="772" w:type="dxa"/>
            <w:shd w:val="clear" w:color="auto" w:fill="FBEB84"/>
          </w:tcPr>
          <w:p>
            <w:pPr>
              <w:pStyle w:val="TableParagraph"/>
              <w:spacing w:before="27"/>
              <w:ind w:right="263"/>
              <w:jc w:val="right"/>
              <w:rPr>
                <w:sz w:val="19"/>
              </w:rPr>
            </w:pPr>
            <w:r>
              <w:rPr>
                <w:w w:val="95"/>
                <w:sz w:val="19"/>
              </w:rPr>
              <w:t>0.0</w:t>
            </w:r>
          </w:p>
        </w:tc>
        <w:tc>
          <w:tcPr>
            <w:tcW w:w="688" w:type="dxa"/>
            <w:shd w:val="clear" w:color="auto" w:fill="FDE482"/>
          </w:tcPr>
          <w:p>
            <w:pPr>
              <w:pStyle w:val="TableParagraph"/>
              <w:spacing w:before="27"/>
              <w:ind w:left="168" w:right="165"/>
              <w:rPr>
                <w:sz w:val="19"/>
              </w:rPr>
            </w:pPr>
            <w:r>
              <w:rPr>
                <w:sz w:val="19"/>
              </w:rPr>
              <w:t>0.0</w:t>
            </w:r>
          </w:p>
        </w:tc>
        <w:tc>
          <w:tcPr>
            <w:tcW w:w="700" w:type="dxa"/>
            <w:shd w:val="clear" w:color="auto" w:fill="EFE784"/>
          </w:tcPr>
          <w:p>
            <w:pPr>
              <w:pStyle w:val="TableParagraph"/>
              <w:spacing w:before="27"/>
              <w:ind w:left="232"/>
              <w:jc w:val="left"/>
              <w:rPr>
                <w:sz w:val="19"/>
              </w:rPr>
            </w:pPr>
            <w:r>
              <w:rPr>
                <w:sz w:val="19"/>
              </w:rPr>
              <w:t>0.0</w:t>
            </w:r>
          </w:p>
        </w:tc>
        <w:tc>
          <w:tcPr>
            <w:tcW w:w="760" w:type="dxa"/>
          </w:tcPr>
          <w:p>
            <w:pPr>
              <w:pStyle w:val="TableParagraph"/>
              <w:spacing w:before="27"/>
              <w:ind w:right="11"/>
              <w:rPr>
                <w:sz w:val="19"/>
              </w:rPr>
            </w:pPr>
            <w:r>
              <w:rPr>
                <w:w w:val="95"/>
                <w:sz w:val="19"/>
              </w:rPr>
              <w:t>8</w:t>
            </w:r>
          </w:p>
        </w:tc>
        <w:tc>
          <w:tcPr>
            <w:tcW w:w="764" w:type="dxa"/>
          </w:tcPr>
          <w:p>
            <w:pPr>
              <w:pStyle w:val="TableParagraph"/>
              <w:spacing w:before="27"/>
              <w:ind w:left="212" w:right="209"/>
              <w:rPr>
                <w:sz w:val="19"/>
              </w:rPr>
            </w:pPr>
            <w:r>
              <w:rPr>
                <w:sz w:val="19"/>
              </w:rPr>
              <w:t>-0.4</w:t>
            </w:r>
          </w:p>
        </w:tc>
        <w:tc>
          <w:tcPr>
            <w:tcW w:w="793" w:type="dxa"/>
          </w:tcPr>
          <w:p>
            <w:pPr>
              <w:pStyle w:val="TableParagraph"/>
              <w:spacing w:before="27"/>
              <w:ind w:left="168" w:right="177"/>
              <w:rPr>
                <w:sz w:val="19"/>
              </w:rPr>
            </w:pPr>
            <w:r>
              <w:rPr>
                <w:sz w:val="19"/>
              </w:rPr>
              <w:t>-3.1</w:t>
            </w:r>
          </w:p>
        </w:tc>
      </w:tr>
      <w:tr>
        <w:trPr>
          <w:trHeight w:val="261" w:hRule="atLeast"/>
        </w:trPr>
        <w:tc>
          <w:tcPr>
            <w:tcW w:w="3724" w:type="dxa"/>
          </w:tcPr>
          <w:p>
            <w:pPr>
              <w:pStyle w:val="TableParagraph"/>
              <w:spacing w:before="27"/>
              <w:ind w:left="36"/>
              <w:jc w:val="left"/>
              <w:rPr>
                <w:sz w:val="19"/>
              </w:rPr>
            </w:pPr>
            <w:r>
              <w:rPr>
                <w:sz w:val="19"/>
              </w:rPr>
              <w:t>R: Arts, entertainment and recreation</w:t>
            </w:r>
          </w:p>
        </w:tc>
        <w:tc>
          <w:tcPr>
            <w:tcW w:w="683" w:type="dxa"/>
          </w:tcPr>
          <w:p>
            <w:pPr>
              <w:pStyle w:val="TableParagraph"/>
              <w:spacing w:before="27"/>
              <w:ind w:left="190"/>
              <w:jc w:val="left"/>
              <w:rPr>
                <w:sz w:val="19"/>
              </w:rPr>
            </w:pPr>
            <w:r>
              <w:rPr>
                <w:sz w:val="19"/>
              </w:rPr>
              <w:t>0.0</w:t>
            </w:r>
          </w:p>
        </w:tc>
        <w:tc>
          <w:tcPr>
            <w:tcW w:w="772" w:type="dxa"/>
          </w:tcPr>
          <w:p>
            <w:pPr>
              <w:pStyle w:val="TableParagraph"/>
              <w:spacing w:before="27"/>
              <w:ind w:left="215" w:right="207"/>
              <w:rPr>
                <w:sz w:val="19"/>
              </w:rPr>
            </w:pPr>
            <w:r>
              <w:rPr>
                <w:sz w:val="19"/>
              </w:rPr>
              <w:t>0.0</w:t>
            </w:r>
          </w:p>
        </w:tc>
        <w:tc>
          <w:tcPr>
            <w:tcW w:w="768" w:type="dxa"/>
            <w:tcBorders>
              <w:right w:val="single" w:sz="6" w:space="0" w:color="000000"/>
            </w:tcBorders>
          </w:tcPr>
          <w:p>
            <w:pPr>
              <w:pStyle w:val="TableParagraph"/>
              <w:spacing w:before="27"/>
              <w:ind w:left="277"/>
              <w:jc w:val="left"/>
              <w:rPr>
                <w:sz w:val="19"/>
              </w:rPr>
            </w:pPr>
            <w:r>
              <w:rPr>
                <w:sz w:val="19"/>
              </w:rPr>
              <w:t>0.0</w:t>
            </w:r>
          </w:p>
        </w:tc>
        <w:tc>
          <w:tcPr>
            <w:tcW w:w="778" w:type="dxa"/>
            <w:tcBorders>
              <w:left w:val="single" w:sz="6" w:space="0" w:color="000000"/>
            </w:tcBorders>
            <w:shd w:val="clear" w:color="auto" w:fill="FDEB84"/>
          </w:tcPr>
          <w:p>
            <w:pPr>
              <w:pStyle w:val="TableParagraph"/>
              <w:spacing w:before="27"/>
              <w:ind w:left="209" w:right="209"/>
              <w:rPr>
                <w:sz w:val="19"/>
              </w:rPr>
            </w:pPr>
            <w:r>
              <w:rPr>
                <w:sz w:val="19"/>
              </w:rPr>
              <w:t>0.0</w:t>
            </w:r>
          </w:p>
        </w:tc>
        <w:tc>
          <w:tcPr>
            <w:tcW w:w="760" w:type="dxa"/>
          </w:tcPr>
          <w:p>
            <w:pPr>
              <w:pStyle w:val="TableParagraph"/>
              <w:spacing w:before="27"/>
              <w:ind w:left="137" w:right="173"/>
              <w:rPr>
                <w:i/>
                <w:sz w:val="19"/>
              </w:rPr>
            </w:pPr>
            <w:r>
              <w:rPr>
                <w:i/>
                <w:sz w:val="19"/>
              </w:rPr>
              <w:t>(1)</w:t>
            </w:r>
          </w:p>
        </w:tc>
        <w:tc>
          <w:tcPr>
            <w:tcW w:w="772" w:type="dxa"/>
          </w:tcPr>
          <w:p>
            <w:pPr>
              <w:pStyle w:val="TableParagraph"/>
              <w:spacing w:line="240" w:lineRule="auto" w:before="0"/>
              <w:jc w:val="left"/>
              <w:rPr>
                <w:rFonts w:ascii="Times New Roman"/>
                <w:sz w:val="18"/>
              </w:rPr>
            </w:pPr>
          </w:p>
        </w:tc>
        <w:tc>
          <w:tcPr>
            <w:tcW w:w="772" w:type="dxa"/>
            <w:shd w:val="clear" w:color="auto" w:fill="F1E884"/>
          </w:tcPr>
          <w:p>
            <w:pPr>
              <w:pStyle w:val="TableParagraph"/>
              <w:spacing w:before="27"/>
              <w:ind w:right="263"/>
              <w:jc w:val="right"/>
              <w:rPr>
                <w:sz w:val="19"/>
              </w:rPr>
            </w:pPr>
            <w:r>
              <w:rPr>
                <w:w w:val="95"/>
                <w:sz w:val="19"/>
              </w:rPr>
              <w:t>0.0</w:t>
            </w:r>
          </w:p>
        </w:tc>
        <w:tc>
          <w:tcPr>
            <w:tcW w:w="688" w:type="dxa"/>
            <w:shd w:val="clear" w:color="auto" w:fill="EBE683"/>
          </w:tcPr>
          <w:p>
            <w:pPr>
              <w:pStyle w:val="TableParagraph"/>
              <w:spacing w:before="27"/>
              <w:ind w:left="168" w:right="165"/>
              <w:rPr>
                <w:sz w:val="19"/>
              </w:rPr>
            </w:pPr>
            <w:r>
              <w:rPr>
                <w:sz w:val="19"/>
              </w:rPr>
              <w:t>0.0</w:t>
            </w:r>
          </w:p>
        </w:tc>
        <w:tc>
          <w:tcPr>
            <w:tcW w:w="700" w:type="dxa"/>
            <w:shd w:val="clear" w:color="auto" w:fill="FBEB84"/>
          </w:tcPr>
          <w:p>
            <w:pPr>
              <w:pStyle w:val="TableParagraph"/>
              <w:spacing w:before="27"/>
              <w:ind w:left="232"/>
              <w:jc w:val="left"/>
              <w:rPr>
                <w:sz w:val="19"/>
              </w:rPr>
            </w:pPr>
            <w:r>
              <w:rPr>
                <w:sz w:val="19"/>
              </w:rPr>
              <w:t>0.0</w:t>
            </w:r>
          </w:p>
        </w:tc>
        <w:tc>
          <w:tcPr>
            <w:tcW w:w="760" w:type="dxa"/>
          </w:tcPr>
          <w:p>
            <w:pPr>
              <w:pStyle w:val="TableParagraph"/>
              <w:spacing w:before="27"/>
              <w:ind w:right="11"/>
              <w:rPr>
                <w:sz w:val="19"/>
              </w:rPr>
            </w:pPr>
            <w:r>
              <w:rPr>
                <w:w w:val="95"/>
                <w:sz w:val="19"/>
              </w:rPr>
              <w:t>2</w:t>
            </w:r>
          </w:p>
        </w:tc>
        <w:tc>
          <w:tcPr>
            <w:tcW w:w="764" w:type="dxa"/>
          </w:tcPr>
          <w:p>
            <w:pPr>
              <w:pStyle w:val="TableParagraph"/>
              <w:spacing w:before="27"/>
              <w:ind w:left="212" w:right="209"/>
              <w:rPr>
                <w:sz w:val="19"/>
              </w:rPr>
            </w:pPr>
            <w:r>
              <w:rPr>
                <w:sz w:val="19"/>
              </w:rPr>
              <w:t>-1.0</w:t>
            </w:r>
          </w:p>
        </w:tc>
        <w:tc>
          <w:tcPr>
            <w:tcW w:w="793" w:type="dxa"/>
          </w:tcPr>
          <w:p>
            <w:pPr>
              <w:pStyle w:val="TableParagraph"/>
              <w:spacing w:before="27"/>
              <w:ind w:left="168" w:right="177"/>
              <w:rPr>
                <w:sz w:val="19"/>
              </w:rPr>
            </w:pPr>
            <w:r>
              <w:rPr>
                <w:sz w:val="19"/>
              </w:rPr>
              <w:t>-0.1</w:t>
            </w:r>
          </w:p>
        </w:tc>
      </w:tr>
      <w:tr>
        <w:trPr>
          <w:trHeight w:val="266" w:hRule="atLeast"/>
        </w:trPr>
        <w:tc>
          <w:tcPr>
            <w:tcW w:w="3724" w:type="dxa"/>
            <w:tcBorders>
              <w:bottom w:val="single" w:sz="6" w:space="0" w:color="000000"/>
            </w:tcBorders>
          </w:tcPr>
          <w:p>
            <w:pPr>
              <w:pStyle w:val="TableParagraph"/>
              <w:spacing w:line="212" w:lineRule="exact" w:before="27"/>
              <w:ind w:left="36"/>
              <w:jc w:val="left"/>
              <w:rPr>
                <w:sz w:val="19"/>
              </w:rPr>
            </w:pPr>
            <w:r>
              <w:rPr>
                <w:sz w:val="19"/>
              </w:rPr>
              <w:t>S: Other service activities</w:t>
            </w:r>
          </w:p>
        </w:tc>
        <w:tc>
          <w:tcPr>
            <w:tcW w:w="683" w:type="dxa"/>
            <w:tcBorders>
              <w:bottom w:val="single" w:sz="6" w:space="0" w:color="000000"/>
            </w:tcBorders>
          </w:tcPr>
          <w:p>
            <w:pPr>
              <w:pStyle w:val="TableParagraph"/>
              <w:spacing w:line="212" w:lineRule="exact" w:before="27"/>
              <w:ind w:left="190"/>
              <w:jc w:val="left"/>
              <w:rPr>
                <w:sz w:val="19"/>
              </w:rPr>
            </w:pPr>
            <w:r>
              <w:rPr>
                <w:sz w:val="19"/>
              </w:rPr>
              <w:t>0.0</w:t>
            </w:r>
          </w:p>
        </w:tc>
        <w:tc>
          <w:tcPr>
            <w:tcW w:w="772" w:type="dxa"/>
            <w:tcBorders>
              <w:bottom w:val="single" w:sz="6" w:space="0" w:color="000000"/>
            </w:tcBorders>
          </w:tcPr>
          <w:p>
            <w:pPr>
              <w:pStyle w:val="TableParagraph"/>
              <w:spacing w:line="212" w:lineRule="exact" w:before="27"/>
              <w:ind w:left="215" w:right="207"/>
              <w:rPr>
                <w:sz w:val="19"/>
              </w:rPr>
            </w:pPr>
            <w:r>
              <w:rPr>
                <w:sz w:val="19"/>
              </w:rPr>
              <w:t>0.0</w:t>
            </w:r>
          </w:p>
        </w:tc>
        <w:tc>
          <w:tcPr>
            <w:tcW w:w="768" w:type="dxa"/>
            <w:tcBorders>
              <w:bottom w:val="single" w:sz="6" w:space="0" w:color="000000"/>
              <w:right w:val="single" w:sz="6" w:space="0" w:color="000000"/>
            </w:tcBorders>
          </w:tcPr>
          <w:p>
            <w:pPr>
              <w:pStyle w:val="TableParagraph"/>
              <w:spacing w:line="212" w:lineRule="exact" w:before="27"/>
              <w:ind w:left="277"/>
              <w:jc w:val="left"/>
              <w:rPr>
                <w:sz w:val="19"/>
              </w:rPr>
            </w:pPr>
            <w:r>
              <w:rPr>
                <w:sz w:val="19"/>
              </w:rPr>
              <w:t>0.0</w:t>
            </w:r>
          </w:p>
        </w:tc>
        <w:tc>
          <w:tcPr>
            <w:tcW w:w="778" w:type="dxa"/>
            <w:tcBorders>
              <w:left w:val="single" w:sz="6" w:space="0" w:color="000000"/>
              <w:bottom w:val="single" w:sz="6" w:space="0" w:color="000000"/>
            </w:tcBorders>
            <w:shd w:val="clear" w:color="auto" w:fill="C5DB81"/>
          </w:tcPr>
          <w:p>
            <w:pPr>
              <w:pStyle w:val="TableParagraph"/>
              <w:spacing w:line="212" w:lineRule="exact" w:before="27"/>
              <w:ind w:left="209" w:right="209"/>
              <w:rPr>
                <w:sz w:val="19"/>
              </w:rPr>
            </w:pPr>
            <w:r>
              <w:rPr>
                <w:sz w:val="19"/>
              </w:rPr>
              <w:t>0.0</w:t>
            </w:r>
          </w:p>
        </w:tc>
        <w:tc>
          <w:tcPr>
            <w:tcW w:w="760" w:type="dxa"/>
            <w:tcBorders>
              <w:bottom w:val="single" w:sz="6" w:space="0" w:color="000000"/>
            </w:tcBorders>
          </w:tcPr>
          <w:p>
            <w:pPr>
              <w:pStyle w:val="TableParagraph"/>
              <w:spacing w:line="212" w:lineRule="exact" w:before="27"/>
              <w:ind w:left="138" w:right="162"/>
              <w:rPr>
                <w:i/>
                <w:sz w:val="19"/>
              </w:rPr>
            </w:pPr>
            <w:r>
              <w:rPr>
                <w:i/>
                <w:sz w:val="19"/>
              </w:rPr>
              <w:t>(-3)</w:t>
            </w:r>
          </w:p>
        </w:tc>
        <w:tc>
          <w:tcPr>
            <w:tcW w:w="772" w:type="dxa"/>
            <w:shd w:val="clear" w:color="auto" w:fill="EAE483"/>
          </w:tcPr>
          <w:p>
            <w:pPr>
              <w:pStyle w:val="TableParagraph"/>
              <w:spacing w:line="219" w:lineRule="exact" w:before="27"/>
              <w:ind w:left="215" w:right="196"/>
              <w:rPr>
                <w:sz w:val="19"/>
              </w:rPr>
            </w:pPr>
            <w:r>
              <w:rPr>
                <w:sz w:val="19"/>
              </w:rPr>
              <w:t>0.0</w:t>
            </w:r>
          </w:p>
        </w:tc>
        <w:tc>
          <w:tcPr>
            <w:tcW w:w="772" w:type="dxa"/>
            <w:shd w:val="clear" w:color="auto" w:fill="FFEB84"/>
          </w:tcPr>
          <w:p>
            <w:pPr>
              <w:pStyle w:val="TableParagraph"/>
              <w:spacing w:line="219" w:lineRule="exact" w:before="27"/>
              <w:ind w:right="263"/>
              <w:jc w:val="right"/>
              <w:rPr>
                <w:sz w:val="19"/>
              </w:rPr>
            </w:pPr>
            <w:r>
              <w:rPr>
                <w:w w:val="95"/>
                <w:sz w:val="19"/>
              </w:rPr>
              <w:t>0.0</w:t>
            </w:r>
          </w:p>
        </w:tc>
        <w:tc>
          <w:tcPr>
            <w:tcW w:w="688" w:type="dxa"/>
            <w:shd w:val="clear" w:color="auto" w:fill="C5DB81"/>
          </w:tcPr>
          <w:p>
            <w:pPr>
              <w:pStyle w:val="TableParagraph"/>
              <w:spacing w:line="219" w:lineRule="exact" w:before="27"/>
              <w:ind w:left="168" w:right="165"/>
              <w:rPr>
                <w:sz w:val="19"/>
              </w:rPr>
            </w:pPr>
            <w:r>
              <w:rPr>
                <w:sz w:val="19"/>
              </w:rPr>
              <w:t>0.1</w:t>
            </w:r>
          </w:p>
        </w:tc>
        <w:tc>
          <w:tcPr>
            <w:tcW w:w="700" w:type="dxa"/>
            <w:shd w:val="clear" w:color="auto" w:fill="FBEB84"/>
          </w:tcPr>
          <w:p>
            <w:pPr>
              <w:pStyle w:val="TableParagraph"/>
              <w:spacing w:line="219" w:lineRule="exact" w:before="27"/>
              <w:ind w:left="232"/>
              <w:jc w:val="left"/>
              <w:rPr>
                <w:sz w:val="19"/>
              </w:rPr>
            </w:pPr>
            <w:r>
              <w:rPr>
                <w:sz w:val="19"/>
              </w:rPr>
              <w:t>0.0</w:t>
            </w:r>
          </w:p>
        </w:tc>
        <w:tc>
          <w:tcPr>
            <w:tcW w:w="760" w:type="dxa"/>
            <w:tcBorders>
              <w:bottom w:val="single" w:sz="6" w:space="0" w:color="000000"/>
            </w:tcBorders>
          </w:tcPr>
          <w:p>
            <w:pPr>
              <w:pStyle w:val="TableParagraph"/>
              <w:spacing w:line="212" w:lineRule="exact" w:before="27"/>
              <w:ind w:right="11"/>
              <w:rPr>
                <w:sz w:val="19"/>
              </w:rPr>
            </w:pPr>
            <w:r>
              <w:rPr>
                <w:w w:val="95"/>
                <w:sz w:val="19"/>
              </w:rPr>
              <w:t>2</w:t>
            </w:r>
          </w:p>
        </w:tc>
        <w:tc>
          <w:tcPr>
            <w:tcW w:w="764" w:type="dxa"/>
            <w:tcBorders>
              <w:bottom w:val="single" w:sz="6" w:space="0" w:color="000000"/>
            </w:tcBorders>
          </w:tcPr>
          <w:p>
            <w:pPr>
              <w:pStyle w:val="TableParagraph"/>
              <w:spacing w:line="212" w:lineRule="exact" w:before="27"/>
              <w:ind w:left="212" w:right="197"/>
              <w:rPr>
                <w:sz w:val="19"/>
              </w:rPr>
            </w:pPr>
            <w:r>
              <w:rPr>
                <w:sz w:val="19"/>
              </w:rPr>
              <w:t>1.7</w:t>
            </w:r>
          </w:p>
        </w:tc>
        <w:tc>
          <w:tcPr>
            <w:tcW w:w="793" w:type="dxa"/>
            <w:tcBorders>
              <w:bottom w:val="single" w:sz="6" w:space="0" w:color="000000"/>
            </w:tcBorders>
          </w:tcPr>
          <w:p>
            <w:pPr>
              <w:pStyle w:val="TableParagraph"/>
              <w:spacing w:line="212" w:lineRule="exact" w:before="27"/>
              <w:ind w:left="177" w:right="177"/>
              <w:rPr>
                <w:sz w:val="19"/>
              </w:rPr>
            </w:pPr>
            <w:r>
              <w:rPr>
                <w:sz w:val="19"/>
              </w:rPr>
              <w:t>0.1</w:t>
            </w:r>
          </w:p>
        </w:tc>
      </w:tr>
      <w:tr>
        <w:trPr>
          <w:trHeight w:val="237" w:hRule="atLeast"/>
        </w:trPr>
        <w:tc>
          <w:tcPr>
            <w:tcW w:w="3724" w:type="dxa"/>
            <w:tcBorders>
              <w:top w:val="single" w:sz="6" w:space="0" w:color="000000"/>
              <w:bottom w:val="double" w:sz="2" w:space="0" w:color="000000"/>
            </w:tcBorders>
          </w:tcPr>
          <w:p>
            <w:pPr>
              <w:pStyle w:val="TableParagraph"/>
              <w:spacing w:line="210" w:lineRule="exact" w:before="14"/>
              <w:ind w:left="36"/>
              <w:jc w:val="left"/>
              <w:rPr>
                <w:b/>
                <w:sz w:val="19"/>
              </w:rPr>
            </w:pPr>
            <w:r>
              <w:rPr>
                <w:b/>
                <w:sz w:val="19"/>
              </w:rPr>
              <w:t>Total</w:t>
            </w:r>
          </w:p>
        </w:tc>
        <w:tc>
          <w:tcPr>
            <w:tcW w:w="683" w:type="dxa"/>
            <w:tcBorders>
              <w:top w:val="single" w:sz="6" w:space="0" w:color="000000"/>
              <w:bottom w:val="double" w:sz="2" w:space="0" w:color="000000"/>
            </w:tcBorders>
          </w:tcPr>
          <w:p>
            <w:pPr>
              <w:pStyle w:val="TableParagraph"/>
              <w:spacing w:line="210" w:lineRule="exact" w:before="14"/>
              <w:ind w:left="190"/>
              <w:jc w:val="left"/>
              <w:rPr>
                <w:b/>
                <w:sz w:val="19"/>
              </w:rPr>
            </w:pPr>
            <w:r>
              <w:rPr>
                <w:b/>
                <w:sz w:val="19"/>
              </w:rPr>
              <w:t>2.0</w:t>
            </w:r>
          </w:p>
        </w:tc>
        <w:tc>
          <w:tcPr>
            <w:tcW w:w="772" w:type="dxa"/>
            <w:tcBorders>
              <w:top w:val="single" w:sz="6" w:space="0" w:color="000000"/>
              <w:bottom w:val="double" w:sz="2" w:space="0" w:color="000000"/>
            </w:tcBorders>
          </w:tcPr>
          <w:p>
            <w:pPr>
              <w:pStyle w:val="TableParagraph"/>
              <w:spacing w:line="210" w:lineRule="exact" w:before="14"/>
              <w:ind w:left="211" w:right="211"/>
              <w:rPr>
                <w:b/>
                <w:sz w:val="19"/>
              </w:rPr>
            </w:pPr>
            <w:r>
              <w:rPr>
                <w:b/>
                <w:sz w:val="19"/>
              </w:rPr>
              <w:t>-1.6</w:t>
            </w:r>
          </w:p>
        </w:tc>
        <w:tc>
          <w:tcPr>
            <w:tcW w:w="768" w:type="dxa"/>
            <w:tcBorders>
              <w:top w:val="single" w:sz="6" w:space="0" w:color="000000"/>
              <w:bottom w:val="double" w:sz="2" w:space="0" w:color="000000"/>
              <w:right w:val="single" w:sz="6" w:space="0" w:color="000000"/>
            </w:tcBorders>
          </w:tcPr>
          <w:p>
            <w:pPr>
              <w:pStyle w:val="TableParagraph"/>
              <w:spacing w:line="210" w:lineRule="exact" w:before="14"/>
              <w:ind w:left="277"/>
              <w:jc w:val="left"/>
              <w:rPr>
                <w:b/>
                <w:sz w:val="19"/>
              </w:rPr>
            </w:pPr>
            <w:r>
              <w:rPr>
                <w:b/>
                <w:sz w:val="19"/>
              </w:rPr>
              <w:t>0.4</w:t>
            </w:r>
          </w:p>
        </w:tc>
        <w:tc>
          <w:tcPr>
            <w:tcW w:w="778" w:type="dxa"/>
            <w:tcBorders>
              <w:top w:val="single" w:sz="6" w:space="0" w:color="000000"/>
              <w:left w:val="single" w:sz="6" w:space="0" w:color="000000"/>
              <w:bottom w:val="double" w:sz="2" w:space="0" w:color="000000"/>
            </w:tcBorders>
          </w:tcPr>
          <w:p>
            <w:pPr>
              <w:pStyle w:val="TableParagraph"/>
              <w:spacing w:line="210" w:lineRule="exact" w:before="14"/>
              <w:ind w:left="209" w:right="220"/>
              <w:rPr>
                <w:b/>
                <w:sz w:val="19"/>
              </w:rPr>
            </w:pPr>
            <w:r>
              <w:rPr>
                <w:b/>
                <w:sz w:val="19"/>
              </w:rPr>
              <w:t>-1.5</w:t>
            </w:r>
          </w:p>
        </w:tc>
        <w:tc>
          <w:tcPr>
            <w:tcW w:w="760" w:type="dxa"/>
            <w:tcBorders>
              <w:top w:val="single" w:sz="6" w:space="0" w:color="000000"/>
              <w:bottom w:val="double" w:sz="2" w:space="0" w:color="000000"/>
            </w:tcBorders>
          </w:tcPr>
          <w:p>
            <w:pPr>
              <w:pStyle w:val="TableParagraph"/>
              <w:spacing w:line="210" w:lineRule="exact" w:before="14"/>
              <w:ind w:left="138" w:right="173"/>
              <w:rPr>
                <w:b/>
                <w:i/>
                <w:sz w:val="19"/>
              </w:rPr>
            </w:pPr>
            <w:r>
              <w:rPr>
                <w:b/>
                <w:i/>
                <w:sz w:val="19"/>
              </w:rPr>
              <w:t>(100)</w:t>
            </w:r>
          </w:p>
        </w:tc>
        <w:tc>
          <w:tcPr>
            <w:tcW w:w="772" w:type="dxa"/>
            <w:tcBorders>
              <w:bottom w:val="double" w:sz="2" w:space="0" w:color="000000"/>
            </w:tcBorders>
          </w:tcPr>
          <w:p>
            <w:pPr>
              <w:pStyle w:val="TableParagraph"/>
              <w:spacing w:line="210" w:lineRule="exact" w:before="7"/>
              <w:ind w:left="215" w:right="207"/>
              <w:rPr>
                <w:b/>
                <w:sz w:val="19"/>
              </w:rPr>
            </w:pPr>
            <w:r>
              <w:rPr>
                <w:b/>
                <w:sz w:val="19"/>
              </w:rPr>
              <w:t>-1.0</w:t>
            </w:r>
          </w:p>
        </w:tc>
        <w:tc>
          <w:tcPr>
            <w:tcW w:w="772" w:type="dxa"/>
            <w:tcBorders>
              <w:bottom w:val="double" w:sz="2" w:space="0" w:color="000000"/>
            </w:tcBorders>
          </w:tcPr>
          <w:p>
            <w:pPr>
              <w:pStyle w:val="TableParagraph"/>
              <w:spacing w:line="210" w:lineRule="exact" w:before="7"/>
              <w:ind w:right="262"/>
              <w:jc w:val="right"/>
              <w:rPr>
                <w:b/>
                <w:sz w:val="19"/>
              </w:rPr>
            </w:pPr>
            <w:r>
              <w:rPr>
                <w:b/>
                <w:w w:val="95"/>
                <w:sz w:val="19"/>
              </w:rPr>
              <w:t>0.1</w:t>
            </w:r>
          </w:p>
        </w:tc>
        <w:tc>
          <w:tcPr>
            <w:tcW w:w="688" w:type="dxa"/>
            <w:tcBorders>
              <w:bottom w:val="double" w:sz="2" w:space="0" w:color="000000"/>
            </w:tcBorders>
          </w:tcPr>
          <w:p>
            <w:pPr>
              <w:pStyle w:val="TableParagraph"/>
              <w:spacing w:line="210" w:lineRule="exact" w:before="7"/>
              <w:ind w:left="180" w:right="165"/>
              <w:rPr>
                <w:b/>
                <w:sz w:val="19"/>
              </w:rPr>
            </w:pPr>
            <w:r>
              <w:rPr>
                <w:b/>
                <w:sz w:val="19"/>
              </w:rPr>
              <w:t>-0.8</w:t>
            </w:r>
          </w:p>
        </w:tc>
        <w:tc>
          <w:tcPr>
            <w:tcW w:w="700" w:type="dxa"/>
            <w:tcBorders>
              <w:bottom w:val="double" w:sz="2" w:space="0" w:color="000000"/>
            </w:tcBorders>
          </w:tcPr>
          <w:p>
            <w:pPr>
              <w:pStyle w:val="TableParagraph"/>
              <w:spacing w:line="210" w:lineRule="exact" w:before="7"/>
              <w:ind w:left="232"/>
              <w:jc w:val="left"/>
              <w:rPr>
                <w:b/>
                <w:sz w:val="19"/>
              </w:rPr>
            </w:pPr>
            <w:r>
              <w:rPr>
                <w:b/>
                <w:sz w:val="19"/>
              </w:rPr>
              <w:t>0.2</w:t>
            </w:r>
          </w:p>
        </w:tc>
        <w:tc>
          <w:tcPr>
            <w:tcW w:w="760" w:type="dxa"/>
            <w:tcBorders>
              <w:top w:val="single" w:sz="6" w:space="0" w:color="000000"/>
              <w:bottom w:val="double" w:sz="2" w:space="0" w:color="000000"/>
            </w:tcBorders>
          </w:tcPr>
          <w:p>
            <w:pPr>
              <w:pStyle w:val="TableParagraph"/>
              <w:spacing w:line="210" w:lineRule="exact" w:before="14"/>
              <w:ind w:left="138" w:right="157"/>
              <w:rPr>
                <w:b/>
                <w:sz w:val="19"/>
              </w:rPr>
            </w:pPr>
            <w:r>
              <w:rPr>
                <w:b/>
                <w:sz w:val="19"/>
              </w:rPr>
              <w:t>100</w:t>
            </w:r>
          </w:p>
        </w:tc>
        <w:tc>
          <w:tcPr>
            <w:tcW w:w="764" w:type="dxa"/>
            <w:tcBorders>
              <w:top w:val="single" w:sz="6" w:space="0" w:color="000000"/>
            </w:tcBorders>
          </w:tcPr>
          <w:p>
            <w:pPr>
              <w:pStyle w:val="TableParagraph"/>
              <w:spacing w:line="240" w:lineRule="auto" w:before="0"/>
              <w:jc w:val="left"/>
              <w:rPr>
                <w:rFonts w:ascii="Times New Roman"/>
                <w:sz w:val="16"/>
              </w:rPr>
            </w:pPr>
          </w:p>
        </w:tc>
        <w:tc>
          <w:tcPr>
            <w:tcW w:w="793" w:type="dxa"/>
            <w:tcBorders>
              <w:top w:val="single" w:sz="6" w:space="0" w:color="000000"/>
            </w:tcBorders>
          </w:tcPr>
          <w:p>
            <w:pPr>
              <w:pStyle w:val="TableParagraph"/>
              <w:spacing w:line="240" w:lineRule="auto" w:before="0"/>
              <w:jc w:val="left"/>
              <w:rPr>
                <w:rFonts w:ascii="Times New Roman"/>
                <w:sz w:val="16"/>
              </w:rPr>
            </w:pPr>
          </w:p>
        </w:tc>
      </w:tr>
      <w:tr>
        <w:trPr>
          <w:trHeight w:val="274" w:hRule="atLeast"/>
        </w:trPr>
        <w:tc>
          <w:tcPr>
            <w:tcW w:w="3724" w:type="dxa"/>
            <w:tcBorders>
              <w:top w:val="double" w:sz="2" w:space="0" w:color="000000"/>
            </w:tcBorders>
          </w:tcPr>
          <w:p>
            <w:pPr>
              <w:pStyle w:val="TableParagraph"/>
              <w:spacing w:line="240" w:lineRule="auto" w:before="12"/>
              <w:ind w:left="36"/>
              <w:jc w:val="left"/>
              <w:rPr>
                <w:sz w:val="19"/>
              </w:rPr>
            </w:pPr>
            <w:r>
              <w:rPr>
                <w:sz w:val="19"/>
              </w:rPr>
              <w:t>Manufacturing, finance, prof. and ICT only</w:t>
            </w:r>
          </w:p>
        </w:tc>
        <w:tc>
          <w:tcPr>
            <w:tcW w:w="683" w:type="dxa"/>
            <w:tcBorders>
              <w:top w:val="double" w:sz="2" w:space="0" w:color="000000"/>
            </w:tcBorders>
          </w:tcPr>
          <w:p>
            <w:pPr>
              <w:pStyle w:val="TableParagraph"/>
              <w:spacing w:line="240" w:lineRule="auto" w:before="12"/>
              <w:ind w:left="190"/>
              <w:jc w:val="left"/>
              <w:rPr>
                <w:sz w:val="19"/>
              </w:rPr>
            </w:pPr>
            <w:r>
              <w:rPr>
                <w:sz w:val="19"/>
              </w:rPr>
              <w:t>1.5</w:t>
            </w:r>
          </w:p>
        </w:tc>
        <w:tc>
          <w:tcPr>
            <w:tcW w:w="772" w:type="dxa"/>
            <w:tcBorders>
              <w:top w:val="double" w:sz="2" w:space="0" w:color="000000"/>
            </w:tcBorders>
          </w:tcPr>
          <w:p>
            <w:pPr>
              <w:pStyle w:val="TableParagraph"/>
              <w:spacing w:line="240" w:lineRule="auto" w:before="12"/>
              <w:ind w:left="215" w:right="207"/>
              <w:rPr>
                <w:sz w:val="19"/>
              </w:rPr>
            </w:pPr>
            <w:r>
              <w:rPr>
                <w:sz w:val="19"/>
              </w:rPr>
              <w:t>0.0</w:t>
            </w:r>
          </w:p>
        </w:tc>
        <w:tc>
          <w:tcPr>
            <w:tcW w:w="768" w:type="dxa"/>
            <w:tcBorders>
              <w:top w:val="double" w:sz="2" w:space="0" w:color="000000"/>
              <w:right w:val="single" w:sz="6" w:space="0" w:color="000000"/>
            </w:tcBorders>
          </w:tcPr>
          <w:p>
            <w:pPr>
              <w:pStyle w:val="TableParagraph"/>
              <w:spacing w:line="240" w:lineRule="auto" w:before="12"/>
              <w:ind w:left="241"/>
              <w:jc w:val="left"/>
              <w:rPr>
                <w:sz w:val="19"/>
              </w:rPr>
            </w:pPr>
            <w:r>
              <w:rPr>
                <w:sz w:val="19"/>
              </w:rPr>
              <w:t>-0.1</w:t>
            </w:r>
          </w:p>
        </w:tc>
        <w:tc>
          <w:tcPr>
            <w:tcW w:w="778" w:type="dxa"/>
            <w:tcBorders>
              <w:top w:val="double" w:sz="2" w:space="0" w:color="000000"/>
              <w:left w:val="single" w:sz="6" w:space="0" w:color="000000"/>
            </w:tcBorders>
          </w:tcPr>
          <w:p>
            <w:pPr>
              <w:pStyle w:val="TableParagraph"/>
              <w:spacing w:line="240" w:lineRule="auto" w:before="12"/>
              <w:ind w:left="209" w:right="220"/>
              <w:rPr>
                <w:sz w:val="19"/>
              </w:rPr>
            </w:pPr>
            <w:r>
              <w:rPr>
                <w:sz w:val="19"/>
              </w:rPr>
              <w:t>-1.5</w:t>
            </w:r>
          </w:p>
        </w:tc>
        <w:tc>
          <w:tcPr>
            <w:tcW w:w="760" w:type="dxa"/>
            <w:tcBorders>
              <w:top w:val="double" w:sz="2" w:space="0" w:color="000000"/>
            </w:tcBorders>
          </w:tcPr>
          <w:p>
            <w:pPr>
              <w:pStyle w:val="TableParagraph"/>
              <w:spacing w:line="240" w:lineRule="auto" w:before="12"/>
              <w:ind w:left="137" w:right="173"/>
              <w:rPr>
                <w:i/>
                <w:sz w:val="19"/>
              </w:rPr>
            </w:pPr>
            <w:r>
              <w:rPr>
                <w:i/>
                <w:sz w:val="19"/>
              </w:rPr>
              <w:t>(103)</w:t>
            </w:r>
          </w:p>
        </w:tc>
        <w:tc>
          <w:tcPr>
            <w:tcW w:w="772" w:type="dxa"/>
            <w:tcBorders>
              <w:top w:val="double" w:sz="2" w:space="0" w:color="000000"/>
            </w:tcBorders>
          </w:tcPr>
          <w:p>
            <w:pPr>
              <w:pStyle w:val="TableParagraph"/>
              <w:spacing w:line="240" w:lineRule="auto" w:before="12"/>
              <w:ind w:left="215" w:right="208"/>
              <w:rPr>
                <w:sz w:val="19"/>
              </w:rPr>
            </w:pPr>
            <w:r>
              <w:rPr>
                <w:sz w:val="19"/>
              </w:rPr>
              <w:t>-0.4</w:t>
            </w:r>
          </w:p>
        </w:tc>
        <w:tc>
          <w:tcPr>
            <w:tcW w:w="772" w:type="dxa"/>
            <w:tcBorders>
              <w:top w:val="double" w:sz="2" w:space="0" w:color="000000"/>
            </w:tcBorders>
          </w:tcPr>
          <w:p>
            <w:pPr>
              <w:pStyle w:val="TableParagraph"/>
              <w:spacing w:line="240" w:lineRule="auto" w:before="12"/>
              <w:ind w:right="263"/>
              <w:jc w:val="right"/>
              <w:rPr>
                <w:sz w:val="19"/>
              </w:rPr>
            </w:pPr>
            <w:r>
              <w:rPr>
                <w:w w:val="95"/>
                <w:sz w:val="19"/>
              </w:rPr>
              <w:t>0.0</w:t>
            </w:r>
          </w:p>
        </w:tc>
        <w:tc>
          <w:tcPr>
            <w:tcW w:w="688" w:type="dxa"/>
            <w:tcBorders>
              <w:top w:val="double" w:sz="2" w:space="0" w:color="000000"/>
            </w:tcBorders>
          </w:tcPr>
          <w:p>
            <w:pPr>
              <w:pStyle w:val="TableParagraph"/>
              <w:spacing w:line="240" w:lineRule="auto" w:before="12"/>
              <w:ind w:left="180" w:right="165"/>
              <w:rPr>
                <w:sz w:val="19"/>
              </w:rPr>
            </w:pPr>
            <w:r>
              <w:rPr>
                <w:sz w:val="19"/>
              </w:rPr>
              <w:t>-1.1</w:t>
            </w:r>
          </w:p>
        </w:tc>
        <w:tc>
          <w:tcPr>
            <w:tcW w:w="700" w:type="dxa"/>
            <w:tcBorders>
              <w:top w:val="double" w:sz="2" w:space="0" w:color="000000"/>
            </w:tcBorders>
          </w:tcPr>
          <w:p>
            <w:pPr>
              <w:pStyle w:val="TableParagraph"/>
              <w:spacing w:line="240" w:lineRule="auto" w:before="12"/>
              <w:ind w:left="208"/>
              <w:jc w:val="left"/>
              <w:rPr>
                <w:sz w:val="19"/>
              </w:rPr>
            </w:pPr>
            <w:r>
              <w:rPr>
                <w:sz w:val="19"/>
              </w:rPr>
              <w:t>-0.1</w:t>
            </w:r>
          </w:p>
        </w:tc>
        <w:tc>
          <w:tcPr>
            <w:tcW w:w="760" w:type="dxa"/>
            <w:tcBorders>
              <w:top w:val="double" w:sz="2" w:space="0" w:color="000000"/>
            </w:tcBorders>
          </w:tcPr>
          <w:p>
            <w:pPr>
              <w:pStyle w:val="TableParagraph"/>
              <w:spacing w:line="240" w:lineRule="auto" w:before="12"/>
              <w:ind w:left="138" w:right="145"/>
              <w:rPr>
                <w:sz w:val="19"/>
              </w:rPr>
            </w:pPr>
            <w:r>
              <w:rPr>
                <w:sz w:val="19"/>
              </w:rPr>
              <w:t>36</w:t>
            </w:r>
          </w:p>
        </w:tc>
        <w:tc>
          <w:tcPr>
            <w:tcW w:w="764" w:type="dxa"/>
          </w:tcPr>
          <w:p>
            <w:pPr>
              <w:pStyle w:val="TableParagraph"/>
              <w:spacing w:line="240" w:lineRule="auto" w:before="0"/>
              <w:jc w:val="left"/>
              <w:rPr>
                <w:rFonts w:ascii="Times New Roman"/>
                <w:sz w:val="18"/>
              </w:rPr>
            </w:pPr>
          </w:p>
        </w:tc>
        <w:tc>
          <w:tcPr>
            <w:tcW w:w="793" w:type="dxa"/>
          </w:tcPr>
          <w:p>
            <w:pPr>
              <w:pStyle w:val="TableParagraph"/>
              <w:spacing w:line="240" w:lineRule="auto" w:before="0"/>
              <w:jc w:val="left"/>
              <w:rPr>
                <w:rFonts w:ascii="Times New Roman"/>
                <w:sz w:val="18"/>
              </w:rPr>
            </w:pPr>
          </w:p>
        </w:tc>
      </w:tr>
      <w:tr>
        <w:trPr>
          <w:trHeight w:val="244" w:hRule="atLeast"/>
        </w:trPr>
        <w:tc>
          <w:tcPr>
            <w:tcW w:w="3724" w:type="dxa"/>
          </w:tcPr>
          <w:p>
            <w:pPr>
              <w:pStyle w:val="TableParagraph"/>
              <w:spacing w:line="225" w:lineRule="exact" w:before="0"/>
              <w:ind w:left="36"/>
              <w:jc w:val="left"/>
              <w:rPr>
                <w:sz w:val="19"/>
              </w:rPr>
            </w:pPr>
            <w:r>
              <w:rPr>
                <w:sz w:val="19"/>
              </w:rPr>
              <w:t>Other sectors</w:t>
            </w:r>
          </w:p>
        </w:tc>
        <w:tc>
          <w:tcPr>
            <w:tcW w:w="683" w:type="dxa"/>
          </w:tcPr>
          <w:p>
            <w:pPr>
              <w:pStyle w:val="TableParagraph"/>
              <w:spacing w:line="225" w:lineRule="exact" w:before="0"/>
              <w:ind w:left="190"/>
              <w:jc w:val="left"/>
              <w:rPr>
                <w:sz w:val="19"/>
              </w:rPr>
            </w:pPr>
            <w:r>
              <w:rPr>
                <w:sz w:val="19"/>
              </w:rPr>
              <w:t>0.5</w:t>
            </w:r>
          </w:p>
        </w:tc>
        <w:tc>
          <w:tcPr>
            <w:tcW w:w="772" w:type="dxa"/>
          </w:tcPr>
          <w:p>
            <w:pPr>
              <w:pStyle w:val="TableParagraph"/>
              <w:spacing w:line="225" w:lineRule="exact" w:before="0"/>
              <w:ind w:left="210" w:right="211"/>
              <w:rPr>
                <w:sz w:val="19"/>
              </w:rPr>
            </w:pPr>
            <w:r>
              <w:rPr>
                <w:sz w:val="19"/>
              </w:rPr>
              <w:t>-1.7</w:t>
            </w:r>
          </w:p>
        </w:tc>
        <w:tc>
          <w:tcPr>
            <w:tcW w:w="768" w:type="dxa"/>
            <w:tcBorders>
              <w:right w:val="single" w:sz="6" w:space="0" w:color="000000"/>
            </w:tcBorders>
          </w:tcPr>
          <w:p>
            <w:pPr>
              <w:pStyle w:val="TableParagraph"/>
              <w:spacing w:line="225" w:lineRule="exact" w:before="0"/>
              <w:ind w:left="277"/>
              <w:jc w:val="left"/>
              <w:rPr>
                <w:sz w:val="19"/>
              </w:rPr>
            </w:pPr>
            <w:r>
              <w:rPr>
                <w:sz w:val="19"/>
              </w:rPr>
              <w:t>0.5</w:t>
            </w:r>
          </w:p>
        </w:tc>
        <w:tc>
          <w:tcPr>
            <w:tcW w:w="778" w:type="dxa"/>
            <w:tcBorders>
              <w:left w:val="single" w:sz="6" w:space="0" w:color="000000"/>
            </w:tcBorders>
          </w:tcPr>
          <w:p>
            <w:pPr>
              <w:pStyle w:val="TableParagraph"/>
              <w:spacing w:line="225" w:lineRule="exact" w:before="0"/>
              <w:ind w:left="209" w:right="209"/>
              <w:rPr>
                <w:sz w:val="19"/>
              </w:rPr>
            </w:pPr>
            <w:r>
              <w:rPr>
                <w:sz w:val="19"/>
              </w:rPr>
              <w:t>0.0</w:t>
            </w:r>
          </w:p>
        </w:tc>
        <w:tc>
          <w:tcPr>
            <w:tcW w:w="760" w:type="dxa"/>
          </w:tcPr>
          <w:p>
            <w:pPr>
              <w:pStyle w:val="TableParagraph"/>
              <w:spacing w:line="225" w:lineRule="exact" w:before="0"/>
              <w:ind w:left="138" w:right="162"/>
              <w:rPr>
                <w:i/>
                <w:sz w:val="19"/>
              </w:rPr>
            </w:pPr>
            <w:r>
              <w:rPr>
                <w:i/>
                <w:sz w:val="19"/>
              </w:rPr>
              <w:t>(-3)</w:t>
            </w:r>
          </w:p>
        </w:tc>
        <w:tc>
          <w:tcPr>
            <w:tcW w:w="772" w:type="dxa"/>
          </w:tcPr>
          <w:p>
            <w:pPr>
              <w:pStyle w:val="TableParagraph"/>
              <w:spacing w:line="225" w:lineRule="exact" w:before="0"/>
              <w:ind w:left="215" w:right="208"/>
              <w:rPr>
                <w:sz w:val="19"/>
              </w:rPr>
            </w:pPr>
            <w:r>
              <w:rPr>
                <w:sz w:val="19"/>
              </w:rPr>
              <w:t>-0.6</w:t>
            </w:r>
          </w:p>
        </w:tc>
        <w:tc>
          <w:tcPr>
            <w:tcW w:w="772" w:type="dxa"/>
          </w:tcPr>
          <w:p>
            <w:pPr>
              <w:pStyle w:val="TableParagraph"/>
              <w:spacing w:line="225" w:lineRule="exact" w:before="0"/>
              <w:ind w:right="263"/>
              <w:jc w:val="right"/>
              <w:rPr>
                <w:sz w:val="19"/>
              </w:rPr>
            </w:pPr>
            <w:r>
              <w:rPr>
                <w:w w:val="95"/>
                <w:sz w:val="19"/>
              </w:rPr>
              <w:t>0.1</w:t>
            </w:r>
          </w:p>
        </w:tc>
        <w:tc>
          <w:tcPr>
            <w:tcW w:w="688" w:type="dxa"/>
          </w:tcPr>
          <w:p>
            <w:pPr>
              <w:pStyle w:val="TableParagraph"/>
              <w:spacing w:line="225" w:lineRule="exact" w:before="0"/>
              <w:ind w:left="168" w:right="165"/>
              <w:rPr>
                <w:sz w:val="19"/>
              </w:rPr>
            </w:pPr>
            <w:r>
              <w:rPr>
                <w:sz w:val="19"/>
              </w:rPr>
              <w:t>0.2</w:t>
            </w:r>
          </w:p>
        </w:tc>
        <w:tc>
          <w:tcPr>
            <w:tcW w:w="700" w:type="dxa"/>
          </w:tcPr>
          <w:p>
            <w:pPr>
              <w:pStyle w:val="TableParagraph"/>
              <w:spacing w:line="225" w:lineRule="exact" w:before="0"/>
              <w:ind w:left="232"/>
              <w:jc w:val="left"/>
              <w:rPr>
                <w:sz w:val="19"/>
              </w:rPr>
            </w:pPr>
            <w:r>
              <w:rPr>
                <w:sz w:val="19"/>
              </w:rPr>
              <w:t>0.3</w:t>
            </w:r>
          </w:p>
        </w:tc>
        <w:tc>
          <w:tcPr>
            <w:tcW w:w="760" w:type="dxa"/>
          </w:tcPr>
          <w:p>
            <w:pPr>
              <w:pStyle w:val="TableParagraph"/>
              <w:spacing w:line="225" w:lineRule="exact" w:before="0"/>
              <w:ind w:left="138" w:right="145"/>
              <w:rPr>
                <w:sz w:val="19"/>
              </w:rPr>
            </w:pPr>
            <w:r>
              <w:rPr>
                <w:sz w:val="19"/>
              </w:rPr>
              <w:t>64</w:t>
            </w:r>
          </w:p>
        </w:tc>
        <w:tc>
          <w:tcPr>
            <w:tcW w:w="764" w:type="dxa"/>
          </w:tcPr>
          <w:p>
            <w:pPr>
              <w:pStyle w:val="TableParagraph"/>
              <w:spacing w:line="240" w:lineRule="auto" w:before="0"/>
              <w:jc w:val="left"/>
              <w:rPr>
                <w:rFonts w:ascii="Times New Roman"/>
                <w:sz w:val="16"/>
              </w:rPr>
            </w:pPr>
          </w:p>
        </w:tc>
        <w:tc>
          <w:tcPr>
            <w:tcW w:w="793" w:type="dxa"/>
          </w:tcPr>
          <w:p>
            <w:pPr>
              <w:pStyle w:val="TableParagraph"/>
              <w:spacing w:line="240" w:lineRule="auto" w:before="0"/>
              <w:jc w:val="left"/>
              <w:rPr>
                <w:rFonts w:ascii="Times New Roman"/>
                <w:sz w:val="16"/>
              </w:rPr>
            </w:pPr>
          </w:p>
        </w:tc>
      </w:tr>
    </w:tbl>
    <w:p>
      <w:pPr>
        <w:spacing w:after="0" w:line="240" w:lineRule="auto"/>
        <w:jc w:val="left"/>
        <w:rPr>
          <w:rFonts w:ascii="Times New Roman"/>
          <w:sz w:val="16"/>
        </w:rPr>
        <w:sectPr>
          <w:footerReference w:type="default" r:id="rId51"/>
          <w:pgSz w:w="16840" w:h="11910" w:orient="landscape"/>
          <w:pgMar w:footer="0" w:header="0" w:top="0" w:bottom="280" w:left="760" w:right="1980"/>
        </w:sectPr>
      </w:pPr>
    </w:p>
    <w:p>
      <w:pPr>
        <w:pStyle w:val="Heading1"/>
        <w:spacing w:before="76"/>
        <w:ind w:left="113"/>
      </w:pPr>
      <w:r>
        <w:rPr/>
        <w:t>Appendix A2 – Methodology</w:t>
      </w:r>
    </w:p>
    <w:p>
      <w:pPr>
        <w:pStyle w:val="BodyText"/>
        <w:rPr>
          <w:b/>
          <w:sz w:val="22"/>
        </w:rPr>
      </w:pPr>
    </w:p>
    <w:p>
      <w:pPr>
        <w:pStyle w:val="BodyText"/>
        <w:spacing w:before="2"/>
        <w:rPr>
          <w:b/>
          <w:sz w:val="18"/>
        </w:rPr>
      </w:pPr>
    </w:p>
    <w:p>
      <w:pPr>
        <w:pStyle w:val="BodyText"/>
        <w:spacing w:line="360" w:lineRule="auto"/>
        <w:ind w:left="113" w:right="231"/>
      </w:pPr>
      <w:r>
        <w:rPr/>
        <w:t>The decompositions of aggregate productivity growth are based on a new method developed by Bank of England staff. The decomposition method is very closely related to the approach in Diewert (2015), which we further augment by introducing the usual growth accounting terms following the framework originally proposed by Jorgenson, Gollop and Fraumeni (1987) and used recently for the UK by Goodridge, Haskel and Wallis (2016). The latter two references use an industry-level growth accounting framework that is based on aggregation using Törnqvist indices. The staff method, on the other hand, allows for the ONS’s aggregation method using annually-chained Laspeyres indices. It also allows for the attribution of labour reallocation effects to particular industries.</w:t>
      </w:r>
    </w:p>
    <w:p>
      <w:pPr>
        <w:pStyle w:val="BodyText"/>
        <w:rPr>
          <w:sz w:val="30"/>
        </w:rPr>
      </w:pPr>
    </w:p>
    <w:p>
      <w:pPr>
        <w:pStyle w:val="BodyText"/>
        <w:spacing w:before="1"/>
        <w:ind w:left="113"/>
      </w:pPr>
      <w:r>
        <w:rPr/>
        <w:t>We start with the definition of aggregate productivity as the weighted sum of productivity over sectors:</w:t>
      </w:r>
    </w:p>
    <w:p>
      <w:pPr>
        <w:pStyle w:val="BodyText"/>
        <w:spacing w:before="10"/>
        <w:rPr>
          <w:sz w:val="17"/>
        </w:rPr>
      </w:pPr>
    </w:p>
    <w:p>
      <w:pPr>
        <w:spacing w:before="0"/>
        <w:ind w:left="4001" w:right="4015" w:firstLine="0"/>
        <w:jc w:val="center"/>
        <w:rPr>
          <w:rFonts w:ascii="Cambria Math" w:hAnsi="Cambria Math" w:eastAsia="Cambria Math"/>
          <w:sz w:val="14"/>
        </w:rPr>
      </w:pPr>
      <w:r>
        <w:rPr>
          <w:rFonts w:ascii="Cambria Math" w:hAnsi="Cambria Math" w:eastAsia="Cambria Math"/>
          <w:w w:val="115"/>
          <w:position w:val="4"/>
          <w:sz w:val="20"/>
        </w:rPr>
        <w:t>𝑄</w:t>
      </w:r>
      <w:r>
        <w:rPr>
          <w:rFonts w:ascii="Cambria Math" w:hAnsi="Cambria Math" w:eastAsia="Cambria Math"/>
          <w:w w:val="115"/>
          <w:sz w:val="14"/>
        </w:rPr>
        <w:t>𝑡  </w:t>
      </w:r>
      <w:r>
        <w:rPr>
          <w:rFonts w:ascii="Cambria Math" w:hAnsi="Cambria Math" w:eastAsia="Cambria Math"/>
          <w:w w:val="115"/>
          <w:position w:val="4"/>
          <w:sz w:val="20"/>
        </w:rPr>
        <w:t>= </w:t>
      </w:r>
      <w:r>
        <w:rPr>
          <w:rFonts w:ascii="Cambria Math" w:hAnsi="Cambria Math" w:eastAsia="Cambria Math"/>
          <w:w w:val="160"/>
          <w:position w:val="4"/>
          <w:sz w:val="20"/>
        </w:rPr>
        <w:t>∑ </w:t>
      </w:r>
      <w:r>
        <w:rPr>
          <w:rFonts w:ascii="Cambria Math" w:hAnsi="Cambria Math" w:eastAsia="Cambria Math"/>
          <w:w w:val="115"/>
          <w:position w:val="4"/>
          <w:sz w:val="20"/>
        </w:rPr>
        <w:t>𝜔</w:t>
      </w:r>
      <w:r>
        <w:rPr>
          <w:rFonts w:ascii="Cambria Math" w:hAnsi="Cambria Math" w:eastAsia="Cambria Math"/>
          <w:w w:val="115"/>
          <w:sz w:val="14"/>
        </w:rPr>
        <w:t>𝑖𝑡−1</w:t>
      </w:r>
      <w:r>
        <w:rPr>
          <w:rFonts w:ascii="Cambria Math" w:hAnsi="Cambria Math" w:eastAsia="Cambria Math"/>
          <w:w w:val="115"/>
          <w:position w:val="4"/>
          <w:sz w:val="20"/>
        </w:rPr>
        <w:t>ℎ</w:t>
      </w:r>
      <w:r>
        <w:rPr>
          <w:rFonts w:ascii="Cambria Math" w:hAnsi="Cambria Math" w:eastAsia="Cambria Math"/>
          <w:w w:val="115"/>
          <w:sz w:val="14"/>
        </w:rPr>
        <w:t>𝑖𝑡</w:t>
      </w:r>
      <w:r>
        <w:rPr>
          <w:rFonts w:ascii="Cambria Math" w:hAnsi="Cambria Math" w:eastAsia="Cambria Math"/>
          <w:w w:val="115"/>
          <w:position w:val="4"/>
          <w:sz w:val="20"/>
        </w:rPr>
        <w:t>𝑄</w:t>
      </w:r>
      <w:r>
        <w:rPr>
          <w:rFonts w:ascii="Cambria Math" w:hAnsi="Cambria Math" w:eastAsia="Cambria Math"/>
          <w:w w:val="115"/>
          <w:sz w:val="14"/>
        </w:rPr>
        <w:t>𝑖𝑡</w:t>
      </w:r>
    </w:p>
    <w:p>
      <w:pPr>
        <w:spacing w:before="52"/>
        <w:ind w:left="3505" w:right="4015" w:firstLine="0"/>
        <w:jc w:val="center"/>
        <w:rPr>
          <w:rFonts w:ascii="Cambria Math" w:eastAsia="Cambria Math"/>
          <w:sz w:val="14"/>
        </w:rPr>
      </w:pPr>
      <w:r>
        <w:rPr>
          <w:rFonts w:ascii="Cambria Math" w:eastAsia="Cambria Math"/>
          <w:w w:val="110"/>
          <w:sz w:val="14"/>
        </w:rPr>
        <w:t>𝑖</w:t>
      </w:r>
    </w:p>
    <w:p>
      <w:pPr>
        <w:pStyle w:val="BodyText"/>
        <w:spacing w:before="83"/>
        <w:ind w:left="113"/>
      </w:pPr>
      <w:r>
        <w:rPr/>
        <w:t>where </w:t>
      </w:r>
      <w:r>
        <w:rPr>
          <w:rFonts w:ascii="Cambria Math" w:hAnsi="Cambria Math" w:eastAsia="Cambria Math"/>
        </w:rPr>
        <w:t>𝑖 </w:t>
      </w:r>
      <w:r>
        <w:rPr/>
        <w:t>and </w:t>
      </w:r>
      <w:r>
        <w:rPr>
          <w:rFonts w:ascii="Cambria Math" w:hAnsi="Cambria Math" w:eastAsia="Cambria Math"/>
        </w:rPr>
        <w:t>𝑡 </w:t>
      </w:r>
      <w:r>
        <w:rPr/>
        <w:t>index sectors and years, </w:t>
      </w:r>
      <w:r>
        <w:rPr>
          <w:rFonts w:ascii="Cambria Math" w:hAnsi="Cambria Math" w:eastAsia="Cambria Math"/>
        </w:rPr>
        <w:t>𝑄 </w:t>
      </w:r>
      <w:r>
        <w:rPr/>
        <w:t>is labour productivity (value-added over hours), </w:t>
      </w:r>
      <w:r>
        <w:rPr>
          <w:rFonts w:ascii="Cambria Math" w:hAnsi="Cambria Math" w:eastAsia="Cambria Math"/>
        </w:rPr>
        <w:t>𝜔</w:t>
      </w:r>
      <w:r>
        <w:rPr>
          <w:rFonts w:ascii="Cambria Math" w:hAnsi="Cambria Math" w:eastAsia="Cambria Math"/>
          <w:vertAlign w:val="subscript"/>
        </w:rPr>
        <w:t>𝑖</w:t>
      </w:r>
      <w:r>
        <w:rPr>
          <w:rFonts w:ascii="Cambria Math" w:hAnsi="Cambria Math" w:eastAsia="Cambria Math"/>
          <w:vertAlign w:val="baseline"/>
        </w:rPr>
        <w:t> </w:t>
      </w:r>
      <w:r>
        <w:rPr>
          <w:vertAlign w:val="baseline"/>
        </w:rPr>
        <w:t>is a sector’s</w:t>
      </w:r>
    </w:p>
    <w:p>
      <w:pPr>
        <w:pStyle w:val="BodyText"/>
        <w:spacing w:line="193" w:lineRule="exact" w:before="164"/>
        <w:ind w:left="113"/>
      </w:pPr>
      <w:r>
        <w:rPr/>
        <w:pict>
          <v:shape style="position:absolute;margin-left:379.75pt;margin-top:13.128601pt;width:2.450pt;height:8.2pt;mso-position-horizontal-relative:page;mso-position-vertical-relative:paragraph;z-index:-254974976"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w w:val="110"/>
                      <w:sz w:val="14"/>
                    </w:rPr>
                    <w:t>𝑖</w:t>
                  </w:r>
                </w:p>
              </w:txbxContent>
            </v:textbox>
            <w10:wrap type="none"/>
          </v:shape>
        </w:pict>
      </w:r>
      <w:r>
        <w:rPr/>
        <w:t>‘relative price’ (sector over aggregate value-added implicit deflator) and </w:t>
      </w:r>
      <w:r>
        <w:rPr>
          <w:rFonts w:ascii="Cambria Math" w:hAnsi="Cambria Math" w:eastAsia="Cambria Math"/>
        </w:rPr>
        <w:t>ℎ =</w:t>
      </w:r>
      <w:r>
        <w:rPr>
          <w:rFonts w:ascii="Cambria Math" w:hAnsi="Cambria Math" w:eastAsia="Cambria Math"/>
          <w:u w:val="single"/>
          <w:vertAlign w:val="baseline"/>
        </w:rPr>
        <w:t> </w:t>
      </w:r>
      <w:r>
        <w:rPr>
          <w:rFonts w:ascii="Cambria Math" w:hAnsi="Cambria Math" w:eastAsia="Cambria Math"/>
          <w:u w:val="single"/>
          <w:vertAlign w:val="superscript"/>
        </w:rPr>
        <w:t>𝐿𝑖</w:t>
      </w:r>
      <w:r>
        <w:rPr>
          <w:rFonts w:ascii="Cambria Math" w:hAnsi="Cambria Math" w:eastAsia="Cambria Math"/>
          <w:vertAlign w:val="baseline"/>
        </w:rPr>
        <w:t> </w:t>
      </w:r>
      <w:r>
        <w:rPr>
          <w:vertAlign w:val="baseline"/>
        </w:rPr>
        <w:t>is the sector’s labour share.</w:t>
      </w:r>
    </w:p>
    <w:p>
      <w:pPr>
        <w:spacing w:line="158" w:lineRule="exact" w:before="0"/>
        <w:ind w:left="0" w:right="2677" w:firstLine="0"/>
        <w:jc w:val="right"/>
        <w:rPr>
          <w:rFonts w:ascii="Cambria Math" w:hAnsi="Cambria Math" w:eastAsia="Cambria Math"/>
          <w:sz w:val="12"/>
        </w:rPr>
      </w:pPr>
      <w:r>
        <w:rPr>
          <w:rFonts w:ascii="Cambria Math" w:hAnsi="Cambria Math" w:eastAsia="Cambria Math"/>
          <w:w w:val="110"/>
          <w:position w:val="4"/>
          <w:sz w:val="14"/>
        </w:rPr>
        <w:t>∑</w:t>
      </w:r>
      <w:r>
        <w:rPr>
          <w:rFonts w:ascii="Cambria Math" w:hAnsi="Cambria Math" w:eastAsia="Cambria Math"/>
          <w:w w:val="110"/>
          <w:sz w:val="12"/>
        </w:rPr>
        <w:t>𝑖 </w:t>
      </w:r>
      <w:r>
        <w:rPr>
          <w:rFonts w:ascii="Cambria Math" w:hAnsi="Cambria Math" w:eastAsia="Cambria Math"/>
          <w:w w:val="110"/>
          <w:position w:val="3"/>
          <w:sz w:val="14"/>
        </w:rPr>
        <w:t>𝐿</w:t>
      </w:r>
      <w:r>
        <w:rPr>
          <w:rFonts w:ascii="Cambria Math" w:hAnsi="Cambria Math" w:eastAsia="Cambria Math"/>
          <w:w w:val="110"/>
          <w:sz w:val="12"/>
        </w:rPr>
        <w:t>𝑖</w:t>
      </w:r>
    </w:p>
    <w:p>
      <w:pPr>
        <w:pStyle w:val="BodyText"/>
        <w:spacing w:before="91"/>
        <w:ind w:left="113"/>
      </w:pPr>
      <w:r>
        <w:rPr/>
        <w:t>Including both relative price and labour share weights ensures the aggregation matches the ONS method.</w:t>
      </w:r>
    </w:p>
    <w:p>
      <w:pPr>
        <w:pStyle w:val="BodyText"/>
      </w:pPr>
    </w:p>
    <w:p>
      <w:pPr>
        <w:spacing w:after="0"/>
        <w:sectPr>
          <w:footerReference w:type="default" r:id="rId53"/>
          <w:pgSz w:w="11910" w:h="16840"/>
          <w:pgMar w:footer="1338" w:header="0" w:top="1340" w:bottom="1520" w:left="1020" w:right="1020"/>
          <w:pgNumType w:start="27"/>
        </w:sectPr>
      </w:pPr>
    </w:p>
    <w:p>
      <w:pPr>
        <w:pStyle w:val="BodyText"/>
        <w:spacing w:before="10"/>
        <w:rPr>
          <w:sz w:val="19"/>
        </w:rPr>
      </w:pPr>
    </w:p>
    <w:p>
      <w:pPr>
        <w:pStyle w:val="BodyText"/>
        <w:ind w:left="113"/>
      </w:pPr>
      <w:r>
        <w:rPr/>
        <w:t>Growth in aggregate productivity is therefore</w:t>
      </w:r>
    </w:p>
    <w:p>
      <w:pPr>
        <w:pStyle w:val="BodyText"/>
        <w:spacing w:before="101"/>
        <w:ind w:left="3920"/>
        <w:rPr>
          <w:rFonts w:ascii="Cambria Math" w:hAnsi="Cambria Math" w:eastAsia="Cambria Math"/>
        </w:rPr>
      </w:pPr>
      <w:r>
        <w:rPr>
          <w:rFonts w:ascii="Cambria Math" w:hAnsi="Cambria Math" w:eastAsia="Cambria Math"/>
        </w:rPr>
        <w:t>Δ𝑄</w:t>
      </w:r>
      <w:r>
        <w:rPr>
          <w:rFonts w:ascii="Cambria Math" w:hAnsi="Cambria Math" w:eastAsia="Cambria Math"/>
          <w:vertAlign w:val="subscript"/>
        </w:rPr>
        <w:t>𝑡</w:t>
      </w:r>
    </w:p>
    <w:p>
      <w:pPr>
        <w:pStyle w:val="BodyText"/>
        <w:rPr>
          <w:rFonts w:ascii="Cambria Math"/>
          <w:sz w:val="4"/>
        </w:rPr>
      </w:pPr>
    </w:p>
    <w:p>
      <w:pPr>
        <w:pStyle w:val="BodyText"/>
        <w:spacing w:line="20" w:lineRule="exact"/>
        <w:ind w:left="3883" w:right="-72"/>
        <w:rPr>
          <w:rFonts w:ascii="Cambria Math"/>
          <w:sz w:val="2"/>
        </w:rPr>
      </w:pPr>
      <w:r>
        <w:rPr>
          <w:rFonts w:ascii="Cambria Math"/>
          <w:sz w:val="2"/>
        </w:rPr>
        <w:pict>
          <v:group style="width:19.350pt;height:.6pt;mso-position-horizontal-relative:char;mso-position-vertical-relative:line" coordorigin="0,0" coordsize="387,12">
            <v:line style="position:absolute" from="0,6" to="386,6" stroked="true" strokeweight=".600010pt" strokecolor="#000000">
              <v:stroke dashstyle="solid"/>
            </v:line>
          </v:group>
        </w:pict>
      </w:r>
      <w:r>
        <w:rPr>
          <w:rFonts w:ascii="Cambria Math"/>
          <w:sz w:val="2"/>
        </w:rPr>
      </w:r>
    </w:p>
    <w:p>
      <w:pPr>
        <w:spacing w:before="0"/>
        <w:ind w:left="3889" w:right="0" w:firstLine="0"/>
        <w:jc w:val="left"/>
        <w:rPr>
          <w:rFonts w:ascii="Cambria Math" w:hAnsi="Cambria Math" w:eastAsia="Cambria Math"/>
          <w:sz w:val="14"/>
        </w:rPr>
      </w:pPr>
      <w:r>
        <w:rPr>
          <w:rFonts w:ascii="Cambria Math" w:hAnsi="Cambria Math" w:eastAsia="Cambria Math"/>
          <w:position w:val="4"/>
          <w:sz w:val="20"/>
        </w:rPr>
        <w:t>𝑄</w:t>
      </w:r>
      <w:r>
        <w:rPr>
          <w:rFonts w:ascii="Cambria Math" w:hAnsi="Cambria Math" w:eastAsia="Cambria Math"/>
          <w:sz w:val="14"/>
        </w:rPr>
        <w:t>𝑡−1</w:t>
      </w:r>
    </w:p>
    <w:p>
      <w:pPr>
        <w:pStyle w:val="BodyText"/>
        <w:spacing w:before="1"/>
        <w:rPr>
          <w:rFonts w:ascii="Cambria Math"/>
          <w:sz w:val="49"/>
        </w:rPr>
      </w:pPr>
      <w:r>
        <w:rPr/>
        <w:br w:type="column"/>
      </w:r>
      <w:r>
        <w:rPr>
          <w:rFonts w:ascii="Cambria Math"/>
          <w:sz w:val="49"/>
        </w:rPr>
      </w:r>
    </w:p>
    <w:p>
      <w:pPr>
        <w:spacing w:line="163" w:lineRule="auto" w:before="0"/>
        <w:ind w:left="23" w:right="0" w:firstLine="0"/>
        <w:jc w:val="left"/>
        <w:rPr>
          <w:rFonts w:ascii="Cambria Math" w:hAnsi="Cambria Math" w:eastAsia="Cambria Math"/>
          <w:sz w:val="20"/>
        </w:rPr>
      </w:pPr>
      <w:r>
        <w:rPr>
          <w:rFonts w:ascii="Cambria Math" w:hAnsi="Cambria Math" w:eastAsia="Cambria Math"/>
          <w:w w:val="105"/>
          <w:position w:val="-10"/>
          <w:sz w:val="20"/>
        </w:rPr>
        <w:t>= </w:t>
      </w:r>
      <w:r>
        <w:rPr>
          <w:rFonts w:ascii="Cambria Math" w:hAnsi="Cambria Math" w:eastAsia="Cambria Math"/>
          <w:w w:val="105"/>
          <w:position w:val="4"/>
          <w:sz w:val="20"/>
        </w:rPr>
        <w:t>Δ</w:t>
      </w:r>
      <w:r>
        <w:rPr>
          <w:rFonts w:ascii="Cambria Math" w:hAnsi="Cambria Math" w:eastAsia="Cambria Math"/>
          <w:w w:val="105"/>
          <w:position w:val="5"/>
          <w:sz w:val="20"/>
        </w:rPr>
        <w:t>(∑</w:t>
      </w:r>
      <w:r>
        <w:rPr>
          <w:rFonts w:ascii="Cambria Math" w:hAnsi="Cambria Math" w:eastAsia="Cambria Math"/>
          <w:w w:val="105"/>
          <w:sz w:val="14"/>
        </w:rPr>
        <w:t>i </w:t>
      </w:r>
      <w:r>
        <w:rPr>
          <w:rFonts w:ascii="Cambria Math" w:hAnsi="Cambria Math" w:eastAsia="Cambria Math"/>
          <w:w w:val="105"/>
          <w:position w:val="4"/>
          <w:sz w:val="20"/>
        </w:rPr>
        <w:t>𝜔</w:t>
      </w:r>
      <w:r>
        <w:rPr>
          <w:rFonts w:ascii="Cambria Math" w:hAnsi="Cambria Math" w:eastAsia="Cambria Math"/>
          <w:w w:val="105"/>
          <w:sz w:val="14"/>
        </w:rPr>
        <w:t>𝑖𝑡−1</w:t>
      </w:r>
      <w:r>
        <w:rPr>
          <w:rFonts w:ascii="Cambria Math" w:hAnsi="Cambria Math" w:eastAsia="Cambria Math"/>
          <w:w w:val="105"/>
          <w:position w:val="4"/>
          <w:sz w:val="20"/>
        </w:rPr>
        <w:t>ℎ</w:t>
      </w:r>
      <w:r>
        <w:rPr>
          <w:rFonts w:ascii="Cambria Math" w:hAnsi="Cambria Math" w:eastAsia="Cambria Math"/>
          <w:w w:val="105"/>
          <w:sz w:val="14"/>
        </w:rPr>
        <w:t>𝑖𝑡 </w:t>
      </w:r>
      <w:r>
        <w:rPr>
          <w:rFonts w:ascii="Cambria Math" w:hAnsi="Cambria Math" w:eastAsia="Cambria Math"/>
          <w:w w:val="105"/>
          <w:position w:val="4"/>
          <w:sz w:val="20"/>
        </w:rPr>
        <w:t>𝑄</w:t>
      </w:r>
      <w:r>
        <w:rPr>
          <w:rFonts w:ascii="Cambria Math" w:hAnsi="Cambria Math" w:eastAsia="Cambria Math"/>
          <w:w w:val="105"/>
          <w:sz w:val="14"/>
        </w:rPr>
        <w:t>𝑖𝑡 </w:t>
      </w:r>
      <w:r>
        <w:rPr>
          <w:rFonts w:ascii="Cambria Math" w:hAnsi="Cambria Math" w:eastAsia="Cambria Math"/>
          <w:w w:val="105"/>
          <w:position w:val="5"/>
          <w:sz w:val="20"/>
        </w:rPr>
        <w:t>)</w:t>
      </w:r>
    </w:p>
    <w:p>
      <w:pPr>
        <w:spacing w:line="213" w:lineRule="exact" w:before="0"/>
        <w:ind w:left="755" w:right="0" w:firstLine="0"/>
        <w:jc w:val="left"/>
        <w:rPr>
          <w:rFonts w:ascii="Cambria Math" w:hAnsi="Cambria Math" w:eastAsia="Cambria Math"/>
          <w:sz w:val="14"/>
        </w:rPr>
      </w:pPr>
      <w:r>
        <w:rPr/>
        <w:pict>
          <v:line style="position:absolute;mso-position-horizontal-relative:page;mso-position-vertical-relative:paragraph;z-index:-254977024" from="277.730011pt,-2.507952pt" to="349.874011pt,-2.507952pt" stroked="true" strokeweight=".600010pt" strokecolor="#000000">
            <v:stroke dashstyle="solid"/>
            <w10:wrap type="none"/>
          </v:line>
        </w:pict>
      </w:r>
      <w:r>
        <w:rPr>
          <w:rFonts w:ascii="Cambria Math" w:hAnsi="Cambria Math" w:eastAsia="Cambria Math"/>
          <w:w w:val="105"/>
          <w:position w:val="4"/>
          <w:sz w:val="20"/>
        </w:rPr>
        <w:t>𝑄</w:t>
      </w:r>
      <w:r>
        <w:rPr>
          <w:rFonts w:ascii="Cambria Math" w:hAnsi="Cambria Math" w:eastAsia="Cambria Math"/>
          <w:w w:val="105"/>
          <w:sz w:val="14"/>
        </w:rPr>
        <w:t>𝑡−1</w:t>
      </w:r>
    </w:p>
    <w:p>
      <w:pPr>
        <w:spacing w:after="0" w:line="213" w:lineRule="exact"/>
        <w:jc w:val="left"/>
        <w:rPr>
          <w:rFonts w:ascii="Cambria Math" w:hAnsi="Cambria Math" w:eastAsia="Cambria Math"/>
          <w:sz w:val="14"/>
        </w:rPr>
        <w:sectPr>
          <w:type w:val="continuous"/>
          <w:pgSz w:w="11910" w:h="16840"/>
          <w:pgMar w:top="1180" w:bottom="1520" w:left="1020" w:right="1020"/>
          <w:cols w:num="2" w:equalWidth="0">
            <w:col w:w="4268" w:space="40"/>
            <w:col w:w="5562"/>
          </w:cols>
        </w:sectPr>
      </w:pPr>
    </w:p>
    <w:p>
      <w:pPr>
        <w:pStyle w:val="BodyText"/>
        <w:spacing w:line="360" w:lineRule="auto" w:before="88"/>
        <w:ind w:left="113" w:right="231"/>
      </w:pPr>
      <w:r>
        <w:rPr/>
        <w:t>and the right hand side can be expanded into the four effects coming directly from each sector – changes in relative prices, ‘between’ type effects of changes in labour share, ‘within’ effects of changes in sector productivity and a residual second derivative term.</w:t>
      </w:r>
    </w:p>
    <w:p>
      <w:pPr>
        <w:spacing w:after="0" w:line="360" w:lineRule="auto"/>
        <w:sectPr>
          <w:type w:val="continuous"/>
          <w:pgSz w:w="11910" w:h="16840"/>
          <w:pgMar w:top="1180" w:bottom="1520" w:left="1020" w:right="1020"/>
        </w:sectPr>
      </w:pPr>
    </w:p>
    <w:p>
      <w:pPr>
        <w:pStyle w:val="BodyText"/>
        <w:spacing w:line="208" w:lineRule="exact"/>
        <w:jc w:val="right"/>
        <w:rPr>
          <w:rFonts w:ascii="Cambria Math" w:hAnsi="Cambria Math" w:eastAsia="Cambria Math"/>
        </w:rPr>
      </w:pPr>
      <w:r>
        <w:rPr/>
        <w:pict>
          <v:line style="position:absolute;mso-position-horizontal-relative:page;mso-position-vertical-relative:paragraph;z-index:251773952" from="98.064003pt,13.059201pt" to="117.384003pt,13.059201pt" stroked="true" strokeweight=".600010pt" strokecolor="#000000">
            <v:stroke dashstyle="solid"/>
            <w10:wrap type="none"/>
          </v:line>
        </w:pict>
      </w:r>
      <w:r>
        <w:rPr>
          <w:rFonts w:ascii="Cambria Math" w:hAnsi="Cambria Math" w:eastAsia="Cambria Math"/>
        </w:rPr>
        <w:t>Δ𝑄</w:t>
      </w:r>
      <w:r>
        <w:rPr>
          <w:rFonts w:ascii="Cambria Math" w:hAnsi="Cambria Math" w:eastAsia="Cambria Math"/>
          <w:vertAlign w:val="subscript"/>
        </w:rPr>
        <w:t>𝑡</w:t>
      </w:r>
    </w:p>
    <w:p>
      <w:pPr>
        <w:pStyle w:val="BodyText"/>
        <w:spacing w:line="99" w:lineRule="exact" w:before="127"/>
        <w:ind w:left="61"/>
        <w:rPr>
          <w:rFonts w:ascii="Cambria Math" w:hAnsi="Cambria Math" w:eastAsia="Cambria Math"/>
        </w:rPr>
      </w:pPr>
      <w:r>
        <w:rPr/>
        <w:br w:type="column"/>
      </w:r>
      <w:r>
        <w:rPr>
          <w:rFonts w:ascii="Cambria Math" w:hAnsi="Cambria Math" w:eastAsia="Cambria Math"/>
          <w:w w:val="110"/>
        </w:rPr>
        <w:t>= </w:t>
      </w:r>
      <w:r>
        <w:rPr>
          <w:rFonts w:ascii="Cambria Math" w:hAnsi="Cambria Math" w:eastAsia="Cambria Math"/>
          <w:w w:val="165"/>
        </w:rPr>
        <w:t>∑ </w:t>
      </w:r>
      <w:r>
        <w:rPr>
          <w:rFonts w:ascii="Cambria Math" w:hAnsi="Cambria Math" w:eastAsia="Cambria Math"/>
          <w:spacing w:val="-85"/>
          <w:w w:val="110"/>
        </w:rPr>
        <w:t>Δ𝜔</w:t>
      </w:r>
    </w:p>
    <w:p>
      <w:pPr>
        <w:tabs>
          <w:tab w:pos="749" w:val="left" w:leader="none"/>
        </w:tabs>
        <w:spacing w:line="31" w:lineRule="auto" w:before="43"/>
        <w:ind w:left="300" w:right="0" w:firstLine="0"/>
        <w:jc w:val="left"/>
        <w:rPr>
          <w:rFonts w:ascii="Cambria Math" w:hAnsi="Cambria Math" w:eastAsia="Cambria Math"/>
          <w:sz w:val="20"/>
        </w:rPr>
      </w:pPr>
      <w:r>
        <w:rPr/>
        <w:br w:type="column"/>
      </w:r>
      <w:r>
        <w:rPr>
          <w:rFonts w:ascii="Cambria Math" w:hAnsi="Cambria Math" w:eastAsia="Cambria Math"/>
          <w:w w:val="115"/>
          <w:position w:val="-10"/>
          <w:sz w:val="20"/>
        </w:rPr>
        <w:t>ℎ</w:t>
        <w:tab/>
      </w:r>
      <w:r>
        <w:rPr>
          <w:rFonts w:ascii="Cambria Math" w:hAnsi="Cambria Math" w:eastAsia="Cambria Math"/>
          <w:w w:val="115"/>
          <w:position w:val="4"/>
          <w:sz w:val="20"/>
        </w:rPr>
        <w:t>𝑄</w:t>
      </w:r>
      <w:r>
        <w:rPr>
          <w:rFonts w:ascii="Cambria Math" w:hAnsi="Cambria Math" w:eastAsia="Cambria Math"/>
          <w:w w:val="115"/>
          <w:sz w:val="14"/>
        </w:rPr>
        <w:t>𝑖𝑡−1</w:t>
      </w:r>
      <w:r>
        <w:rPr>
          <w:rFonts w:ascii="Cambria Math" w:hAnsi="Cambria Math" w:eastAsia="Cambria Math"/>
          <w:spacing w:val="-15"/>
          <w:w w:val="115"/>
          <w:sz w:val="14"/>
        </w:rPr>
        <w:t> </w:t>
      </w:r>
      <w:r>
        <w:rPr>
          <w:rFonts w:ascii="Cambria Math" w:hAnsi="Cambria Math" w:eastAsia="Cambria Math"/>
          <w:w w:val="115"/>
          <w:position w:val="-10"/>
          <w:sz w:val="20"/>
        </w:rPr>
        <w:t>+</w:t>
      </w:r>
      <w:r>
        <w:rPr>
          <w:rFonts w:ascii="Cambria Math" w:hAnsi="Cambria Math" w:eastAsia="Cambria Math"/>
          <w:spacing w:val="-34"/>
          <w:w w:val="115"/>
          <w:position w:val="-10"/>
          <w:sz w:val="20"/>
        </w:rPr>
        <w:t> </w:t>
      </w:r>
      <w:r>
        <w:rPr>
          <w:rFonts w:ascii="Cambria Math" w:hAnsi="Cambria Math" w:eastAsia="Cambria Math"/>
          <w:w w:val="165"/>
          <w:position w:val="-10"/>
          <w:sz w:val="20"/>
        </w:rPr>
        <w:t>∑</w:t>
      </w:r>
      <w:r>
        <w:rPr>
          <w:rFonts w:ascii="Cambria Math" w:hAnsi="Cambria Math" w:eastAsia="Cambria Math"/>
          <w:spacing w:val="-42"/>
          <w:w w:val="165"/>
          <w:position w:val="-10"/>
          <w:sz w:val="20"/>
        </w:rPr>
        <w:t> </w:t>
      </w:r>
      <w:r>
        <w:rPr>
          <w:rFonts w:ascii="Cambria Math" w:hAnsi="Cambria Math" w:eastAsia="Cambria Math"/>
          <w:spacing w:val="-125"/>
          <w:w w:val="115"/>
          <w:position w:val="-10"/>
          <w:sz w:val="20"/>
        </w:rPr>
        <w:t>𝜔</w:t>
      </w:r>
    </w:p>
    <w:p>
      <w:pPr>
        <w:pStyle w:val="BodyText"/>
        <w:spacing w:before="5"/>
        <w:rPr>
          <w:rFonts w:ascii="Cambria Math"/>
          <w:sz w:val="2"/>
        </w:rPr>
      </w:pPr>
    </w:p>
    <w:p>
      <w:pPr>
        <w:pStyle w:val="BodyText"/>
        <w:spacing w:line="20" w:lineRule="exact"/>
        <w:ind w:left="743"/>
        <w:rPr>
          <w:rFonts w:ascii="Cambria Math"/>
          <w:sz w:val="2"/>
        </w:rPr>
      </w:pPr>
      <w:r>
        <w:rPr>
          <w:rFonts w:ascii="Cambria Math"/>
          <w:sz w:val="2"/>
        </w:rPr>
        <w:pict>
          <v:group style="width:21.75pt;height:.6pt;mso-position-horizontal-relative:char;mso-position-vertical-relative:line" coordorigin="0,0" coordsize="435,12">
            <v:line style="position:absolute" from="0,6" to="434,6" stroked="true" strokeweight=".600010pt" strokecolor="#000000">
              <v:stroke dashstyle="solid"/>
            </v:line>
          </v:group>
        </w:pict>
      </w:r>
      <w:r>
        <w:rPr>
          <w:rFonts w:ascii="Cambria Math"/>
          <w:sz w:val="2"/>
        </w:rPr>
      </w:r>
    </w:p>
    <w:p>
      <w:pPr>
        <w:spacing w:line="226" w:lineRule="exact" w:before="0"/>
        <w:ind w:left="264" w:right="0" w:firstLine="0"/>
        <w:jc w:val="left"/>
        <w:rPr>
          <w:rFonts w:ascii="Cambria Math" w:hAnsi="Cambria Math" w:eastAsia="Cambria Math"/>
          <w:sz w:val="20"/>
        </w:rPr>
      </w:pPr>
      <w:r>
        <w:rPr/>
        <w:br w:type="column"/>
      </w:r>
      <w:r>
        <w:rPr>
          <w:rFonts w:ascii="Cambria Math" w:hAnsi="Cambria Math" w:eastAsia="Cambria Math"/>
          <w:w w:val="115"/>
          <w:sz w:val="20"/>
        </w:rPr>
        <w:t>Δℎ </w:t>
      </w:r>
      <w:r>
        <w:rPr>
          <w:rFonts w:ascii="Cambria Math" w:hAnsi="Cambria Math" w:eastAsia="Cambria Math"/>
          <w:w w:val="115"/>
          <w:position w:val="15"/>
          <w:sz w:val="20"/>
        </w:rPr>
        <w:t>𝑄</w:t>
      </w:r>
      <w:r>
        <w:rPr>
          <w:rFonts w:ascii="Cambria Math" w:hAnsi="Cambria Math" w:eastAsia="Cambria Math"/>
          <w:w w:val="115"/>
          <w:position w:val="11"/>
          <w:sz w:val="14"/>
        </w:rPr>
        <w:t>𝑖𝑡−1 </w:t>
      </w:r>
      <w:r>
        <w:rPr>
          <w:rFonts w:ascii="Cambria Math" w:hAnsi="Cambria Math" w:eastAsia="Cambria Math"/>
          <w:w w:val="115"/>
          <w:sz w:val="20"/>
        </w:rPr>
        <w:t>+ </w:t>
      </w:r>
      <w:r>
        <w:rPr>
          <w:rFonts w:ascii="Cambria Math" w:hAnsi="Cambria Math" w:eastAsia="Cambria Math"/>
          <w:w w:val="165"/>
          <w:sz w:val="20"/>
        </w:rPr>
        <w:t>∑ </w:t>
      </w:r>
      <w:r>
        <w:rPr>
          <w:rFonts w:ascii="Cambria Math" w:hAnsi="Cambria Math" w:eastAsia="Cambria Math"/>
          <w:spacing w:val="-126"/>
          <w:w w:val="115"/>
          <w:sz w:val="20"/>
        </w:rPr>
        <w:t>𝜔</w:t>
      </w:r>
    </w:p>
    <w:p>
      <w:pPr>
        <w:pStyle w:val="BodyText"/>
        <w:spacing w:before="5"/>
        <w:rPr>
          <w:rFonts w:ascii="Cambria Math"/>
          <w:sz w:val="2"/>
        </w:rPr>
      </w:pPr>
    </w:p>
    <w:p>
      <w:pPr>
        <w:pStyle w:val="BodyText"/>
        <w:spacing w:line="20" w:lineRule="exact"/>
        <w:ind w:left="645"/>
        <w:rPr>
          <w:rFonts w:ascii="Cambria Math"/>
          <w:sz w:val="2"/>
        </w:rPr>
      </w:pPr>
      <w:r>
        <w:rPr>
          <w:rFonts w:ascii="Cambria Math"/>
          <w:sz w:val="2"/>
        </w:rPr>
        <w:pict>
          <v:group style="width:21.75pt;height:.6pt;mso-position-horizontal-relative:char;mso-position-vertical-relative:line" coordorigin="0,0" coordsize="435,12">
            <v:line style="position:absolute" from="0,6" to="434,6" stroked="true" strokeweight=".600010pt" strokecolor="#000000">
              <v:stroke dashstyle="solid"/>
            </v:line>
          </v:group>
        </w:pict>
      </w:r>
      <w:r>
        <w:rPr>
          <w:rFonts w:ascii="Cambria Math"/>
          <w:sz w:val="2"/>
        </w:rPr>
      </w:r>
    </w:p>
    <w:p>
      <w:pPr>
        <w:spacing w:line="226" w:lineRule="exact" w:before="0"/>
        <w:ind w:left="266" w:right="0" w:firstLine="0"/>
        <w:jc w:val="left"/>
        <w:rPr>
          <w:rFonts w:ascii="Cambria Math" w:hAnsi="Cambria Math" w:eastAsia="Cambria Math"/>
          <w:sz w:val="20"/>
        </w:rPr>
      </w:pPr>
      <w:r>
        <w:rPr/>
        <w:br w:type="column"/>
      </w:r>
      <w:r>
        <w:rPr>
          <w:rFonts w:ascii="Cambria Math" w:hAnsi="Cambria Math" w:eastAsia="Cambria Math"/>
          <w:w w:val="115"/>
          <w:sz w:val="20"/>
        </w:rPr>
        <w:t>ℎ </w:t>
      </w:r>
      <w:r>
        <w:rPr>
          <w:rFonts w:ascii="Cambria Math" w:hAnsi="Cambria Math" w:eastAsia="Cambria Math"/>
          <w:w w:val="115"/>
          <w:position w:val="15"/>
          <w:sz w:val="20"/>
        </w:rPr>
        <w:t>Δ𝑄</w:t>
      </w:r>
      <w:r>
        <w:rPr>
          <w:rFonts w:ascii="Cambria Math" w:hAnsi="Cambria Math" w:eastAsia="Cambria Math"/>
          <w:w w:val="115"/>
          <w:position w:val="11"/>
          <w:sz w:val="14"/>
        </w:rPr>
        <w:t>𝑖𝑡 </w:t>
      </w:r>
      <w:r>
        <w:rPr>
          <w:rFonts w:ascii="Cambria Math" w:hAnsi="Cambria Math" w:eastAsia="Cambria Math"/>
          <w:w w:val="115"/>
          <w:sz w:val="20"/>
        </w:rPr>
        <w:t>+ </w:t>
      </w:r>
      <w:r>
        <w:rPr>
          <w:rFonts w:ascii="Cambria Math" w:hAnsi="Cambria Math" w:eastAsia="Cambria Math"/>
          <w:w w:val="165"/>
          <w:sz w:val="20"/>
        </w:rPr>
        <w:t>∑ </w:t>
      </w:r>
      <w:r>
        <w:rPr>
          <w:rFonts w:ascii="Cambria Math" w:hAnsi="Cambria Math" w:eastAsia="Cambria Math"/>
          <w:w w:val="115"/>
          <w:sz w:val="20"/>
        </w:rPr>
        <w:t>Δ </w:t>
      </w:r>
      <w:r>
        <w:rPr>
          <w:rFonts w:ascii="Cambria Math" w:hAnsi="Cambria Math" w:eastAsia="Cambria Math"/>
          <w:spacing w:val="-125"/>
          <w:w w:val="115"/>
          <w:sz w:val="20"/>
        </w:rPr>
        <w:t>𝜔</w:t>
      </w:r>
    </w:p>
    <w:p>
      <w:pPr>
        <w:pStyle w:val="BodyText"/>
        <w:spacing w:before="5"/>
        <w:rPr>
          <w:rFonts w:ascii="Cambria Math"/>
          <w:sz w:val="2"/>
        </w:rPr>
      </w:pPr>
    </w:p>
    <w:p>
      <w:pPr>
        <w:pStyle w:val="BodyText"/>
        <w:spacing w:line="20" w:lineRule="exact"/>
        <w:ind w:left="527"/>
        <w:rPr>
          <w:rFonts w:ascii="Cambria Math"/>
          <w:sz w:val="2"/>
        </w:rPr>
      </w:pPr>
      <w:r>
        <w:rPr>
          <w:rFonts w:ascii="Cambria Math"/>
          <w:sz w:val="2"/>
        </w:rPr>
        <w:pict>
          <v:group style="width:19.350pt;height:.6pt;mso-position-horizontal-relative:char;mso-position-vertical-relative:line" coordorigin="0,0" coordsize="387,12">
            <v:line style="position:absolute" from="0,6" to="387,6" stroked="true" strokeweight=".600010pt" strokecolor="#000000">
              <v:stroke dashstyle="solid"/>
            </v:line>
          </v:group>
        </w:pict>
      </w:r>
      <w:r>
        <w:rPr>
          <w:rFonts w:ascii="Cambria Math"/>
          <w:sz w:val="2"/>
        </w:rPr>
      </w:r>
    </w:p>
    <w:p>
      <w:pPr>
        <w:spacing w:line="31" w:lineRule="auto" w:before="43"/>
        <w:ind w:left="266" w:right="0" w:firstLine="0"/>
        <w:jc w:val="left"/>
        <w:rPr>
          <w:rFonts w:ascii="Cambria Math" w:hAnsi="Cambria Math" w:eastAsia="Cambria Math"/>
          <w:sz w:val="14"/>
        </w:rPr>
      </w:pPr>
      <w:r>
        <w:rPr/>
        <w:br w:type="column"/>
      </w:r>
      <w:r>
        <w:rPr>
          <w:rFonts w:ascii="Cambria Math" w:hAnsi="Cambria Math" w:eastAsia="Cambria Math"/>
          <w:position w:val="-10"/>
          <w:sz w:val="20"/>
        </w:rPr>
        <w:t>Δℎ </w:t>
      </w:r>
      <w:r>
        <w:rPr>
          <w:rFonts w:ascii="Cambria Math" w:hAnsi="Cambria Math" w:eastAsia="Cambria Math"/>
          <w:position w:val="4"/>
          <w:sz w:val="20"/>
        </w:rPr>
        <w:t>𝑄</w:t>
      </w:r>
      <w:r>
        <w:rPr>
          <w:rFonts w:ascii="Cambria Math" w:hAnsi="Cambria Math" w:eastAsia="Cambria Math"/>
          <w:sz w:val="14"/>
        </w:rPr>
        <w:t>𝑖𝑡−1</w:t>
      </w:r>
    </w:p>
    <w:p>
      <w:pPr>
        <w:pStyle w:val="BodyText"/>
        <w:spacing w:before="5"/>
        <w:rPr>
          <w:rFonts w:ascii="Cambria Math"/>
          <w:sz w:val="2"/>
        </w:rPr>
      </w:pPr>
    </w:p>
    <w:p>
      <w:pPr>
        <w:pStyle w:val="BodyText"/>
        <w:spacing w:line="20" w:lineRule="exact"/>
        <w:ind w:left="644"/>
        <w:rPr>
          <w:rFonts w:ascii="Cambria Math"/>
          <w:sz w:val="2"/>
        </w:rPr>
      </w:pPr>
      <w:r>
        <w:rPr>
          <w:rFonts w:ascii="Cambria Math"/>
          <w:sz w:val="2"/>
        </w:rPr>
        <w:pict>
          <v:group style="width:21.75pt;height:.6pt;mso-position-horizontal-relative:char;mso-position-vertical-relative:line" coordorigin="0,0" coordsize="435,12">
            <v:line style="position:absolute" from="0,6" to="434,6" stroked="true" strokeweight=".600010pt" strokecolor="#000000">
              <v:stroke dashstyle="solid"/>
            </v:line>
          </v:group>
        </w:pict>
      </w:r>
      <w:r>
        <w:rPr>
          <w:rFonts w:ascii="Cambria Math"/>
          <w:sz w:val="2"/>
        </w:rPr>
      </w:r>
    </w:p>
    <w:p>
      <w:pPr>
        <w:spacing w:after="0" w:line="20" w:lineRule="exact"/>
        <w:rPr>
          <w:rFonts w:ascii="Cambria Math"/>
          <w:sz w:val="2"/>
        </w:rPr>
        <w:sectPr>
          <w:type w:val="continuous"/>
          <w:pgSz w:w="11910" w:h="16840"/>
          <w:pgMar w:top="1180" w:bottom="1520" w:left="1020" w:right="1020"/>
          <w:cols w:num="6" w:equalWidth="0">
            <w:col w:w="1279" w:space="40"/>
            <w:col w:w="874" w:space="39"/>
            <w:col w:w="1912" w:space="40"/>
            <w:col w:w="1811" w:space="39"/>
            <w:col w:w="1766" w:space="40"/>
            <w:col w:w="2030"/>
          </w:cols>
        </w:sectPr>
      </w:pPr>
    </w:p>
    <w:p>
      <w:pPr>
        <w:spacing w:line="208" w:lineRule="exact" w:before="0"/>
        <w:ind w:left="941" w:right="0" w:firstLine="0"/>
        <w:jc w:val="left"/>
        <w:rPr>
          <w:rFonts w:ascii="Cambria Math" w:hAnsi="Cambria Math" w:eastAsia="Cambria Math"/>
          <w:sz w:val="14"/>
        </w:rPr>
      </w:pPr>
      <w:r>
        <w:rPr>
          <w:rFonts w:ascii="Cambria Math" w:hAnsi="Cambria Math" w:eastAsia="Cambria Math"/>
          <w:w w:val="105"/>
          <w:position w:val="4"/>
          <w:sz w:val="20"/>
        </w:rPr>
        <w:t>𝑄</w:t>
      </w:r>
      <w:r>
        <w:rPr>
          <w:rFonts w:ascii="Cambria Math" w:hAnsi="Cambria Math" w:eastAsia="Cambria Math"/>
          <w:w w:val="105"/>
          <w:sz w:val="14"/>
        </w:rPr>
        <w:t>𝑡−1</w:t>
      </w:r>
    </w:p>
    <w:p>
      <w:pPr>
        <w:spacing w:line="123" w:lineRule="exact" w:before="0"/>
        <w:ind w:left="0" w:right="0" w:firstLine="0"/>
        <w:jc w:val="right"/>
        <w:rPr>
          <w:rFonts w:ascii="Cambria Math" w:eastAsia="Cambria Math"/>
          <w:sz w:val="14"/>
        </w:rPr>
      </w:pPr>
      <w:r>
        <w:rPr>
          <w:rFonts w:ascii="Cambria Math" w:eastAsia="Cambria Math"/>
          <w:w w:val="110"/>
          <w:sz w:val="14"/>
        </w:rPr>
        <w:t>𝑖</w:t>
      </w:r>
    </w:p>
    <w:p>
      <w:pPr>
        <w:spacing w:line="115" w:lineRule="exact" w:before="0"/>
        <w:ind w:left="410" w:right="0" w:firstLine="0"/>
        <w:jc w:val="left"/>
        <w:rPr>
          <w:rFonts w:ascii="Cambria Math" w:hAnsi="Cambria Math" w:eastAsia="Cambria Math"/>
          <w:sz w:val="14"/>
        </w:rPr>
      </w:pPr>
      <w:r>
        <w:rPr/>
        <w:br w:type="column"/>
      </w:r>
      <w:r>
        <w:rPr>
          <w:rFonts w:ascii="Cambria Math" w:hAnsi="Cambria Math" w:eastAsia="Cambria Math"/>
          <w:w w:val="105"/>
          <w:sz w:val="14"/>
        </w:rPr>
        <w:t>𝑖𝑡−1</w:t>
      </w:r>
    </w:p>
    <w:p>
      <w:pPr>
        <w:spacing w:line="105" w:lineRule="auto" w:before="0"/>
        <w:ind w:left="112" w:right="0" w:firstLine="0"/>
        <w:jc w:val="left"/>
        <w:rPr>
          <w:rFonts w:ascii="Cambria Math" w:hAnsi="Cambria Math" w:eastAsia="Cambria Math"/>
          <w:sz w:val="14"/>
        </w:rPr>
      </w:pPr>
      <w:r>
        <w:rPr/>
        <w:br w:type="column"/>
      </w:r>
      <w:r>
        <w:rPr>
          <w:rFonts w:ascii="Cambria Math" w:hAnsi="Cambria Math" w:eastAsia="Cambria Math"/>
          <w:w w:val="105"/>
          <w:sz w:val="14"/>
        </w:rPr>
        <w:t>𝑖𝑡−1 </w:t>
      </w:r>
      <w:r>
        <w:rPr>
          <w:rFonts w:ascii="Cambria Math" w:hAnsi="Cambria Math" w:eastAsia="Cambria Math"/>
          <w:w w:val="105"/>
          <w:position w:val="-8"/>
          <w:sz w:val="20"/>
        </w:rPr>
        <w:t>𝑄</w:t>
      </w:r>
      <w:r>
        <w:rPr>
          <w:rFonts w:ascii="Cambria Math" w:hAnsi="Cambria Math" w:eastAsia="Cambria Math"/>
          <w:w w:val="105"/>
          <w:position w:val="-12"/>
          <w:sz w:val="14"/>
        </w:rPr>
        <w:t>𝑡−1</w:t>
      </w:r>
    </w:p>
    <w:p>
      <w:pPr>
        <w:spacing w:line="115" w:lineRule="exact" w:before="0"/>
        <w:ind w:left="719" w:right="0" w:firstLine="0"/>
        <w:jc w:val="left"/>
        <w:rPr>
          <w:rFonts w:ascii="Cambria Math" w:hAnsi="Cambria Math" w:eastAsia="Cambria Math"/>
          <w:sz w:val="14"/>
        </w:rPr>
      </w:pPr>
      <w:r>
        <w:rPr/>
        <w:br w:type="column"/>
      </w:r>
      <w:r>
        <w:rPr>
          <w:rFonts w:ascii="Cambria Math" w:hAnsi="Cambria Math" w:eastAsia="Cambria Math"/>
          <w:w w:val="105"/>
          <w:sz w:val="14"/>
        </w:rPr>
        <w:t>𝑖𝑡−2</w:t>
      </w:r>
    </w:p>
    <w:p>
      <w:pPr>
        <w:spacing w:before="52"/>
        <w:ind w:left="337" w:right="0" w:firstLine="0"/>
        <w:jc w:val="left"/>
        <w:rPr>
          <w:rFonts w:ascii="Cambria Math" w:eastAsia="Cambria Math"/>
          <w:sz w:val="14"/>
        </w:rPr>
      </w:pPr>
      <w:r>
        <w:rPr>
          <w:rFonts w:ascii="Cambria Math" w:eastAsia="Cambria Math"/>
          <w:w w:val="110"/>
          <w:sz w:val="14"/>
        </w:rPr>
        <w:t>𝑖</w:t>
      </w:r>
    </w:p>
    <w:p>
      <w:pPr>
        <w:spacing w:line="249" w:lineRule="exact" w:before="0"/>
        <w:ind w:left="199" w:right="0" w:firstLine="0"/>
        <w:jc w:val="left"/>
        <w:rPr>
          <w:rFonts w:ascii="Cambria Math" w:hAnsi="Cambria Math" w:eastAsia="Cambria Math"/>
          <w:sz w:val="14"/>
        </w:rPr>
      </w:pPr>
      <w:r>
        <w:rPr/>
        <w:br w:type="column"/>
      </w:r>
      <w:r>
        <w:rPr>
          <w:rFonts w:ascii="Cambria Math" w:hAnsi="Cambria Math" w:eastAsia="Cambria Math"/>
          <w:w w:val="105"/>
          <w:position w:val="13"/>
          <w:sz w:val="14"/>
        </w:rPr>
        <w:t>𝑖𝑡 </w:t>
      </w:r>
      <w:r>
        <w:rPr>
          <w:rFonts w:ascii="Cambria Math" w:hAnsi="Cambria Math" w:eastAsia="Cambria Math"/>
          <w:w w:val="105"/>
          <w:position w:val="4"/>
          <w:sz w:val="20"/>
        </w:rPr>
        <w:t>𝑄</w:t>
      </w:r>
      <w:r>
        <w:rPr>
          <w:rFonts w:ascii="Cambria Math" w:hAnsi="Cambria Math" w:eastAsia="Cambria Math"/>
          <w:w w:val="105"/>
          <w:sz w:val="14"/>
        </w:rPr>
        <w:t>𝑡−1</w:t>
      </w:r>
    </w:p>
    <w:p>
      <w:pPr>
        <w:spacing w:line="115" w:lineRule="exact" w:before="0"/>
        <w:ind w:left="717" w:right="0" w:firstLine="0"/>
        <w:jc w:val="left"/>
        <w:rPr>
          <w:rFonts w:ascii="Cambria Math" w:hAnsi="Cambria Math" w:eastAsia="Cambria Math"/>
          <w:sz w:val="14"/>
        </w:rPr>
      </w:pPr>
      <w:r>
        <w:rPr/>
        <w:br w:type="column"/>
      </w:r>
      <w:r>
        <w:rPr>
          <w:rFonts w:ascii="Cambria Math" w:hAnsi="Cambria Math" w:eastAsia="Cambria Math"/>
          <w:w w:val="105"/>
          <w:sz w:val="14"/>
        </w:rPr>
        <w:t>𝑖𝑡−1</w:t>
      </w:r>
    </w:p>
    <w:p>
      <w:pPr>
        <w:spacing w:before="52"/>
        <w:ind w:left="337" w:right="0" w:firstLine="0"/>
        <w:jc w:val="left"/>
        <w:rPr>
          <w:rFonts w:ascii="Cambria Math" w:eastAsia="Cambria Math"/>
          <w:sz w:val="14"/>
        </w:rPr>
      </w:pPr>
      <w:r>
        <w:rPr>
          <w:rFonts w:ascii="Cambria Math" w:eastAsia="Cambria Math"/>
          <w:w w:val="110"/>
          <w:sz w:val="14"/>
        </w:rPr>
        <w:t>𝑖</w:t>
      </w:r>
    </w:p>
    <w:p>
      <w:pPr>
        <w:spacing w:line="208" w:lineRule="exact" w:before="0"/>
        <w:ind w:left="78" w:right="0" w:firstLine="0"/>
        <w:jc w:val="left"/>
        <w:rPr>
          <w:rFonts w:ascii="Cambria Math" w:hAnsi="Cambria Math" w:eastAsia="Cambria Math"/>
          <w:sz w:val="14"/>
        </w:rPr>
      </w:pPr>
      <w:r>
        <w:rPr/>
        <w:br w:type="column"/>
      </w:r>
      <w:r>
        <w:rPr>
          <w:rFonts w:ascii="Cambria Math" w:hAnsi="Cambria Math" w:eastAsia="Cambria Math"/>
          <w:w w:val="105"/>
          <w:position w:val="13"/>
          <w:sz w:val="14"/>
        </w:rPr>
        <w:t>𝑖𝑡 </w:t>
      </w:r>
      <w:r>
        <w:rPr>
          <w:rFonts w:ascii="Cambria Math" w:hAnsi="Cambria Math" w:eastAsia="Cambria Math"/>
          <w:w w:val="105"/>
          <w:position w:val="4"/>
          <w:sz w:val="20"/>
        </w:rPr>
        <w:t>𝑄</w:t>
      </w:r>
      <w:r>
        <w:rPr>
          <w:rFonts w:ascii="Cambria Math" w:hAnsi="Cambria Math" w:eastAsia="Cambria Math"/>
          <w:w w:val="105"/>
          <w:sz w:val="14"/>
        </w:rPr>
        <w:t>𝑡−1</w:t>
      </w:r>
    </w:p>
    <w:p>
      <w:pPr>
        <w:spacing w:line="123" w:lineRule="exact" w:before="0"/>
        <w:ind w:left="0" w:right="0" w:firstLine="0"/>
        <w:jc w:val="right"/>
        <w:rPr>
          <w:rFonts w:ascii="Cambria Math" w:eastAsia="Cambria Math"/>
          <w:sz w:val="14"/>
        </w:rPr>
      </w:pPr>
      <w:r>
        <w:rPr>
          <w:rFonts w:ascii="Cambria Math" w:eastAsia="Cambria Math"/>
          <w:w w:val="110"/>
          <w:sz w:val="14"/>
        </w:rPr>
        <w:t>𝑖</w:t>
      </w:r>
    </w:p>
    <w:p>
      <w:pPr>
        <w:spacing w:line="115" w:lineRule="exact" w:before="0"/>
        <w:ind w:left="412" w:right="0" w:firstLine="0"/>
        <w:jc w:val="left"/>
        <w:rPr>
          <w:rFonts w:ascii="Cambria Math" w:hAnsi="Cambria Math" w:eastAsia="Cambria Math"/>
          <w:sz w:val="14"/>
        </w:rPr>
      </w:pPr>
      <w:r>
        <w:rPr/>
        <w:br w:type="column"/>
      </w:r>
      <w:r>
        <w:rPr>
          <w:rFonts w:ascii="Cambria Math" w:hAnsi="Cambria Math" w:eastAsia="Cambria Math"/>
          <w:w w:val="105"/>
          <w:sz w:val="14"/>
        </w:rPr>
        <w:t>𝑖𝑡−1</w:t>
      </w:r>
    </w:p>
    <w:p>
      <w:pPr>
        <w:spacing w:line="249" w:lineRule="exact" w:before="0"/>
        <w:ind w:left="198" w:right="0" w:firstLine="0"/>
        <w:jc w:val="left"/>
        <w:rPr>
          <w:rFonts w:ascii="Cambria Math" w:hAnsi="Cambria Math" w:eastAsia="Cambria Math"/>
          <w:sz w:val="14"/>
        </w:rPr>
      </w:pPr>
      <w:r>
        <w:rPr/>
        <w:br w:type="column"/>
      </w:r>
      <w:r>
        <w:rPr>
          <w:rFonts w:ascii="Cambria Math" w:hAnsi="Cambria Math" w:eastAsia="Cambria Math"/>
          <w:w w:val="105"/>
          <w:position w:val="13"/>
          <w:sz w:val="14"/>
        </w:rPr>
        <w:t>𝑖𝑡 </w:t>
      </w:r>
      <w:r>
        <w:rPr>
          <w:rFonts w:ascii="Cambria Math" w:hAnsi="Cambria Math" w:eastAsia="Cambria Math"/>
          <w:w w:val="105"/>
          <w:position w:val="4"/>
          <w:sz w:val="20"/>
        </w:rPr>
        <w:t>𝑄</w:t>
      </w:r>
      <w:r>
        <w:rPr>
          <w:rFonts w:ascii="Cambria Math" w:hAnsi="Cambria Math" w:eastAsia="Cambria Math"/>
          <w:w w:val="105"/>
          <w:sz w:val="14"/>
        </w:rPr>
        <w:t>𝑡−1</w:t>
      </w:r>
    </w:p>
    <w:p>
      <w:pPr>
        <w:spacing w:after="0" w:line="249" w:lineRule="exact"/>
        <w:jc w:val="left"/>
        <w:rPr>
          <w:rFonts w:ascii="Cambria Math" w:hAnsi="Cambria Math" w:eastAsia="Cambria Math"/>
          <w:sz w:val="14"/>
        </w:rPr>
        <w:sectPr>
          <w:type w:val="continuous"/>
          <w:pgSz w:w="11910" w:h="16840"/>
          <w:pgMar w:top="1180" w:bottom="1520" w:left="1020" w:right="1020"/>
          <w:cols w:num="9" w:equalWidth="0">
            <w:col w:w="1742" w:space="40"/>
            <w:col w:w="710" w:space="39"/>
            <w:col w:w="853" w:space="40"/>
            <w:col w:w="1017" w:space="39"/>
            <w:col w:w="758" w:space="39"/>
            <w:col w:w="1017" w:space="40"/>
            <w:col w:w="1014" w:space="39"/>
            <w:col w:w="710" w:space="39"/>
            <w:col w:w="1734"/>
          </w:cols>
        </w:sectPr>
      </w:pPr>
    </w:p>
    <w:p>
      <w:pPr>
        <w:pStyle w:val="BodyText"/>
        <w:spacing w:before="83"/>
        <w:ind w:left="113"/>
      </w:pPr>
      <w:r>
        <w:rPr/>
        <w:t>We make adjustments to these terms before arriving at our final decomposition:</w:t>
      </w:r>
    </w:p>
    <w:p>
      <w:pPr>
        <w:tabs>
          <w:tab w:pos="833" w:val="left" w:leader="none"/>
        </w:tabs>
        <w:spacing w:before="113"/>
        <w:ind w:left="473" w:right="0" w:firstLine="0"/>
        <w:jc w:val="left"/>
        <w:rPr>
          <w:sz w:val="20"/>
        </w:rPr>
      </w:pPr>
      <w:r>
        <w:rPr>
          <w:sz w:val="20"/>
        </w:rPr>
        <w:t>-</w:t>
        <w:tab/>
      </w:r>
      <w:r>
        <w:rPr>
          <w:spacing w:val="3"/>
          <w:sz w:val="20"/>
        </w:rPr>
        <w:t>We </w:t>
      </w:r>
      <w:r>
        <w:rPr>
          <w:sz w:val="20"/>
        </w:rPr>
        <w:t>exclude </w:t>
      </w:r>
      <w:r>
        <w:rPr>
          <w:b/>
          <w:sz w:val="20"/>
        </w:rPr>
        <w:t>relative price </w:t>
      </w:r>
      <w:r>
        <w:rPr>
          <w:sz w:val="20"/>
        </w:rPr>
        <w:t>effects: these always sum to</w:t>
      </w:r>
      <w:r>
        <w:rPr>
          <w:spacing w:val="-9"/>
          <w:sz w:val="20"/>
        </w:rPr>
        <w:t> </w:t>
      </w:r>
      <w:r>
        <w:rPr>
          <w:sz w:val="20"/>
        </w:rPr>
        <w:t>zero.</w:t>
      </w:r>
    </w:p>
    <w:p>
      <w:pPr>
        <w:spacing w:after="0"/>
        <w:jc w:val="left"/>
        <w:rPr>
          <w:sz w:val="20"/>
        </w:rPr>
        <w:sectPr>
          <w:type w:val="continuous"/>
          <w:pgSz w:w="11910" w:h="16840"/>
          <w:pgMar w:top="1180" w:bottom="1520" w:left="1020" w:right="1020"/>
        </w:sectPr>
      </w:pPr>
    </w:p>
    <w:p>
      <w:pPr>
        <w:pStyle w:val="BodyText"/>
        <w:spacing w:before="2"/>
        <w:rPr>
          <w:sz w:val="21"/>
        </w:rPr>
      </w:pPr>
    </w:p>
    <w:p>
      <w:pPr>
        <w:pStyle w:val="BodyText"/>
        <w:spacing w:line="99" w:lineRule="exact"/>
        <w:jc w:val="right"/>
        <w:rPr>
          <w:rFonts w:ascii="Cambria Math" w:hAnsi="Cambria Math" w:eastAsia="Cambria Math"/>
        </w:rPr>
      </w:pPr>
      <w:r>
        <w:rPr>
          <w:rFonts w:ascii="Cambria Math" w:hAnsi="Cambria Math" w:eastAsia="Cambria Math"/>
          <w:w w:val="165"/>
        </w:rPr>
        <w:t>∑ </w:t>
      </w:r>
      <w:r>
        <w:rPr>
          <w:rFonts w:ascii="Cambria Math" w:hAnsi="Cambria Math" w:eastAsia="Cambria Math"/>
          <w:w w:val="120"/>
        </w:rPr>
        <w:t>Δ𝜔</w:t>
      </w:r>
    </w:p>
    <w:p>
      <w:pPr>
        <w:tabs>
          <w:tab w:pos="749" w:val="left" w:leader="none"/>
        </w:tabs>
        <w:spacing w:line="251" w:lineRule="exact" w:before="90"/>
        <w:ind w:left="300" w:right="0" w:firstLine="0"/>
        <w:jc w:val="left"/>
        <w:rPr>
          <w:rFonts w:ascii="Cambria Math" w:hAnsi="Cambria Math" w:eastAsia="Cambria Math"/>
          <w:sz w:val="20"/>
        </w:rPr>
      </w:pPr>
      <w:r>
        <w:rPr/>
        <w:br w:type="column"/>
      </w:r>
      <w:r>
        <w:rPr>
          <w:rFonts w:ascii="Cambria Math" w:hAnsi="Cambria Math" w:eastAsia="Cambria Math"/>
          <w:position w:val="-10"/>
          <w:sz w:val="20"/>
        </w:rPr>
        <w:t>ℎ</w:t>
        <w:tab/>
      </w:r>
      <w:r>
        <w:rPr>
          <w:rFonts w:ascii="Cambria Math" w:hAnsi="Cambria Math" w:eastAsia="Cambria Math"/>
          <w:position w:val="4"/>
          <w:sz w:val="20"/>
        </w:rPr>
        <w:t>𝑄</w:t>
      </w:r>
      <w:r>
        <w:rPr>
          <w:rFonts w:ascii="Cambria Math" w:hAnsi="Cambria Math" w:eastAsia="Cambria Math"/>
          <w:sz w:val="14"/>
        </w:rPr>
        <w:t>𝑖𝑡−1 </w:t>
      </w:r>
      <w:r>
        <w:rPr>
          <w:rFonts w:ascii="Cambria Math" w:hAnsi="Cambria Math" w:eastAsia="Cambria Math"/>
          <w:position w:val="-10"/>
          <w:sz w:val="20"/>
        </w:rPr>
        <w:t>=</w:t>
      </w:r>
      <w:r>
        <w:rPr>
          <w:rFonts w:ascii="Cambria Math" w:hAnsi="Cambria Math" w:eastAsia="Cambria Math"/>
          <w:spacing w:val="14"/>
          <w:position w:val="-10"/>
          <w:sz w:val="20"/>
        </w:rPr>
        <w:t> </w:t>
      </w:r>
      <w:r>
        <w:rPr>
          <w:rFonts w:ascii="Cambria Math" w:hAnsi="Cambria Math" w:eastAsia="Cambria Math"/>
          <w:position w:val="-10"/>
          <w:sz w:val="20"/>
        </w:rPr>
        <w:t>0</w:t>
      </w:r>
    </w:p>
    <w:p>
      <w:pPr>
        <w:pStyle w:val="BodyText"/>
        <w:spacing w:before="6"/>
        <w:rPr>
          <w:rFonts w:ascii="Cambria Math"/>
          <w:sz w:val="2"/>
        </w:rPr>
      </w:pPr>
    </w:p>
    <w:p>
      <w:pPr>
        <w:pStyle w:val="BodyText"/>
        <w:spacing w:line="20" w:lineRule="exact"/>
        <w:ind w:left="743"/>
        <w:rPr>
          <w:rFonts w:ascii="Cambria Math"/>
          <w:sz w:val="2"/>
        </w:rPr>
      </w:pPr>
      <w:r>
        <w:rPr>
          <w:rFonts w:ascii="Cambria Math"/>
          <w:sz w:val="2"/>
        </w:rPr>
        <w:pict>
          <v:group style="width:21.75pt;height:.6pt;mso-position-horizontal-relative:char;mso-position-vertical-relative:line" coordorigin="0,0" coordsize="435,12">
            <v:line style="position:absolute" from="0,6" to="434,6" stroked="true" strokeweight=".60004pt" strokecolor="#000000">
              <v:stroke dashstyle="solid"/>
            </v:line>
          </v:group>
        </w:pict>
      </w:r>
      <w:r>
        <w:rPr>
          <w:rFonts w:ascii="Cambria Math"/>
          <w:sz w:val="2"/>
        </w:rPr>
      </w:r>
    </w:p>
    <w:p>
      <w:pPr>
        <w:spacing w:after="0" w:line="20" w:lineRule="exact"/>
        <w:rPr>
          <w:rFonts w:ascii="Cambria Math"/>
          <w:sz w:val="2"/>
        </w:rPr>
        <w:sectPr>
          <w:type w:val="continuous"/>
          <w:pgSz w:w="11910" w:h="16840"/>
          <w:pgMar w:top="1180" w:bottom="1520" w:left="1020" w:right="1020"/>
          <w:cols w:num="2" w:equalWidth="0">
            <w:col w:w="4440" w:space="40"/>
            <w:col w:w="5390"/>
          </w:cols>
        </w:sectPr>
      </w:pPr>
    </w:p>
    <w:p>
      <w:pPr>
        <w:spacing w:line="115" w:lineRule="exact" w:before="0"/>
        <w:ind w:left="4438" w:right="0" w:firstLine="0"/>
        <w:jc w:val="left"/>
        <w:rPr>
          <w:rFonts w:ascii="Cambria Math" w:hAnsi="Cambria Math" w:eastAsia="Cambria Math"/>
          <w:sz w:val="14"/>
        </w:rPr>
      </w:pPr>
      <w:r>
        <w:rPr>
          <w:rFonts w:ascii="Cambria Math" w:hAnsi="Cambria Math" w:eastAsia="Cambria Math"/>
          <w:w w:val="105"/>
          <w:sz w:val="14"/>
        </w:rPr>
        <w:t>𝑖𝑡−1</w:t>
      </w:r>
    </w:p>
    <w:p>
      <w:pPr>
        <w:spacing w:before="52"/>
        <w:ind w:left="3937" w:right="0" w:firstLine="0"/>
        <w:jc w:val="left"/>
        <w:rPr>
          <w:rFonts w:ascii="Cambria Math" w:eastAsia="Cambria Math"/>
          <w:sz w:val="14"/>
        </w:rPr>
      </w:pPr>
      <w:r>
        <w:rPr>
          <w:rFonts w:ascii="Cambria Math" w:eastAsia="Cambria Math"/>
          <w:w w:val="110"/>
          <w:sz w:val="14"/>
        </w:rPr>
        <w:t>𝑖</w:t>
      </w:r>
    </w:p>
    <w:p>
      <w:pPr>
        <w:spacing w:line="103" w:lineRule="auto" w:before="0"/>
        <w:ind w:left="114" w:right="0" w:firstLine="0"/>
        <w:jc w:val="left"/>
        <w:rPr>
          <w:rFonts w:ascii="Cambria Math" w:hAnsi="Cambria Math" w:eastAsia="Cambria Math"/>
          <w:sz w:val="14"/>
        </w:rPr>
      </w:pPr>
      <w:r>
        <w:rPr/>
        <w:br w:type="column"/>
      </w:r>
      <w:r>
        <w:rPr>
          <w:rFonts w:ascii="Cambria Math" w:hAnsi="Cambria Math" w:eastAsia="Cambria Math"/>
          <w:w w:val="105"/>
          <w:sz w:val="14"/>
        </w:rPr>
        <w:t>𝑖𝑡−1 </w:t>
      </w:r>
      <w:r>
        <w:rPr>
          <w:rFonts w:ascii="Cambria Math" w:hAnsi="Cambria Math" w:eastAsia="Cambria Math"/>
          <w:w w:val="105"/>
          <w:position w:val="-8"/>
          <w:sz w:val="20"/>
        </w:rPr>
        <w:t>𝑄</w:t>
      </w:r>
      <w:r>
        <w:rPr>
          <w:rFonts w:ascii="Cambria Math" w:hAnsi="Cambria Math" w:eastAsia="Cambria Math"/>
          <w:w w:val="105"/>
          <w:position w:val="-12"/>
          <w:sz w:val="14"/>
        </w:rPr>
        <w:t>𝑡−1</w:t>
      </w:r>
    </w:p>
    <w:p>
      <w:pPr>
        <w:spacing w:after="0" w:line="103" w:lineRule="auto"/>
        <w:jc w:val="left"/>
        <w:rPr>
          <w:rFonts w:ascii="Cambria Math" w:hAnsi="Cambria Math" w:eastAsia="Cambria Math"/>
          <w:sz w:val="14"/>
        </w:rPr>
        <w:sectPr>
          <w:type w:val="continuous"/>
          <w:pgSz w:w="11910" w:h="16840"/>
          <w:pgMar w:top="1180" w:bottom="1520" w:left="1020" w:right="1020"/>
          <w:cols w:num="2" w:equalWidth="0">
            <w:col w:w="4736" w:space="40"/>
            <w:col w:w="5094"/>
          </w:cols>
        </w:sectPr>
      </w:pPr>
    </w:p>
    <w:p>
      <w:pPr>
        <w:pStyle w:val="BodyText"/>
        <w:tabs>
          <w:tab w:pos="833" w:val="left" w:leader="none"/>
        </w:tabs>
        <w:spacing w:line="360" w:lineRule="auto" w:before="81"/>
        <w:ind w:left="833" w:right="445" w:hanging="360"/>
      </w:pPr>
      <w:r>
        <w:rPr/>
        <w:t>-</w:t>
        <w:tab/>
      </w:r>
      <w:r>
        <w:rPr>
          <w:spacing w:val="3"/>
        </w:rPr>
        <w:t>We </w:t>
      </w:r>
      <w:r>
        <w:rPr/>
        <w:t>adjust the </w:t>
      </w:r>
      <w:r>
        <w:rPr>
          <w:b/>
        </w:rPr>
        <w:t>between effect </w:t>
      </w:r>
      <w:r>
        <w:rPr/>
        <w:t>to account for indirect effects of labour reallocations by</w:t>
      </w:r>
      <w:r>
        <w:rPr>
          <w:spacing w:val="-38"/>
        </w:rPr>
        <w:t> </w:t>
      </w:r>
      <w:r>
        <w:rPr/>
        <w:t>subtracting the unweighted change in labour share from each sector (equal to zero in sum). This apportions between effects across sectors to take account of how ‘normal’ they are: a sector’s labour reallocation only drags on productivity if the product of its implicit deflator and its productivity is above (below) that of the aggregate economy and it loses (gains)</w:t>
      </w:r>
      <w:r>
        <w:rPr>
          <w:spacing w:val="-6"/>
        </w:rPr>
        <w:t> </w:t>
      </w:r>
      <w:r>
        <w:rPr/>
        <w:t>labour-share.</w:t>
      </w:r>
    </w:p>
    <w:p>
      <w:pPr>
        <w:spacing w:after="0" w:line="360" w:lineRule="auto"/>
        <w:sectPr>
          <w:type w:val="continuous"/>
          <w:pgSz w:w="11910" w:h="16840"/>
          <w:pgMar w:top="1180" w:bottom="1520" w:left="1020" w:right="1020"/>
        </w:sectPr>
      </w:pPr>
    </w:p>
    <w:p>
      <w:pPr>
        <w:pStyle w:val="BodyText"/>
        <w:spacing w:line="99" w:lineRule="exact" w:before="131"/>
        <w:jc w:val="right"/>
        <w:rPr>
          <w:rFonts w:ascii="Cambria Math" w:hAnsi="Cambria Math" w:eastAsia="Cambria Math"/>
        </w:rPr>
      </w:pPr>
      <w:r>
        <w:rPr>
          <w:rFonts w:ascii="Cambria Math" w:hAnsi="Cambria Math" w:eastAsia="Cambria Math"/>
          <w:w w:val="170"/>
        </w:rPr>
        <w:t>∑ </w:t>
      </w:r>
      <w:r>
        <w:rPr>
          <w:rFonts w:ascii="Cambria Math" w:hAnsi="Cambria Math" w:eastAsia="Cambria Math"/>
          <w:w w:val="120"/>
        </w:rPr>
        <w:t>𝜔</w:t>
      </w:r>
    </w:p>
    <w:p>
      <w:pPr>
        <w:spacing w:line="230" w:lineRule="exact" w:before="0"/>
        <w:ind w:left="266" w:right="0" w:firstLine="0"/>
        <w:jc w:val="left"/>
        <w:rPr>
          <w:rFonts w:ascii="Cambria Math" w:hAnsi="Cambria Math" w:eastAsia="Cambria Math"/>
          <w:sz w:val="20"/>
        </w:rPr>
      </w:pPr>
      <w:r>
        <w:rPr/>
        <w:br w:type="column"/>
      </w:r>
      <w:r>
        <w:rPr>
          <w:rFonts w:ascii="Cambria Math" w:hAnsi="Cambria Math" w:eastAsia="Cambria Math"/>
          <w:w w:val="115"/>
          <w:sz w:val="20"/>
        </w:rPr>
        <w:t>Δℎ </w:t>
      </w:r>
      <w:r>
        <w:rPr>
          <w:rFonts w:ascii="Cambria Math" w:hAnsi="Cambria Math" w:eastAsia="Cambria Math"/>
          <w:w w:val="115"/>
          <w:position w:val="15"/>
          <w:sz w:val="20"/>
        </w:rPr>
        <w:t>𝑄</w:t>
      </w:r>
      <w:r>
        <w:rPr>
          <w:rFonts w:ascii="Cambria Math" w:hAnsi="Cambria Math" w:eastAsia="Cambria Math"/>
          <w:w w:val="115"/>
          <w:position w:val="11"/>
          <w:sz w:val="14"/>
        </w:rPr>
        <w:t>𝑖𝑡−1 </w:t>
      </w:r>
      <w:r>
        <w:rPr>
          <w:rFonts w:ascii="Cambria Math" w:hAnsi="Cambria Math" w:eastAsia="Cambria Math"/>
          <w:w w:val="115"/>
          <w:sz w:val="20"/>
        </w:rPr>
        <w:t>= </w:t>
      </w:r>
      <w:r>
        <w:rPr>
          <w:rFonts w:ascii="Cambria Math" w:hAnsi="Cambria Math" w:eastAsia="Cambria Math"/>
          <w:w w:val="165"/>
          <w:sz w:val="20"/>
        </w:rPr>
        <w:t>∑ </w:t>
      </w:r>
      <w:r>
        <w:rPr>
          <w:rFonts w:ascii="Cambria Math" w:hAnsi="Cambria Math" w:eastAsia="Cambria Math"/>
          <w:w w:val="115"/>
          <w:sz w:val="20"/>
        </w:rPr>
        <w:t>(𝜔</w:t>
      </w:r>
    </w:p>
    <w:p>
      <w:pPr>
        <w:pStyle w:val="BodyText"/>
        <w:spacing w:before="5"/>
        <w:rPr>
          <w:rFonts w:ascii="Cambria Math"/>
          <w:sz w:val="2"/>
        </w:rPr>
      </w:pPr>
    </w:p>
    <w:p>
      <w:pPr>
        <w:pStyle w:val="BodyText"/>
        <w:spacing w:line="20" w:lineRule="exact"/>
        <w:ind w:left="647"/>
        <w:rPr>
          <w:rFonts w:ascii="Cambria Math"/>
          <w:sz w:val="2"/>
        </w:rPr>
      </w:pPr>
      <w:r>
        <w:rPr>
          <w:rFonts w:ascii="Cambria Math"/>
          <w:sz w:val="2"/>
        </w:rPr>
        <w:pict>
          <v:group style="width:21.75pt;height:.6pt;mso-position-horizontal-relative:char;mso-position-vertical-relative:line" coordorigin="0,0" coordsize="435,12">
            <v:line style="position:absolute" from="0,6" to="434,6" stroked="true" strokeweight=".60004pt" strokecolor="#000000">
              <v:stroke dashstyle="solid"/>
            </v:line>
          </v:group>
        </w:pict>
      </w:r>
      <w:r>
        <w:rPr>
          <w:rFonts w:ascii="Cambria Math"/>
          <w:sz w:val="2"/>
        </w:rPr>
      </w:r>
    </w:p>
    <w:p>
      <w:pPr>
        <w:spacing w:line="230" w:lineRule="exact" w:before="0"/>
        <w:ind w:left="300" w:right="0" w:firstLine="0"/>
        <w:jc w:val="left"/>
        <w:rPr>
          <w:rFonts w:ascii="Cambria Math" w:hAnsi="Cambria Math" w:eastAsia="Cambria Math"/>
          <w:sz w:val="20"/>
        </w:rPr>
      </w:pPr>
      <w:r>
        <w:rPr/>
        <w:br w:type="column"/>
      </w:r>
      <w:r>
        <w:rPr>
          <w:rFonts w:ascii="Cambria Math" w:hAnsi="Cambria Math" w:eastAsia="Cambria Math"/>
          <w:w w:val="105"/>
          <w:position w:val="15"/>
          <w:sz w:val="20"/>
        </w:rPr>
        <w:t>𝑄</w:t>
      </w:r>
      <w:r>
        <w:rPr>
          <w:rFonts w:ascii="Cambria Math" w:hAnsi="Cambria Math" w:eastAsia="Cambria Math"/>
          <w:w w:val="105"/>
          <w:position w:val="11"/>
          <w:sz w:val="14"/>
        </w:rPr>
        <w:t>𝑖𝑡−1 </w:t>
      </w:r>
      <w:r>
        <w:rPr>
          <w:rFonts w:ascii="Cambria Math" w:hAnsi="Cambria Math" w:eastAsia="Cambria Math"/>
          <w:w w:val="105"/>
          <w:sz w:val="20"/>
        </w:rPr>
        <w:t>− 1) Δℎ</w:t>
      </w:r>
    </w:p>
    <w:p>
      <w:pPr>
        <w:pStyle w:val="BodyText"/>
        <w:spacing w:before="5"/>
        <w:rPr>
          <w:rFonts w:ascii="Cambria Math"/>
          <w:sz w:val="2"/>
        </w:rPr>
      </w:pPr>
    </w:p>
    <w:p>
      <w:pPr>
        <w:pStyle w:val="BodyText"/>
        <w:spacing w:line="20" w:lineRule="exact"/>
        <w:ind w:left="294"/>
        <w:rPr>
          <w:rFonts w:ascii="Cambria Math"/>
          <w:sz w:val="2"/>
        </w:rPr>
      </w:pPr>
      <w:r>
        <w:rPr>
          <w:rFonts w:ascii="Cambria Math"/>
          <w:sz w:val="2"/>
        </w:rPr>
        <w:pict>
          <v:group style="width:21.75pt;height:.6pt;mso-position-horizontal-relative:char;mso-position-vertical-relative:line" coordorigin="0,0" coordsize="435,12">
            <v:line style="position:absolute" from="0,6" to="434,6" stroked="true" strokeweight=".60004pt" strokecolor="#000000">
              <v:stroke dashstyle="solid"/>
            </v:line>
          </v:group>
        </w:pict>
      </w:r>
      <w:r>
        <w:rPr>
          <w:rFonts w:ascii="Cambria Math"/>
          <w:sz w:val="2"/>
        </w:rPr>
      </w:r>
    </w:p>
    <w:p>
      <w:pPr>
        <w:spacing w:after="0" w:line="20" w:lineRule="exact"/>
        <w:rPr>
          <w:rFonts w:ascii="Cambria Math"/>
          <w:sz w:val="2"/>
        </w:rPr>
        <w:sectPr>
          <w:type w:val="continuous"/>
          <w:pgSz w:w="11910" w:h="16840"/>
          <w:pgMar w:top="1180" w:bottom="1520" w:left="1020" w:right="1020"/>
          <w:cols w:num="3" w:equalWidth="0">
            <w:col w:w="3386" w:space="40"/>
            <w:col w:w="1934" w:space="39"/>
            <w:col w:w="4471"/>
          </w:cols>
        </w:sectPr>
      </w:pPr>
    </w:p>
    <w:p>
      <w:pPr>
        <w:spacing w:line="115" w:lineRule="exact" w:before="0"/>
        <w:ind w:left="3385" w:right="0" w:firstLine="0"/>
        <w:jc w:val="left"/>
        <w:rPr>
          <w:rFonts w:ascii="Cambria Math" w:hAnsi="Cambria Math" w:eastAsia="Cambria Math"/>
          <w:sz w:val="14"/>
        </w:rPr>
      </w:pPr>
      <w:r>
        <w:rPr>
          <w:rFonts w:ascii="Cambria Math" w:hAnsi="Cambria Math" w:eastAsia="Cambria Math"/>
          <w:w w:val="105"/>
          <w:sz w:val="14"/>
        </w:rPr>
        <w:t>𝑖𝑡−2</w:t>
      </w:r>
    </w:p>
    <w:p>
      <w:pPr>
        <w:spacing w:before="52"/>
        <w:ind w:left="3003" w:right="0" w:firstLine="0"/>
        <w:jc w:val="left"/>
        <w:rPr>
          <w:rFonts w:ascii="Cambria Math" w:eastAsia="Cambria Math"/>
          <w:sz w:val="14"/>
        </w:rPr>
      </w:pPr>
      <w:r>
        <w:rPr>
          <w:rFonts w:ascii="Cambria Math" w:eastAsia="Cambria Math"/>
          <w:w w:val="110"/>
          <w:sz w:val="14"/>
        </w:rPr>
        <w:t>𝑖</w:t>
      </w:r>
    </w:p>
    <w:p>
      <w:pPr>
        <w:spacing w:line="208" w:lineRule="exact" w:before="0"/>
        <w:ind w:left="198" w:right="0" w:firstLine="0"/>
        <w:jc w:val="left"/>
        <w:rPr>
          <w:rFonts w:ascii="Cambria Math" w:hAnsi="Cambria Math" w:eastAsia="Cambria Math"/>
          <w:sz w:val="14"/>
        </w:rPr>
      </w:pPr>
      <w:r>
        <w:rPr/>
        <w:br w:type="column"/>
      </w:r>
      <w:r>
        <w:rPr>
          <w:rFonts w:ascii="Cambria Math" w:hAnsi="Cambria Math" w:eastAsia="Cambria Math"/>
          <w:w w:val="105"/>
          <w:position w:val="13"/>
          <w:sz w:val="14"/>
        </w:rPr>
        <w:t>𝑖𝑡 </w:t>
      </w:r>
      <w:r>
        <w:rPr>
          <w:rFonts w:ascii="Cambria Math" w:hAnsi="Cambria Math" w:eastAsia="Cambria Math"/>
          <w:w w:val="105"/>
          <w:position w:val="4"/>
          <w:sz w:val="20"/>
        </w:rPr>
        <w:t>𝑄</w:t>
      </w:r>
      <w:r>
        <w:rPr>
          <w:rFonts w:ascii="Cambria Math" w:hAnsi="Cambria Math" w:eastAsia="Cambria Math"/>
          <w:w w:val="105"/>
          <w:sz w:val="14"/>
        </w:rPr>
        <w:t>𝑡−1</w:t>
      </w:r>
    </w:p>
    <w:p>
      <w:pPr>
        <w:spacing w:line="123" w:lineRule="exact" w:before="0"/>
        <w:ind w:left="0" w:right="0" w:firstLine="0"/>
        <w:jc w:val="right"/>
        <w:rPr>
          <w:rFonts w:ascii="Cambria Math" w:eastAsia="Cambria Math"/>
          <w:sz w:val="14"/>
        </w:rPr>
      </w:pPr>
      <w:r>
        <w:rPr>
          <w:rFonts w:ascii="Cambria Math" w:eastAsia="Cambria Math"/>
          <w:w w:val="110"/>
          <w:sz w:val="14"/>
        </w:rPr>
        <w:t>𝑖</w:t>
      </w:r>
    </w:p>
    <w:p>
      <w:pPr>
        <w:spacing w:line="105" w:lineRule="auto" w:before="0"/>
        <w:ind w:left="388" w:right="0" w:firstLine="0"/>
        <w:jc w:val="left"/>
        <w:rPr>
          <w:rFonts w:ascii="Cambria Math" w:hAnsi="Cambria Math" w:eastAsia="Cambria Math"/>
          <w:sz w:val="14"/>
        </w:rPr>
      </w:pPr>
      <w:r>
        <w:rPr/>
        <w:br w:type="column"/>
      </w:r>
      <w:r>
        <w:rPr>
          <w:rFonts w:ascii="Cambria Math" w:hAnsi="Cambria Math" w:eastAsia="Cambria Math"/>
          <w:w w:val="105"/>
          <w:sz w:val="14"/>
        </w:rPr>
        <w:t>𝑖𝑡−2 </w:t>
      </w:r>
      <w:r>
        <w:rPr>
          <w:rFonts w:ascii="Cambria Math" w:hAnsi="Cambria Math" w:eastAsia="Cambria Math"/>
          <w:w w:val="105"/>
          <w:position w:val="-8"/>
          <w:sz w:val="20"/>
        </w:rPr>
        <w:t>𝑄</w:t>
      </w:r>
      <w:r>
        <w:rPr>
          <w:rFonts w:ascii="Cambria Math" w:hAnsi="Cambria Math" w:eastAsia="Cambria Math"/>
          <w:w w:val="105"/>
          <w:position w:val="-12"/>
          <w:sz w:val="14"/>
        </w:rPr>
        <w:t>𝑡−1</w:t>
      </w:r>
    </w:p>
    <w:p>
      <w:pPr>
        <w:spacing w:line="115" w:lineRule="exact" w:before="0"/>
        <w:ind w:left="702" w:right="0" w:firstLine="0"/>
        <w:jc w:val="left"/>
        <w:rPr>
          <w:rFonts w:ascii="Cambria Math" w:eastAsia="Cambria Math"/>
          <w:sz w:val="14"/>
        </w:rPr>
      </w:pPr>
      <w:r>
        <w:rPr/>
        <w:br w:type="column"/>
      </w:r>
      <w:r>
        <w:rPr>
          <w:rFonts w:ascii="Cambria Math" w:eastAsia="Cambria Math"/>
          <w:w w:val="110"/>
          <w:sz w:val="14"/>
        </w:rPr>
        <w:t>𝑖𝑡</w:t>
      </w:r>
    </w:p>
    <w:p>
      <w:pPr>
        <w:spacing w:after="0" w:line="115" w:lineRule="exact"/>
        <w:jc w:val="left"/>
        <w:rPr>
          <w:rFonts w:ascii="Cambria Math" w:eastAsia="Cambria Math"/>
          <w:sz w:val="14"/>
        </w:rPr>
        <w:sectPr>
          <w:type w:val="continuous"/>
          <w:pgSz w:w="11910" w:h="16840"/>
          <w:pgMar w:top="1180" w:bottom="1520" w:left="1020" w:right="1020"/>
          <w:cols w:num="4" w:equalWidth="0">
            <w:col w:w="3684" w:space="40"/>
            <w:col w:w="1206" w:space="39"/>
            <w:col w:w="1132" w:space="40"/>
            <w:col w:w="3729"/>
          </w:cols>
        </w:sectPr>
      </w:pPr>
    </w:p>
    <w:p>
      <w:pPr>
        <w:pStyle w:val="BodyText"/>
        <w:tabs>
          <w:tab w:pos="833" w:val="left" w:leader="none"/>
        </w:tabs>
        <w:spacing w:line="362" w:lineRule="auto" w:before="81"/>
        <w:ind w:left="833" w:right="343" w:hanging="360"/>
      </w:pPr>
      <w:r>
        <w:rPr/>
        <w:t>-</w:t>
        <w:tab/>
      </w:r>
      <w:r>
        <w:rPr>
          <w:spacing w:val="3"/>
        </w:rPr>
        <w:t>We </w:t>
      </w:r>
      <w:r>
        <w:rPr/>
        <w:t>expand the </w:t>
      </w:r>
      <w:r>
        <w:rPr>
          <w:b/>
        </w:rPr>
        <w:t>within effect </w:t>
      </w:r>
      <w:r>
        <w:rPr/>
        <w:t>to account for production function (or growth accounting) terms. First we adjust it so that industry level growth rates feature in the term and by approximating industry growth with its</w:t>
      </w:r>
      <w:r>
        <w:rPr>
          <w:spacing w:val="1"/>
        </w:rPr>
        <w:t> </w:t>
      </w:r>
      <w:r>
        <w:rPr/>
        <w:t>log-difference.</w:t>
      </w:r>
    </w:p>
    <w:p>
      <w:pPr>
        <w:spacing w:after="0" w:line="362" w:lineRule="auto"/>
        <w:sectPr>
          <w:type w:val="continuous"/>
          <w:pgSz w:w="11910" w:h="16840"/>
          <w:pgMar w:top="1180" w:bottom="1520" w:left="1020" w:right="1020"/>
        </w:sectPr>
      </w:pPr>
    </w:p>
    <w:p>
      <w:pPr>
        <w:pStyle w:val="BodyText"/>
        <w:spacing w:before="7"/>
        <w:rPr>
          <w:sz w:val="19"/>
        </w:rPr>
      </w:pPr>
    </w:p>
    <w:p>
      <w:pPr>
        <w:pStyle w:val="BodyText"/>
        <w:spacing w:line="99" w:lineRule="exact"/>
        <w:jc w:val="right"/>
        <w:rPr>
          <w:rFonts w:ascii="Cambria Math" w:hAnsi="Cambria Math" w:eastAsia="Cambria Math"/>
        </w:rPr>
      </w:pPr>
      <w:r>
        <w:rPr>
          <w:rFonts w:ascii="Cambria Math" w:hAnsi="Cambria Math" w:eastAsia="Cambria Math"/>
          <w:w w:val="170"/>
        </w:rPr>
        <w:t>∑ </w:t>
      </w:r>
      <w:r>
        <w:rPr>
          <w:rFonts w:ascii="Cambria Math" w:hAnsi="Cambria Math" w:eastAsia="Cambria Math"/>
          <w:w w:val="120"/>
        </w:rPr>
        <w:t>𝜔</w:t>
      </w:r>
    </w:p>
    <w:p>
      <w:pPr>
        <w:spacing w:line="249" w:lineRule="exact" w:before="76"/>
        <w:ind w:left="267" w:right="0" w:firstLine="0"/>
        <w:jc w:val="left"/>
        <w:rPr>
          <w:rFonts w:ascii="Cambria Math" w:hAnsi="Cambria Math" w:eastAsia="Cambria Math"/>
          <w:sz w:val="20"/>
        </w:rPr>
      </w:pPr>
      <w:r>
        <w:rPr/>
        <w:br w:type="column"/>
      </w:r>
      <w:r>
        <w:rPr>
          <w:rFonts w:ascii="Cambria Math" w:hAnsi="Cambria Math" w:eastAsia="Cambria Math"/>
          <w:w w:val="115"/>
          <w:sz w:val="20"/>
        </w:rPr>
        <w:t>ℎ </w:t>
      </w:r>
      <w:r>
        <w:rPr>
          <w:rFonts w:ascii="Cambria Math" w:hAnsi="Cambria Math" w:eastAsia="Cambria Math"/>
          <w:spacing w:val="-3"/>
          <w:w w:val="115"/>
          <w:position w:val="15"/>
          <w:sz w:val="20"/>
        </w:rPr>
        <w:t>Δ𝑄</w:t>
      </w:r>
      <w:r>
        <w:rPr>
          <w:rFonts w:ascii="Cambria Math" w:hAnsi="Cambria Math" w:eastAsia="Cambria Math"/>
          <w:spacing w:val="-3"/>
          <w:w w:val="115"/>
          <w:position w:val="11"/>
          <w:sz w:val="14"/>
        </w:rPr>
        <w:t>𝑖𝑡 </w:t>
      </w:r>
      <w:r>
        <w:rPr>
          <w:rFonts w:ascii="Cambria Math" w:hAnsi="Cambria Math" w:eastAsia="Cambria Math"/>
          <w:w w:val="115"/>
          <w:sz w:val="20"/>
        </w:rPr>
        <w:t>= </w:t>
      </w:r>
      <w:r>
        <w:rPr>
          <w:rFonts w:ascii="Cambria Math" w:hAnsi="Cambria Math" w:eastAsia="Cambria Math"/>
          <w:w w:val="165"/>
          <w:sz w:val="20"/>
        </w:rPr>
        <w:t>∑ </w:t>
      </w:r>
      <w:r>
        <w:rPr>
          <w:rFonts w:ascii="Cambria Math" w:hAnsi="Cambria Math" w:eastAsia="Cambria Math"/>
          <w:spacing w:val="-126"/>
          <w:w w:val="115"/>
          <w:sz w:val="20"/>
        </w:rPr>
        <w:t>𝜔</w:t>
      </w:r>
    </w:p>
    <w:p>
      <w:pPr>
        <w:pStyle w:val="BodyText"/>
        <w:spacing w:before="5"/>
        <w:rPr>
          <w:rFonts w:ascii="Cambria Math"/>
          <w:sz w:val="2"/>
        </w:rPr>
      </w:pPr>
    </w:p>
    <w:p>
      <w:pPr>
        <w:pStyle w:val="BodyText"/>
        <w:spacing w:line="20" w:lineRule="exact"/>
        <w:ind w:left="530"/>
        <w:rPr>
          <w:rFonts w:ascii="Cambria Math"/>
          <w:sz w:val="2"/>
        </w:rPr>
      </w:pPr>
      <w:r>
        <w:rPr>
          <w:rFonts w:ascii="Cambria Math"/>
          <w:sz w:val="2"/>
        </w:rPr>
        <w:pict>
          <v:group style="width:19.350pt;height:.6pt;mso-position-horizontal-relative:char;mso-position-vertical-relative:line" coordorigin="0,0" coordsize="387,12">
            <v:line style="position:absolute" from="0,6" to="386,6" stroked="true" strokeweight=".6pt" strokecolor="#000000">
              <v:stroke dashstyle="solid"/>
            </v:line>
          </v:group>
        </w:pict>
      </w:r>
      <w:r>
        <w:rPr>
          <w:rFonts w:ascii="Cambria Math"/>
          <w:sz w:val="2"/>
        </w:rPr>
      </w:r>
    </w:p>
    <w:p>
      <w:pPr>
        <w:spacing w:line="251" w:lineRule="exact" w:before="73"/>
        <w:ind w:left="266" w:right="0" w:firstLine="0"/>
        <w:jc w:val="left"/>
        <w:rPr>
          <w:rFonts w:ascii="Cambria Math" w:hAnsi="Cambria Math" w:eastAsia="Cambria Math"/>
          <w:sz w:val="14"/>
        </w:rPr>
      </w:pPr>
      <w:r>
        <w:rPr/>
        <w:br w:type="column"/>
      </w:r>
      <w:r>
        <w:rPr>
          <w:rFonts w:ascii="Cambria Math" w:hAnsi="Cambria Math" w:eastAsia="Cambria Math"/>
          <w:w w:val="105"/>
          <w:position w:val="-10"/>
          <w:sz w:val="20"/>
        </w:rPr>
        <w:t>ℎ   </w:t>
      </w:r>
      <w:r>
        <w:rPr>
          <w:rFonts w:ascii="Cambria Math" w:hAnsi="Cambria Math" w:eastAsia="Cambria Math"/>
          <w:w w:val="105"/>
          <w:position w:val="4"/>
          <w:sz w:val="20"/>
        </w:rPr>
        <w:t>𝑄</w:t>
      </w:r>
      <w:r>
        <w:rPr>
          <w:rFonts w:ascii="Cambria Math" w:hAnsi="Cambria Math" w:eastAsia="Cambria Math"/>
          <w:w w:val="105"/>
          <w:sz w:val="14"/>
        </w:rPr>
        <w:t>𝑖𝑡−1 </w:t>
      </w:r>
      <w:r>
        <w:rPr>
          <w:rFonts w:ascii="Cambria Math" w:hAnsi="Cambria Math" w:eastAsia="Cambria Math"/>
          <w:spacing w:val="-38"/>
          <w:w w:val="105"/>
          <w:position w:val="4"/>
          <w:sz w:val="20"/>
        </w:rPr>
        <w:t>Δ𝑄</w:t>
      </w:r>
      <w:r>
        <w:rPr>
          <w:rFonts w:ascii="Cambria Math" w:hAnsi="Cambria Math" w:eastAsia="Cambria Math"/>
          <w:spacing w:val="-38"/>
          <w:w w:val="105"/>
          <w:sz w:val="14"/>
        </w:rPr>
        <w:t>𝑖𝑡</w:t>
      </w:r>
    </w:p>
    <w:p>
      <w:pPr>
        <w:pStyle w:val="BodyText"/>
        <w:spacing w:before="3"/>
        <w:rPr>
          <w:rFonts w:ascii="Cambria Math"/>
          <w:sz w:val="19"/>
        </w:rPr>
      </w:pPr>
      <w:r>
        <w:rPr/>
        <w:br w:type="column"/>
      </w:r>
      <w:r>
        <w:rPr>
          <w:rFonts w:ascii="Cambria Math"/>
          <w:sz w:val="19"/>
        </w:rPr>
      </w:r>
    </w:p>
    <w:p>
      <w:pPr>
        <w:pStyle w:val="BodyText"/>
        <w:spacing w:line="99" w:lineRule="exact"/>
        <w:ind w:left="60"/>
        <w:rPr>
          <w:rFonts w:ascii="Cambria Math" w:hAnsi="Cambria Math" w:eastAsia="Cambria Math"/>
        </w:rPr>
      </w:pPr>
      <w:r>
        <w:rPr>
          <w:rFonts w:ascii="Cambria Math" w:hAnsi="Cambria Math" w:eastAsia="Cambria Math"/>
          <w:w w:val="120"/>
        </w:rPr>
        <w:t>≈ </w:t>
      </w:r>
      <w:r>
        <w:rPr>
          <w:rFonts w:ascii="Cambria Math" w:hAnsi="Cambria Math" w:eastAsia="Cambria Math"/>
          <w:w w:val="165"/>
        </w:rPr>
        <w:t>∑ </w:t>
      </w:r>
      <w:r>
        <w:rPr>
          <w:rFonts w:ascii="Cambria Math" w:hAnsi="Cambria Math" w:eastAsia="Cambria Math"/>
          <w:spacing w:val="-127"/>
          <w:w w:val="120"/>
        </w:rPr>
        <w:t>𝜔</w:t>
      </w:r>
    </w:p>
    <w:p>
      <w:pPr>
        <w:spacing w:line="249" w:lineRule="exact" w:before="76"/>
        <w:ind w:left="266" w:right="0" w:firstLine="0"/>
        <w:jc w:val="left"/>
        <w:rPr>
          <w:rFonts w:ascii="Cambria Math" w:hAnsi="Cambria Math" w:eastAsia="Cambria Math"/>
          <w:sz w:val="20"/>
        </w:rPr>
      </w:pPr>
      <w:r>
        <w:rPr/>
        <w:br w:type="column"/>
      </w:r>
      <w:r>
        <w:rPr>
          <w:rFonts w:ascii="Cambria Math" w:hAnsi="Cambria Math" w:eastAsia="Cambria Math"/>
          <w:sz w:val="20"/>
        </w:rPr>
        <w:t>ℎ </w:t>
      </w:r>
      <w:r>
        <w:rPr>
          <w:rFonts w:ascii="Cambria Math" w:hAnsi="Cambria Math" w:eastAsia="Cambria Math"/>
          <w:position w:val="15"/>
          <w:sz w:val="20"/>
        </w:rPr>
        <w:t>𝑄</w:t>
      </w:r>
      <w:r>
        <w:rPr>
          <w:rFonts w:ascii="Cambria Math" w:hAnsi="Cambria Math" w:eastAsia="Cambria Math"/>
          <w:position w:val="11"/>
          <w:sz w:val="14"/>
        </w:rPr>
        <w:t>𝑖𝑡−1 </w:t>
      </w:r>
      <w:r>
        <w:rPr>
          <w:rFonts w:ascii="Cambria Math" w:hAnsi="Cambria Math" w:eastAsia="Cambria Math"/>
          <w:sz w:val="20"/>
        </w:rPr>
        <w:t>Δ ln 𝑄</w:t>
      </w:r>
    </w:p>
    <w:p>
      <w:pPr>
        <w:pStyle w:val="BodyText"/>
        <w:spacing w:before="5"/>
        <w:rPr>
          <w:rFonts w:ascii="Cambria Math"/>
          <w:sz w:val="2"/>
        </w:rPr>
      </w:pPr>
    </w:p>
    <w:p>
      <w:pPr>
        <w:pStyle w:val="BodyText"/>
        <w:spacing w:line="20" w:lineRule="exact"/>
        <w:ind w:left="527"/>
        <w:rPr>
          <w:rFonts w:ascii="Cambria Math"/>
          <w:sz w:val="2"/>
        </w:rPr>
      </w:pPr>
      <w:r>
        <w:rPr>
          <w:rFonts w:ascii="Cambria Math"/>
          <w:sz w:val="2"/>
        </w:rPr>
        <w:pict>
          <v:group style="width:21.75pt;height:.6pt;mso-position-horizontal-relative:char;mso-position-vertical-relative:line" coordorigin="0,0" coordsize="435,12">
            <v:line style="position:absolute" from="0,6" to="434,6" stroked="true" strokeweight=".6pt" strokecolor="#000000">
              <v:stroke dashstyle="solid"/>
            </v:line>
          </v:group>
        </w:pict>
      </w:r>
      <w:r>
        <w:rPr>
          <w:rFonts w:ascii="Cambria Math"/>
          <w:sz w:val="2"/>
        </w:rPr>
      </w:r>
    </w:p>
    <w:p>
      <w:pPr>
        <w:spacing w:after="0" w:line="20" w:lineRule="exact"/>
        <w:rPr>
          <w:rFonts w:ascii="Cambria Math"/>
          <w:sz w:val="2"/>
        </w:rPr>
        <w:sectPr>
          <w:pgSz w:w="11910" w:h="16840"/>
          <w:pgMar w:header="0" w:footer="1338" w:top="1320" w:bottom="1520" w:left="1020" w:right="1020"/>
          <w:cols w:num="5" w:equalWidth="0">
            <w:col w:w="2389" w:space="40"/>
            <w:col w:w="1667" w:space="39"/>
            <w:col w:w="1394" w:space="40"/>
            <w:col w:w="750" w:space="40"/>
            <w:col w:w="3511"/>
          </w:cols>
        </w:sectPr>
      </w:pPr>
    </w:p>
    <w:p>
      <w:pPr>
        <w:spacing w:line="115" w:lineRule="exact" w:before="0"/>
        <w:ind w:left="2388" w:right="0" w:firstLine="0"/>
        <w:jc w:val="left"/>
        <w:rPr>
          <w:rFonts w:ascii="Cambria Math" w:hAnsi="Cambria Math" w:eastAsia="Cambria Math"/>
          <w:sz w:val="14"/>
        </w:rPr>
      </w:pPr>
      <w:r>
        <w:rPr>
          <w:rFonts w:ascii="Cambria Math" w:hAnsi="Cambria Math" w:eastAsia="Cambria Math"/>
          <w:w w:val="105"/>
          <w:sz w:val="14"/>
        </w:rPr>
        <w:t>𝑖𝑡−1</w:t>
      </w:r>
    </w:p>
    <w:p>
      <w:pPr>
        <w:spacing w:before="52"/>
        <w:ind w:left="2009" w:right="0" w:firstLine="0"/>
        <w:jc w:val="left"/>
        <w:rPr>
          <w:rFonts w:ascii="Cambria Math" w:eastAsia="Cambria Math"/>
          <w:sz w:val="14"/>
        </w:rPr>
      </w:pPr>
      <w:r>
        <w:rPr>
          <w:rFonts w:ascii="Cambria Math" w:eastAsia="Cambria Math"/>
          <w:w w:val="110"/>
          <w:sz w:val="14"/>
        </w:rPr>
        <w:t>𝑖</w:t>
      </w:r>
    </w:p>
    <w:p>
      <w:pPr>
        <w:spacing w:line="250" w:lineRule="exact" w:before="0"/>
        <w:ind w:left="78" w:right="0" w:firstLine="0"/>
        <w:jc w:val="left"/>
        <w:rPr>
          <w:rFonts w:ascii="Cambria Math" w:hAnsi="Cambria Math" w:eastAsia="Cambria Math"/>
          <w:sz w:val="14"/>
        </w:rPr>
      </w:pPr>
      <w:r>
        <w:rPr/>
        <w:br w:type="column"/>
      </w:r>
      <w:r>
        <w:rPr>
          <w:rFonts w:ascii="Cambria Math" w:hAnsi="Cambria Math" w:eastAsia="Cambria Math"/>
          <w:w w:val="105"/>
          <w:position w:val="13"/>
          <w:sz w:val="14"/>
        </w:rPr>
        <w:t>𝑖𝑡 </w:t>
      </w:r>
      <w:r>
        <w:rPr>
          <w:rFonts w:ascii="Cambria Math" w:hAnsi="Cambria Math" w:eastAsia="Cambria Math"/>
          <w:spacing w:val="-4"/>
          <w:w w:val="105"/>
          <w:position w:val="4"/>
          <w:sz w:val="20"/>
        </w:rPr>
        <w:t>𝑄</w:t>
      </w:r>
      <w:r>
        <w:rPr>
          <w:rFonts w:ascii="Cambria Math" w:hAnsi="Cambria Math" w:eastAsia="Cambria Math"/>
          <w:spacing w:val="-4"/>
          <w:w w:val="105"/>
          <w:sz w:val="14"/>
        </w:rPr>
        <w:t>𝑡−1</w:t>
      </w:r>
    </w:p>
    <w:p>
      <w:pPr>
        <w:spacing w:line="115" w:lineRule="exact" w:before="0"/>
        <w:ind w:left="714" w:right="0" w:firstLine="0"/>
        <w:jc w:val="left"/>
        <w:rPr>
          <w:rFonts w:ascii="Cambria Math" w:hAnsi="Cambria Math" w:eastAsia="Cambria Math"/>
          <w:sz w:val="14"/>
        </w:rPr>
      </w:pPr>
      <w:r>
        <w:rPr/>
        <w:br w:type="column"/>
      </w:r>
      <w:r>
        <w:rPr>
          <w:rFonts w:ascii="Cambria Math" w:hAnsi="Cambria Math" w:eastAsia="Cambria Math"/>
          <w:w w:val="105"/>
          <w:sz w:val="14"/>
        </w:rPr>
        <w:t>𝑖𝑡−1</w:t>
      </w:r>
    </w:p>
    <w:p>
      <w:pPr>
        <w:spacing w:before="52"/>
        <w:ind w:left="335" w:right="0" w:firstLine="0"/>
        <w:jc w:val="left"/>
        <w:rPr>
          <w:rFonts w:ascii="Cambria Math" w:eastAsia="Cambria Math"/>
          <w:sz w:val="14"/>
        </w:rPr>
      </w:pPr>
      <w:r>
        <w:rPr>
          <w:rFonts w:ascii="Cambria Math" w:eastAsia="Cambria Math"/>
          <w:w w:val="110"/>
          <w:sz w:val="14"/>
        </w:rPr>
        <w:t>𝑖</w:t>
      </w:r>
    </w:p>
    <w:p>
      <w:pPr>
        <w:spacing w:line="250" w:lineRule="exact" w:before="0"/>
        <w:ind w:left="78" w:right="0" w:firstLine="0"/>
        <w:jc w:val="left"/>
        <w:rPr>
          <w:rFonts w:ascii="Cambria Math" w:hAnsi="Cambria Math" w:eastAsia="Cambria Math"/>
          <w:sz w:val="14"/>
        </w:rPr>
      </w:pPr>
      <w:r>
        <w:rPr/>
        <w:br w:type="column"/>
      </w:r>
      <w:r>
        <w:rPr>
          <w:rFonts w:ascii="Cambria Math" w:hAnsi="Cambria Math" w:eastAsia="Cambria Math"/>
          <w:w w:val="105"/>
          <w:position w:val="13"/>
          <w:sz w:val="14"/>
        </w:rPr>
        <w:t>𝑖𝑡 </w:t>
      </w:r>
      <w:r>
        <w:rPr>
          <w:rFonts w:ascii="Cambria Math" w:hAnsi="Cambria Math" w:eastAsia="Cambria Math"/>
          <w:w w:val="105"/>
          <w:position w:val="4"/>
          <w:sz w:val="20"/>
        </w:rPr>
        <w:t>𝑄</w:t>
      </w:r>
      <w:r>
        <w:rPr>
          <w:rFonts w:ascii="Cambria Math" w:hAnsi="Cambria Math" w:eastAsia="Cambria Math"/>
          <w:w w:val="105"/>
          <w:sz w:val="14"/>
        </w:rPr>
        <w:t>𝑡−1 </w:t>
      </w:r>
      <w:r>
        <w:rPr>
          <w:rFonts w:ascii="Cambria Math" w:hAnsi="Cambria Math" w:eastAsia="Cambria Math"/>
          <w:w w:val="105"/>
          <w:position w:val="4"/>
          <w:sz w:val="20"/>
        </w:rPr>
        <w:t>𝑄</w:t>
      </w:r>
      <w:r>
        <w:rPr>
          <w:rFonts w:ascii="Cambria Math" w:hAnsi="Cambria Math" w:eastAsia="Cambria Math"/>
          <w:w w:val="105"/>
          <w:sz w:val="14"/>
        </w:rPr>
        <w:t>𝑖𝑡−1</w:t>
      </w:r>
    </w:p>
    <w:p>
      <w:pPr>
        <w:spacing w:line="115" w:lineRule="exact" w:before="0"/>
        <w:ind w:left="714" w:right="0" w:firstLine="0"/>
        <w:jc w:val="left"/>
        <w:rPr>
          <w:rFonts w:ascii="Cambria Math" w:hAnsi="Cambria Math" w:eastAsia="Cambria Math"/>
          <w:sz w:val="14"/>
        </w:rPr>
      </w:pPr>
      <w:r>
        <w:rPr/>
        <w:br w:type="column"/>
      </w:r>
      <w:r>
        <w:rPr>
          <w:rFonts w:ascii="Cambria Math" w:hAnsi="Cambria Math" w:eastAsia="Cambria Math"/>
          <w:w w:val="105"/>
          <w:sz w:val="14"/>
        </w:rPr>
        <w:t>𝑖𝑡−1</w:t>
      </w:r>
    </w:p>
    <w:p>
      <w:pPr>
        <w:spacing w:before="52"/>
        <w:ind w:left="333" w:right="0" w:firstLine="0"/>
        <w:jc w:val="left"/>
        <w:rPr>
          <w:rFonts w:ascii="Cambria Math" w:eastAsia="Cambria Math"/>
          <w:sz w:val="14"/>
        </w:rPr>
      </w:pPr>
      <w:r>
        <w:rPr>
          <w:rFonts w:ascii="Cambria Math" w:eastAsia="Cambria Math"/>
          <w:w w:val="110"/>
          <w:sz w:val="14"/>
        </w:rPr>
        <w:t>𝑖</w:t>
      </w:r>
    </w:p>
    <w:p>
      <w:pPr>
        <w:spacing w:line="250" w:lineRule="exact" w:before="0"/>
        <w:ind w:left="78" w:right="0" w:firstLine="0"/>
        <w:jc w:val="left"/>
        <w:rPr>
          <w:rFonts w:ascii="Cambria Math" w:hAnsi="Cambria Math" w:eastAsia="Cambria Math"/>
          <w:sz w:val="14"/>
        </w:rPr>
      </w:pPr>
      <w:r>
        <w:rPr/>
        <w:br w:type="column"/>
      </w:r>
      <w:r>
        <w:rPr>
          <w:rFonts w:ascii="Cambria Math" w:hAnsi="Cambria Math" w:eastAsia="Cambria Math"/>
          <w:w w:val="105"/>
          <w:position w:val="13"/>
          <w:sz w:val="14"/>
        </w:rPr>
        <w:t>𝑖𝑡 </w:t>
      </w:r>
      <w:r>
        <w:rPr>
          <w:rFonts w:ascii="Cambria Math" w:hAnsi="Cambria Math" w:eastAsia="Cambria Math"/>
          <w:w w:val="105"/>
          <w:position w:val="4"/>
          <w:sz w:val="20"/>
        </w:rPr>
        <w:t>𝑄</w:t>
      </w:r>
      <w:r>
        <w:rPr>
          <w:rFonts w:ascii="Cambria Math" w:hAnsi="Cambria Math" w:eastAsia="Cambria Math"/>
          <w:w w:val="105"/>
          <w:sz w:val="14"/>
        </w:rPr>
        <w:t>𝑡−1</w:t>
      </w:r>
    </w:p>
    <w:p>
      <w:pPr>
        <w:spacing w:line="115" w:lineRule="exact" w:before="0"/>
        <w:ind w:left="505" w:right="0" w:firstLine="0"/>
        <w:jc w:val="left"/>
        <w:rPr>
          <w:rFonts w:ascii="Cambria Math" w:eastAsia="Cambria Math"/>
          <w:sz w:val="14"/>
        </w:rPr>
      </w:pPr>
      <w:r>
        <w:rPr/>
        <w:br w:type="column"/>
      </w:r>
      <w:r>
        <w:rPr>
          <w:rFonts w:ascii="Cambria Math" w:eastAsia="Cambria Math"/>
          <w:w w:val="110"/>
          <w:sz w:val="14"/>
        </w:rPr>
        <w:t>𝑖𝑡</w:t>
      </w:r>
    </w:p>
    <w:p>
      <w:pPr>
        <w:spacing w:after="0" w:line="115" w:lineRule="exact"/>
        <w:jc w:val="left"/>
        <w:rPr>
          <w:rFonts w:ascii="Cambria Math" w:eastAsia="Cambria Math"/>
          <w:sz w:val="14"/>
        </w:rPr>
        <w:sectPr>
          <w:type w:val="continuous"/>
          <w:pgSz w:w="11910" w:h="16840"/>
          <w:pgMar w:top="1180" w:bottom="1520" w:left="1020" w:right="1020"/>
          <w:cols w:num="7" w:equalWidth="0">
            <w:col w:w="2688" w:space="40"/>
            <w:col w:w="613" w:space="39"/>
            <w:col w:w="1014" w:space="40"/>
            <w:col w:w="1130" w:space="40"/>
            <w:col w:w="1014" w:space="39"/>
            <w:col w:w="638" w:space="40"/>
            <w:col w:w="2535"/>
          </w:cols>
        </w:sectPr>
      </w:pPr>
    </w:p>
    <w:p>
      <w:pPr>
        <w:pStyle w:val="BodyText"/>
        <w:spacing w:line="360" w:lineRule="auto" w:before="84"/>
        <w:ind w:left="833" w:right="231"/>
      </w:pPr>
      <w:r>
        <w:rPr/>
        <w:pict>
          <v:group style="position:absolute;margin-left:284.589996pt;margin-top:-17.520147pt;width:45.15pt;height:.6pt;mso-position-horizontal-relative:page;mso-position-vertical-relative:paragraph;z-index:251782144" coordorigin="5692,-350" coordsize="903,12">
            <v:line style="position:absolute" from="5692,-344" to="6126,-344" stroked="true" strokeweight=".6pt" strokecolor="#000000">
              <v:stroke dashstyle="solid"/>
            </v:line>
            <v:line style="position:absolute" from="6160,-344" to="6594,-344" stroked="true" strokeweight=".6pt" strokecolor="#000000">
              <v:stroke dashstyle="solid"/>
            </v:line>
            <w10:wrap type="none"/>
          </v:group>
        </w:pict>
      </w:r>
      <w:r>
        <w:rPr/>
        <w:t>Second, we substitute log-productivity at the industry level with the log of a production function in TFP growth, capital depth and labour quality change terms</w:t>
      </w:r>
    </w:p>
    <w:p>
      <w:pPr>
        <w:spacing w:after="0" w:line="360" w:lineRule="auto"/>
        <w:sectPr>
          <w:type w:val="continuous"/>
          <w:pgSz w:w="11910" w:h="16840"/>
          <w:pgMar w:top="1180" w:bottom="1520" w:left="1020" w:right="1020"/>
        </w:sectPr>
      </w:pPr>
    </w:p>
    <w:p>
      <w:pPr>
        <w:pStyle w:val="BodyText"/>
        <w:spacing w:line="99" w:lineRule="exact" w:before="128"/>
        <w:jc w:val="right"/>
        <w:rPr>
          <w:rFonts w:ascii="Cambria Math" w:hAnsi="Cambria Math" w:eastAsia="Cambria Math"/>
        </w:rPr>
      </w:pPr>
      <w:r>
        <w:rPr>
          <w:rFonts w:ascii="Cambria Math" w:hAnsi="Cambria Math" w:eastAsia="Cambria Math"/>
          <w:w w:val="170"/>
        </w:rPr>
        <w:t>∑ </w:t>
      </w:r>
      <w:r>
        <w:rPr>
          <w:rFonts w:ascii="Cambria Math" w:hAnsi="Cambria Math" w:eastAsia="Cambria Math"/>
          <w:w w:val="120"/>
        </w:rPr>
        <w:t>𝜔</w:t>
      </w:r>
    </w:p>
    <w:p>
      <w:pPr>
        <w:spacing w:line="227" w:lineRule="exact" w:before="0"/>
        <w:ind w:left="266" w:right="0" w:firstLine="0"/>
        <w:jc w:val="left"/>
        <w:rPr>
          <w:rFonts w:ascii="Cambria Math" w:hAnsi="Cambria Math" w:eastAsia="Cambria Math"/>
          <w:sz w:val="20"/>
        </w:rPr>
      </w:pPr>
      <w:r>
        <w:rPr/>
        <w:br w:type="column"/>
      </w:r>
      <w:r>
        <w:rPr>
          <w:rFonts w:ascii="Cambria Math" w:hAnsi="Cambria Math" w:eastAsia="Cambria Math"/>
          <w:sz w:val="20"/>
        </w:rPr>
        <w:t>ℎ </w:t>
      </w:r>
      <w:r>
        <w:rPr>
          <w:rFonts w:ascii="Cambria Math" w:hAnsi="Cambria Math" w:eastAsia="Cambria Math"/>
          <w:position w:val="15"/>
          <w:sz w:val="20"/>
        </w:rPr>
        <w:t>𝑄</w:t>
      </w:r>
      <w:r>
        <w:rPr>
          <w:rFonts w:ascii="Cambria Math" w:hAnsi="Cambria Math" w:eastAsia="Cambria Math"/>
          <w:position w:val="11"/>
          <w:sz w:val="14"/>
        </w:rPr>
        <w:t>𝑖𝑡−1 </w:t>
      </w:r>
      <w:r>
        <w:rPr>
          <w:rFonts w:ascii="Cambria Math" w:hAnsi="Cambria Math" w:eastAsia="Cambria Math"/>
          <w:sz w:val="20"/>
        </w:rPr>
        <w:t>Δ ln </w:t>
      </w:r>
      <w:r>
        <w:rPr>
          <w:rFonts w:ascii="Cambria Math" w:hAnsi="Cambria Math" w:eastAsia="Cambria Math"/>
          <w:spacing w:val="-130"/>
          <w:sz w:val="20"/>
        </w:rPr>
        <w:t>𝑄</w:t>
      </w:r>
    </w:p>
    <w:p>
      <w:pPr>
        <w:pStyle w:val="BodyText"/>
        <w:spacing w:before="5"/>
        <w:rPr>
          <w:rFonts w:ascii="Cambria Math"/>
          <w:sz w:val="2"/>
        </w:rPr>
      </w:pPr>
    </w:p>
    <w:p>
      <w:pPr>
        <w:pStyle w:val="BodyText"/>
        <w:spacing w:line="20" w:lineRule="exact"/>
        <w:ind w:left="527"/>
        <w:rPr>
          <w:rFonts w:ascii="Cambria Math"/>
          <w:sz w:val="2"/>
        </w:rPr>
      </w:pPr>
      <w:r>
        <w:rPr>
          <w:rFonts w:ascii="Cambria Math"/>
          <w:sz w:val="2"/>
        </w:rPr>
        <w:pict>
          <v:group style="width:21.75pt;height:.6pt;mso-position-horizontal-relative:char;mso-position-vertical-relative:line" coordorigin="0,0" coordsize="435,12">
            <v:line style="position:absolute" from="0,6" to="435,6" stroked="true" strokeweight=".59999pt" strokecolor="#000000">
              <v:stroke dashstyle="solid"/>
            </v:line>
          </v:group>
        </w:pict>
      </w:r>
      <w:r>
        <w:rPr>
          <w:rFonts w:ascii="Cambria Math"/>
          <w:sz w:val="2"/>
        </w:rPr>
      </w:r>
    </w:p>
    <w:p>
      <w:pPr>
        <w:pStyle w:val="BodyText"/>
        <w:spacing w:line="99" w:lineRule="exact" w:before="128"/>
        <w:ind w:left="132"/>
        <w:rPr>
          <w:rFonts w:ascii="Cambria Math" w:hAnsi="Cambria Math" w:eastAsia="Cambria Math"/>
        </w:rPr>
      </w:pPr>
      <w:r>
        <w:rPr/>
        <w:br w:type="column"/>
      </w:r>
      <w:r>
        <w:rPr>
          <w:rFonts w:ascii="Cambria Math" w:hAnsi="Cambria Math" w:eastAsia="Cambria Math"/>
          <w:w w:val="120"/>
        </w:rPr>
        <w:t>= </w:t>
      </w:r>
      <w:r>
        <w:rPr>
          <w:rFonts w:ascii="Cambria Math" w:hAnsi="Cambria Math" w:eastAsia="Cambria Math"/>
          <w:w w:val="165"/>
        </w:rPr>
        <w:t>∑ </w:t>
      </w:r>
      <w:r>
        <w:rPr>
          <w:rFonts w:ascii="Cambria Math" w:hAnsi="Cambria Math" w:eastAsia="Cambria Math"/>
          <w:spacing w:val="-127"/>
          <w:w w:val="120"/>
        </w:rPr>
        <w:t>𝜔</w:t>
      </w:r>
    </w:p>
    <w:p>
      <w:pPr>
        <w:spacing w:line="227" w:lineRule="exact" w:before="0"/>
        <w:ind w:left="266" w:right="0" w:firstLine="0"/>
        <w:jc w:val="left"/>
        <w:rPr>
          <w:rFonts w:ascii="Cambria Math" w:hAnsi="Cambria Math" w:eastAsia="Cambria Math"/>
          <w:sz w:val="20"/>
        </w:rPr>
      </w:pPr>
      <w:r>
        <w:rPr/>
        <w:br w:type="column"/>
      </w:r>
      <w:r>
        <w:rPr>
          <w:rFonts w:ascii="Cambria Math" w:hAnsi="Cambria Math" w:eastAsia="Cambria Math"/>
          <w:sz w:val="20"/>
        </w:rPr>
        <w:t>ℎ </w:t>
      </w:r>
      <w:r>
        <w:rPr>
          <w:rFonts w:ascii="Cambria Math" w:hAnsi="Cambria Math" w:eastAsia="Cambria Math"/>
          <w:position w:val="15"/>
          <w:sz w:val="20"/>
        </w:rPr>
        <w:t>𝑄</w:t>
      </w:r>
      <w:r>
        <w:rPr>
          <w:rFonts w:ascii="Cambria Math" w:hAnsi="Cambria Math" w:eastAsia="Cambria Math"/>
          <w:position w:val="11"/>
          <w:sz w:val="14"/>
        </w:rPr>
        <w:t>𝑖𝑡−1  </w:t>
      </w:r>
      <w:r>
        <w:rPr>
          <w:rFonts w:ascii="Cambria Math" w:hAnsi="Cambria Math" w:eastAsia="Cambria Math"/>
          <w:sz w:val="20"/>
        </w:rPr>
        <w:t>[Δ ln 𝑇𝐹𝑃</w:t>
      </w:r>
    </w:p>
    <w:p>
      <w:pPr>
        <w:pStyle w:val="BodyText"/>
        <w:spacing w:before="5"/>
        <w:rPr>
          <w:rFonts w:ascii="Cambria Math"/>
          <w:sz w:val="2"/>
        </w:rPr>
      </w:pPr>
    </w:p>
    <w:p>
      <w:pPr>
        <w:pStyle w:val="BodyText"/>
        <w:spacing w:line="20" w:lineRule="exact"/>
        <w:ind w:left="527"/>
        <w:rPr>
          <w:rFonts w:ascii="Cambria Math"/>
          <w:sz w:val="2"/>
        </w:rPr>
      </w:pPr>
      <w:r>
        <w:rPr>
          <w:rFonts w:ascii="Cambria Math"/>
          <w:sz w:val="2"/>
        </w:rPr>
        <w:pict>
          <v:group style="width:21.75pt;height:.6pt;mso-position-horizontal-relative:char;mso-position-vertical-relative:line" coordorigin="0,0" coordsize="435,12">
            <v:line style="position:absolute" from="0,6" to="434,6" stroked="true" strokeweight=".59999pt" strokecolor="#000000">
              <v:stroke dashstyle="solid"/>
            </v:line>
          </v:group>
        </w:pict>
      </w:r>
      <w:r>
        <w:rPr>
          <w:rFonts w:ascii="Cambria Math"/>
          <w:sz w:val="2"/>
        </w:rPr>
      </w:r>
    </w:p>
    <w:p>
      <w:pPr>
        <w:pStyle w:val="BodyText"/>
        <w:spacing w:line="99" w:lineRule="exact" w:before="128"/>
        <w:ind w:left="105"/>
        <w:rPr>
          <w:rFonts w:ascii="Cambria Math" w:eastAsia="Cambria Math"/>
        </w:rPr>
      </w:pPr>
      <w:r>
        <w:rPr/>
        <w:br w:type="column"/>
      </w:r>
      <w:r>
        <w:rPr>
          <w:rFonts w:ascii="Cambria Math" w:eastAsia="Cambria Math"/>
        </w:rPr>
        <w:t>+ </w:t>
      </w:r>
      <w:r>
        <w:rPr>
          <w:rFonts w:ascii="Cambria Math" w:eastAsia="Cambria Math"/>
          <w:spacing w:val="-140"/>
        </w:rPr>
        <w:t>𝛼</w:t>
      </w:r>
    </w:p>
    <w:p>
      <w:pPr>
        <w:spacing w:line="227" w:lineRule="exact" w:before="0"/>
        <w:ind w:left="73" w:right="0" w:firstLine="0"/>
        <w:jc w:val="left"/>
        <w:rPr>
          <w:rFonts w:ascii="Cambria Math" w:hAnsi="Cambria Math" w:eastAsia="Cambria Math"/>
          <w:sz w:val="20"/>
        </w:rPr>
      </w:pPr>
      <w:r>
        <w:rPr/>
        <w:br w:type="column"/>
      </w:r>
      <w:r>
        <w:rPr>
          <w:rFonts w:ascii="Cambria Math" w:hAnsi="Cambria Math" w:eastAsia="Cambria Math"/>
          <w:w w:val="105"/>
          <w:sz w:val="20"/>
        </w:rPr>
        <w:t>Δ ln (</w:t>
      </w:r>
      <w:r>
        <w:rPr>
          <w:rFonts w:ascii="Cambria Math" w:hAnsi="Cambria Math" w:eastAsia="Cambria Math"/>
          <w:w w:val="105"/>
          <w:position w:val="15"/>
          <w:sz w:val="20"/>
        </w:rPr>
        <w:t>𝐾</w:t>
      </w:r>
      <w:r>
        <w:rPr>
          <w:rFonts w:ascii="Cambria Math" w:hAnsi="Cambria Math" w:eastAsia="Cambria Math"/>
          <w:w w:val="105"/>
          <w:position w:val="11"/>
          <w:sz w:val="14"/>
        </w:rPr>
        <w:t>𝑖𝑡 </w:t>
      </w:r>
      <w:r>
        <w:rPr>
          <w:rFonts w:ascii="Cambria Math" w:hAnsi="Cambria Math" w:eastAsia="Cambria Math"/>
          <w:w w:val="105"/>
          <w:sz w:val="20"/>
        </w:rPr>
        <w:t>) + 𝛼 Δ ln (</w:t>
      </w:r>
      <w:r>
        <w:rPr>
          <w:rFonts w:ascii="Cambria Math" w:hAnsi="Cambria Math" w:eastAsia="Cambria Math"/>
          <w:w w:val="105"/>
          <w:position w:val="15"/>
          <w:sz w:val="20"/>
        </w:rPr>
        <w:t>𝐿</w:t>
      </w:r>
      <w:r>
        <w:rPr>
          <w:rFonts w:ascii="Cambria Math" w:hAnsi="Cambria Math" w:eastAsia="Cambria Math"/>
          <w:w w:val="105"/>
          <w:position w:val="11"/>
          <w:sz w:val="14"/>
        </w:rPr>
        <w:t>𝑖𝑡 </w:t>
      </w:r>
      <w:r>
        <w:rPr>
          <w:rFonts w:ascii="Cambria Math" w:hAnsi="Cambria Math" w:eastAsia="Cambria Math"/>
          <w:w w:val="105"/>
          <w:sz w:val="20"/>
        </w:rPr>
        <w:t>)]</w:t>
      </w:r>
    </w:p>
    <w:p>
      <w:pPr>
        <w:pStyle w:val="BodyText"/>
        <w:spacing w:before="5"/>
        <w:rPr>
          <w:rFonts w:ascii="Cambria Math"/>
          <w:sz w:val="2"/>
        </w:rPr>
      </w:pPr>
    </w:p>
    <w:p>
      <w:pPr>
        <w:tabs>
          <w:tab w:pos="1771" w:val="left" w:leader="none"/>
        </w:tabs>
        <w:spacing w:line="20" w:lineRule="exact"/>
        <w:ind w:left="519" w:right="0" w:firstLine="0"/>
        <w:rPr>
          <w:rFonts w:ascii="Cambria Math"/>
          <w:sz w:val="2"/>
        </w:rPr>
      </w:pPr>
      <w:r>
        <w:rPr>
          <w:rFonts w:ascii="Cambria Math"/>
          <w:sz w:val="2"/>
        </w:rPr>
        <w:pict>
          <v:group style="width:12.85pt;height:.6pt;mso-position-horizontal-relative:char;mso-position-vertical-relative:line" coordorigin="0,0" coordsize="257,12">
            <v:line style="position:absolute" from="0,6" to="257,6" stroked="true" strokeweight=".59999pt" strokecolor="#000000">
              <v:stroke dashstyle="solid"/>
            </v:line>
          </v:group>
        </w:pict>
      </w:r>
      <w:r>
        <w:rPr>
          <w:rFonts w:ascii="Cambria Math"/>
          <w:sz w:val="2"/>
        </w:rPr>
      </w:r>
      <w:r>
        <w:rPr>
          <w:rFonts w:ascii="Cambria Math"/>
          <w:sz w:val="2"/>
        </w:rPr>
        <w:tab/>
      </w:r>
      <w:r>
        <w:rPr>
          <w:rFonts w:ascii="Cambria Math"/>
          <w:sz w:val="2"/>
        </w:rPr>
        <w:pict>
          <v:group style="width:12.85pt;height:.6pt;mso-position-horizontal-relative:char;mso-position-vertical-relative:line" coordorigin="0,0" coordsize="257,12">
            <v:line style="position:absolute" from="0,6" to="257,6" stroked="true" strokeweight=".59999pt" strokecolor="#000000">
              <v:stroke dashstyle="solid"/>
            </v:line>
          </v:group>
        </w:pict>
      </w:r>
      <w:r>
        <w:rPr>
          <w:rFonts w:ascii="Cambria Math"/>
          <w:sz w:val="2"/>
        </w:rPr>
      </w:r>
    </w:p>
    <w:p>
      <w:pPr>
        <w:spacing w:after="0" w:line="20" w:lineRule="exact"/>
        <w:rPr>
          <w:rFonts w:ascii="Cambria Math"/>
          <w:sz w:val="2"/>
        </w:rPr>
        <w:sectPr>
          <w:type w:val="continuous"/>
          <w:pgSz w:w="11910" w:h="16840"/>
          <w:pgMar w:top="1180" w:bottom="1520" w:left="1020" w:right="1020"/>
          <w:cols w:num="6" w:equalWidth="0">
            <w:col w:w="1705" w:space="40"/>
            <w:col w:w="1490" w:space="39"/>
            <w:col w:w="825" w:space="40"/>
            <w:col w:w="1802" w:space="39"/>
            <w:col w:w="420" w:space="40"/>
            <w:col w:w="3430"/>
          </w:cols>
        </w:sectPr>
      </w:pPr>
    </w:p>
    <w:p>
      <w:pPr>
        <w:spacing w:line="115" w:lineRule="exact" w:before="0"/>
        <w:ind w:left="1704" w:right="0" w:firstLine="0"/>
        <w:jc w:val="left"/>
        <w:rPr>
          <w:rFonts w:ascii="Cambria Math" w:hAnsi="Cambria Math" w:eastAsia="Cambria Math"/>
          <w:sz w:val="14"/>
        </w:rPr>
      </w:pPr>
      <w:r>
        <w:rPr>
          <w:rFonts w:ascii="Cambria Math" w:hAnsi="Cambria Math" w:eastAsia="Cambria Math"/>
          <w:w w:val="105"/>
          <w:sz w:val="14"/>
        </w:rPr>
        <w:t>𝑖𝑡−1</w:t>
      </w:r>
    </w:p>
    <w:p>
      <w:pPr>
        <w:spacing w:before="52"/>
        <w:ind w:left="1322" w:right="0" w:firstLine="0"/>
        <w:jc w:val="left"/>
        <w:rPr>
          <w:rFonts w:ascii="Cambria Math" w:eastAsia="Cambria Math"/>
          <w:sz w:val="14"/>
        </w:rPr>
      </w:pPr>
      <w:r>
        <w:rPr>
          <w:rFonts w:ascii="Cambria Math" w:eastAsia="Cambria Math"/>
          <w:w w:val="110"/>
          <w:sz w:val="14"/>
        </w:rPr>
        <w:t>𝑖</w:t>
      </w:r>
    </w:p>
    <w:p>
      <w:pPr>
        <w:spacing w:line="249" w:lineRule="exact" w:before="0"/>
        <w:ind w:left="78" w:right="0" w:firstLine="0"/>
        <w:jc w:val="left"/>
        <w:rPr>
          <w:rFonts w:ascii="Cambria Math" w:hAnsi="Cambria Math" w:eastAsia="Cambria Math"/>
          <w:sz w:val="14"/>
        </w:rPr>
      </w:pPr>
      <w:r>
        <w:rPr/>
        <w:br w:type="column"/>
      </w:r>
      <w:r>
        <w:rPr>
          <w:rFonts w:ascii="Cambria Math" w:hAnsi="Cambria Math" w:eastAsia="Cambria Math"/>
          <w:w w:val="105"/>
          <w:position w:val="13"/>
          <w:sz w:val="14"/>
        </w:rPr>
        <w:t>𝑖𝑡 </w:t>
      </w:r>
      <w:r>
        <w:rPr>
          <w:rFonts w:ascii="Cambria Math" w:hAnsi="Cambria Math" w:eastAsia="Cambria Math"/>
          <w:w w:val="105"/>
          <w:position w:val="4"/>
          <w:sz w:val="20"/>
        </w:rPr>
        <w:t>𝑄</w:t>
      </w:r>
      <w:r>
        <w:rPr>
          <w:rFonts w:ascii="Cambria Math" w:hAnsi="Cambria Math" w:eastAsia="Cambria Math"/>
          <w:w w:val="105"/>
          <w:sz w:val="14"/>
        </w:rPr>
        <w:t>𝑡−1</w:t>
      </w:r>
    </w:p>
    <w:p>
      <w:pPr>
        <w:spacing w:line="115" w:lineRule="exact" w:before="0"/>
        <w:ind w:left="0" w:right="0" w:firstLine="0"/>
        <w:jc w:val="right"/>
        <w:rPr>
          <w:rFonts w:ascii="Cambria Math" w:eastAsia="Cambria Math"/>
          <w:sz w:val="14"/>
        </w:rPr>
      </w:pPr>
      <w:r>
        <w:rPr/>
        <w:br w:type="column"/>
      </w:r>
      <w:r>
        <w:rPr>
          <w:rFonts w:ascii="Cambria Math" w:eastAsia="Cambria Math"/>
          <w:w w:val="110"/>
          <w:sz w:val="14"/>
        </w:rPr>
        <w:t>𝑖𝑡</w:t>
      </w:r>
    </w:p>
    <w:p>
      <w:pPr>
        <w:spacing w:line="115" w:lineRule="exact" w:before="0"/>
        <w:ind w:left="722" w:right="0" w:firstLine="0"/>
        <w:jc w:val="center"/>
        <w:rPr>
          <w:rFonts w:ascii="Cambria Math" w:hAnsi="Cambria Math" w:eastAsia="Cambria Math"/>
          <w:sz w:val="14"/>
        </w:rPr>
      </w:pPr>
      <w:r>
        <w:rPr/>
        <w:br w:type="column"/>
      </w:r>
      <w:r>
        <w:rPr>
          <w:rFonts w:ascii="Cambria Math" w:hAnsi="Cambria Math" w:eastAsia="Cambria Math"/>
          <w:w w:val="105"/>
          <w:sz w:val="14"/>
        </w:rPr>
        <w:t>𝑖𝑡−1</w:t>
      </w:r>
    </w:p>
    <w:p>
      <w:pPr>
        <w:spacing w:before="52"/>
        <w:ind w:left="322" w:right="610" w:firstLine="0"/>
        <w:jc w:val="center"/>
        <w:rPr>
          <w:rFonts w:ascii="Cambria Math" w:eastAsia="Cambria Math"/>
          <w:sz w:val="14"/>
        </w:rPr>
      </w:pPr>
      <w:r>
        <w:rPr>
          <w:rFonts w:ascii="Cambria Math" w:eastAsia="Cambria Math"/>
          <w:w w:val="110"/>
          <w:sz w:val="14"/>
        </w:rPr>
        <w:t>𝑖</w:t>
      </w:r>
    </w:p>
    <w:p>
      <w:pPr>
        <w:spacing w:line="249" w:lineRule="exact" w:before="0"/>
        <w:ind w:left="78" w:right="0" w:firstLine="0"/>
        <w:jc w:val="left"/>
        <w:rPr>
          <w:rFonts w:ascii="Cambria Math" w:hAnsi="Cambria Math" w:eastAsia="Cambria Math"/>
          <w:sz w:val="14"/>
        </w:rPr>
      </w:pPr>
      <w:r>
        <w:rPr/>
        <w:br w:type="column"/>
      </w:r>
      <w:r>
        <w:rPr>
          <w:rFonts w:ascii="Cambria Math" w:hAnsi="Cambria Math" w:eastAsia="Cambria Math"/>
          <w:w w:val="105"/>
          <w:position w:val="13"/>
          <w:sz w:val="14"/>
        </w:rPr>
        <w:t>𝑖𝑡 </w:t>
      </w:r>
      <w:r>
        <w:rPr>
          <w:rFonts w:ascii="Cambria Math" w:hAnsi="Cambria Math" w:eastAsia="Cambria Math"/>
          <w:w w:val="105"/>
          <w:position w:val="4"/>
          <w:sz w:val="20"/>
        </w:rPr>
        <w:t>𝑄</w:t>
      </w:r>
      <w:r>
        <w:rPr>
          <w:rFonts w:ascii="Cambria Math" w:hAnsi="Cambria Math" w:eastAsia="Cambria Math"/>
          <w:w w:val="105"/>
          <w:sz w:val="14"/>
        </w:rPr>
        <w:t>𝑡−1</w:t>
      </w:r>
    </w:p>
    <w:p>
      <w:pPr>
        <w:tabs>
          <w:tab w:pos="1285" w:val="left" w:leader="none"/>
        </w:tabs>
        <w:spacing w:line="115" w:lineRule="exact" w:before="0"/>
        <w:ind w:left="803" w:right="0" w:firstLine="0"/>
        <w:jc w:val="left"/>
        <w:rPr>
          <w:rFonts w:ascii="Cambria Math" w:eastAsia="Cambria Math"/>
          <w:sz w:val="14"/>
        </w:rPr>
      </w:pPr>
      <w:r>
        <w:rPr/>
        <w:br w:type="column"/>
      </w:r>
      <w:r>
        <w:rPr>
          <w:rFonts w:ascii="Cambria Math" w:eastAsia="Cambria Math"/>
          <w:w w:val="105"/>
          <w:sz w:val="14"/>
        </w:rPr>
        <w:t>𝑖𝑡</w:t>
        <w:tab/>
      </w:r>
      <w:r>
        <w:rPr>
          <w:rFonts w:ascii="Cambria Math" w:eastAsia="Cambria Math"/>
          <w:spacing w:val="-94"/>
          <w:sz w:val="14"/>
        </w:rPr>
        <w:t>𝐾</w:t>
      </w:r>
    </w:p>
    <w:p>
      <w:pPr>
        <w:spacing w:line="249" w:lineRule="exact" w:before="0"/>
        <w:ind w:left="424" w:right="0" w:firstLine="0"/>
        <w:jc w:val="left"/>
        <w:rPr>
          <w:rFonts w:ascii="Cambria Math" w:eastAsia="Cambria Math"/>
          <w:sz w:val="14"/>
        </w:rPr>
      </w:pPr>
      <w:r>
        <w:rPr/>
        <w:br w:type="column"/>
      </w:r>
      <w:r>
        <w:rPr>
          <w:rFonts w:ascii="Cambria Math" w:eastAsia="Cambria Math"/>
          <w:spacing w:val="-8"/>
          <w:w w:val="105"/>
          <w:position w:val="4"/>
          <w:sz w:val="20"/>
        </w:rPr>
        <w:t>𝐻</w:t>
      </w:r>
      <w:r>
        <w:rPr>
          <w:rFonts w:ascii="Cambria Math" w:eastAsia="Cambria Math"/>
          <w:spacing w:val="-8"/>
          <w:w w:val="105"/>
          <w:sz w:val="14"/>
        </w:rPr>
        <w:t>𝑖𝑡</w:t>
      </w:r>
    </w:p>
    <w:p>
      <w:pPr>
        <w:tabs>
          <w:tab w:pos="972" w:val="left" w:leader="none"/>
        </w:tabs>
        <w:spacing w:line="249" w:lineRule="exact" w:before="0"/>
        <w:ind w:left="432" w:right="0" w:firstLine="0"/>
        <w:jc w:val="left"/>
        <w:rPr>
          <w:rFonts w:ascii="Cambria Math" w:eastAsia="Cambria Math"/>
          <w:sz w:val="14"/>
        </w:rPr>
      </w:pPr>
      <w:r>
        <w:rPr/>
        <w:br w:type="column"/>
      </w:r>
      <w:r>
        <w:rPr>
          <w:rFonts w:ascii="Cambria Math" w:eastAsia="Cambria Math"/>
          <w:w w:val="105"/>
          <w:position w:val="13"/>
          <w:sz w:val="14"/>
        </w:rPr>
        <w:t>𝐿</w:t>
        <w:tab/>
      </w:r>
      <w:r>
        <w:rPr>
          <w:rFonts w:ascii="Cambria Math" w:eastAsia="Cambria Math"/>
          <w:spacing w:val="-6"/>
          <w:w w:val="105"/>
          <w:position w:val="4"/>
          <w:sz w:val="20"/>
        </w:rPr>
        <w:t>𝐻</w:t>
      </w:r>
      <w:r>
        <w:rPr>
          <w:rFonts w:ascii="Cambria Math" w:eastAsia="Cambria Math"/>
          <w:spacing w:val="-6"/>
          <w:w w:val="105"/>
          <w:sz w:val="14"/>
        </w:rPr>
        <w:t>𝑖𝑡</w:t>
      </w:r>
    </w:p>
    <w:p>
      <w:pPr>
        <w:spacing w:after="0" w:line="249" w:lineRule="exact"/>
        <w:jc w:val="left"/>
        <w:rPr>
          <w:rFonts w:ascii="Cambria Math" w:eastAsia="Cambria Math"/>
          <w:sz w:val="14"/>
        </w:rPr>
        <w:sectPr>
          <w:type w:val="continuous"/>
          <w:pgSz w:w="11910" w:h="16840"/>
          <w:pgMar w:top="1180" w:bottom="1520" w:left="1020" w:right="1020"/>
          <w:cols w:num="8" w:equalWidth="0">
            <w:col w:w="2004" w:space="40"/>
            <w:col w:w="638" w:space="39"/>
            <w:col w:w="615" w:space="39"/>
            <w:col w:w="1022" w:space="40"/>
            <w:col w:w="638" w:space="39"/>
            <w:col w:w="1387" w:space="39"/>
            <w:col w:w="665" w:space="40"/>
            <w:col w:w="2625"/>
          </w:cols>
        </w:sectPr>
      </w:pPr>
    </w:p>
    <w:p>
      <w:pPr>
        <w:pStyle w:val="BodyText"/>
        <w:spacing w:before="146"/>
        <w:ind w:left="833"/>
      </w:pPr>
      <w:r>
        <w:rPr/>
        <w:pict>
          <v:rect style="position:absolute;margin-left:309.190002pt;margin-top:13.681944pt;width:5.4pt;height:.59999pt;mso-position-horizontal-relative:page;mso-position-vertical-relative:paragraph;z-index:-254966784" filled="true" fillcolor="#000000" stroked="false">
            <v:fill type="solid"/>
            <w10:wrap type="none"/>
          </v:rect>
        </w:pict>
      </w:r>
      <w:r>
        <w:rPr/>
        <w:pict>
          <v:shape style="position:absolute;margin-left:309.190002pt;margin-top:15.228574pt;width:5.25pt;height:8.2pt;mso-position-horizontal-relative:page;mso-position-vertical-relative:paragraph;z-index:-254965760"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sz w:val="14"/>
                    </w:rPr>
                    <w:t>𝐻</w:t>
                  </w:r>
                </w:p>
              </w:txbxContent>
            </v:textbox>
            <w10:wrap type="none"/>
          </v:shape>
        </w:pict>
      </w:r>
      <w:r>
        <w:rPr/>
        <w:t>Where factor shares (</w:t>
      </w:r>
      <w:r>
        <w:rPr>
          <w:rFonts w:ascii="Cambria Math" w:eastAsia="Cambria Math"/>
        </w:rPr>
        <w:t>𝛼</w:t>
      </w:r>
      <w:r>
        <w:rPr>
          <w:rFonts w:ascii="Cambria Math" w:eastAsia="Cambria Math"/>
          <w:vertAlign w:val="subscript"/>
        </w:rPr>
        <w:t>𝐾</w:t>
      </w:r>
      <w:r>
        <w:rPr>
          <w:rFonts w:ascii="Cambria Math" w:eastAsia="Cambria Math"/>
          <w:vertAlign w:val="baseline"/>
        </w:rPr>
        <w:t> </w:t>
      </w:r>
      <w:r>
        <w:rPr>
          <w:vertAlign w:val="baseline"/>
        </w:rPr>
        <w:t>and </w:t>
      </w:r>
      <w:r>
        <w:rPr>
          <w:rFonts w:ascii="Cambria Math" w:eastAsia="Cambria Math"/>
          <w:vertAlign w:val="baseline"/>
        </w:rPr>
        <w:t>𝛼</w:t>
      </w:r>
      <w:r>
        <w:rPr>
          <w:rFonts w:ascii="Cambria Math" w:eastAsia="Cambria Math"/>
          <w:vertAlign w:val="subscript"/>
        </w:rPr>
        <w:t>𝐿</w:t>
      </w:r>
      <w:r>
        <w:rPr>
          <w:vertAlign w:val="baseline"/>
        </w:rPr>
        <w:t>), labour quality </w:t>
      </w:r>
      <w:r>
        <w:rPr>
          <w:rFonts w:ascii="Cambria Math" w:eastAsia="Cambria Math"/>
          <w:vertAlign w:val="baseline"/>
        </w:rPr>
        <w:t>(</w:t>
      </w:r>
      <w:r>
        <w:rPr>
          <w:rFonts w:ascii="Cambria Math" w:eastAsia="Cambria Math"/>
          <w:vertAlign w:val="superscript"/>
        </w:rPr>
        <w:t>𝐿</w:t>
      </w:r>
      <w:r>
        <w:rPr>
          <w:rFonts w:ascii="Cambria Math" w:eastAsia="Cambria Math"/>
          <w:vertAlign w:val="baseline"/>
        </w:rPr>
        <w:t> ) </w:t>
      </w:r>
      <w:r>
        <w:rPr>
          <w:vertAlign w:val="baseline"/>
        </w:rPr>
        <w:t>and capital services (</w:t>
      </w:r>
      <w:r>
        <w:rPr>
          <w:rFonts w:ascii="Cambria Math" w:eastAsia="Cambria Math"/>
          <w:vertAlign w:val="baseline"/>
        </w:rPr>
        <w:t>𝐾</w:t>
      </w:r>
      <w:r>
        <w:rPr>
          <w:vertAlign w:val="baseline"/>
        </w:rPr>
        <w:t>) data are all published or</w:t>
      </w:r>
    </w:p>
    <w:p>
      <w:pPr>
        <w:pStyle w:val="BodyText"/>
        <w:spacing w:line="360" w:lineRule="auto" w:before="178"/>
        <w:ind w:left="833" w:right="168"/>
      </w:pPr>
      <w:r>
        <w:rPr/>
        <w:t>constructed from ONS data (see Goodridge, Haskel and Wallis, 2016 for detail) and TFP is found as a residual.</w:t>
      </w:r>
    </w:p>
    <w:p>
      <w:pPr>
        <w:pStyle w:val="ListParagraph"/>
        <w:numPr>
          <w:ilvl w:val="0"/>
          <w:numId w:val="5"/>
        </w:numPr>
        <w:tabs>
          <w:tab w:pos="833" w:val="left" w:leader="none"/>
          <w:tab w:pos="834" w:val="left" w:leader="none"/>
        </w:tabs>
        <w:spacing w:line="229" w:lineRule="exact" w:before="0" w:after="0"/>
        <w:ind w:left="833" w:right="0" w:hanging="361"/>
        <w:jc w:val="left"/>
        <w:rPr>
          <w:sz w:val="20"/>
        </w:rPr>
      </w:pPr>
      <w:r>
        <w:rPr>
          <w:sz w:val="20"/>
        </w:rPr>
        <w:t>The </w:t>
      </w:r>
      <w:r>
        <w:rPr>
          <w:b/>
          <w:sz w:val="20"/>
        </w:rPr>
        <w:t>second derivative </w:t>
      </w:r>
      <w:r>
        <w:rPr>
          <w:sz w:val="20"/>
        </w:rPr>
        <w:t>tends to be very</w:t>
      </w:r>
      <w:r>
        <w:rPr>
          <w:spacing w:val="-7"/>
          <w:sz w:val="20"/>
        </w:rPr>
        <w:t> </w:t>
      </w:r>
      <w:r>
        <w:rPr>
          <w:sz w:val="20"/>
        </w:rPr>
        <w:t>small.</w:t>
      </w:r>
    </w:p>
    <w:p>
      <w:pPr>
        <w:pStyle w:val="ListParagraph"/>
        <w:numPr>
          <w:ilvl w:val="0"/>
          <w:numId w:val="5"/>
        </w:numPr>
        <w:tabs>
          <w:tab w:pos="833" w:val="left" w:leader="none"/>
          <w:tab w:pos="834" w:val="left" w:leader="none"/>
        </w:tabs>
        <w:spacing w:line="240" w:lineRule="auto" w:before="113" w:after="0"/>
        <w:ind w:left="833" w:right="0" w:hanging="361"/>
        <w:jc w:val="left"/>
        <w:rPr>
          <w:sz w:val="20"/>
        </w:rPr>
      </w:pPr>
      <w:r>
        <w:rPr>
          <w:sz w:val="20"/>
        </w:rPr>
        <w:t>The final decomposition also includes a small </w:t>
      </w:r>
      <w:r>
        <w:rPr>
          <w:b/>
          <w:sz w:val="20"/>
        </w:rPr>
        <w:t>log-approximation error</w:t>
      </w:r>
      <w:r>
        <w:rPr>
          <w:b/>
          <w:spacing w:val="-7"/>
          <w:sz w:val="20"/>
        </w:rPr>
        <w:t> </w:t>
      </w:r>
      <w:r>
        <w:rPr>
          <w:b/>
          <w:sz w:val="20"/>
        </w:rPr>
        <w:t>term</w:t>
      </w:r>
      <w:r>
        <w:rPr>
          <w:sz w:val="20"/>
        </w:rPr>
        <w:t>.</w:t>
      </w:r>
    </w:p>
    <w:p>
      <w:pPr>
        <w:pStyle w:val="BodyText"/>
        <w:rPr>
          <w:sz w:val="22"/>
        </w:rPr>
      </w:pPr>
    </w:p>
    <w:p>
      <w:pPr>
        <w:pStyle w:val="BodyText"/>
        <w:spacing w:before="4"/>
        <w:rPr>
          <w:sz w:val="18"/>
        </w:rPr>
      </w:pPr>
    </w:p>
    <w:p>
      <w:pPr>
        <w:pStyle w:val="BodyText"/>
        <w:spacing w:line="357" w:lineRule="auto"/>
        <w:ind w:left="113" w:right="98"/>
      </w:pPr>
      <w:r>
        <w:rPr/>
        <w:t>Taken together, the full decomposition we employ can account for changes in aggregate productivity in terms of contributions from each sector that account for both direct and indirect influences.</w:t>
      </w:r>
    </w:p>
    <w:p>
      <w:pPr>
        <w:pStyle w:val="BodyText"/>
        <w:spacing w:before="2"/>
        <w:rPr>
          <w:sz w:val="30"/>
        </w:rPr>
      </w:pPr>
    </w:p>
    <w:p>
      <w:pPr>
        <w:spacing w:before="0"/>
        <w:ind w:left="113" w:right="0" w:firstLine="0"/>
        <w:jc w:val="left"/>
        <w:rPr>
          <w:i/>
          <w:sz w:val="20"/>
        </w:rPr>
      </w:pPr>
      <w:r>
        <w:rPr>
          <w:i/>
          <w:sz w:val="20"/>
          <w:u w:val="single"/>
        </w:rPr>
        <w:t>Capital services data</w:t>
      </w:r>
    </w:p>
    <w:p>
      <w:pPr>
        <w:pStyle w:val="BodyText"/>
        <w:rPr>
          <w:i/>
        </w:rPr>
      </w:pPr>
    </w:p>
    <w:p>
      <w:pPr>
        <w:pStyle w:val="BodyText"/>
        <w:spacing w:before="1"/>
        <w:rPr>
          <w:i/>
        </w:rPr>
      </w:pPr>
    </w:p>
    <w:p>
      <w:pPr>
        <w:pStyle w:val="BodyText"/>
        <w:spacing w:line="360" w:lineRule="auto"/>
        <w:ind w:left="113" w:right="131"/>
      </w:pPr>
      <w:r>
        <w:rPr/>
        <w:t>The decompositions use capital services data from 2000 to 2015, constructed by the Bank of England following the methodology in Oulton and Wallis (2016). They differ from the capital stock, which is the value of all fixed and intangible assets (e.g., machinery, buildings and software) used for production (i.e., excluding dwellings). It measures the stock of wealth. Capital services are intended to measure the flow of services from the existing capital stocks into production.</w:t>
      </w:r>
    </w:p>
    <w:p>
      <w:pPr>
        <w:pStyle w:val="BodyText"/>
        <w:spacing w:before="2"/>
        <w:rPr>
          <w:sz w:val="30"/>
        </w:rPr>
      </w:pPr>
    </w:p>
    <w:p>
      <w:pPr>
        <w:pStyle w:val="BodyText"/>
        <w:spacing w:line="360" w:lineRule="auto"/>
        <w:ind w:left="113" w:right="220"/>
      </w:pPr>
      <w:r>
        <w:rPr/>
        <w:t>Intuitively, capital stocks provide services to production just as workers provide hours of service. For this reason, they are more appropriate to include in production functions, as it is the services provided by capital that do the work of producing.</w:t>
      </w:r>
    </w:p>
    <w:p>
      <w:pPr>
        <w:pStyle w:val="BodyText"/>
        <w:rPr>
          <w:sz w:val="30"/>
        </w:rPr>
      </w:pPr>
    </w:p>
    <w:p>
      <w:pPr>
        <w:pStyle w:val="BodyText"/>
        <w:spacing w:line="360" w:lineRule="auto"/>
        <w:ind w:left="113" w:right="131"/>
      </w:pPr>
      <w:r>
        <w:rPr/>
        <w:t>Stemming from this distinction, the two measures are aggregated in very different ways. Although the aggregation of both capital stocks and services is based on the growth rates of net stocks of individual assets, these are weighted differently: by total value of assets in the former, and by total rental income in the latter.</w:t>
      </w:r>
    </w:p>
    <w:p>
      <w:pPr>
        <w:pStyle w:val="BodyText"/>
        <w:spacing w:before="10"/>
        <w:rPr>
          <w:sz w:val="29"/>
        </w:rPr>
      </w:pPr>
    </w:p>
    <w:p>
      <w:pPr>
        <w:pStyle w:val="BodyText"/>
        <w:spacing w:line="360" w:lineRule="auto"/>
        <w:ind w:left="113" w:right="231"/>
      </w:pPr>
      <w:r>
        <w:rPr/>
        <w:t>As a result, the largest assets by value have the greatest influence on the aggregate capital stock. By contrast, the largest assets by rental income have the greatest influence on aggregate capital services.</w:t>
      </w:r>
    </w:p>
    <w:sectPr>
      <w:type w:val="continuous"/>
      <w:pgSz w:w="11910" w:h="16840"/>
      <w:pgMar w:top="1180" w:bottom="152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0917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5090688"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323.5pt;height:13.15pt;mso-position-horizontal-relative:page;mso-position-vertical-relative:page;z-index:-25508966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0558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505484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43.400002pt;margin-top:771.999451pt;width:323.4pt;height:13.15pt;mso-position-horizontal-relative:page;mso-position-vertical-relative:page;z-index:-25505382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5052800" type="#_x0000_t202" filled="false" stroked="false">
          <v:textbox inset="0,0,0,0">
            <w:txbxContent>
              <w:p>
                <w:pPr>
                  <w:pStyle w:val="BodyText"/>
                  <w:spacing w:before="12"/>
                  <w:ind w:left="20"/>
                </w:pPr>
                <w:r>
                  <w:rPr/>
                  <w:t>14</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05177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505075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15</w:t>
                </w:r>
                <w:r>
                  <w:rPr/>
                  <w:fldChar w:fldCharType="end"/>
                </w:r>
              </w:p>
            </w:txbxContent>
          </v:textbox>
          <w10:wrap type="none"/>
        </v:shape>
      </w:pict>
    </w:r>
    <w:r>
      <w:rPr/>
      <w:pict>
        <v:shape style="position:absolute;margin-left:43.400002pt;margin-top:771.999451pt;width:323.4pt;height:13.15pt;mso-position-horizontal-relative:page;mso-position-vertical-relative:page;z-index:-25504972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5048704" type="#_x0000_t202" filled="false" stroked="false">
          <v:textbox inset="0,0,0,0">
            <w:txbxContent>
              <w:p>
                <w:pPr>
                  <w:pStyle w:val="BodyText"/>
                  <w:spacing w:before="12"/>
                  <w:ind w:left="20"/>
                </w:pPr>
                <w:r>
                  <w:rPr/>
                  <w:t>15</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0476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504665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16</w:t>
                </w:r>
                <w:r>
                  <w:rPr/>
                  <w:fldChar w:fldCharType="end"/>
                </w:r>
              </w:p>
            </w:txbxContent>
          </v:textbox>
          <w10:wrap type="none"/>
        </v:shape>
      </w:pict>
    </w:r>
    <w:r>
      <w:rPr/>
      <w:pict>
        <v:shape style="position:absolute;margin-left:43.400002pt;margin-top:771.999451pt;width:323.4pt;height:13.15pt;mso-position-horizontal-relative:page;mso-position-vertical-relative:page;z-index:-25504563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5044608" type="#_x0000_t202" filled="false" stroked="false">
          <v:textbox inset="0,0,0,0">
            <w:txbxContent>
              <w:p>
                <w:pPr>
                  <w:pStyle w:val="BodyText"/>
                  <w:spacing w:before="12"/>
                  <w:ind w:left="20"/>
                </w:pPr>
                <w:r>
                  <w:rPr/>
                  <w:t>16</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0435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504256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19</w:t>
                </w:r>
                <w:r>
                  <w:rPr/>
                  <w:fldChar w:fldCharType="end"/>
                </w:r>
              </w:p>
            </w:txbxContent>
          </v:textbox>
          <w10:wrap type="none"/>
        </v:shape>
      </w:pict>
    </w:r>
    <w:r>
      <w:rPr/>
      <w:pict>
        <v:shape style="position:absolute;margin-left:43.400002pt;margin-top:771.999451pt;width:323.4pt;height:13.15pt;mso-position-horizontal-relative:page;mso-position-vertical-relative:page;z-index:-25504153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5040512" type="#_x0000_t202" filled="false" stroked="false">
          <v:textbox inset="0,0,0,0">
            <w:txbxContent>
              <w:p>
                <w:pPr>
                  <w:pStyle w:val="BodyText"/>
                  <w:spacing w:before="12"/>
                  <w:ind w:left="20"/>
                </w:pPr>
                <w:r>
                  <w:rPr/>
                  <w:t>19</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0394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503846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20</w:t>
                </w:r>
                <w:r>
                  <w:rPr/>
                  <w:fldChar w:fldCharType="end"/>
                </w:r>
              </w:p>
            </w:txbxContent>
          </v:textbox>
          <w10:wrap type="none"/>
        </v:shape>
      </w:pict>
    </w:r>
    <w:r>
      <w:rPr/>
      <w:pict>
        <v:shape style="position:absolute;margin-left:43.400002pt;margin-top:771.999451pt;width:323.4pt;height:13.15pt;mso-position-horizontal-relative:page;mso-position-vertical-relative:page;z-index:-25503744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5036416" type="#_x0000_t202" filled="false" stroked="false">
          <v:textbox inset="0,0,0,0">
            <w:txbxContent>
              <w:p>
                <w:pPr>
                  <w:pStyle w:val="BodyText"/>
                  <w:spacing w:before="12"/>
                  <w:ind w:left="20"/>
                </w:pPr>
                <w:r>
                  <w:rPr/>
                  <w:t>20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0353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503436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21</w:t>
                </w:r>
                <w:r>
                  <w:rPr/>
                  <w:fldChar w:fldCharType="end"/>
                </w:r>
              </w:p>
            </w:txbxContent>
          </v:textbox>
          <w10:wrap type="none"/>
        </v:shape>
      </w:pict>
    </w:r>
    <w:r>
      <w:rPr/>
      <w:pict>
        <v:shape style="position:absolute;margin-left:43.400002pt;margin-top:771.999451pt;width:323.4pt;height:13.15pt;mso-position-horizontal-relative:page;mso-position-vertical-relative:page;z-index:-25503334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5032320" type="#_x0000_t202" filled="false" stroked="false">
          <v:textbox inset="0,0,0,0">
            <w:txbxContent>
              <w:p>
                <w:pPr>
                  <w:pStyle w:val="BodyText"/>
                  <w:spacing w:before="12"/>
                  <w:ind w:left="20"/>
                </w:pPr>
                <w:r>
                  <w:rPr/>
                  <w:t>21</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0312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503027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27</w:t>
                </w:r>
                <w:r>
                  <w:rPr/>
                  <w:fldChar w:fldCharType="end"/>
                </w:r>
              </w:p>
            </w:txbxContent>
          </v:textbox>
          <w10:wrap type="none"/>
        </v:shape>
      </w:pict>
    </w:r>
    <w:r>
      <w:rPr/>
      <w:pict>
        <v:shape style="position:absolute;margin-left:43.400002pt;margin-top:771.999451pt;width:323.4pt;height:13.15pt;mso-position-horizontal-relative:page;mso-position-vertical-relative:page;z-index:-25502924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5028224" type="#_x0000_t202" filled="false" stroked="false">
          <v:textbox inset="0,0,0,0">
            <w:txbxContent>
              <w:p>
                <w:pPr>
                  <w:pStyle w:val="BodyText"/>
                  <w:spacing w:before="12"/>
                  <w:ind w:left="20"/>
                </w:pPr>
                <w:r>
                  <w:rPr/>
                  <w:t>27</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08864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508761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99451pt;width:323.4pt;height:13.15pt;mso-position-horizontal-relative:page;mso-position-vertical-relative:page;z-index:-25508659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5085568"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0845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508352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43.400002pt;margin-top:771.999451pt;width:323.4pt;height:13.15pt;mso-position-horizontal-relative:page;mso-position-vertical-relative:page;z-index:-25508249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5081472"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08044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507942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43.400002pt;margin-top:771.999451pt;width:323.4pt;height:13.15pt;mso-position-horizontal-relative:page;mso-position-vertical-relative:page;z-index:-25507840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5077376" type="#_x0000_t202" filled="false" stroked="false">
          <v:textbox inset="0,0,0,0">
            <w:txbxContent>
              <w:p>
                <w:pPr>
                  <w:pStyle w:val="BodyText"/>
                  <w:spacing w:before="12"/>
                  <w:ind w:left="20"/>
                </w:pPr>
                <w:r>
                  <w:rPr>
                    <w:w w:val="99"/>
                  </w:rPr>
                  <w:t>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07635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507532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43.400002pt;margin-top:771.999451pt;width:323.4pt;height:13.15pt;mso-position-horizontal-relative:page;mso-position-vertical-relative:page;z-index:-25507430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5073280" type="#_x0000_t202" filled="false" stroked="false">
          <v:textbox inset="0,0,0,0">
            <w:txbxContent>
              <w:p>
                <w:pPr>
                  <w:pStyle w:val="BodyText"/>
                  <w:spacing w:before="12"/>
                  <w:ind w:left="20"/>
                </w:pPr>
                <w:r>
                  <w:rPr>
                    <w:w w:val="99"/>
                  </w:rPr>
                  <w:t>7</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0722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507123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8</w:t>
                </w:r>
                <w:r>
                  <w:rPr/>
                  <w:fldChar w:fldCharType="end"/>
                </w:r>
              </w:p>
            </w:txbxContent>
          </v:textbox>
          <w10:wrap type="none"/>
        </v:shape>
      </w:pict>
    </w:r>
    <w:r>
      <w:rPr/>
      <w:pict>
        <v:shape style="position:absolute;margin-left:43.400002pt;margin-top:771.999451pt;width:323.4pt;height:13.15pt;mso-position-horizontal-relative:page;mso-position-vertical-relative:page;z-index:-25507020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5069184" type="#_x0000_t202" filled="false" stroked="false">
          <v:textbox inset="0,0,0,0">
            <w:txbxContent>
              <w:p>
                <w:pPr>
                  <w:pStyle w:val="BodyText"/>
                  <w:spacing w:before="12"/>
                  <w:ind w:left="20"/>
                </w:pPr>
                <w:r>
                  <w:rPr>
                    <w:w w:val="99"/>
                  </w:rPr>
                  <w:t>8</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0681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506713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43.400002pt;margin-top:771.999451pt;width:323.4pt;height:13.15pt;mso-position-horizontal-relative:page;mso-position-vertical-relative:page;z-index:-25506611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5065088" type="#_x0000_t202" filled="false" stroked="false">
          <v:textbox inset="0,0,0,0">
            <w:txbxContent>
              <w:p>
                <w:pPr>
                  <w:pStyle w:val="BodyText"/>
                  <w:spacing w:before="12"/>
                  <w:ind w:left="20"/>
                </w:pPr>
                <w:r>
                  <w:rPr>
                    <w:w w:val="99"/>
                  </w:rPr>
                  <w:t>9</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0640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506304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323.4pt;height:13.15pt;mso-position-horizontal-relative:page;mso-position-vertical-relative:page;z-index:-25506201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5060992" type="#_x0000_t202" filled="false" stroked="false">
          <v:textbox inset="0,0,0,0">
            <w:txbxContent>
              <w:p>
                <w:pPr>
                  <w:pStyle w:val="BodyText"/>
                  <w:spacing w:before="12"/>
                  <w:ind w:left="20"/>
                </w:pPr>
                <w:r>
                  <w:rPr/>
                  <w:t>10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05996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505894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400002pt;margin-top:771.999451pt;width:323.4pt;height:13.15pt;mso-position-horizontal-relative:page;mso-position-vertical-relative:page;z-index:-25505792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5056896" type="#_x0000_t202" filled="false" stroked="false">
          <v:textbox inset="0,0,0,0">
            <w:txbxContent>
              <w:p>
                <w:pPr>
                  <w:pStyle w:val="BodyText"/>
                  <w:spacing w:before="12"/>
                  <w:ind w:left="20"/>
                </w:pPr>
                <w:r>
                  <w:rPr/>
                  <w:t>11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833" w:hanging="360"/>
      </w:pPr>
      <w:rPr>
        <w:rFonts w:hint="default" w:ascii="Arial" w:hAnsi="Arial" w:eastAsia="Arial" w:cs="Arial"/>
        <w:w w:val="99"/>
        <w:sz w:val="20"/>
        <w:szCs w:val="20"/>
        <w:lang w:val="en-gb" w:eastAsia="en-gb" w:bidi="en-gb"/>
      </w:rPr>
    </w:lvl>
    <w:lvl w:ilvl="1">
      <w:start w:val="0"/>
      <w:numFmt w:val="bullet"/>
      <w:lvlText w:val="•"/>
      <w:lvlJc w:val="left"/>
      <w:pPr>
        <w:ind w:left="1742" w:hanging="360"/>
      </w:pPr>
      <w:rPr>
        <w:rFonts w:hint="default"/>
        <w:lang w:val="en-gb" w:eastAsia="en-gb" w:bidi="en-gb"/>
      </w:rPr>
    </w:lvl>
    <w:lvl w:ilvl="2">
      <w:start w:val="0"/>
      <w:numFmt w:val="bullet"/>
      <w:lvlText w:val="•"/>
      <w:lvlJc w:val="left"/>
      <w:pPr>
        <w:ind w:left="2645" w:hanging="360"/>
      </w:pPr>
      <w:rPr>
        <w:rFonts w:hint="default"/>
        <w:lang w:val="en-gb" w:eastAsia="en-gb" w:bidi="en-gb"/>
      </w:rPr>
    </w:lvl>
    <w:lvl w:ilvl="3">
      <w:start w:val="0"/>
      <w:numFmt w:val="bullet"/>
      <w:lvlText w:val="•"/>
      <w:lvlJc w:val="left"/>
      <w:pPr>
        <w:ind w:left="3547" w:hanging="360"/>
      </w:pPr>
      <w:rPr>
        <w:rFonts w:hint="default"/>
        <w:lang w:val="en-gb" w:eastAsia="en-gb" w:bidi="en-gb"/>
      </w:rPr>
    </w:lvl>
    <w:lvl w:ilvl="4">
      <w:start w:val="0"/>
      <w:numFmt w:val="bullet"/>
      <w:lvlText w:val="•"/>
      <w:lvlJc w:val="left"/>
      <w:pPr>
        <w:ind w:left="4450" w:hanging="360"/>
      </w:pPr>
      <w:rPr>
        <w:rFonts w:hint="default"/>
        <w:lang w:val="en-gb" w:eastAsia="en-gb" w:bidi="en-gb"/>
      </w:rPr>
    </w:lvl>
    <w:lvl w:ilvl="5">
      <w:start w:val="0"/>
      <w:numFmt w:val="bullet"/>
      <w:lvlText w:val="•"/>
      <w:lvlJc w:val="left"/>
      <w:pPr>
        <w:ind w:left="5353" w:hanging="360"/>
      </w:pPr>
      <w:rPr>
        <w:rFonts w:hint="default"/>
        <w:lang w:val="en-gb" w:eastAsia="en-gb" w:bidi="en-gb"/>
      </w:rPr>
    </w:lvl>
    <w:lvl w:ilvl="6">
      <w:start w:val="0"/>
      <w:numFmt w:val="bullet"/>
      <w:lvlText w:val="•"/>
      <w:lvlJc w:val="left"/>
      <w:pPr>
        <w:ind w:left="6255" w:hanging="360"/>
      </w:pPr>
      <w:rPr>
        <w:rFonts w:hint="default"/>
        <w:lang w:val="en-gb" w:eastAsia="en-gb" w:bidi="en-gb"/>
      </w:rPr>
    </w:lvl>
    <w:lvl w:ilvl="7">
      <w:start w:val="0"/>
      <w:numFmt w:val="bullet"/>
      <w:lvlText w:val="•"/>
      <w:lvlJc w:val="left"/>
      <w:pPr>
        <w:ind w:left="7158" w:hanging="360"/>
      </w:pPr>
      <w:rPr>
        <w:rFonts w:hint="default"/>
        <w:lang w:val="en-gb" w:eastAsia="en-gb" w:bidi="en-gb"/>
      </w:rPr>
    </w:lvl>
    <w:lvl w:ilvl="8">
      <w:start w:val="0"/>
      <w:numFmt w:val="bullet"/>
      <w:lvlText w:val="•"/>
      <w:lvlJc w:val="left"/>
      <w:pPr>
        <w:ind w:left="8061" w:hanging="360"/>
      </w:pPr>
      <w:rPr>
        <w:rFonts w:hint="default"/>
        <w:lang w:val="en-gb" w:eastAsia="en-gb" w:bidi="en-gb"/>
      </w:rPr>
    </w:lvl>
  </w:abstractNum>
  <w:abstractNum w:abstractNumId="3">
    <w:multiLevelType w:val="hybridMultilevel"/>
    <w:lvl w:ilvl="0">
      <w:start w:val="0"/>
      <w:numFmt w:val="bullet"/>
      <w:lvlText w:val=""/>
      <w:lvlJc w:val="left"/>
      <w:pPr>
        <w:ind w:left="593" w:hanging="360"/>
      </w:pPr>
      <w:rPr>
        <w:rFonts w:hint="default" w:ascii="Symbol" w:hAnsi="Symbol" w:eastAsia="Symbol" w:cs="Symbol"/>
        <w:w w:val="99"/>
        <w:sz w:val="20"/>
        <w:szCs w:val="20"/>
        <w:lang w:val="en-gb" w:eastAsia="en-gb" w:bidi="en-gb"/>
      </w:rPr>
    </w:lvl>
    <w:lvl w:ilvl="1">
      <w:start w:val="0"/>
      <w:numFmt w:val="bullet"/>
      <w:lvlText w:val="•"/>
      <w:lvlJc w:val="left"/>
      <w:pPr>
        <w:ind w:left="1538" w:hanging="360"/>
      </w:pPr>
      <w:rPr>
        <w:rFonts w:hint="default"/>
        <w:lang w:val="en-gb" w:eastAsia="en-gb" w:bidi="en-gb"/>
      </w:rPr>
    </w:lvl>
    <w:lvl w:ilvl="2">
      <w:start w:val="0"/>
      <w:numFmt w:val="bullet"/>
      <w:lvlText w:val="•"/>
      <w:lvlJc w:val="left"/>
      <w:pPr>
        <w:ind w:left="2477" w:hanging="360"/>
      </w:pPr>
      <w:rPr>
        <w:rFonts w:hint="default"/>
        <w:lang w:val="en-gb" w:eastAsia="en-gb" w:bidi="en-gb"/>
      </w:rPr>
    </w:lvl>
    <w:lvl w:ilvl="3">
      <w:start w:val="0"/>
      <w:numFmt w:val="bullet"/>
      <w:lvlText w:val="•"/>
      <w:lvlJc w:val="left"/>
      <w:pPr>
        <w:ind w:left="3415" w:hanging="360"/>
      </w:pPr>
      <w:rPr>
        <w:rFonts w:hint="default"/>
        <w:lang w:val="en-gb" w:eastAsia="en-gb" w:bidi="en-gb"/>
      </w:rPr>
    </w:lvl>
    <w:lvl w:ilvl="4">
      <w:start w:val="0"/>
      <w:numFmt w:val="bullet"/>
      <w:lvlText w:val="•"/>
      <w:lvlJc w:val="left"/>
      <w:pPr>
        <w:ind w:left="4354" w:hanging="360"/>
      </w:pPr>
      <w:rPr>
        <w:rFonts w:hint="default"/>
        <w:lang w:val="en-gb" w:eastAsia="en-gb" w:bidi="en-gb"/>
      </w:rPr>
    </w:lvl>
    <w:lvl w:ilvl="5">
      <w:start w:val="0"/>
      <w:numFmt w:val="bullet"/>
      <w:lvlText w:val="•"/>
      <w:lvlJc w:val="left"/>
      <w:pPr>
        <w:ind w:left="5293" w:hanging="360"/>
      </w:pPr>
      <w:rPr>
        <w:rFonts w:hint="default"/>
        <w:lang w:val="en-gb" w:eastAsia="en-gb" w:bidi="en-gb"/>
      </w:rPr>
    </w:lvl>
    <w:lvl w:ilvl="6">
      <w:start w:val="0"/>
      <w:numFmt w:val="bullet"/>
      <w:lvlText w:val="•"/>
      <w:lvlJc w:val="left"/>
      <w:pPr>
        <w:ind w:left="6231" w:hanging="360"/>
      </w:pPr>
      <w:rPr>
        <w:rFonts w:hint="default"/>
        <w:lang w:val="en-gb" w:eastAsia="en-gb" w:bidi="en-gb"/>
      </w:rPr>
    </w:lvl>
    <w:lvl w:ilvl="7">
      <w:start w:val="0"/>
      <w:numFmt w:val="bullet"/>
      <w:lvlText w:val="•"/>
      <w:lvlJc w:val="left"/>
      <w:pPr>
        <w:ind w:left="7170" w:hanging="360"/>
      </w:pPr>
      <w:rPr>
        <w:rFonts w:hint="default"/>
        <w:lang w:val="en-gb" w:eastAsia="en-gb" w:bidi="en-gb"/>
      </w:rPr>
    </w:lvl>
    <w:lvl w:ilvl="8">
      <w:start w:val="0"/>
      <w:numFmt w:val="bullet"/>
      <w:lvlText w:val="•"/>
      <w:lvlJc w:val="left"/>
      <w:pPr>
        <w:ind w:left="8109" w:hanging="360"/>
      </w:pPr>
      <w:rPr>
        <w:rFonts w:hint="default"/>
        <w:lang w:val="en-gb" w:eastAsia="en-gb" w:bidi="en-gb"/>
      </w:rPr>
    </w:lvl>
  </w:abstractNum>
  <w:abstractNum w:abstractNumId="2">
    <w:multiLevelType w:val="hybridMultilevel"/>
    <w:lvl w:ilvl="0">
      <w:start w:val="2"/>
      <w:numFmt w:val="decimal"/>
      <w:lvlText w:val="%1."/>
      <w:lvlJc w:val="left"/>
      <w:pPr>
        <w:ind w:left="593" w:hanging="360"/>
        <w:jc w:val="left"/>
      </w:pPr>
      <w:rPr>
        <w:rFonts w:hint="default" w:ascii="Arial" w:hAnsi="Arial" w:eastAsia="Arial" w:cs="Arial"/>
        <w:b/>
        <w:bCs/>
        <w:spacing w:val="-1"/>
        <w:w w:val="99"/>
        <w:sz w:val="20"/>
        <w:szCs w:val="20"/>
        <w:lang w:val="en-gb" w:eastAsia="en-gb" w:bidi="en-gb"/>
      </w:rPr>
    </w:lvl>
    <w:lvl w:ilvl="1">
      <w:start w:val="0"/>
      <w:numFmt w:val="bullet"/>
      <w:lvlText w:val="•"/>
      <w:lvlJc w:val="left"/>
      <w:pPr>
        <w:ind w:left="1538" w:hanging="360"/>
      </w:pPr>
      <w:rPr>
        <w:rFonts w:hint="default"/>
        <w:lang w:val="en-gb" w:eastAsia="en-gb" w:bidi="en-gb"/>
      </w:rPr>
    </w:lvl>
    <w:lvl w:ilvl="2">
      <w:start w:val="0"/>
      <w:numFmt w:val="bullet"/>
      <w:lvlText w:val="•"/>
      <w:lvlJc w:val="left"/>
      <w:pPr>
        <w:ind w:left="2477" w:hanging="360"/>
      </w:pPr>
      <w:rPr>
        <w:rFonts w:hint="default"/>
        <w:lang w:val="en-gb" w:eastAsia="en-gb" w:bidi="en-gb"/>
      </w:rPr>
    </w:lvl>
    <w:lvl w:ilvl="3">
      <w:start w:val="0"/>
      <w:numFmt w:val="bullet"/>
      <w:lvlText w:val="•"/>
      <w:lvlJc w:val="left"/>
      <w:pPr>
        <w:ind w:left="3415" w:hanging="360"/>
      </w:pPr>
      <w:rPr>
        <w:rFonts w:hint="default"/>
        <w:lang w:val="en-gb" w:eastAsia="en-gb" w:bidi="en-gb"/>
      </w:rPr>
    </w:lvl>
    <w:lvl w:ilvl="4">
      <w:start w:val="0"/>
      <w:numFmt w:val="bullet"/>
      <w:lvlText w:val="•"/>
      <w:lvlJc w:val="left"/>
      <w:pPr>
        <w:ind w:left="4354" w:hanging="360"/>
      </w:pPr>
      <w:rPr>
        <w:rFonts w:hint="default"/>
        <w:lang w:val="en-gb" w:eastAsia="en-gb" w:bidi="en-gb"/>
      </w:rPr>
    </w:lvl>
    <w:lvl w:ilvl="5">
      <w:start w:val="0"/>
      <w:numFmt w:val="bullet"/>
      <w:lvlText w:val="•"/>
      <w:lvlJc w:val="left"/>
      <w:pPr>
        <w:ind w:left="5293" w:hanging="360"/>
      </w:pPr>
      <w:rPr>
        <w:rFonts w:hint="default"/>
        <w:lang w:val="en-gb" w:eastAsia="en-gb" w:bidi="en-gb"/>
      </w:rPr>
    </w:lvl>
    <w:lvl w:ilvl="6">
      <w:start w:val="0"/>
      <w:numFmt w:val="bullet"/>
      <w:lvlText w:val="•"/>
      <w:lvlJc w:val="left"/>
      <w:pPr>
        <w:ind w:left="6231" w:hanging="360"/>
      </w:pPr>
      <w:rPr>
        <w:rFonts w:hint="default"/>
        <w:lang w:val="en-gb" w:eastAsia="en-gb" w:bidi="en-gb"/>
      </w:rPr>
    </w:lvl>
    <w:lvl w:ilvl="7">
      <w:start w:val="0"/>
      <w:numFmt w:val="bullet"/>
      <w:lvlText w:val="•"/>
      <w:lvlJc w:val="left"/>
      <w:pPr>
        <w:ind w:left="7170" w:hanging="360"/>
      </w:pPr>
      <w:rPr>
        <w:rFonts w:hint="default"/>
        <w:lang w:val="en-gb" w:eastAsia="en-gb" w:bidi="en-gb"/>
      </w:rPr>
    </w:lvl>
    <w:lvl w:ilvl="8">
      <w:start w:val="0"/>
      <w:numFmt w:val="bullet"/>
      <w:lvlText w:val="•"/>
      <w:lvlJc w:val="left"/>
      <w:pPr>
        <w:ind w:left="8109" w:hanging="360"/>
      </w:pPr>
      <w:rPr>
        <w:rFonts w:hint="default"/>
        <w:lang w:val="en-gb" w:eastAsia="en-gb" w:bidi="en-gb"/>
      </w:rPr>
    </w:lvl>
  </w:abstractNum>
  <w:abstractNum w:abstractNumId="1">
    <w:multiLevelType w:val="hybridMultilevel"/>
    <w:lvl w:ilvl="0">
      <w:start w:val="1"/>
      <w:numFmt w:val="decimal"/>
      <w:lvlText w:val="%1"/>
      <w:lvlJc w:val="left"/>
      <w:pPr>
        <w:ind w:left="593" w:hanging="360"/>
        <w:jc w:val="left"/>
      </w:pPr>
      <w:rPr>
        <w:rFonts w:hint="default"/>
        <w:lang w:val="en-gb" w:eastAsia="en-gb" w:bidi="en-gb"/>
      </w:rPr>
    </w:lvl>
    <w:lvl w:ilvl="1">
      <w:start w:val="1"/>
      <w:numFmt w:val="decimal"/>
      <w:lvlText w:val="%1.%2."/>
      <w:lvlJc w:val="left"/>
      <w:pPr>
        <w:ind w:left="593" w:hanging="360"/>
        <w:jc w:val="left"/>
      </w:pPr>
      <w:rPr>
        <w:rFonts w:hint="default" w:ascii="Arial" w:hAnsi="Arial" w:eastAsia="Arial" w:cs="Arial"/>
        <w:b/>
        <w:bCs/>
        <w:spacing w:val="-1"/>
        <w:w w:val="99"/>
        <w:sz w:val="20"/>
        <w:szCs w:val="20"/>
        <w:lang w:val="en-gb" w:eastAsia="en-gb" w:bidi="en-gb"/>
      </w:rPr>
    </w:lvl>
    <w:lvl w:ilvl="2">
      <w:start w:val="0"/>
      <w:numFmt w:val="bullet"/>
      <w:lvlText w:val="•"/>
      <w:lvlJc w:val="left"/>
      <w:pPr>
        <w:ind w:left="2477" w:hanging="360"/>
      </w:pPr>
      <w:rPr>
        <w:rFonts w:hint="default"/>
        <w:lang w:val="en-gb" w:eastAsia="en-gb" w:bidi="en-gb"/>
      </w:rPr>
    </w:lvl>
    <w:lvl w:ilvl="3">
      <w:start w:val="0"/>
      <w:numFmt w:val="bullet"/>
      <w:lvlText w:val="•"/>
      <w:lvlJc w:val="left"/>
      <w:pPr>
        <w:ind w:left="3415" w:hanging="360"/>
      </w:pPr>
      <w:rPr>
        <w:rFonts w:hint="default"/>
        <w:lang w:val="en-gb" w:eastAsia="en-gb" w:bidi="en-gb"/>
      </w:rPr>
    </w:lvl>
    <w:lvl w:ilvl="4">
      <w:start w:val="0"/>
      <w:numFmt w:val="bullet"/>
      <w:lvlText w:val="•"/>
      <w:lvlJc w:val="left"/>
      <w:pPr>
        <w:ind w:left="4354" w:hanging="360"/>
      </w:pPr>
      <w:rPr>
        <w:rFonts w:hint="default"/>
        <w:lang w:val="en-gb" w:eastAsia="en-gb" w:bidi="en-gb"/>
      </w:rPr>
    </w:lvl>
    <w:lvl w:ilvl="5">
      <w:start w:val="0"/>
      <w:numFmt w:val="bullet"/>
      <w:lvlText w:val="•"/>
      <w:lvlJc w:val="left"/>
      <w:pPr>
        <w:ind w:left="5293" w:hanging="360"/>
      </w:pPr>
      <w:rPr>
        <w:rFonts w:hint="default"/>
        <w:lang w:val="en-gb" w:eastAsia="en-gb" w:bidi="en-gb"/>
      </w:rPr>
    </w:lvl>
    <w:lvl w:ilvl="6">
      <w:start w:val="0"/>
      <w:numFmt w:val="bullet"/>
      <w:lvlText w:val="•"/>
      <w:lvlJc w:val="left"/>
      <w:pPr>
        <w:ind w:left="6231" w:hanging="360"/>
      </w:pPr>
      <w:rPr>
        <w:rFonts w:hint="default"/>
        <w:lang w:val="en-gb" w:eastAsia="en-gb" w:bidi="en-gb"/>
      </w:rPr>
    </w:lvl>
    <w:lvl w:ilvl="7">
      <w:start w:val="0"/>
      <w:numFmt w:val="bullet"/>
      <w:lvlText w:val="•"/>
      <w:lvlJc w:val="left"/>
      <w:pPr>
        <w:ind w:left="7170" w:hanging="360"/>
      </w:pPr>
      <w:rPr>
        <w:rFonts w:hint="default"/>
        <w:lang w:val="en-gb" w:eastAsia="en-gb" w:bidi="en-gb"/>
      </w:rPr>
    </w:lvl>
    <w:lvl w:ilvl="8">
      <w:start w:val="0"/>
      <w:numFmt w:val="bullet"/>
      <w:lvlText w:val="•"/>
      <w:lvlJc w:val="left"/>
      <w:pPr>
        <w:ind w:left="8109" w:hanging="360"/>
      </w:pPr>
      <w:rPr>
        <w:rFonts w:hint="default"/>
        <w:lang w:val="en-gb" w:eastAsia="en-gb" w:bidi="en-gb"/>
      </w:rPr>
    </w:lvl>
  </w:abstractNum>
  <w:abstractNum w:abstractNumId="0">
    <w:multiLevelType w:val="hybridMultilevel"/>
    <w:lvl w:ilvl="0">
      <w:start w:val="0"/>
      <w:numFmt w:val="bullet"/>
      <w:lvlText w:val=""/>
      <w:lvlJc w:val="left"/>
      <w:pPr>
        <w:ind w:left="953" w:hanging="360"/>
      </w:pPr>
      <w:rPr>
        <w:rFonts w:hint="default" w:ascii="Symbol" w:hAnsi="Symbol" w:eastAsia="Symbol" w:cs="Symbol"/>
        <w:w w:val="99"/>
        <w:sz w:val="20"/>
        <w:szCs w:val="20"/>
        <w:lang w:val="en-gb" w:eastAsia="en-gb" w:bidi="en-gb"/>
      </w:rPr>
    </w:lvl>
    <w:lvl w:ilvl="1">
      <w:start w:val="0"/>
      <w:numFmt w:val="bullet"/>
      <w:lvlText w:val="•"/>
      <w:lvlJc w:val="left"/>
      <w:pPr>
        <w:ind w:left="1862" w:hanging="360"/>
      </w:pPr>
      <w:rPr>
        <w:rFonts w:hint="default"/>
        <w:lang w:val="en-gb" w:eastAsia="en-gb" w:bidi="en-gb"/>
      </w:rPr>
    </w:lvl>
    <w:lvl w:ilvl="2">
      <w:start w:val="0"/>
      <w:numFmt w:val="bullet"/>
      <w:lvlText w:val="•"/>
      <w:lvlJc w:val="left"/>
      <w:pPr>
        <w:ind w:left="2765" w:hanging="360"/>
      </w:pPr>
      <w:rPr>
        <w:rFonts w:hint="default"/>
        <w:lang w:val="en-gb" w:eastAsia="en-gb" w:bidi="en-gb"/>
      </w:rPr>
    </w:lvl>
    <w:lvl w:ilvl="3">
      <w:start w:val="0"/>
      <w:numFmt w:val="bullet"/>
      <w:lvlText w:val="•"/>
      <w:lvlJc w:val="left"/>
      <w:pPr>
        <w:ind w:left="3667" w:hanging="360"/>
      </w:pPr>
      <w:rPr>
        <w:rFonts w:hint="default"/>
        <w:lang w:val="en-gb" w:eastAsia="en-gb" w:bidi="en-gb"/>
      </w:rPr>
    </w:lvl>
    <w:lvl w:ilvl="4">
      <w:start w:val="0"/>
      <w:numFmt w:val="bullet"/>
      <w:lvlText w:val="•"/>
      <w:lvlJc w:val="left"/>
      <w:pPr>
        <w:ind w:left="4570" w:hanging="360"/>
      </w:pPr>
      <w:rPr>
        <w:rFonts w:hint="default"/>
        <w:lang w:val="en-gb" w:eastAsia="en-gb" w:bidi="en-gb"/>
      </w:rPr>
    </w:lvl>
    <w:lvl w:ilvl="5">
      <w:start w:val="0"/>
      <w:numFmt w:val="bullet"/>
      <w:lvlText w:val="•"/>
      <w:lvlJc w:val="left"/>
      <w:pPr>
        <w:ind w:left="5473" w:hanging="360"/>
      </w:pPr>
      <w:rPr>
        <w:rFonts w:hint="default"/>
        <w:lang w:val="en-gb" w:eastAsia="en-gb" w:bidi="en-gb"/>
      </w:rPr>
    </w:lvl>
    <w:lvl w:ilvl="6">
      <w:start w:val="0"/>
      <w:numFmt w:val="bullet"/>
      <w:lvlText w:val="•"/>
      <w:lvlJc w:val="left"/>
      <w:pPr>
        <w:ind w:left="6375" w:hanging="360"/>
      </w:pPr>
      <w:rPr>
        <w:rFonts w:hint="default"/>
        <w:lang w:val="en-gb" w:eastAsia="en-gb" w:bidi="en-gb"/>
      </w:rPr>
    </w:lvl>
    <w:lvl w:ilvl="7">
      <w:start w:val="0"/>
      <w:numFmt w:val="bullet"/>
      <w:lvlText w:val="•"/>
      <w:lvlJc w:val="left"/>
      <w:pPr>
        <w:ind w:left="7278" w:hanging="360"/>
      </w:pPr>
      <w:rPr>
        <w:rFonts w:hint="default"/>
        <w:lang w:val="en-gb" w:eastAsia="en-gb" w:bidi="en-gb"/>
      </w:rPr>
    </w:lvl>
    <w:lvl w:ilvl="8">
      <w:start w:val="0"/>
      <w:numFmt w:val="bullet"/>
      <w:lvlText w:val="•"/>
      <w:lvlJc w:val="left"/>
      <w:pPr>
        <w:ind w:left="8181" w:hanging="360"/>
      </w:pPr>
      <w:rPr>
        <w:rFonts w:hint="default"/>
        <w:lang w:val="en-gb" w:eastAsia="en-gb" w:bidi="en-gb"/>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593" w:hanging="360"/>
    </w:pPr>
    <w:rPr>
      <w:rFonts w:ascii="Arial" w:hAnsi="Arial" w:eastAsia="Arial" w:cs="Arial"/>
      <w:lang w:val="en-gb" w:eastAsia="en-gb" w:bidi="en-gb"/>
    </w:rPr>
  </w:style>
  <w:style w:styleId="TableParagraph" w:type="paragraph">
    <w:name w:val="Table Paragraph"/>
    <w:basedOn w:val="Normal"/>
    <w:uiPriority w:val="1"/>
    <w:qFormat/>
    <w:pPr>
      <w:spacing w:before="28" w:line="213" w:lineRule="exact"/>
      <w:jc w:val="center"/>
    </w:pPr>
    <w:rPr>
      <w:rFonts w:ascii="Calibri" w:hAnsi="Calibri" w:eastAsia="Calibri" w:cs="Calibri"/>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footer" Target="footer4.xml"/><Relationship Id="rId22" Type="http://schemas.openxmlformats.org/officeDocument/2006/relationships/footer" Target="footer5.xml"/><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footer" Target="footer6.xml"/><Relationship Id="rId29" Type="http://schemas.openxmlformats.org/officeDocument/2006/relationships/footer" Target="footer7.xml"/><Relationship Id="rId30" Type="http://schemas.openxmlformats.org/officeDocument/2006/relationships/footer" Target="footer8.xml"/><Relationship Id="rId31" Type="http://schemas.openxmlformats.org/officeDocument/2006/relationships/footer" Target="footer9.xml"/><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footer" Target="footer10.xml"/><Relationship Id="rId41" Type="http://schemas.openxmlformats.org/officeDocument/2006/relationships/footer" Target="footer11.xml"/><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footer" Target="footer12.xml"/><Relationship Id="rId45" Type="http://schemas.openxmlformats.org/officeDocument/2006/relationships/footer" Target="footer13.xml"/><Relationship Id="rId46" Type="http://schemas.openxmlformats.org/officeDocument/2006/relationships/footer" Target="footer14.xml"/><Relationship Id="rId47" Type="http://schemas.openxmlformats.org/officeDocument/2006/relationships/footer" Target="footer15.xml"/><Relationship Id="rId48" Type="http://schemas.openxmlformats.org/officeDocument/2006/relationships/hyperlink" Target="https://www.gov.uk/government/publications/independent-review-of-uk-economic-statistics-final-report" TargetMode="External"/><Relationship Id="rId49" Type="http://schemas.openxmlformats.org/officeDocument/2006/relationships/hyperlink" Target="http://www.ggdc.net/pwt" TargetMode="External"/><Relationship Id="rId50" Type="http://schemas.openxmlformats.org/officeDocument/2006/relationships/hyperlink" Target="http://www.bankofengland.co.uk/research/Pages/onebank/threecenturies.asp" TargetMode="External"/><Relationship Id="rId51" Type="http://schemas.openxmlformats.org/officeDocument/2006/relationships/footer" Target="footer16.xml"/><Relationship Id="rId52" Type="http://schemas.openxmlformats.org/officeDocument/2006/relationships/hyperlink" Target="http://www.bankofengland.co.uk/speeches" TargetMode="External"/><Relationship Id="rId53" Type="http://schemas.openxmlformats.org/officeDocument/2006/relationships/footer" Target="footer17.xml"/><Relationship Id="rId54"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Silvana Tenreyro at the Peston Lecture Theatre, Queen Mary University of London, 15 January 2018</dc:subject>
  <dc:title>The fall in productivity growth: causes and implications</dc:title>
  <dcterms:created xsi:type="dcterms:W3CDTF">2020-06-02T18:39:48Z</dcterms:created>
  <dcterms:modified xsi:type="dcterms:W3CDTF">2020-06-02T18:39:48Z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2018-01-18T00:00:00Z</vt:filetime>
  </property>
  <property fmtid="{D5CDD505-2E9C-101B-9397-08002B2CF9AE}" pid="3" name="LastSaved">
    <vt:filetime>2020-06-02T00:00:00Z</vt:filetime>
  </property>
</Properties>
</file>