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Two Current Monetary Policy Issues</w:t>
      </w:r>
    </w:p>
    <w:p>
      <w:pPr>
        <w:pStyle w:val="BodyText"/>
        <w:spacing w:before="281"/>
        <w:ind w:left="352"/>
        <w:rPr>
          <w:rFonts w:ascii="Arial"/>
        </w:rPr>
      </w:pPr>
      <w:r>
        <w:rPr>
          <w:rFonts w:ascii="Arial"/>
        </w:rPr>
        <w:t>Speech given by</w:t>
      </w:r>
    </w:p>
    <w:p>
      <w:pPr>
        <w:pStyle w:val="BodyText"/>
        <w:spacing w:line="360" w:lineRule="auto" w:before="136"/>
        <w:ind w:left="352" w:right="93"/>
        <w:rPr>
          <w:rFonts w:ascii="Arial"/>
        </w:rPr>
      </w:pPr>
      <w:r>
        <w:rPr>
          <w:rFonts w:ascii="Arial"/>
        </w:rPr>
        <w:t>Stephen Nickell, Member of the Monetary Policy Committee and Professor at the London School of Economics</w:t>
      </w:r>
    </w:p>
    <w:p>
      <w:pPr>
        <w:pStyle w:val="BodyText"/>
        <w:spacing w:before="2"/>
        <w:rPr>
          <w:rFonts w:ascii="Arial"/>
          <w:sz w:val="36"/>
        </w:rPr>
      </w:pPr>
    </w:p>
    <w:p>
      <w:pPr>
        <w:pStyle w:val="BodyText"/>
        <w:spacing w:line="360" w:lineRule="auto"/>
        <w:ind w:left="352" w:right="5296"/>
        <w:rPr>
          <w:rFonts w:ascii="Arial"/>
        </w:rPr>
      </w:pPr>
      <w:r>
        <w:rPr>
          <w:rFonts w:ascii="Arial"/>
        </w:rPr>
        <w:t>At a Market News International Seminar 16 September 2003</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20"/>
        </w:rPr>
      </w:pPr>
    </w:p>
    <w:p>
      <w:pPr>
        <w:spacing w:before="0"/>
        <w:ind w:left="352" w:right="155" w:firstLine="0"/>
        <w:jc w:val="left"/>
        <w:rPr>
          <w:rFonts w:ascii="Arial"/>
          <w:sz w:val="20"/>
        </w:rPr>
      </w:pPr>
      <w:r>
        <w:rPr>
          <w:rFonts w:ascii="Arial"/>
          <w:sz w:val="20"/>
        </w:rPr>
        <w:t>I am most grateful to Ryan Banerjee, Giulia Faggio and Amit Kara for their assistance in the preparation of this paper. My thanks are also due to Peter Andrews, Kate Barker, Nicoletta Batini, Charles Bean, Marian Bell and Ian Bond for helpful comments on an earlier draft. Prepared for a Market News Seminar, 16 September 2003.</w:t>
      </w:r>
    </w:p>
    <w:p>
      <w:pPr>
        <w:pStyle w:val="BodyText"/>
        <w:spacing w:before="10"/>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4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20"/>
        </w:sectPr>
      </w:pPr>
    </w:p>
    <w:p>
      <w:pPr>
        <w:pStyle w:val="Heading1"/>
        <w:spacing w:before="85"/>
        <w:ind w:left="957" w:right="740"/>
        <w:jc w:val="center"/>
        <w:rPr>
          <w:u w:val="none"/>
        </w:rPr>
      </w:pPr>
      <w:r>
        <w:rPr>
          <w:u w:val="thick"/>
        </w:rPr>
        <w:t>Summary</w:t>
      </w:r>
    </w:p>
    <w:p>
      <w:pPr>
        <w:pStyle w:val="BodyText"/>
        <w:spacing w:before="4"/>
        <w:rPr>
          <w:b/>
          <w:sz w:val="16"/>
        </w:rPr>
      </w:pPr>
    </w:p>
    <w:p>
      <w:pPr>
        <w:spacing w:before="90"/>
        <w:ind w:left="957" w:right="740" w:firstLine="0"/>
        <w:jc w:val="center"/>
        <w:rPr>
          <w:b/>
          <w:sz w:val="24"/>
        </w:rPr>
      </w:pPr>
      <w:r>
        <w:rPr>
          <w:b/>
          <w:sz w:val="24"/>
          <w:u w:val="thick"/>
        </w:rPr>
        <w:t>Two Current Monetary Policy Issues</w:t>
      </w:r>
    </w:p>
    <w:p>
      <w:pPr>
        <w:pStyle w:val="BodyText"/>
        <w:rPr>
          <w:b/>
          <w:sz w:val="20"/>
        </w:rPr>
      </w:pPr>
    </w:p>
    <w:p>
      <w:pPr>
        <w:pStyle w:val="BodyText"/>
        <w:spacing w:before="9"/>
        <w:rPr>
          <w:b/>
          <w:sz w:val="19"/>
        </w:rPr>
      </w:pPr>
    </w:p>
    <w:p>
      <w:pPr>
        <w:pStyle w:val="BodyText"/>
        <w:spacing w:line="360" w:lineRule="auto" w:before="90"/>
        <w:ind w:left="965" w:right="899"/>
        <w:jc w:val="both"/>
      </w:pPr>
      <w:r>
        <w:rPr/>
        <w:t>Two issues are considered, first the impending switch to targeting the HICP inflation rate and second the implications of the steady rise in household debt. The following is a summary of the discussion, starting with the switch to HICP targeting.</w:t>
      </w:r>
    </w:p>
    <w:p>
      <w:pPr>
        <w:pStyle w:val="BodyText"/>
        <w:spacing w:before="9"/>
        <w:rPr>
          <w:sz w:val="35"/>
        </w:rPr>
      </w:pPr>
    </w:p>
    <w:p>
      <w:pPr>
        <w:pStyle w:val="ListParagraph"/>
        <w:numPr>
          <w:ilvl w:val="0"/>
          <w:numId w:val="1"/>
        </w:numPr>
        <w:tabs>
          <w:tab w:pos="1326" w:val="left" w:leader="none"/>
        </w:tabs>
        <w:spacing w:line="240" w:lineRule="auto" w:before="0" w:after="0"/>
        <w:ind w:left="1325" w:right="773" w:hanging="360"/>
        <w:jc w:val="left"/>
        <w:rPr>
          <w:sz w:val="24"/>
        </w:rPr>
      </w:pPr>
      <w:r>
        <w:rPr>
          <w:sz w:val="24"/>
        </w:rPr>
        <w:t>In the longer run, thanks to differences in computational methods and the absence of the housing depreciation and council tax elements, the HICP inflation rate is likely, on average, to be around 0.8 pp lower than the RPI(X) inflation rate. In the short run, the gap between the two rates is highly</w:t>
      </w:r>
      <w:r>
        <w:rPr>
          <w:spacing w:val="-14"/>
          <w:sz w:val="24"/>
        </w:rPr>
        <w:t> </w:t>
      </w:r>
      <w:r>
        <w:rPr>
          <w:sz w:val="24"/>
        </w:rPr>
        <w:t>volatile.</w:t>
      </w:r>
    </w:p>
    <w:p>
      <w:pPr>
        <w:pStyle w:val="BodyText"/>
      </w:pPr>
    </w:p>
    <w:p>
      <w:pPr>
        <w:pStyle w:val="ListParagraph"/>
        <w:numPr>
          <w:ilvl w:val="0"/>
          <w:numId w:val="1"/>
        </w:numPr>
        <w:tabs>
          <w:tab w:pos="1326" w:val="left" w:leader="none"/>
        </w:tabs>
        <w:spacing w:line="240" w:lineRule="auto" w:before="0" w:after="0"/>
        <w:ind w:left="1325" w:right="828" w:hanging="360"/>
        <w:jc w:val="left"/>
        <w:rPr>
          <w:sz w:val="24"/>
        </w:rPr>
      </w:pPr>
      <w:r>
        <w:rPr>
          <w:sz w:val="24"/>
        </w:rPr>
        <w:t>The long-run stance of monetary policy should be gauged by the real interest rate. Since the switch from an RPIX target to an HICP target should have no long-run real impact on the economy, the long-run stance of monetary policy will be unaffected.</w:t>
      </w:r>
    </w:p>
    <w:p>
      <w:pPr>
        <w:pStyle w:val="BodyText"/>
      </w:pPr>
    </w:p>
    <w:p>
      <w:pPr>
        <w:pStyle w:val="ListParagraph"/>
        <w:numPr>
          <w:ilvl w:val="0"/>
          <w:numId w:val="1"/>
        </w:numPr>
        <w:tabs>
          <w:tab w:pos="1326" w:val="left" w:leader="none"/>
        </w:tabs>
        <w:spacing w:line="240" w:lineRule="auto" w:before="0" w:after="0"/>
        <w:ind w:left="1325" w:right="813" w:hanging="360"/>
        <w:jc w:val="left"/>
        <w:rPr>
          <w:sz w:val="24"/>
        </w:rPr>
      </w:pPr>
      <w:r>
        <w:rPr>
          <w:sz w:val="24"/>
        </w:rPr>
        <w:t>If the HICP target is set at 2.0%, this is equivalent, in the long run, to a switch from an RPIX target of 2.5% to an RPIX target of 2.8%, because the long-run gap is 0.8 pp. Since the long-run real interest rate is unaffected by the switch, the long-run nominal interest rate will be 0.3 pp </w:t>
      </w:r>
      <w:r>
        <w:rPr>
          <w:sz w:val="24"/>
          <w:u w:val="single"/>
        </w:rPr>
        <w:t>higher</w:t>
      </w:r>
      <w:r>
        <w:rPr>
          <w:sz w:val="24"/>
        </w:rPr>
        <w:t> after the</w:t>
      </w:r>
      <w:r>
        <w:rPr>
          <w:spacing w:val="-17"/>
          <w:sz w:val="24"/>
        </w:rPr>
        <w:t> </w:t>
      </w:r>
      <w:r>
        <w:rPr>
          <w:sz w:val="24"/>
        </w:rPr>
        <w:t>switch.</w:t>
      </w:r>
    </w:p>
    <w:p>
      <w:pPr>
        <w:pStyle w:val="BodyText"/>
        <w:spacing w:before="3"/>
        <w:rPr>
          <w:sz w:val="16"/>
        </w:rPr>
      </w:pPr>
    </w:p>
    <w:p>
      <w:pPr>
        <w:pStyle w:val="ListParagraph"/>
        <w:numPr>
          <w:ilvl w:val="0"/>
          <w:numId w:val="1"/>
        </w:numPr>
        <w:tabs>
          <w:tab w:pos="1326" w:val="left" w:leader="none"/>
        </w:tabs>
        <w:spacing w:line="240" w:lineRule="auto" w:before="90" w:after="0"/>
        <w:ind w:left="1325" w:right="820" w:hanging="360"/>
        <w:jc w:val="left"/>
        <w:rPr>
          <w:sz w:val="24"/>
        </w:rPr>
      </w:pPr>
      <w:r>
        <w:rPr>
          <w:sz w:val="24"/>
        </w:rPr>
        <w:t>If the HICP target is set at 2.0%, this is equivalent to a rise of 0.3 pp in the longer term inflation rate (ie. a switch from an RPIX target of 2.5% to an RPIX target of 2.8% or a switch from an HICP target of 1.7% to an HICP target of 2%, making use of the 0.8 pp long run gap between HICP and RPIX). This will involve slightly looser monetary policy for a limited period than would otherwise be the case. However, given the volatility in the gap between HICP and RPIX inflation and the frequent shocks to which the economy is subject, the temporary loosening would be barely noticeable in</w:t>
      </w:r>
      <w:r>
        <w:rPr>
          <w:spacing w:val="-11"/>
          <w:sz w:val="24"/>
        </w:rPr>
        <w:t> </w:t>
      </w:r>
      <w:r>
        <w:rPr>
          <w:sz w:val="24"/>
        </w:rPr>
        <w:t>practice.</w:t>
      </w:r>
    </w:p>
    <w:p>
      <w:pPr>
        <w:pStyle w:val="BodyText"/>
      </w:pPr>
    </w:p>
    <w:p>
      <w:pPr>
        <w:pStyle w:val="ListParagraph"/>
        <w:numPr>
          <w:ilvl w:val="0"/>
          <w:numId w:val="1"/>
        </w:numPr>
        <w:tabs>
          <w:tab w:pos="1326" w:val="left" w:leader="none"/>
        </w:tabs>
        <w:spacing w:line="240" w:lineRule="auto" w:before="0" w:after="0"/>
        <w:ind w:left="1325" w:right="827" w:hanging="360"/>
        <w:jc w:val="left"/>
        <w:rPr>
          <w:sz w:val="24"/>
        </w:rPr>
      </w:pPr>
      <w:r>
        <w:rPr>
          <w:sz w:val="24"/>
        </w:rPr>
        <w:t>A switch to an HICP target of 2% </w:t>
      </w:r>
      <w:r>
        <w:rPr>
          <w:sz w:val="24"/>
          <w:u w:val="single"/>
        </w:rPr>
        <w:t>today</w:t>
      </w:r>
      <w:r>
        <w:rPr>
          <w:sz w:val="24"/>
        </w:rPr>
        <w:t> would have little or no impact on the current stance of monetary policy despite the large gap between RPIX and HICP inflation at present. This is because this large gap is only temporary, having been generated by the recent surge in house price inflation which impacts on RPIX, via the housing depreciation element, but not on HICP. As this surge fades, the gap will close to normal levels and given the structure of the August RPIX inflation projection, the corresponding HICP projection would not be far from 2% towards the end of the forecast</w:t>
      </w:r>
      <w:r>
        <w:rPr>
          <w:spacing w:val="-6"/>
          <w:sz w:val="24"/>
        </w:rPr>
        <w:t> </w:t>
      </w:r>
      <w:r>
        <w:rPr>
          <w:sz w:val="24"/>
        </w:rPr>
        <w:t>horizon.</w:t>
      </w:r>
    </w:p>
    <w:p>
      <w:pPr>
        <w:pStyle w:val="BodyText"/>
      </w:pPr>
    </w:p>
    <w:p>
      <w:pPr>
        <w:pStyle w:val="ListParagraph"/>
        <w:numPr>
          <w:ilvl w:val="0"/>
          <w:numId w:val="1"/>
        </w:numPr>
        <w:tabs>
          <w:tab w:pos="1326" w:val="left" w:leader="none"/>
        </w:tabs>
        <w:spacing w:line="240" w:lineRule="auto" w:before="0" w:after="0"/>
        <w:ind w:left="1325" w:right="792" w:hanging="360"/>
        <w:jc w:val="left"/>
        <w:rPr>
          <w:sz w:val="24"/>
        </w:rPr>
      </w:pPr>
      <w:r>
        <w:rPr>
          <w:sz w:val="24"/>
        </w:rPr>
        <w:t>The direct inclusion of house prices in RPIX, via the housing depreciation element, only impacted on monetary policy to the extent that the MPC was able to forecast surges in house price inflation well in advance. History indicates that it was not able to do this. So excluding this element from the cost of living index will probably have little consequence for monetary policy in practice. (Of course house price booms will continue to impact on monetary policy via their impact</w:t>
      </w:r>
      <w:r>
        <w:rPr>
          <w:spacing w:val="-34"/>
          <w:sz w:val="24"/>
        </w:rPr>
        <w:t> </w:t>
      </w:r>
      <w:r>
        <w:rPr>
          <w:sz w:val="24"/>
        </w:rPr>
        <w:t>on</w:t>
      </w:r>
    </w:p>
    <w:p>
      <w:pPr>
        <w:spacing w:after="0" w:line="240" w:lineRule="auto"/>
        <w:jc w:val="left"/>
        <w:rPr>
          <w:sz w:val="24"/>
        </w:rPr>
        <w:sectPr>
          <w:headerReference w:type="default" r:id="rId7"/>
          <w:pgSz w:w="12240" w:h="15840"/>
          <w:pgMar w:header="209" w:footer="0" w:top="840" w:bottom="280" w:left="1000" w:right="1220"/>
          <w:pgNumType w:start="1"/>
        </w:sectPr>
      </w:pPr>
    </w:p>
    <w:p>
      <w:pPr>
        <w:pStyle w:val="BodyText"/>
        <w:spacing w:before="80"/>
        <w:ind w:left="1325" w:right="737"/>
      </w:pPr>
      <w:r>
        <w:rPr/>
        <w:t>debt, consumption and aggregate demand further out. This is equally true whether we have an RPIX or an HICP target.)</w:t>
      </w:r>
    </w:p>
    <w:p>
      <w:pPr>
        <w:pStyle w:val="BodyText"/>
        <w:ind w:left="1325" w:right="1303"/>
      </w:pPr>
      <w:r>
        <w:rPr/>
        <w:t>Turning next to the issue of household debt, we consider both the causes and consequences of its dramatic increase.</w:t>
      </w:r>
    </w:p>
    <w:p>
      <w:pPr>
        <w:pStyle w:val="BodyText"/>
      </w:pPr>
    </w:p>
    <w:p>
      <w:pPr>
        <w:pStyle w:val="ListParagraph"/>
        <w:numPr>
          <w:ilvl w:val="0"/>
          <w:numId w:val="1"/>
        </w:numPr>
        <w:tabs>
          <w:tab w:pos="1326" w:val="left" w:leader="none"/>
        </w:tabs>
        <w:spacing w:line="240" w:lineRule="auto" w:before="0" w:after="0"/>
        <w:ind w:left="1325" w:right="828" w:hanging="360"/>
        <w:jc w:val="left"/>
        <w:rPr>
          <w:sz w:val="24"/>
        </w:rPr>
      </w:pPr>
      <w:r>
        <w:rPr>
          <w:sz w:val="24"/>
        </w:rPr>
        <w:t>Household secured debt (mortgages) is around 80 per cent of total household debt and is thus more significant than unsecured debt in the macroeconomic context. The secured debt to income ratio rose rapidly throughout the 1980s and from the middle of the 1990s, so it is now more than double its level in 1980. The most important factor underlying this change has been the trend increase in the number of owner-occupied dwellings per person of working age. This trend has been generated by the shrinking average size of households and the increasing owner- occupation rate (strongly boosted by Council House sales). Other factors include the somewhat higher loan-to-income ratios offered to first-time buyers in the period of low inflation since 1992, as mortgages are no longer heavily “front end loaded”, and the short-term burst of mortgage equity withdrawal following the recent housing boom as homeowners have greater access to the lower real interest rate borrowing available on secured</w:t>
      </w:r>
      <w:r>
        <w:rPr>
          <w:spacing w:val="-9"/>
          <w:sz w:val="24"/>
        </w:rPr>
        <w:t> </w:t>
      </w:r>
      <w:r>
        <w:rPr>
          <w:sz w:val="24"/>
        </w:rPr>
        <w:t>debt.</w:t>
      </w:r>
    </w:p>
    <w:p>
      <w:pPr>
        <w:pStyle w:val="BodyText"/>
      </w:pPr>
    </w:p>
    <w:p>
      <w:pPr>
        <w:pStyle w:val="ListParagraph"/>
        <w:numPr>
          <w:ilvl w:val="0"/>
          <w:numId w:val="1"/>
        </w:numPr>
        <w:tabs>
          <w:tab w:pos="1326" w:val="left" w:leader="none"/>
        </w:tabs>
        <w:spacing w:line="240" w:lineRule="auto" w:before="0" w:after="0"/>
        <w:ind w:left="1325" w:right="761" w:hanging="360"/>
        <w:jc w:val="left"/>
        <w:rPr>
          <w:sz w:val="24"/>
        </w:rPr>
      </w:pPr>
      <w:r>
        <w:rPr>
          <w:sz w:val="24"/>
        </w:rPr>
        <w:t>Household unsecured debt has also risen rapidly relative to income in recent years. By and large, this has reflected increasing debt levels per unsecured debtor, not rising numbers of unsecured debtors. A key factor explaining this is likely to have been the rapid trend fall in unsecured borrowing rates since the late 1990s, a vastly greater fall than in the Bank of England repo rate, probably due to increasing competition in the unsecured lending</w:t>
      </w:r>
      <w:r>
        <w:rPr>
          <w:spacing w:val="-8"/>
          <w:sz w:val="24"/>
        </w:rPr>
        <w:t> </w:t>
      </w:r>
      <w:r>
        <w:rPr>
          <w:sz w:val="24"/>
        </w:rPr>
        <w:t>market.</w:t>
      </w:r>
    </w:p>
    <w:p>
      <w:pPr>
        <w:pStyle w:val="BodyText"/>
      </w:pPr>
    </w:p>
    <w:p>
      <w:pPr>
        <w:pStyle w:val="ListParagraph"/>
        <w:numPr>
          <w:ilvl w:val="0"/>
          <w:numId w:val="1"/>
        </w:numPr>
        <w:tabs>
          <w:tab w:pos="1326" w:val="left" w:leader="none"/>
        </w:tabs>
        <w:spacing w:line="240" w:lineRule="auto" w:before="1" w:after="0"/>
        <w:ind w:left="1325" w:right="848" w:hanging="360"/>
        <w:jc w:val="left"/>
        <w:rPr>
          <w:sz w:val="24"/>
        </w:rPr>
      </w:pPr>
      <w:r>
        <w:rPr>
          <w:sz w:val="24"/>
        </w:rPr>
        <w:t>The connection between household borrowing and consumption is a tenuous one. The proportion of nominal GDP spent on household consumption was almost the same in 2003 Q1 (63.2%) as in 1996 Q4 (62.7%) despite the vastly greater rate of new household borrowing in the more recent period. What has happened is that the rapid increase in new borrowing in recent years has been almost exactly balanced by a rapid increase in net purchases of financial assets, a fact which is rarely mentioned when household debt is</w:t>
      </w:r>
      <w:r>
        <w:rPr>
          <w:spacing w:val="-8"/>
          <w:sz w:val="24"/>
        </w:rPr>
        <w:t> </w:t>
      </w:r>
      <w:r>
        <w:rPr>
          <w:sz w:val="24"/>
        </w:rPr>
        <w:t>discussed.</w:t>
      </w:r>
    </w:p>
    <w:p>
      <w:pPr>
        <w:pStyle w:val="BodyText"/>
      </w:pPr>
    </w:p>
    <w:p>
      <w:pPr>
        <w:pStyle w:val="ListParagraph"/>
        <w:numPr>
          <w:ilvl w:val="0"/>
          <w:numId w:val="1"/>
        </w:numPr>
        <w:tabs>
          <w:tab w:pos="1326" w:val="left" w:leader="none"/>
        </w:tabs>
        <w:spacing w:line="240" w:lineRule="auto" w:before="0" w:after="0"/>
        <w:ind w:left="1325" w:right="954" w:hanging="360"/>
        <w:jc w:val="left"/>
        <w:rPr>
          <w:sz w:val="24"/>
        </w:rPr>
      </w:pPr>
      <w:r>
        <w:rPr>
          <w:sz w:val="24"/>
        </w:rPr>
        <w:t>Looking at household balance sheets, we find that today the ratio of total household debt to total household assets (financial assets plus housing wealth) is just below 17%, very close to its average value over the last fifteen years. Furthermore, despite the recent burst of mortgage equity withdrawal, undrawn housing equity is rising and is now in excess of three quarters of total housing wealth. So overall, household balance sheets are relatively</w:t>
      </w:r>
      <w:r>
        <w:rPr>
          <w:spacing w:val="-22"/>
          <w:sz w:val="24"/>
        </w:rPr>
        <w:t> </w:t>
      </w:r>
      <w:r>
        <w:rPr>
          <w:sz w:val="24"/>
        </w:rPr>
        <w:t>healthy.</w:t>
      </w:r>
    </w:p>
    <w:p>
      <w:pPr>
        <w:pStyle w:val="BodyText"/>
      </w:pPr>
    </w:p>
    <w:p>
      <w:pPr>
        <w:pStyle w:val="ListParagraph"/>
        <w:numPr>
          <w:ilvl w:val="0"/>
          <w:numId w:val="1"/>
        </w:numPr>
        <w:tabs>
          <w:tab w:pos="1326" w:val="left" w:leader="none"/>
        </w:tabs>
        <w:spacing w:line="240" w:lineRule="auto" w:before="0" w:after="0"/>
        <w:ind w:left="1325" w:right="832" w:hanging="360"/>
        <w:jc w:val="left"/>
        <w:rPr>
          <w:sz w:val="24"/>
        </w:rPr>
      </w:pPr>
      <w:r>
        <w:rPr>
          <w:sz w:val="24"/>
        </w:rPr>
        <w:t>Despite the health of average household balance sheets, there are many households, particularly with low incomes, which are in severe difficulties with unsecured debt. The evidence on whether this situation is getting worse is mixed, but, in any event, unsecured debt is such a small proportion of the total that the macroeconomic impact of such problems is not</w:t>
      </w:r>
      <w:r>
        <w:rPr>
          <w:spacing w:val="-12"/>
          <w:sz w:val="24"/>
        </w:rPr>
        <w:t> </w:t>
      </w:r>
      <w:r>
        <w:rPr>
          <w:sz w:val="24"/>
        </w:rPr>
        <w:t>large.</w:t>
      </w:r>
    </w:p>
    <w:p>
      <w:pPr>
        <w:pStyle w:val="BodyText"/>
      </w:pPr>
    </w:p>
    <w:p>
      <w:pPr>
        <w:pStyle w:val="ListParagraph"/>
        <w:numPr>
          <w:ilvl w:val="0"/>
          <w:numId w:val="1"/>
        </w:numPr>
        <w:tabs>
          <w:tab w:pos="1326" w:val="left" w:leader="none"/>
        </w:tabs>
        <w:spacing w:line="240" w:lineRule="auto" w:before="0" w:after="0"/>
        <w:ind w:left="1325" w:right="747" w:hanging="360"/>
        <w:jc w:val="left"/>
        <w:rPr>
          <w:sz w:val="24"/>
        </w:rPr>
      </w:pPr>
      <w:r>
        <w:rPr>
          <w:sz w:val="24"/>
        </w:rPr>
        <w:t>While the published secured debt to income ratio has been rising rapidly since 1997, this is not a very helpful piece of information when it comes to analysing issues of sustainability. The problem is that the numerator of the ratio refers to</w:t>
      </w:r>
      <w:r>
        <w:rPr>
          <w:spacing w:val="-18"/>
          <w:sz w:val="24"/>
        </w:rPr>
        <w:t> </w:t>
      </w:r>
      <w:r>
        <w:rPr>
          <w:sz w:val="24"/>
        </w:rPr>
        <w:t>the</w:t>
      </w:r>
    </w:p>
    <w:p>
      <w:pPr>
        <w:spacing w:after="0" w:line="240" w:lineRule="auto"/>
        <w:jc w:val="left"/>
        <w:rPr>
          <w:sz w:val="24"/>
        </w:rPr>
        <w:sectPr>
          <w:pgSz w:w="12240" w:h="15840"/>
          <w:pgMar w:header="209" w:footer="0" w:top="840" w:bottom="280" w:left="1000" w:right="1220"/>
        </w:sectPr>
      </w:pPr>
    </w:p>
    <w:p>
      <w:pPr>
        <w:pStyle w:val="BodyText"/>
        <w:spacing w:before="80"/>
        <w:ind w:left="1325" w:right="850"/>
      </w:pPr>
      <w:r>
        <w:rPr/>
        <w:t>sum total of mortgage debt whereas the denominator refers to the total disposable income of </w:t>
      </w:r>
      <w:r>
        <w:rPr>
          <w:u w:val="single"/>
        </w:rPr>
        <w:t>all</w:t>
      </w:r>
      <w:r>
        <w:rPr/>
        <w:t> households. To be informative, the denominator should be the total disposable income of households with mortgages. Up-to-date data using this measure is unavailable but we know that the ratio of total secured debt to total income of secured debt holders exhibited no upward trend from 1997 to 2001.</w:t>
      </w:r>
    </w:p>
    <w:p>
      <w:pPr>
        <w:pStyle w:val="BodyText"/>
      </w:pPr>
    </w:p>
    <w:p>
      <w:pPr>
        <w:pStyle w:val="ListParagraph"/>
        <w:numPr>
          <w:ilvl w:val="0"/>
          <w:numId w:val="1"/>
        </w:numPr>
        <w:tabs>
          <w:tab w:pos="1326" w:val="left" w:leader="none"/>
        </w:tabs>
        <w:spacing w:line="240" w:lineRule="auto" w:before="0" w:after="0"/>
        <w:ind w:left="1325" w:right="759" w:hanging="360"/>
        <w:jc w:val="left"/>
        <w:rPr>
          <w:sz w:val="24"/>
        </w:rPr>
      </w:pPr>
      <w:r>
        <w:rPr>
          <w:sz w:val="24"/>
        </w:rPr>
        <w:t>Despite the above, could record levels of household debt cause serious macroeconomic problems in the future? There are three frequently used arguments. The first is based on the possibility that households have underestimated true real interest rates.  In the high inflation era prior to 1993, debts were rapidly eroded. This no longer happens and perhaps households do not fully recognise this fact. However, the young, who tend to be the most indebted (relative to their income and assets) and hence the most endangered, were not financially aware in the pre-1993 era, so there is little reason to think they are not making sensible judgments on this score. Indeed, overall, there are no strong reasons why households, or indeed lenders, should be behaving particularly imprudently. Nor is there any persuasive evidence that they are doing</w:t>
      </w:r>
      <w:r>
        <w:rPr>
          <w:spacing w:val="-32"/>
          <w:sz w:val="24"/>
        </w:rPr>
        <w:t> </w:t>
      </w:r>
      <w:r>
        <w:rPr>
          <w:sz w:val="24"/>
        </w:rPr>
        <w:t>so.</w:t>
      </w:r>
    </w:p>
    <w:p>
      <w:pPr>
        <w:pStyle w:val="BodyText"/>
      </w:pPr>
    </w:p>
    <w:p>
      <w:pPr>
        <w:pStyle w:val="ListParagraph"/>
        <w:numPr>
          <w:ilvl w:val="0"/>
          <w:numId w:val="1"/>
        </w:numPr>
        <w:tabs>
          <w:tab w:pos="1326" w:val="left" w:leader="none"/>
        </w:tabs>
        <w:spacing w:line="240" w:lineRule="auto" w:before="0" w:after="0"/>
        <w:ind w:left="1325" w:right="769" w:hanging="360"/>
        <w:jc w:val="left"/>
        <w:rPr>
          <w:sz w:val="24"/>
        </w:rPr>
      </w:pPr>
      <w:r>
        <w:rPr>
          <w:sz w:val="24"/>
        </w:rPr>
        <w:t>The second argument is that the economy will be a more fragile place in the future if households have very high levels of debt. In particular, </w:t>
      </w:r>
      <w:r>
        <w:rPr>
          <w:sz w:val="24"/>
          <w:u w:val="single"/>
        </w:rPr>
        <w:t>in response to a future adverse shock</w:t>
      </w:r>
      <w:r>
        <w:rPr>
          <w:sz w:val="24"/>
        </w:rPr>
        <w:t>, higher debt levels would lead to bigger falls in consumption and a bigger economic slowdown. However, since debt service charges are the problem here, in a higher debt world adverse shocks could be offset by a more vigorous monetary policy</w:t>
      </w:r>
      <w:r>
        <w:rPr>
          <w:spacing w:val="-11"/>
          <w:sz w:val="24"/>
        </w:rPr>
        <w:t> </w:t>
      </w:r>
      <w:r>
        <w:rPr>
          <w:sz w:val="24"/>
        </w:rPr>
        <w:t>response.</w:t>
      </w:r>
    </w:p>
    <w:p>
      <w:pPr>
        <w:pStyle w:val="BodyText"/>
      </w:pPr>
    </w:p>
    <w:p>
      <w:pPr>
        <w:pStyle w:val="ListParagraph"/>
        <w:numPr>
          <w:ilvl w:val="0"/>
          <w:numId w:val="1"/>
        </w:numPr>
        <w:tabs>
          <w:tab w:pos="1326" w:val="left" w:leader="none"/>
        </w:tabs>
        <w:spacing w:line="240" w:lineRule="auto" w:before="1" w:after="0"/>
        <w:ind w:left="1325" w:right="759" w:hanging="360"/>
        <w:jc w:val="left"/>
        <w:rPr>
          <w:sz w:val="24"/>
        </w:rPr>
      </w:pPr>
      <w:r>
        <w:rPr>
          <w:sz w:val="24"/>
        </w:rPr>
        <w:t>The third argument is very simple. If more people have big mortgages, a collapse in the housing market has more serious macroeconomic consequences. Of course, if this were thought to be a serious issue, one solution is a policy to reduce the size of the owner-occupied sector. More council houses, perhaps. But, in the present situation, does this mean we should use policy to discourage people from taking out mortgages? </w:t>
      </w:r>
      <w:r>
        <w:rPr>
          <w:spacing w:val="-3"/>
          <w:sz w:val="24"/>
        </w:rPr>
        <w:t>In </w:t>
      </w:r>
      <w:r>
        <w:rPr>
          <w:spacing w:val="2"/>
          <w:sz w:val="24"/>
        </w:rPr>
        <w:t>my </w:t>
      </w:r>
      <w:r>
        <w:rPr>
          <w:sz w:val="24"/>
        </w:rPr>
        <w:t>view, this should not be the target of monetary</w:t>
      </w:r>
      <w:r>
        <w:rPr>
          <w:spacing w:val="-18"/>
          <w:sz w:val="24"/>
        </w:rPr>
        <w:t> </w:t>
      </w:r>
      <w:r>
        <w:rPr>
          <w:sz w:val="24"/>
        </w:rPr>
        <w:t>policy.</w:t>
      </w:r>
    </w:p>
    <w:p>
      <w:pPr>
        <w:pStyle w:val="BodyText"/>
      </w:pPr>
    </w:p>
    <w:p>
      <w:pPr>
        <w:pStyle w:val="ListParagraph"/>
        <w:numPr>
          <w:ilvl w:val="0"/>
          <w:numId w:val="1"/>
        </w:numPr>
        <w:tabs>
          <w:tab w:pos="1326" w:val="left" w:leader="none"/>
        </w:tabs>
        <w:spacing w:line="240" w:lineRule="auto" w:before="0" w:after="0"/>
        <w:ind w:left="1325" w:right="752" w:hanging="360"/>
        <w:jc w:val="left"/>
        <w:rPr>
          <w:sz w:val="24"/>
        </w:rPr>
      </w:pPr>
      <w:r>
        <w:rPr>
          <w:sz w:val="24"/>
        </w:rPr>
        <w:t>This leads to the final question, should we keep interest rates higher than would be required to hit the inflation target in the medium term in order not to encourage further debt accumulation? </w:t>
      </w:r>
      <w:r>
        <w:rPr>
          <w:spacing w:val="-3"/>
          <w:sz w:val="24"/>
        </w:rPr>
        <w:t>In </w:t>
      </w:r>
      <w:r>
        <w:rPr>
          <w:sz w:val="24"/>
        </w:rPr>
        <w:t>the light of all the previous points, my answer, at present, would be</w:t>
      </w:r>
      <w:r>
        <w:rPr>
          <w:spacing w:val="-4"/>
          <w:sz w:val="24"/>
        </w:rPr>
        <w:t> </w:t>
      </w:r>
      <w:r>
        <w:rPr>
          <w:sz w:val="24"/>
        </w:rPr>
        <w:t>no.</w:t>
      </w:r>
    </w:p>
    <w:p>
      <w:pPr>
        <w:spacing w:after="0" w:line="240" w:lineRule="auto"/>
        <w:jc w:val="left"/>
        <w:rPr>
          <w:sz w:val="24"/>
        </w:rPr>
        <w:sectPr>
          <w:pgSz w:w="12240" w:h="15840"/>
          <w:pgMar w:header="209" w:footer="0" w:top="840" w:bottom="280" w:left="1000" w:right="1220"/>
        </w:sectPr>
      </w:pPr>
    </w:p>
    <w:p>
      <w:pPr>
        <w:pStyle w:val="Heading1"/>
        <w:numPr>
          <w:ilvl w:val="1"/>
          <w:numId w:val="1"/>
        </w:numPr>
        <w:tabs>
          <w:tab w:pos="4645" w:val="left" w:leader="none"/>
        </w:tabs>
        <w:spacing w:line="240" w:lineRule="auto" w:before="87" w:after="0"/>
        <w:ind w:left="4644" w:right="0" w:hanging="361"/>
        <w:jc w:val="left"/>
        <w:rPr>
          <w:u w:val="none"/>
        </w:rPr>
      </w:pPr>
      <w:r>
        <w:rPr>
          <w:u w:val="thick"/>
        </w:rPr>
        <w:t>Introduction</w:t>
      </w:r>
    </w:p>
    <w:p>
      <w:pPr>
        <w:pStyle w:val="BodyText"/>
        <w:rPr>
          <w:b/>
          <w:sz w:val="20"/>
        </w:rPr>
      </w:pPr>
    </w:p>
    <w:p>
      <w:pPr>
        <w:pStyle w:val="BodyText"/>
        <w:spacing w:before="9"/>
        <w:rPr>
          <w:b/>
          <w:sz w:val="19"/>
        </w:rPr>
      </w:pPr>
    </w:p>
    <w:p>
      <w:pPr>
        <w:pStyle w:val="BodyText"/>
        <w:spacing w:line="360" w:lineRule="auto" w:before="90"/>
        <w:ind w:left="965" w:right="737"/>
      </w:pPr>
      <w:r>
        <w:rPr/>
        <w:t>In recent months, two issues associated with UK monetary policy have given rise to much debate. These are the impending switch to targeting the inflation rate of the Harmonised Index of Consumer Prices (HICP) and the continuing anxiety associated with the inexorable rise in household debt.</w:t>
      </w:r>
    </w:p>
    <w:p>
      <w:pPr>
        <w:pStyle w:val="BodyText"/>
        <w:spacing w:before="1"/>
        <w:rPr>
          <w:sz w:val="36"/>
        </w:rPr>
      </w:pPr>
    </w:p>
    <w:p>
      <w:pPr>
        <w:pStyle w:val="BodyText"/>
        <w:spacing w:line="360" w:lineRule="auto"/>
        <w:ind w:left="965" w:right="822"/>
      </w:pPr>
      <w:r>
        <w:rPr/>
        <w:t>In what follows, consideration is given to both of these topics. Concerning the switch to HICP, we look at the difference between the HICP and the RPIX measures of inflation and then discuss the changes which would occur in the economy generally were HICP to become the standard measure of the cost of living. We follow this by looking at the consequences for monetary policy. We note that in the long-run, the stance of monetary policy would be unaffected and even in the short run there would be little noticeable difference. Finally, we consider the particular consequences arising from the absence of any housing depreciation element in the HICP</w:t>
      </w:r>
      <w:r>
        <w:rPr>
          <w:spacing w:val="-38"/>
        </w:rPr>
        <w:t> </w:t>
      </w:r>
      <w:r>
        <w:rPr/>
        <w:t>index.</w:t>
      </w:r>
    </w:p>
    <w:p>
      <w:pPr>
        <w:pStyle w:val="BodyText"/>
        <w:spacing w:before="11"/>
        <w:rPr>
          <w:sz w:val="35"/>
        </w:rPr>
      </w:pPr>
    </w:p>
    <w:p>
      <w:pPr>
        <w:pStyle w:val="BodyText"/>
        <w:spacing w:line="360" w:lineRule="auto"/>
        <w:ind w:left="965" w:right="737"/>
      </w:pPr>
      <w:r>
        <w:rPr/>
        <w:t>Turning to the ever rising levels of household debt, we first consider why it is increasing so fast. In this context we distinguish between secured debt (mortgages) which is the bulk of total debt (around 80%) and unsecured debt (credit cards, overdrafts etc). We find that the long-term increase in secured debt is driven fundamentally by the rising number of households and the increasing proportion of these which are owner-occupiers. Unsecured debt, on the other hand, has risen not because of a rapid rise in the number of unsecured debtors but because of a continuing increase in the levels of unsecured debt for each debtor, perhaps encouraged by the rapid trend decline in interest rates on unsecured debt over the last five years.</w:t>
      </w:r>
    </w:p>
    <w:p>
      <w:pPr>
        <w:pStyle w:val="BodyText"/>
        <w:rPr>
          <w:sz w:val="36"/>
        </w:rPr>
      </w:pPr>
    </w:p>
    <w:p>
      <w:pPr>
        <w:pStyle w:val="BodyText"/>
        <w:spacing w:line="360" w:lineRule="auto"/>
        <w:ind w:left="965" w:right="916"/>
      </w:pPr>
      <w:r>
        <w:rPr/>
        <w:t>Next we look at the relationship between rising debt and consumption, noting that in recent years rising borrowing has, in fact, corresponded to rising rates of accumulation of financial assets. The overall balance sheet position of households has not been worsening rapidly. Finally, we discuss whether high levels of debt will cause problems in the future. While there is some uncertainty here, our overall conclusion is probably not.</w:t>
      </w:r>
    </w:p>
    <w:p>
      <w:pPr>
        <w:spacing w:after="0" w:line="360" w:lineRule="auto"/>
        <w:sectPr>
          <w:pgSz w:w="12240" w:h="15840"/>
          <w:pgMar w:header="209" w:footer="0" w:top="840" w:bottom="280" w:left="1000" w:right="1220"/>
        </w:sectPr>
      </w:pPr>
    </w:p>
    <w:p>
      <w:pPr>
        <w:pStyle w:val="Heading1"/>
        <w:numPr>
          <w:ilvl w:val="1"/>
          <w:numId w:val="1"/>
        </w:numPr>
        <w:tabs>
          <w:tab w:pos="4232" w:val="left" w:leader="none"/>
        </w:tabs>
        <w:spacing w:line="240" w:lineRule="auto" w:before="85" w:after="0"/>
        <w:ind w:left="4231" w:right="0" w:hanging="4016"/>
        <w:jc w:val="left"/>
        <w:rPr>
          <w:u w:val="none"/>
        </w:rPr>
      </w:pPr>
      <w:r>
        <w:rPr>
          <w:u w:val="thick"/>
        </w:rPr>
        <w:t>The Switch to</w:t>
      </w:r>
      <w:r>
        <w:rPr>
          <w:spacing w:val="-4"/>
          <w:u w:val="thick"/>
        </w:rPr>
        <w:t> </w:t>
      </w:r>
      <w:r>
        <w:rPr>
          <w:u w:val="thick"/>
        </w:rPr>
        <w:t>HICP</w:t>
      </w:r>
    </w:p>
    <w:p>
      <w:pPr>
        <w:pStyle w:val="BodyText"/>
        <w:spacing w:before="11"/>
        <w:rPr>
          <w:b/>
          <w:sz w:val="15"/>
        </w:rPr>
      </w:pPr>
    </w:p>
    <w:p>
      <w:pPr>
        <w:pStyle w:val="BodyText"/>
        <w:spacing w:line="360" w:lineRule="auto" w:before="90"/>
        <w:ind w:left="965" w:right="742"/>
        <w:jc w:val="both"/>
      </w:pPr>
      <w:r>
        <w:rPr/>
        <w:t>The Chancellor has announced that, at some point, the MPC will switch to an inflation target using the HICP measure. Before looking closely at the implications of all this for monetary policy, it is important to understand what it means for everyday economic life.</w:t>
      </w:r>
    </w:p>
    <w:p>
      <w:pPr>
        <w:pStyle w:val="BodyText"/>
        <w:spacing w:before="6"/>
        <w:rPr>
          <w:sz w:val="36"/>
        </w:rPr>
      </w:pPr>
    </w:p>
    <w:p>
      <w:pPr>
        <w:pStyle w:val="Heading1"/>
        <w:jc w:val="both"/>
        <w:rPr>
          <w:u w:val="none"/>
        </w:rPr>
      </w:pPr>
      <w:r>
        <w:rPr>
          <w:u w:val="thick"/>
        </w:rPr>
        <w:t>What is the Difference between HICP and RPIX Inflation?</w:t>
      </w:r>
    </w:p>
    <w:p>
      <w:pPr>
        <w:pStyle w:val="BodyText"/>
        <w:spacing w:line="360" w:lineRule="auto" w:before="132"/>
        <w:ind w:left="965" w:right="745"/>
        <w:jc w:val="both"/>
      </w:pPr>
      <w:r>
        <w:rPr/>
        <w:t>The main differences between the HICP and RPIX measures of inflation are as follows.</w:t>
      </w:r>
    </w:p>
    <w:p>
      <w:pPr>
        <w:pStyle w:val="BodyText"/>
        <w:spacing w:before="1"/>
        <w:rPr>
          <w:sz w:val="36"/>
        </w:rPr>
      </w:pPr>
    </w:p>
    <w:p>
      <w:pPr>
        <w:pStyle w:val="ListParagraph"/>
        <w:numPr>
          <w:ilvl w:val="0"/>
          <w:numId w:val="2"/>
        </w:numPr>
        <w:tabs>
          <w:tab w:pos="1686" w:val="left" w:leader="none"/>
        </w:tabs>
        <w:spacing w:line="360" w:lineRule="auto" w:before="0" w:after="0"/>
        <w:ind w:left="1685" w:right="745" w:hanging="720"/>
        <w:jc w:val="both"/>
        <w:rPr>
          <w:i/>
          <w:sz w:val="24"/>
        </w:rPr>
      </w:pPr>
      <w:r>
        <w:rPr>
          <w:i/>
          <w:sz w:val="24"/>
        </w:rPr>
        <w:t>In the HICP, the geometric mean is used to aggregate price changes at the </w:t>
      </w:r>
      <w:r>
        <w:rPr>
          <w:i/>
          <w:sz w:val="24"/>
        </w:rPr>
        <w:t>most basic level whereas the RPIX uses the arithmetic</w:t>
      </w:r>
      <w:r>
        <w:rPr>
          <w:i/>
          <w:spacing w:val="-11"/>
          <w:sz w:val="24"/>
        </w:rPr>
        <w:t> </w:t>
      </w:r>
      <w:r>
        <w:rPr>
          <w:i/>
          <w:sz w:val="24"/>
        </w:rPr>
        <w:t>mean.</w:t>
      </w:r>
    </w:p>
    <w:p>
      <w:pPr>
        <w:pStyle w:val="BodyText"/>
        <w:spacing w:line="360" w:lineRule="auto" w:before="1"/>
        <w:ind w:left="965" w:right="743"/>
        <w:jc w:val="both"/>
      </w:pPr>
      <w:r>
        <w:rPr/>
        <w:t>Since the geometric mean of a group of different numbers is </w:t>
      </w:r>
      <w:r>
        <w:rPr>
          <w:u w:val="single"/>
        </w:rPr>
        <w:t>always</w:t>
      </w:r>
      <w:r>
        <w:rPr/>
        <w:t> less than the arithmetic mean of the same group of numbers</w:t>
      </w:r>
      <w:r>
        <w:rPr>
          <w:vertAlign w:val="superscript"/>
        </w:rPr>
        <w:t>1</w:t>
      </w:r>
      <w:r>
        <w:rPr>
          <w:vertAlign w:val="baseline"/>
        </w:rPr>
        <w:t>, this difference in the construction of the two measures will always tend to make HICP inflation lower than RPIX inflation. This is the </w:t>
      </w:r>
      <w:r>
        <w:rPr>
          <w:u w:val="single"/>
          <w:vertAlign w:val="baseline"/>
        </w:rPr>
        <w:t>formula effect</w:t>
      </w:r>
      <w:r>
        <w:rPr>
          <w:vertAlign w:val="baseline"/>
        </w:rPr>
        <w:t> and, on average, makes HICP inflation 0.5 percentage points per annum lower than RPIX</w:t>
      </w:r>
      <w:r>
        <w:rPr>
          <w:spacing w:val="-4"/>
          <w:vertAlign w:val="baseline"/>
        </w:rPr>
        <w:t> </w:t>
      </w:r>
      <w:r>
        <w:rPr>
          <w:vertAlign w:val="baseline"/>
        </w:rPr>
        <w:t>inflation.</w:t>
      </w:r>
    </w:p>
    <w:p>
      <w:pPr>
        <w:pStyle w:val="BodyText"/>
        <w:rPr>
          <w:sz w:val="36"/>
        </w:rPr>
      </w:pPr>
    </w:p>
    <w:p>
      <w:pPr>
        <w:pStyle w:val="ListParagraph"/>
        <w:numPr>
          <w:ilvl w:val="0"/>
          <w:numId w:val="2"/>
        </w:numPr>
        <w:tabs>
          <w:tab w:pos="1686" w:val="left" w:leader="none"/>
        </w:tabs>
        <w:spacing w:line="360" w:lineRule="auto" w:before="0" w:after="0"/>
        <w:ind w:left="1685" w:right="746" w:hanging="720"/>
        <w:jc w:val="both"/>
        <w:rPr>
          <w:i/>
          <w:sz w:val="24"/>
        </w:rPr>
      </w:pPr>
      <w:r>
        <w:rPr>
          <w:i/>
          <w:sz w:val="24"/>
        </w:rPr>
        <w:t>HICP excludes housing depreciation, council tax and dwellings insurance. </w:t>
      </w:r>
      <w:r>
        <w:rPr>
          <w:i/>
          <w:sz w:val="24"/>
        </w:rPr>
        <w:t>RPIX includes</w:t>
      </w:r>
      <w:r>
        <w:rPr>
          <w:i/>
          <w:spacing w:val="-3"/>
          <w:sz w:val="24"/>
        </w:rPr>
        <w:t> </w:t>
      </w:r>
      <w:r>
        <w:rPr>
          <w:i/>
          <w:sz w:val="24"/>
        </w:rPr>
        <w:t>these.</w:t>
      </w:r>
    </w:p>
    <w:p>
      <w:pPr>
        <w:pStyle w:val="BodyText"/>
        <w:spacing w:line="360" w:lineRule="auto"/>
        <w:ind w:left="965" w:right="742"/>
        <w:jc w:val="both"/>
      </w:pPr>
      <w:r>
        <w:rPr/>
        <w:t>The housing depreciation element and council taxes have tended to rise faster than the other elements of RPIX, on average. Their exclusion will therefore tend, in the long run, to lower measured inflation assuming that house prices track earnings over the long term and council tax rates continue to rise faster than 2.5% pa. The long-run impact of this </w:t>
      </w:r>
      <w:r>
        <w:rPr>
          <w:u w:val="single"/>
        </w:rPr>
        <w:t>housing effect</w:t>
      </w:r>
      <w:r>
        <w:rPr/>
        <w:t> is likely to make HICP inflation around 0.3 percentage points per annum lower than RPIX inflation</w:t>
      </w:r>
      <w:r>
        <w:rPr>
          <w:vertAlign w:val="superscript"/>
        </w:rPr>
        <w:t>2</w:t>
      </w:r>
      <w:r>
        <w:rPr>
          <w:vertAlign w:val="baseline"/>
        </w:rPr>
        <w:t>.</w:t>
      </w:r>
    </w:p>
    <w:p>
      <w:pPr>
        <w:pStyle w:val="BodyText"/>
        <w:spacing w:before="10"/>
        <w:rPr>
          <w:sz w:val="35"/>
        </w:rPr>
      </w:pPr>
    </w:p>
    <w:p>
      <w:pPr>
        <w:pStyle w:val="ListParagraph"/>
        <w:numPr>
          <w:ilvl w:val="0"/>
          <w:numId w:val="2"/>
        </w:numPr>
        <w:tabs>
          <w:tab w:pos="1686" w:val="left" w:leader="none"/>
        </w:tabs>
        <w:spacing w:line="360" w:lineRule="auto" w:before="0" w:after="0"/>
        <w:ind w:left="1685" w:right="744" w:hanging="720"/>
        <w:jc w:val="both"/>
        <w:rPr>
          <w:sz w:val="20"/>
        </w:rPr>
      </w:pPr>
      <w:r>
        <w:rPr>
          <w:i/>
          <w:sz w:val="24"/>
        </w:rPr>
        <w:t>HICP includes university accommodation fees, foreign students tuition fees, </w:t>
      </w:r>
      <w:r>
        <w:rPr>
          <w:i/>
          <w:sz w:val="24"/>
        </w:rPr>
        <w:t>stockbrokers charges. RPIX excludes these. Also there are numerous other minor differences. </w:t>
      </w:r>
      <w:r>
        <w:rPr>
          <w:sz w:val="20"/>
        </w:rPr>
        <w:t>(The National Statistics web-site contains all the</w:t>
      </w:r>
      <w:r>
        <w:rPr>
          <w:spacing w:val="-5"/>
          <w:sz w:val="20"/>
        </w:rPr>
        <w:t> </w:t>
      </w:r>
      <w:r>
        <w:rPr>
          <w:sz w:val="20"/>
        </w:rPr>
        <w:t>details.)</w:t>
      </w:r>
    </w:p>
    <w:p>
      <w:pPr>
        <w:pStyle w:val="BodyText"/>
        <w:spacing w:line="360" w:lineRule="auto" w:before="2"/>
        <w:ind w:left="965" w:right="745"/>
        <w:jc w:val="both"/>
      </w:pPr>
      <w:r>
        <w:rPr/>
        <w:t>On average, these differences between HICP and RPIX contribute nothing to long-run average inflation rate differentials between the two measures.</w:t>
      </w:r>
    </w:p>
    <w:p>
      <w:pPr>
        <w:spacing w:after="0" w:line="360" w:lineRule="auto"/>
        <w:jc w:val="both"/>
        <w:sectPr>
          <w:pgSz w:w="12240" w:h="15840"/>
          <w:pgMar w:header="209" w:footer="0" w:top="840" w:bottom="280" w:left="1000" w:right="1220"/>
        </w:sectPr>
      </w:pPr>
    </w:p>
    <w:p>
      <w:pPr>
        <w:pStyle w:val="BodyText"/>
        <w:spacing w:line="360" w:lineRule="auto" w:before="82"/>
        <w:ind w:left="965" w:right="743"/>
        <w:jc w:val="both"/>
      </w:pPr>
      <w:r>
        <w:rPr/>
        <w:t>The differences under points (i) and (ii), when combined, suggest a long-run average differential between HICP and RPIX inflation of 0.8 percentage points per annum. In the shorter term, there is a great deal of variation in the differential as we can see from Figure 1. While the formula effect is relatively stable, the housing and other elements of the differential are highly volatile. Currently, the differential is very large because the housing depreciation element, depending as it does on recent rates of house price inflation, is making such a large contribution to RPIX inflation</w:t>
      </w:r>
      <w:r>
        <w:rPr>
          <w:vertAlign w:val="superscript"/>
        </w:rPr>
        <w:t>3</w:t>
      </w:r>
      <w:r>
        <w:rPr>
          <w:vertAlign w:val="baseline"/>
        </w:rPr>
        <w:t>. But even the long- run average differential of 0.8 is large. So the proposed switch to the HICP measure  of inflation will mean that measured inflation will be considerably lower, on average, than it would have been had we stuck to RPIX. So what difference will this</w:t>
      </w:r>
      <w:r>
        <w:rPr>
          <w:spacing w:val="-12"/>
          <w:vertAlign w:val="baseline"/>
        </w:rPr>
        <w:t> </w:t>
      </w:r>
      <w:r>
        <w:rPr>
          <w:vertAlign w:val="baseline"/>
        </w:rPr>
        <w:t>make?</w:t>
      </w:r>
    </w:p>
    <w:p>
      <w:pPr>
        <w:pStyle w:val="BodyText"/>
        <w:spacing w:before="7"/>
        <w:rPr>
          <w:sz w:val="36"/>
        </w:rPr>
      </w:pPr>
    </w:p>
    <w:p>
      <w:pPr>
        <w:pStyle w:val="Heading1"/>
        <w:jc w:val="both"/>
        <w:rPr>
          <w:u w:val="none"/>
        </w:rPr>
      </w:pPr>
      <w:r>
        <w:rPr>
          <w:u w:val="thick"/>
        </w:rPr>
        <w:t>The Changes in the Economy Following a Switch to HICP</w:t>
      </w:r>
    </w:p>
    <w:p>
      <w:pPr>
        <w:pStyle w:val="BodyText"/>
        <w:spacing w:line="360" w:lineRule="auto" w:before="132"/>
        <w:ind w:left="965" w:right="742"/>
        <w:jc w:val="both"/>
      </w:pPr>
      <w:r>
        <w:rPr/>
        <w:t>Suppose, for the sake of argument, that HICP gradually takes over from RPI(X) as the index used in economic life. Under HICP, on average, the measured cost of living goes up by 0.8 percentage points per annum </w:t>
      </w:r>
      <w:r>
        <w:rPr>
          <w:u w:val="single"/>
        </w:rPr>
        <w:t>less</w:t>
      </w:r>
      <w:r>
        <w:rPr/>
        <w:t> than under RPI(X). </w:t>
      </w:r>
      <w:r>
        <w:rPr>
          <w:u w:val="single"/>
        </w:rPr>
        <w:t>This change</w:t>
      </w:r>
      <w:r>
        <w:rPr/>
        <w:t> </w:t>
      </w:r>
      <w:r>
        <w:rPr>
          <w:u w:val="single"/>
        </w:rPr>
        <w:t>makes no difference whatever to the rate of increase of the true cost of living</w:t>
      </w:r>
      <w:r>
        <w:rPr/>
        <w:t>, of which HICP and RPI(X) are different</w:t>
      </w:r>
      <w:r>
        <w:rPr>
          <w:spacing w:val="-6"/>
        </w:rPr>
        <w:t> </w:t>
      </w:r>
      <w:r>
        <w:rPr/>
        <w:t>measures.</w:t>
      </w:r>
    </w:p>
    <w:p>
      <w:pPr>
        <w:pStyle w:val="BodyText"/>
        <w:rPr>
          <w:sz w:val="36"/>
        </w:rPr>
      </w:pPr>
    </w:p>
    <w:p>
      <w:pPr>
        <w:pStyle w:val="BodyText"/>
        <w:spacing w:line="360" w:lineRule="auto"/>
        <w:ind w:left="965" w:right="740"/>
        <w:jc w:val="both"/>
      </w:pPr>
      <w:r>
        <w:rPr/>
        <w:t>So one important implication of the switch to HICP is that for given nominal wage growth, real wage growth will be </w:t>
      </w:r>
      <w:r>
        <w:rPr>
          <w:u w:val="single"/>
        </w:rPr>
        <w:t>measured</w:t>
      </w:r>
      <w:r>
        <w:rPr/>
        <w:t> to be 0.8 percentage points per annum higher after the switch. </w:t>
      </w:r>
      <w:r>
        <w:rPr>
          <w:u w:val="single"/>
        </w:rPr>
        <w:t>True</w:t>
      </w:r>
      <w:r>
        <w:rPr/>
        <w:t> real wage growth will, however, be unchanged. If  people understand this, they will understand that the measured increase in real wage growth of 0.8 percentage points per annum, after the switch, is a mirage. So, for example, if negotiations for pay increases are currently based on long-run RPIX inflation plus </w:t>
      </w:r>
      <w:r>
        <w:rPr>
          <w:i/>
        </w:rPr>
        <w:t>x% </w:t>
      </w:r>
      <w:r>
        <w:rPr/>
        <w:t>(for productivity growth etc.), then after the switch they will have to be based on long-run HICP inflation plus 0.8 plus </w:t>
      </w:r>
      <w:r>
        <w:rPr>
          <w:i/>
        </w:rPr>
        <w:t>x%</w:t>
      </w:r>
      <w:r>
        <w:rPr/>
        <w:t>, if they are to be unaffected by the switch. The thing to remember is that the RPIX inflation rate and the HICP inflation rate plus 0.8 represent the </w:t>
      </w:r>
      <w:r>
        <w:rPr>
          <w:u w:val="single"/>
        </w:rPr>
        <w:t>same</w:t>
      </w:r>
      <w:r>
        <w:rPr/>
        <w:t> rate of cost of living increase over the long term.</w:t>
      </w:r>
    </w:p>
    <w:p>
      <w:pPr>
        <w:pStyle w:val="BodyText"/>
        <w:rPr>
          <w:sz w:val="36"/>
        </w:rPr>
      </w:pPr>
    </w:p>
    <w:p>
      <w:pPr>
        <w:pStyle w:val="BodyText"/>
        <w:spacing w:line="360" w:lineRule="auto"/>
        <w:ind w:left="965" w:right="745"/>
        <w:jc w:val="both"/>
      </w:pPr>
      <w:r>
        <w:rPr/>
        <w:t>Suppose that this does not happen. For example, suppose instead that after the switch, unions and firms negotiate on the basis of long-run HICP inflation plus </w:t>
      </w:r>
      <w:r>
        <w:rPr>
          <w:i/>
        </w:rPr>
        <w:t>x%</w:t>
      </w:r>
      <w:r>
        <w:rPr/>
        <w:t>, where </w:t>
      </w:r>
      <w:r>
        <w:rPr>
          <w:i/>
        </w:rPr>
        <w:t>x </w:t>
      </w:r>
      <w:r>
        <w:rPr/>
        <w:t>is the same productivity etc. effect as above. Then nominal wage growth and </w:t>
      </w:r>
      <w:r>
        <w:rPr>
          <w:u w:val="single"/>
        </w:rPr>
        <w:t>true</w:t>
      </w:r>
      <w:r>
        <w:rPr/>
        <w:t> real</w:t>
      </w:r>
    </w:p>
    <w:p>
      <w:pPr>
        <w:spacing w:after="0" w:line="360" w:lineRule="auto"/>
        <w:jc w:val="both"/>
        <w:sectPr>
          <w:pgSz w:w="12240" w:h="15840"/>
          <w:pgMar w:header="209" w:footer="0" w:top="840" w:bottom="280" w:left="1000" w:right="1220"/>
        </w:sectPr>
      </w:pPr>
    </w:p>
    <w:p>
      <w:pPr>
        <w:pStyle w:val="BodyText"/>
        <w:spacing w:line="360" w:lineRule="auto" w:before="82"/>
        <w:ind w:left="965" w:right="744"/>
        <w:jc w:val="both"/>
      </w:pPr>
      <w:r>
        <w:rPr/>
        <w:t>wage growth will tend to be lower and this will tend to exert downward pressure on inflation in the long run (on either measure).</w:t>
      </w:r>
    </w:p>
    <w:p>
      <w:pPr>
        <w:pStyle w:val="BodyText"/>
        <w:spacing w:before="2"/>
        <w:rPr>
          <w:sz w:val="36"/>
        </w:rPr>
      </w:pPr>
    </w:p>
    <w:p>
      <w:pPr>
        <w:pStyle w:val="BodyText"/>
        <w:spacing w:line="360" w:lineRule="auto"/>
        <w:ind w:left="965" w:right="742"/>
        <w:jc w:val="both"/>
      </w:pPr>
      <w:r>
        <w:rPr/>
        <w:t>Exactly as with real wage growth, the switch has the same implications for measured real interest rates. For given nominal interest rates, after the switch to HICP,  </w:t>
      </w:r>
      <w:r>
        <w:rPr>
          <w:u w:val="single"/>
        </w:rPr>
        <w:t>measured</w:t>
      </w:r>
      <w:r>
        <w:rPr/>
        <w:t> (ex post) real interest rates will be, on average, 0.8 percentage  points higher. However, the </w:t>
      </w:r>
      <w:r>
        <w:rPr>
          <w:u w:val="single"/>
        </w:rPr>
        <w:t>true</w:t>
      </w:r>
      <w:r>
        <w:rPr/>
        <w:t> real interest rate will be unaffected. Agents in  the  economy will need to get used to the fact that </w:t>
      </w:r>
      <w:r>
        <w:rPr>
          <w:u w:val="single"/>
        </w:rPr>
        <w:t>measured</w:t>
      </w:r>
      <w:r>
        <w:rPr/>
        <w:t> real interest rates will be higher by roughly 0.8 percentage points, ceteris paribus. So what are the implications of all this for monetary</w:t>
      </w:r>
      <w:r>
        <w:rPr>
          <w:spacing w:val="-8"/>
        </w:rPr>
        <w:t> </w:t>
      </w:r>
      <w:r>
        <w:rPr/>
        <w:t>policy?</w:t>
      </w:r>
    </w:p>
    <w:p>
      <w:pPr>
        <w:pStyle w:val="BodyText"/>
        <w:spacing w:before="5"/>
        <w:rPr>
          <w:sz w:val="36"/>
        </w:rPr>
      </w:pPr>
    </w:p>
    <w:p>
      <w:pPr>
        <w:pStyle w:val="Heading1"/>
        <w:rPr>
          <w:u w:val="none"/>
        </w:rPr>
      </w:pPr>
      <w:r>
        <w:rPr>
          <w:u w:val="thick"/>
        </w:rPr>
        <w:t>The Implications of the Switch to HICP for Monetary Policy</w:t>
      </w:r>
    </w:p>
    <w:p>
      <w:pPr>
        <w:pStyle w:val="BodyText"/>
        <w:tabs>
          <w:tab w:pos="2640" w:val="left" w:leader="none"/>
        </w:tabs>
        <w:spacing w:line="360" w:lineRule="auto" w:before="132"/>
        <w:ind w:left="965" w:right="743"/>
        <w:rPr>
          <w:i/>
        </w:rPr>
      </w:pPr>
      <w:r>
        <w:rPr/>
        <w:t>The most important point to recognise is that the long-run stance of monetary policy should not be gauged by the nominal interest rate but by the real interest rate. And the switch from an RPIX target to an HICP target, whatever the level of either target, should have no long-run </w:t>
      </w:r>
      <w:r>
        <w:rPr>
          <w:u w:val="single"/>
        </w:rPr>
        <w:t>real</w:t>
      </w:r>
      <w:r>
        <w:rPr/>
        <w:t> impact on the economy, including on the real interest rate. So the long-run stance of monetary policy will be unaffected. So we have, </w:t>
      </w:r>
      <w:r>
        <w:rPr>
          <w:b/>
        </w:rPr>
        <w:t>Implication</w:t>
      </w:r>
      <w:r>
        <w:rPr>
          <w:b/>
          <w:spacing w:val="40"/>
        </w:rPr>
        <w:t> </w:t>
      </w:r>
      <w:r>
        <w:rPr>
          <w:b/>
        </w:rPr>
        <w:t>1</w:t>
      </w:r>
      <w:r>
        <w:rPr/>
        <w:t>.</w:t>
        <w:tab/>
      </w:r>
      <w:r>
        <w:rPr>
          <w:i/>
        </w:rPr>
        <w:t>The long-run stance of monetary policy will be unaffected by the </w:t>
      </w:r>
      <w:r>
        <w:rPr>
          <w:i/>
        </w:rPr>
        <w:t>switch to an HICP</w:t>
      </w:r>
      <w:r>
        <w:rPr>
          <w:i/>
          <w:spacing w:val="-3"/>
        </w:rPr>
        <w:t> </w:t>
      </w:r>
      <w:r>
        <w:rPr>
          <w:i/>
        </w:rPr>
        <w:t>target.</w:t>
      </w:r>
    </w:p>
    <w:p>
      <w:pPr>
        <w:pStyle w:val="BodyText"/>
        <w:rPr>
          <w:i/>
          <w:sz w:val="36"/>
        </w:rPr>
      </w:pPr>
    </w:p>
    <w:p>
      <w:pPr>
        <w:tabs>
          <w:tab w:pos="8616" w:val="left" w:leader="none"/>
        </w:tabs>
        <w:spacing w:line="360" w:lineRule="auto" w:before="0"/>
        <w:ind w:left="965" w:right="743" w:firstLine="0"/>
        <w:jc w:val="left"/>
        <w:rPr>
          <w:sz w:val="24"/>
        </w:rPr>
      </w:pPr>
      <w:r>
        <w:rPr>
          <w:sz w:val="24"/>
        </w:rPr>
        <w:t>In order to go further, we have to make some assumption about the new target. For  the purposes of this exposition, suppose that the HICP inflation target </w:t>
      </w:r>
      <w:r>
        <w:rPr>
          <w:spacing w:val="2"/>
          <w:sz w:val="24"/>
        </w:rPr>
        <w:t> </w:t>
      </w:r>
      <w:r>
        <w:rPr>
          <w:sz w:val="24"/>
        </w:rPr>
        <w:t>is</w:t>
      </w:r>
      <w:r>
        <w:rPr>
          <w:spacing w:val="7"/>
          <w:sz w:val="24"/>
        </w:rPr>
        <w:t> </w:t>
      </w:r>
      <w:r>
        <w:rPr>
          <w:sz w:val="24"/>
        </w:rPr>
        <w:t>2%.</w:t>
        <w:tab/>
        <w:t>This </w:t>
      </w:r>
      <w:r>
        <w:rPr>
          <w:spacing w:val="-8"/>
          <w:sz w:val="24"/>
        </w:rPr>
        <w:t>is </w:t>
      </w:r>
      <w:r>
        <w:rPr>
          <w:sz w:val="24"/>
        </w:rPr>
        <w:t>equivalent to a long-run RPIX target of 2.8%, so it represents a genuine change to the inflation target facing the MPC. As we have already noted, the long-run stance of monetary policy and the true long-run real interest rate are unaffected. Since, when measured in terms of RPIX inflation, the real interest rate will switch from (</w:t>
      </w:r>
      <w:r>
        <w:rPr>
          <w:i/>
          <w:sz w:val="24"/>
        </w:rPr>
        <w:t>r</w:t>
      </w:r>
      <w:r>
        <w:rPr>
          <w:sz w:val="24"/>
        </w:rPr>
        <w:t>-2.5) to (</w:t>
      </w:r>
      <w:r>
        <w:rPr>
          <w:i/>
          <w:sz w:val="24"/>
        </w:rPr>
        <w:t>r</w:t>
      </w:r>
      <w:r>
        <w:rPr>
          <w:sz w:val="24"/>
        </w:rPr>
        <w:t>-2.8), where </w:t>
      </w:r>
      <w:r>
        <w:rPr>
          <w:i/>
          <w:sz w:val="24"/>
        </w:rPr>
        <w:t>r </w:t>
      </w:r>
      <w:r>
        <w:rPr>
          <w:sz w:val="24"/>
        </w:rPr>
        <w:t>is the nominal rate, it is obvious that to keep the real rate unchanged, the long-run nominal rate must be 0.3 percentage points </w:t>
      </w:r>
      <w:r>
        <w:rPr>
          <w:sz w:val="24"/>
          <w:u w:val="single"/>
        </w:rPr>
        <w:t>higher</w:t>
      </w:r>
      <w:r>
        <w:rPr>
          <w:sz w:val="24"/>
          <w:vertAlign w:val="superscript"/>
        </w:rPr>
        <w:t>4</w:t>
      </w:r>
      <w:r>
        <w:rPr>
          <w:sz w:val="24"/>
          <w:vertAlign w:val="baseline"/>
        </w:rPr>
        <w:t>. This leads to, </w:t>
      </w:r>
      <w:r>
        <w:rPr>
          <w:b/>
          <w:sz w:val="24"/>
          <w:vertAlign w:val="baseline"/>
        </w:rPr>
        <w:t>Implication 2</w:t>
      </w:r>
      <w:r>
        <w:rPr>
          <w:sz w:val="24"/>
          <w:vertAlign w:val="baseline"/>
        </w:rPr>
        <w:t>. </w:t>
      </w:r>
      <w:r>
        <w:rPr>
          <w:i/>
          <w:sz w:val="24"/>
          <w:vertAlign w:val="baseline"/>
        </w:rPr>
        <w:t>If the HICP target is set at 2.0%, this is equivalent, in the long run, to </w:t>
      </w:r>
      <w:r>
        <w:rPr>
          <w:i/>
          <w:sz w:val="24"/>
          <w:vertAlign w:val="baseline"/>
        </w:rPr>
        <w:t>a switch from an RPIX target of 2.5% to an RPIX target of 2.8%. Since the long-run real interest rate is unaffected by the switch (see Implication1), the long-run nominal interest rate will be 0.3 percentage points higher after the</w:t>
      </w:r>
      <w:r>
        <w:rPr>
          <w:i/>
          <w:spacing w:val="-4"/>
          <w:sz w:val="24"/>
          <w:vertAlign w:val="baseline"/>
        </w:rPr>
        <w:t> </w:t>
      </w:r>
      <w:r>
        <w:rPr>
          <w:i/>
          <w:sz w:val="24"/>
          <w:vertAlign w:val="baseline"/>
        </w:rPr>
        <w:t>switch</w:t>
      </w:r>
      <w:r>
        <w:rPr>
          <w:sz w:val="24"/>
          <w:vertAlign w:val="baseline"/>
        </w:rPr>
        <w:t>.</w:t>
      </w:r>
    </w:p>
    <w:p>
      <w:pPr>
        <w:spacing w:after="0" w:line="360" w:lineRule="auto"/>
        <w:jc w:val="left"/>
        <w:rPr>
          <w:sz w:val="24"/>
        </w:rPr>
        <w:sectPr>
          <w:pgSz w:w="12240" w:h="15840"/>
          <w:pgMar w:header="209" w:footer="0" w:top="840" w:bottom="280" w:left="1000" w:right="1220"/>
        </w:sectPr>
      </w:pPr>
    </w:p>
    <w:p>
      <w:pPr>
        <w:pStyle w:val="BodyText"/>
        <w:spacing w:line="360" w:lineRule="auto" w:before="82"/>
        <w:ind w:left="965" w:right="743"/>
        <w:jc w:val="both"/>
      </w:pPr>
      <w:r>
        <w:rPr/>
        <w:t>What about the consequences for monetary policy in the short run? Since the switch involves</w:t>
      </w:r>
      <w:r>
        <w:rPr>
          <w:spacing w:val="14"/>
        </w:rPr>
        <w:t> </w:t>
      </w:r>
      <w:r>
        <w:rPr/>
        <w:t>a</w:t>
      </w:r>
      <w:r>
        <w:rPr>
          <w:spacing w:val="15"/>
        </w:rPr>
        <w:t> </w:t>
      </w:r>
      <w:r>
        <w:rPr>
          <w:u w:val="single"/>
        </w:rPr>
        <w:t>de</w:t>
      </w:r>
      <w:r>
        <w:rPr>
          <w:spacing w:val="14"/>
          <w:u w:val="single"/>
        </w:rPr>
        <w:t> </w:t>
      </w:r>
      <w:r>
        <w:rPr>
          <w:u w:val="single"/>
        </w:rPr>
        <w:t>facto</w:t>
      </w:r>
      <w:r>
        <w:rPr>
          <w:spacing w:val="15"/>
        </w:rPr>
        <w:t> </w:t>
      </w:r>
      <w:r>
        <w:rPr/>
        <w:t>rise</w:t>
      </w:r>
      <w:r>
        <w:rPr>
          <w:spacing w:val="14"/>
        </w:rPr>
        <w:t> </w:t>
      </w:r>
      <w:r>
        <w:rPr/>
        <w:t>in</w:t>
      </w:r>
      <w:r>
        <w:rPr>
          <w:spacing w:val="15"/>
        </w:rPr>
        <w:t> </w:t>
      </w:r>
      <w:r>
        <w:rPr/>
        <w:t>the</w:t>
      </w:r>
      <w:r>
        <w:rPr>
          <w:spacing w:val="14"/>
        </w:rPr>
        <w:t> </w:t>
      </w:r>
      <w:r>
        <w:rPr/>
        <w:t>inflation</w:t>
      </w:r>
      <w:r>
        <w:rPr>
          <w:spacing w:val="15"/>
        </w:rPr>
        <w:t> </w:t>
      </w:r>
      <w:r>
        <w:rPr/>
        <w:t>target</w:t>
      </w:r>
      <w:r>
        <w:rPr>
          <w:spacing w:val="14"/>
        </w:rPr>
        <w:t> </w:t>
      </w:r>
      <w:r>
        <w:rPr/>
        <w:t>from</w:t>
      </w:r>
      <w:r>
        <w:rPr>
          <w:spacing w:val="15"/>
        </w:rPr>
        <w:t> </w:t>
      </w:r>
      <w:r>
        <w:rPr/>
        <w:t>2.5</w:t>
      </w:r>
      <w:r>
        <w:rPr>
          <w:spacing w:val="14"/>
        </w:rPr>
        <w:t> </w:t>
      </w:r>
      <w:r>
        <w:rPr/>
        <w:t>to</w:t>
      </w:r>
      <w:r>
        <w:rPr>
          <w:spacing w:val="15"/>
        </w:rPr>
        <w:t> </w:t>
      </w:r>
      <w:r>
        <w:rPr/>
        <w:t>2.8</w:t>
      </w:r>
      <w:r>
        <w:rPr>
          <w:spacing w:val="14"/>
        </w:rPr>
        <w:t> </w:t>
      </w:r>
      <w:r>
        <w:rPr/>
        <w:t>in</w:t>
      </w:r>
      <w:r>
        <w:rPr>
          <w:spacing w:val="15"/>
        </w:rPr>
        <w:t> </w:t>
      </w:r>
      <w:r>
        <w:rPr/>
        <w:t>RPIX</w:t>
      </w:r>
      <w:r>
        <w:rPr>
          <w:spacing w:val="15"/>
        </w:rPr>
        <w:t> </w:t>
      </w:r>
      <w:r>
        <w:rPr/>
        <w:t>terms</w:t>
      </w:r>
      <w:r>
        <w:rPr>
          <w:spacing w:val="17"/>
        </w:rPr>
        <w:t> </w:t>
      </w:r>
      <w:r>
        <w:rPr/>
        <w:t>or</w:t>
      </w:r>
      <w:r>
        <w:rPr>
          <w:spacing w:val="18"/>
        </w:rPr>
        <w:t> </w:t>
      </w:r>
      <w:r>
        <w:rPr/>
        <w:t>from</w:t>
      </w:r>
    </w:p>
    <w:p>
      <w:pPr>
        <w:pStyle w:val="BodyText"/>
        <w:ind w:left="965"/>
        <w:jc w:val="both"/>
      </w:pPr>
      <w:r>
        <w:rPr/>
        <w:t>1.7</w:t>
      </w:r>
      <w:r>
        <w:rPr>
          <w:spacing w:val="3"/>
        </w:rPr>
        <w:t> </w:t>
      </w:r>
      <w:r>
        <w:rPr/>
        <w:t>to</w:t>
      </w:r>
      <w:r>
        <w:rPr>
          <w:spacing w:val="7"/>
        </w:rPr>
        <w:t> </w:t>
      </w:r>
      <w:r>
        <w:rPr/>
        <w:t>2.0</w:t>
      </w:r>
      <w:r>
        <w:rPr>
          <w:spacing w:val="6"/>
        </w:rPr>
        <w:t> </w:t>
      </w:r>
      <w:r>
        <w:rPr/>
        <w:t>in</w:t>
      </w:r>
      <w:r>
        <w:rPr>
          <w:spacing w:val="7"/>
        </w:rPr>
        <w:t> </w:t>
      </w:r>
      <w:r>
        <w:rPr/>
        <w:t>HICP</w:t>
      </w:r>
      <w:r>
        <w:rPr>
          <w:spacing w:val="6"/>
        </w:rPr>
        <w:t> </w:t>
      </w:r>
      <w:r>
        <w:rPr/>
        <w:t>terms,</w:t>
      </w:r>
      <w:r>
        <w:rPr>
          <w:spacing w:val="7"/>
        </w:rPr>
        <w:t> </w:t>
      </w:r>
      <w:r>
        <w:rPr/>
        <w:t>it</w:t>
      </w:r>
      <w:r>
        <w:rPr>
          <w:spacing w:val="6"/>
        </w:rPr>
        <w:t> </w:t>
      </w:r>
      <w:r>
        <w:rPr/>
        <w:t>is</w:t>
      </w:r>
      <w:r>
        <w:rPr>
          <w:spacing w:val="7"/>
        </w:rPr>
        <w:t> </w:t>
      </w:r>
      <w:r>
        <w:rPr/>
        <w:t>the</w:t>
      </w:r>
      <w:r>
        <w:rPr>
          <w:spacing w:val="6"/>
        </w:rPr>
        <w:t> </w:t>
      </w:r>
      <w:r>
        <w:rPr/>
        <w:t>job</w:t>
      </w:r>
      <w:r>
        <w:rPr>
          <w:spacing w:val="7"/>
        </w:rPr>
        <w:t> </w:t>
      </w:r>
      <w:r>
        <w:rPr/>
        <w:t>of</w:t>
      </w:r>
      <w:r>
        <w:rPr>
          <w:spacing w:val="6"/>
        </w:rPr>
        <w:t> </w:t>
      </w:r>
      <w:r>
        <w:rPr/>
        <w:t>the</w:t>
      </w:r>
      <w:r>
        <w:rPr>
          <w:spacing w:val="7"/>
        </w:rPr>
        <w:t> </w:t>
      </w:r>
      <w:r>
        <w:rPr/>
        <w:t>MPC</w:t>
      </w:r>
      <w:r>
        <w:rPr>
          <w:spacing w:val="6"/>
        </w:rPr>
        <w:t> </w:t>
      </w:r>
      <w:r>
        <w:rPr/>
        <w:t>to</w:t>
      </w:r>
      <w:r>
        <w:rPr>
          <w:spacing w:val="7"/>
        </w:rPr>
        <w:t> </w:t>
      </w:r>
      <w:r>
        <w:rPr/>
        <w:t>ensure</w:t>
      </w:r>
      <w:r>
        <w:rPr>
          <w:spacing w:val="6"/>
        </w:rPr>
        <w:t> </w:t>
      </w:r>
      <w:r>
        <w:rPr/>
        <w:t>that</w:t>
      </w:r>
      <w:r>
        <w:rPr>
          <w:spacing w:val="7"/>
        </w:rPr>
        <w:t> </w:t>
      </w:r>
      <w:r>
        <w:rPr/>
        <w:t>long-term</w:t>
      </w:r>
      <w:r>
        <w:rPr>
          <w:spacing w:val="6"/>
        </w:rPr>
        <w:t> </w:t>
      </w:r>
      <w:r>
        <w:rPr/>
        <w:t>inflation</w:t>
      </w:r>
      <w:r>
        <w:rPr>
          <w:spacing w:val="7"/>
        </w:rPr>
        <w:t> </w:t>
      </w:r>
      <w:r>
        <w:rPr/>
        <w:t>is</w:t>
      </w:r>
    </w:p>
    <w:p>
      <w:pPr>
        <w:pStyle w:val="BodyText"/>
        <w:spacing w:line="360" w:lineRule="auto" w:before="140"/>
        <w:ind w:left="965" w:right="744"/>
        <w:jc w:val="both"/>
      </w:pPr>
      <w:r>
        <w:rPr/>
        <w:t>0.3 percentage points higher than it otherwise would have been. This  involves slightly looser monetary policy than would otherwise have been the case, </w:t>
      </w:r>
      <w:r>
        <w:rPr>
          <w:u w:val="single"/>
        </w:rPr>
        <w:t>for a limited period</w:t>
      </w:r>
      <w:r>
        <w:rPr/>
        <w:t>, in order to generate the small rise in the longer-term inflation rate. However,  it would be a mistake to make too much of this. Given the large variations in the gap between HICP inflation and RPIX inflation (see Figure 1) and the frequent shocks to which the economy is subject, such a slight loosening of monetary policy (relative to the counterfactual of no switch in target) would be small relative to its normal variation. So we</w:t>
      </w:r>
      <w:r>
        <w:rPr>
          <w:spacing w:val="-4"/>
        </w:rPr>
        <w:t> </w:t>
      </w:r>
      <w:r>
        <w:rPr/>
        <w:t>have,</w:t>
      </w:r>
    </w:p>
    <w:p>
      <w:pPr>
        <w:spacing w:line="360" w:lineRule="auto" w:before="0"/>
        <w:ind w:left="965" w:right="745" w:firstLine="0"/>
        <w:jc w:val="both"/>
        <w:rPr>
          <w:i/>
          <w:sz w:val="24"/>
        </w:rPr>
      </w:pPr>
      <w:r>
        <w:rPr>
          <w:b/>
          <w:sz w:val="24"/>
        </w:rPr>
        <w:t>Implication 3. </w:t>
      </w:r>
      <w:r>
        <w:rPr>
          <w:i/>
          <w:sz w:val="24"/>
        </w:rPr>
        <w:t>If the HICP target is set at 2.0%, this implies that the short-term </w:t>
      </w:r>
      <w:r>
        <w:rPr>
          <w:i/>
          <w:sz w:val="24"/>
        </w:rPr>
        <w:t>monetary policy stance has to be such as to raise the longer-term inflation rate by 0.3 percentage points. This involves slightly looser monetary policy for a limited period than would otherwise be the case. However, given the large variations in the gap between HICP and RPIX inflation and the frequent shocks to which the economy is subject, this temporary loosening would be barely noticeable in practice.</w:t>
      </w:r>
    </w:p>
    <w:p>
      <w:pPr>
        <w:pStyle w:val="BodyText"/>
        <w:spacing w:before="10"/>
        <w:rPr>
          <w:i/>
          <w:sz w:val="35"/>
        </w:rPr>
      </w:pPr>
    </w:p>
    <w:p>
      <w:pPr>
        <w:pStyle w:val="BodyText"/>
        <w:spacing w:line="360" w:lineRule="auto" w:before="1"/>
        <w:ind w:left="965" w:right="740"/>
        <w:jc w:val="both"/>
      </w:pPr>
      <w:r>
        <w:rPr/>
        <w:t>So far, it appears that if there were a switch to HICP with a target of 2%, this would not make much odds. Until now, however, we have only looked at the implications of the switch when the RPIX/HICP differential is at its long-run average level of 0.8 pp. But today it is at around twice its long run level at 1.6 pp. What, then, would be the consequences of the switch taking place when the gap is at a very high level?  The  key point is that monetary policy decisions are based not on where inflation is today but on where inflation is expected to be a year or two hence. Looking at the RPIX inflation projection for August 2003, (see Figure 2), the large “bump” which may be observed stretching from the last part of 2002 to the end of 2003 is generated, in the main, by the impact of the house price boom on RPIX inflation via the housing depreciation component. The path of HICP inflation would not exhibit such  a  "bump” and that is the main reason why the current gap is so wide as we have already noted. But as the housing boom fades in our forecast, the bump disappears and the RPIX/HICP gap narrows. Indeed, because the rate of house price inflation is  projected to fall below the average rate of earnings growth, the gap may well fall below its average level of 0.8 pp. Because of this, the level of HICP</w:t>
      </w:r>
      <w:r>
        <w:rPr>
          <w:spacing w:val="-13"/>
        </w:rPr>
        <w:t> </w:t>
      </w:r>
      <w:r>
        <w:rPr/>
        <w:t>inflation</w:t>
      </w:r>
    </w:p>
    <w:p>
      <w:pPr>
        <w:spacing w:after="0" w:line="360" w:lineRule="auto"/>
        <w:jc w:val="both"/>
        <w:sectPr>
          <w:pgSz w:w="12240" w:h="15840"/>
          <w:pgMar w:header="209" w:footer="0" w:top="840" w:bottom="280" w:left="1000" w:right="1220"/>
        </w:sectPr>
      </w:pPr>
    </w:p>
    <w:p>
      <w:pPr>
        <w:pStyle w:val="BodyText"/>
        <w:spacing w:line="360" w:lineRule="auto" w:before="82"/>
        <w:ind w:left="965" w:right="743"/>
        <w:jc w:val="both"/>
      </w:pPr>
      <w:r>
        <w:rPr/>
        <w:t>corresponding to the RPIX projection in 2005 is not going to be very different from 2%. This implies that monetary policy decisions taken today were we using an HICP target of 2% would probably be much the same as those we are actually taking. This leads to,</w:t>
      </w:r>
    </w:p>
    <w:p>
      <w:pPr>
        <w:spacing w:line="360" w:lineRule="auto" w:before="1"/>
        <w:ind w:left="965" w:right="745" w:firstLine="0"/>
        <w:jc w:val="both"/>
        <w:rPr>
          <w:i/>
          <w:sz w:val="24"/>
        </w:rPr>
      </w:pPr>
      <w:r>
        <w:rPr>
          <w:b/>
          <w:sz w:val="24"/>
        </w:rPr>
        <w:t>Implication 4</w:t>
      </w:r>
      <w:r>
        <w:rPr>
          <w:sz w:val="24"/>
        </w:rPr>
        <w:t>. </w:t>
      </w:r>
      <w:r>
        <w:rPr>
          <w:i/>
          <w:sz w:val="24"/>
        </w:rPr>
        <w:t>A switch to an HICP target of 2% today should have little or no </w:t>
      </w:r>
      <w:r>
        <w:rPr>
          <w:i/>
          <w:sz w:val="24"/>
        </w:rPr>
        <w:t>impact on the current stance of monetary policy despite the large gap between RPIX and HICP inflation. This is because this large gap is only temporary, generated by  the recent surge in house price inflation which impacts on RPIX via the housing depreciation element but not on HICP. As this surge fades away, the gap will close to more normal levels and given the structure of the August RPIX projection, the corresponding HICP projection would not be very different from 2% towards the end of the forecast horizon.</w:t>
      </w:r>
    </w:p>
    <w:p>
      <w:pPr>
        <w:pStyle w:val="BodyText"/>
        <w:spacing w:before="1"/>
        <w:rPr>
          <w:i/>
          <w:sz w:val="36"/>
        </w:rPr>
      </w:pPr>
    </w:p>
    <w:p>
      <w:pPr>
        <w:pStyle w:val="BodyText"/>
        <w:spacing w:line="360" w:lineRule="auto"/>
        <w:ind w:left="965" w:right="742"/>
        <w:jc w:val="both"/>
      </w:pPr>
      <w:r>
        <w:rPr/>
        <w:t>Two further implications of a switch to an HICP target are worth commenting on. First, suppose wage setters do not follow the rules set out earlier in this section. For example, suppose they base negotiations on long-run HICP inflation plus </w:t>
      </w:r>
      <w:r>
        <w:rPr>
          <w:i/>
        </w:rPr>
        <w:t>x</w:t>
      </w:r>
      <w:r>
        <w:rPr/>
        <w:t>. This will tend to lead to lower nominal wage growth than we have now, lower real income growth and ultimately downward pressure on inflation. This would then impact on monetary policy.</w:t>
      </w:r>
    </w:p>
    <w:p>
      <w:pPr>
        <w:pStyle w:val="BodyText"/>
        <w:spacing w:before="10"/>
        <w:rPr>
          <w:sz w:val="35"/>
        </w:rPr>
      </w:pPr>
    </w:p>
    <w:p>
      <w:pPr>
        <w:pStyle w:val="BodyText"/>
        <w:spacing w:line="360" w:lineRule="auto" w:before="1"/>
        <w:ind w:left="965" w:right="742"/>
        <w:jc w:val="both"/>
      </w:pPr>
      <w:r>
        <w:rPr/>
        <w:t>The second, and perhaps more interesting, implication of the switch to an HICP target arises from the fact that the housing depreciation element is excluded from the HICP. We have already noted the history of this element (see Footnote 2), so what would be the implications of its absence? The housing depreciation element in RPIX has a weight of around 4.4% and is based on a distributed lag of the ODPM measure of house prices. What this means is that a significant surge in house price inflation, such as we saw in 2002, leads to a subsequent surge in RPIX inflation, such as we saw from mid-2002. No such surge would be seen in HICP inflation. At first sight, it might be thought that this would have a significant impact on monetary policy. In practice, however, this would only be true if the MPC were capable of forecasting the surge in house prices well in advance, for recall that monetary policy tends to be influenced not by current inflation but movements in inflation which are forecast some one to two years</w:t>
      </w:r>
      <w:r>
        <w:rPr>
          <w:spacing w:val="-1"/>
        </w:rPr>
        <w:t> </w:t>
      </w:r>
      <w:r>
        <w:rPr/>
        <w:t>ahead.</w:t>
      </w:r>
    </w:p>
    <w:p>
      <w:pPr>
        <w:spacing w:after="0" w:line="360" w:lineRule="auto"/>
        <w:jc w:val="both"/>
        <w:sectPr>
          <w:pgSz w:w="12240" w:h="15840"/>
          <w:pgMar w:header="209" w:footer="0" w:top="840" w:bottom="280" w:left="1000" w:right="1220"/>
        </w:sectPr>
      </w:pPr>
    </w:p>
    <w:p>
      <w:pPr>
        <w:pStyle w:val="BodyText"/>
        <w:spacing w:line="360" w:lineRule="auto" w:before="82"/>
        <w:ind w:left="965" w:right="739"/>
        <w:jc w:val="both"/>
      </w:pPr>
      <w:r>
        <w:rPr/>
        <w:t>Looking at recent history as evidenced by the recent Inflation Report projections presented in Figure 2, the MPC completely failed to forecast the house price surge of 2002 either two years or even one year before it happened (as, incidentally, did everyone else). The house price surge generates the “bump” in the RPIX inflation projection in 2002/03 faintly visible in Figure 2 only from May 2002 and clearly visible from November 2002 onwards. Consequently, by the time the surge in RPIX inflation generated by the house price explosion was expected to come about, it was too late to do anything about its implications for inflation. Thus, in November 2002, the MPC expected the surge would disappear within a year and, since monetary policy typically takes 18 months to two years to impact fully on inflation, the house price surge had little impact on policy via its direct impact on the depreciation element of RPIX. Of course, the house price explosion impacted strongly on monetary policy because of its impact on debt, consumption and aggregate demand further out. But this would have been the case even had HICP inflation been targeted. The argument here is that the </w:t>
      </w:r>
      <w:r>
        <w:rPr>
          <w:u w:val="single"/>
        </w:rPr>
        <w:t>direct</w:t>
      </w:r>
      <w:r>
        <w:rPr/>
        <w:t> inclusion of house prices in the RPIX via the housing depreciation element only impacts on monetary policy if the MPC can forecast surges in house price inflation well in advance. Recent history indicates this is unlikely. So excluding this element from the cost of living index will probably have little consequence for monetary policy in</w:t>
      </w:r>
      <w:r>
        <w:rPr>
          <w:spacing w:val="-10"/>
        </w:rPr>
        <w:t> </w:t>
      </w:r>
      <w:r>
        <w:rPr/>
        <w:t>practice.</w:t>
      </w:r>
    </w:p>
    <w:p>
      <w:pPr>
        <w:pStyle w:val="BodyText"/>
        <w:spacing w:before="6"/>
        <w:rPr>
          <w:sz w:val="36"/>
        </w:rPr>
      </w:pPr>
    </w:p>
    <w:p>
      <w:pPr>
        <w:pStyle w:val="Heading1"/>
        <w:ind w:left="2681"/>
        <w:jc w:val="both"/>
        <w:rPr>
          <w:u w:val="none"/>
        </w:rPr>
      </w:pPr>
      <w:r>
        <w:rPr>
          <w:u w:val="thick"/>
        </w:rPr>
        <w:t>2. Household Debt: Causes and Consequences</w:t>
      </w:r>
    </w:p>
    <w:p>
      <w:pPr>
        <w:pStyle w:val="BodyText"/>
        <w:spacing w:line="360" w:lineRule="auto" w:before="134"/>
        <w:ind w:left="965" w:right="909"/>
        <w:jc w:val="both"/>
      </w:pPr>
      <w:r>
        <w:rPr/>
        <w:t>In recent months, there has been much discussion of the inexorable rise in household debt with many dire warnings. In a relatively mild example, Philip Thornton in </w:t>
      </w:r>
      <w:r>
        <w:rPr>
          <w:u w:val="single"/>
        </w:rPr>
        <w:t>The</w:t>
      </w:r>
      <w:r>
        <w:rPr/>
        <w:t> </w:t>
      </w:r>
      <w:r>
        <w:rPr>
          <w:u w:val="single"/>
        </w:rPr>
        <w:t>Independent</w:t>
      </w:r>
      <w:r>
        <w:rPr/>
        <w:t> (30 July, 2003) notes that,</w:t>
      </w:r>
    </w:p>
    <w:p>
      <w:pPr>
        <w:spacing w:line="360" w:lineRule="auto" w:before="0"/>
        <w:ind w:left="965" w:right="822" w:firstLine="0"/>
        <w:jc w:val="left"/>
        <w:rPr>
          <w:i/>
          <w:sz w:val="24"/>
        </w:rPr>
      </w:pPr>
      <w:r>
        <w:rPr>
          <w:i/>
          <w:sz w:val="24"/>
        </w:rPr>
        <w:t>“Britons piled on an all-time record amount of debt last month (June 2003), </w:t>
      </w:r>
      <w:r>
        <w:rPr>
          <w:i/>
          <w:sz w:val="24"/>
        </w:rPr>
        <w:t>triggering fears that consumers have embarked on an unsustainable borrowing binge that will end in a crash reminiscent of the early 1990s”.</w:t>
      </w:r>
    </w:p>
    <w:p>
      <w:pPr>
        <w:pStyle w:val="BodyText"/>
        <w:spacing w:before="11"/>
        <w:rPr>
          <w:i/>
          <w:sz w:val="35"/>
        </w:rPr>
      </w:pPr>
    </w:p>
    <w:p>
      <w:pPr>
        <w:pStyle w:val="BodyText"/>
        <w:spacing w:line="360" w:lineRule="auto"/>
        <w:ind w:left="965" w:right="730"/>
      </w:pPr>
      <w:r>
        <w:rPr/>
        <w:t>Here we look more closely at the rise in household debt, first to try and understand why it has happened and second to look at the dangers inherent in the current position.</w:t>
      </w:r>
    </w:p>
    <w:p>
      <w:pPr>
        <w:pStyle w:val="BodyText"/>
        <w:spacing w:before="6"/>
        <w:rPr>
          <w:sz w:val="36"/>
        </w:rPr>
      </w:pPr>
    </w:p>
    <w:p>
      <w:pPr>
        <w:pStyle w:val="Heading1"/>
        <w:rPr>
          <w:u w:val="none"/>
        </w:rPr>
      </w:pPr>
      <w:r>
        <w:rPr>
          <w:u w:val="thick"/>
        </w:rPr>
        <w:t>Why is Household Debt Rising so Rapidly?</w:t>
      </w:r>
    </w:p>
    <w:p>
      <w:pPr>
        <w:pStyle w:val="BodyText"/>
        <w:spacing w:line="360" w:lineRule="auto" w:before="132"/>
        <w:ind w:left="965" w:right="770"/>
      </w:pPr>
      <w:r>
        <w:rPr/>
        <w:t>In order to analyse household debt, it is important to distinguish between secured debt (mortgages secured on property) and unsecured debt (credit card debt, overdrafts,</w:t>
      </w:r>
    </w:p>
    <w:p>
      <w:pPr>
        <w:spacing w:after="0" w:line="360" w:lineRule="auto"/>
        <w:sectPr>
          <w:pgSz w:w="12240" w:h="15840"/>
          <w:pgMar w:header="209" w:footer="0" w:top="840" w:bottom="280" w:left="1000" w:right="1220"/>
        </w:sectPr>
      </w:pPr>
    </w:p>
    <w:p>
      <w:pPr>
        <w:pStyle w:val="BodyText"/>
        <w:spacing w:line="360" w:lineRule="auto" w:before="82"/>
        <w:ind w:left="965" w:right="850"/>
      </w:pPr>
      <w:r>
        <w:rPr/>
        <w:t>personal loans, hire purchase, student loans, DSS social fund loans, and others). Around four-fifths of all household debt is secured on dwellings and so, in the macroeconomic context, the level of secured debt is more significant. However, in terms of personal and social problems, unsecured debt is a very important issue. Let us consider each in turn.</w:t>
      </w:r>
    </w:p>
    <w:p>
      <w:pPr>
        <w:pStyle w:val="BodyText"/>
        <w:rPr>
          <w:sz w:val="36"/>
        </w:rPr>
      </w:pPr>
    </w:p>
    <w:p>
      <w:pPr>
        <w:pStyle w:val="BodyText"/>
        <w:tabs>
          <w:tab w:pos="2871" w:val="left" w:leader="none"/>
        </w:tabs>
        <w:spacing w:line="360" w:lineRule="auto" w:before="1"/>
        <w:ind w:left="965" w:right="804"/>
      </w:pPr>
      <w:r>
        <w:rPr>
          <w:b/>
          <w:u w:val="thick"/>
        </w:rPr>
        <w:t>Unsecured</w:t>
      </w:r>
      <w:r>
        <w:rPr>
          <w:b/>
          <w:spacing w:val="-3"/>
          <w:u w:val="thick"/>
        </w:rPr>
        <w:t> </w:t>
      </w:r>
      <w:r>
        <w:rPr>
          <w:b/>
          <w:u w:val="thick"/>
        </w:rPr>
        <w:t>debt.</w:t>
      </w:r>
      <w:r>
        <w:rPr>
          <w:b/>
        </w:rPr>
        <w:tab/>
      </w:r>
      <w:r>
        <w:rPr/>
        <w:t>As we can see from Figure 3, unsecured debt has been rising steadily as a proportion of total post-tax household income since the mid-1990s. By and</w:t>
      </w:r>
      <w:r>
        <w:rPr>
          <w:spacing w:val="-3"/>
        </w:rPr>
        <w:t> </w:t>
      </w:r>
      <w:r>
        <w:rPr/>
        <w:t>large,</w:t>
      </w:r>
      <w:r>
        <w:rPr>
          <w:spacing w:val="-3"/>
        </w:rPr>
        <w:t> </w:t>
      </w:r>
      <w:r>
        <w:rPr/>
        <w:t>this</w:t>
      </w:r>
      <w:r>
        <w:rPr>
          <w:spacing w:val="-3"/>
        </w:rPr>
        <w:t> </w:t>
      </w:r>
      <w:r>
        <w:rPr/>
        <w:t>reflects</w:t>
      </w:r>
      <w:r>
        <w:rPr>
          <w:spacing w:val="-3"/>
        </w:rPr>
        <w:t> </w:t>
      </w:r>
      <w:r>
        <w:rPr/>
        <w:t>increasing</w:t>
      </w:r>
      <w:r>
        <w:rPr>
          <w:spacing w:val="-6"/>
        </w:rPr>
        <w:t> </w:t>
      </w:r>
      <w:r>
        <w:rPr/>
        <w:t>debt</w:t>
      </w:r>
      <w:r>
        <w:rPr>
          <w:spacing w:val="-3"/>
        </w:rPr>
        <w:t> </w:t>
      </w:r>
      <w:r>
        <w:rPr/>
        <w:t>levels</w:t>
      </w:r>
      <w:r>
        <w:rPr>
          <w:spacing w:val="-4"/>
        </w:rPr>
        <w:t> </w:t>
      </w:r>
      <w:r>
        <w:rPr/>
        <w:t>per</w:t>
      </w:r>
      <w:r>
        <w:rPr>
          <w:spacing w:val="-4"/>
        </w:rPr>
        <w:t> </w:t>
      </w:r>
      <w:r>
        <w:rPr/>
        <w:t>unsecured</w:t>
      </w:r>
      <w:r>
        <w:rPr>
          <w:spacing w:val="-4"/>
        </w:rPr>
        <w:t> </w:t>
      </w:r>
      <w:r>
        <w:rPr/>
        <w:t>debtor,</w:t>
      </w:r>
      <w:r>
        <w:rPr>
          <w:spacing w:val="-3"/>
        </w:rPr>
        <w:t> </w:t>
      </w:r>
      <w:r>
        <w:rPr/>
        <w:t>not</w:t>
      </w:r>
      <w:r>
        <w:rPr>
          <w:spacing w:val="-4"/>
        </w:rPr>
        <w:t> </w:t>
      </w:r>
      <w:r>
        <w:rPr/>
        <w:t>rising</w:t>
      </w:r>
      <w:r>
        <w:rPr>
          <w:spacing w:val="-6"/>
        </w:rPr>
        <w:t> </w:t>
      </w:r>
      <w:r>
        <w:rPr/>
        <w:t>numbers of unsecured debtors</w:t>
      </w:r>
      <w:r>
        <w:rPr>
          <w:vertAlign w:val="superscript"/>
        </w:rPr>
        <w:t>5</w:t>
      </w:r>
      <w:r>
        <w:rPr>
          <w:vertAlign w:val="baseline"/>
        </w:rPr>
        <w:t>. Part of this rise may be due to the increasing ease with which unsecured credit may be obtained, but a key factor is likely to have been the dramatic trend fall in unsecured borrowing rates in recent years (see Figure 4). Given the stability of inflation during this period, this represents a significant fall in real</w:t>
      </w:r>
      <w:r>
        <w:rPr>
          <w:spacing w:val="-33"/>
          <w:vertAlign w:val="baseline"/>
        </w:rPr>
        <w:t> </w:t>
      </w:r>
      <w:r>
        <w:rPr>
          <w:vertAlign w:val="baseline"/>
        </w:rPr>
        <w:t>rates.</w:t>
      </w:r>
    </w:p>
    <w:p>
      <w:pPr>
        <w:pStyle w:val="BodyText"/>
        <w:spacing w:line="360" w:lineRule="auto" w:before="1"/>
        <w:ind w:left="965" w:right="1074"/>
        <w:jc w:val="both"/>
      </w:pPr>
      <w:r>
        <w:rPr/>
        <w:t>Much of this decline is unrelated to monetary policy changes, with unsecured rates falling by far more than the repo rate in the last few years. This may have been the consequence of increasing competition in the unsecured lending market.</w:t>
      </w:r>
    </w:p>
    <w:p>
      <w:pPr>
        <w:pStyle w:val="BodyText"/>
        <w:rPr>
          <w:sz w:val="36"/>
        </w:rPr>
      </w:pPr>
    </w:p>
    <w:p>
      <w:pPr>
        <w:pStyle w:val="BodyText"/>
        <w:spacing w:line="360" w:lineRule="auto"/>
        <w:ind w:left="965" w:right="822"/>
      </w:pPr>
      <w:r>
        <w:rPr>
          <w:b/>
          <w:u w:val="thick"/>
        </w:rPr>
        <w:t>Secured debt.</w:t>
      </w:r>
      <w:r>
        <w:rPr>
          <w:b/>
        </w:rPr>
        <w:t> </w:t>
      </w:r>
      <w:r>
        <w:rPr/>
        <w:t>As we can see in Figure 5, the household secured debt to disposable income ratio was flat in the 1970s, then rose rapidly throughout the 1980s and started rising again in the later 1990s. So what are the driving forces behind this long-term increase. Probably the most important factor has been the trend increase in the number of owner-occupied dwellings per person of working age (see Figure 6). This is partly due to the rise in the total number of occupied dwellings, reflecting smaller households, and partly to the increasing owner occupation rate, broadly offsetting the decline in the local authority renting sector due to council house sales. So from 1970, the number of owner occupied dwellings per person of working age has increased by around 75 per cent. Each new owner occupied dwelling is a potential new mortgage, so, over the longer term, we would expect the secured debt to income ratio to rise in the same proportion. This is because of the way the secured debt to income ratio is measured. The numerator refers to the sum of the secured debts of all the households with secured debt and the denominator is the sum of the disposable incomes of </w:t>
      </w:r>
      <w:r>
        <w:rPr>
          <w:u w:val="single"/>
        </w:rPr>
        <w:t>all</w:t>
      </w:r>
      <w:r>
        <w:rPr/>
        <w:t> households, not just those with secured</w:t>
      </w:r>
      <w:r>
        <w:rPr>
          <w:spacing w:val="-7"/>
        </w:rPr>
        <w:t> </w:t>
      </w:r>
      <w:r>
        <w:rPr/>
        <w:t>debt.</w:t>
      </w:r>
    </w:p>
    <w:p>
      <w:pPr>
        <w:spacing w:after="0" w:line="360" w:lineRule="auto"/>
        <w:sectPr>
          <w:pgSz w:w="12240" w:h="15840"/>
          <w:pgMar w:header="209" w:footer="0" w:top="840" w:bottom="280" w:left="1000" w:right="1220"/>
        </w:sectPr>
      </w:pPr>
    </w:p>
    <w:p>
      <w:pPr>
        <w:pStyle w:val="BodyText"/>
        <w:spacing w:line="360" w:lineRule="auto" w:before="82"/>
        <w:ind w:left="965" w:right="770"/>
      </w:pPr>
      <w:r>
        <w:rPr/>
        <w:t>Interestingly, despite the fact that the number of owner occupied dwellings was rising steadily from 1970, the debt to income ratio did not start rising until 1980. This was because the very high rates of inflation in the 1970s were eroding real debt very rapidly. Thus the debt to income ratios of individual mortgage holders were declining fast enough to offset the increase in their numbers, so the aggregate debt to income ratio remained flat. When overall inflation rates declined in the 1980s, the increase in the number of mortgage holders began to dominate, so the aggregate secured debt to income ratio started to rise. And, apart from a break in the early 1990s, it has been doing so ever since. Furthermore, given that the demographic trends in Figure 6 may be expected to continue, the rise in the secured debt to income ratio may also be expected to continue. Indeed, even if the number of owner-occupied dwellings per person of working age suddenly stopped increasing, because of the lags built into the process we would expect the secured debt to income ratio to continue to rise to new record levels for some years to come (see Hamilton, 2003 for a full analysis of all these issues).</w:t>
      </w:r>
    </w:p>
    <w:p>
      <w:pPr>
        <w:pStyle w:val="BodyText"/>
        <w:spacing w:before="1"/>
        <w:rPr>
          <w:sz w:val="36"/>
        </w:rPr>
      </w:pPr>
    </w:p>
    <w:p>
      <w:pPr>
        <w:pStyle w:val="BodyText"/>
        <w:spacing w:line="360" w:lineRule="auto"/>
        <w:ind w:left="965" w:right="804"/>
      </w:pPr>
      <w:r>
        <w:rPr/>
        <w:t>While these demographic factors are the key to understanding long-term trends in the secured debt to income ratio, they are not the only ones. In a world of low inflation, nominal interest rates are low. This means that mortgage interest and repayments are no longer heavily “front end loaded” and so even with unchanged real interest rates, lenders and borrowers are happy with higher initial debt to income ratios when starting new mortgages</w:t>
      </w:r>
      <w:r>
        <w:rPr>
          <w:vertAlign w:val="superscript"/>
        </w:rPr>
        <w:t>6</w:t>
      </w:r>
      <w:r>
        <w:rPr>
          <w:vertAlign w:val="baseline"/>
        </w:rPr>
        <w:t>. So since the 1970s, we have seen a significant rise in the income multiples allowed by mortgage lenders and a consequent rise in the average loan to income ratios of first-time buyers. This has been reinforced by the rise over the same period in the proportion of two-earner households.  A second factor, which is important in determining short-run fluctuations in the secured debt to income ratio, is mortgage equity withdrawal. This always tends to rise when there is a surge in house prices such as we have recently experienced, because, for some households, such a surge opens up the option of further borrowing at the secured real interest rate which still tends to be 6 percentage points or more below the unsecured rate. This response to a lower effective real rate is entirely consistent with prudent behaviour and does not, of itself, reflect irresponsibility on the part of either borrowers or lenders. So having set out the forces underlying increases in household debt, we must now look at the dangers inherent in the current</w:t>
      </w:r>
      <w:r>
        <w:rPr>
          <w:spacing w:val="-15"/>
          <w:vertAlign w:val="baseline"/>
        </w:rPr>
        <w:t> </w:t>
      </w:r>
      <w:r>
        <w:rPr>
          <w:vertAlign w:val="baseline"/>
        </w:rPr>
        <w:t>situation.</w:t>
      </w:r>
    </w:p>
    <w:p>
      <w:pPr>
        <w:spacing w:after="0" w:line="360" w:lineRule="auto"/>
        <w:sectPr>
          <w:pgSz w:w="12240" w:h="15840"/>
          <w:pgMar w:header="209" w:footer="0" w:top="840" w:bottom="280" w:left="1000" w:right="1220"/>
        </w:sectPr>
      </w:pPr>
    </w:p>
    <w:p>
      <w:pPr>
        <w:pStyle w:val="BodyText"/>
        <w:rPr>
          <w:sz w:val="20"/>
        </w:rPr>
      </w:pPr>
    </w:p>
    <w:p>
      <w:pPr>
        <w:pStyle w:val="BodyText"/>
        <w:spacing w:before="10"/>
        <w:rPr>
          <w:sz w:val="15"/>
        </w:rPr>
      </w:pPr>
    </w:p>
    <w:p>
      <w:pPr>
        <w:pStyle w:val="Heading1"/>
        <w:spacing w:before="90"/>
        <w:rPr>
          <w:u w:val="none"/>
        </w:rPr>
      </w:pPr>
      <w:r>
        <w:rPr>
          <w:u w:val="thick"/>
        </w:rPr>
        <w:t>Consumer Borrowing, Debt and Consumption</w:t>
      </w:r>
    </w:p>
    <w:p>
      <w:pPr>
        <w:pStyle w:val="BodyText"/>
        <w:spacing w:line="360" w:lineRule="auto" w:before="132"/>
        <w:ind w:left="965" w:right="753"/>
      </w:pPr>
      <w:r>
        <w:rPr/>
        <w:t>The general impression given by much of the discussion on household borrowing is that rapidly rising debt to income ratios are inextricably linked to high rates of household consumption growth. This is obviously wrong because households may simply spend their borrowings on assets, not on consumption.  Indeed, even when they appear (in the data) to be spending their borrowings on consumption, they may in fact be spending them on assets if, for example, their “consumption” consists of buying new kitchen units. In the light of this, it is also obvious that we could observe high levels of borrowing even when consumption growth is very depressed. So let us look at what has been happening in recent years. Since 1997 Q4, real household consumption growth has averaged 4.1% per annum whereas the real growth of GDP has been 2.6% per annum. So consumption has been growing much faster than GDP over this period. This suggests that the build-up of household debt over the same period has been spent on consumption. Yet amazingly enough, the proportion of nominal GDP spent on household consumption was 62.7% in 1996 Q4 and 63.2% in 2003 Q1, almost exactly the same! This despite the fact that consumption has been growing much faster than GDP throughout the period. So how can this</w:t>
      </w:r>
      <w:r>
        <w:rPr>
          <w:spacing w:val="-18"/>
        </w:rPr>
        <w:t> </w:t>
      </w:r>
      <w:r>
        <w:rPr/>
        <w:t>be?</w:t>
      </w:r>
    </w:p>
    <w:p>
      <w:pPr>
        <w:pStyle w:val="BodyText"/>
        <w:spacing w:before="2"/>
        <w:rPr>
          <w:sz w:val="36"/>
        </w:rPr>
      </w:pPr>
    </w:p>
    <w:p>
      <w:pPr>
        <w:pStyle w:val="BodyText"/>
        <w:spacing w:line="360" w:lineRule="auto"/>
        <w:ind w:left="965" w:right="843"/>
      </w:pPr>
      <w:r>
        <w:rPr/>
        <w:t>The trick is in the prices. The price of consumption goods and services has been rising more slowly than the price of GDP over this period. Now GDP can be thought of as the net output of goods and services produced by the UK economy whereas consumption is what UK households consume. Some of the output produced by the UK economy is exported and some of the output consumed by UK households is imported. And it so happens that throughout this period goods imported by the UK have become increasingly cheaper relative to goods exported. This continuing improvement in the terms of trade since the mid-1990s (see Figure 7) has therefore been of continuing benefit to UK households and explains why the price of consumption goods has grown more slowly than the price of GDP. This, in its turn, explains how real consumption growth can be much higher than real GDP growth for many years with barely any change in the proportion of nominal GDP being spent on household consumption.</w:t>
      </w:r>
    </w:p>
    <w:p>
      <w:pPr>
        <w:spacing w:after="0" w:line="360" w:lineRule="auto"/>
        <w:sectPr>
          <w:pgSz w:w="12240" w:h="15840"/>
          <w:pgMar w:header="209" w:footer="0" w:top="840" w:bottom="280" w:left="1000" w:right="1220"/>
        </w:sectPr>
      </w:pPr>
    </w:p>
    <w:p>
      <w:pPr>
        <w:pStyle w:val="BodyText"/>
        <w:spacing w:line="360" w:lineRule="auto" w:before="82"/>
        <w:ind w:left="965" w:right="750"/>
      </w:pPr>
      <w:r>
        <w:rPr/>
        <w:t>So where does the rise in household debt come into this story? In Figure 8, we see that, by and large, the increased borrowing corresponds closely to the acquisition of financial assets</w:t>
      </w:r>
      <w:r>
        <w:rPr>
          <w:vertAlign w:val="superscript"/>
        </w:rPr>
        <w:t>7</w:t>
      </w:r>
      <w:r>
        <w:rPr>
          <w:vertAlign w:val="baseline"/>
        </w:rPr>
        <w:t>. In Table 1, we see precisely what these assets are. Basically they include cash and deposits as well as savings vehicles of various kinds (mainly pension funds and life insurance). Equity flows have generally been negative. So over recent years, the rapid increase in loans has been almost exactly balanced by a rapid increase in the purchase of financial assets, a fact which is rarely mentioned when household debt is discussed</w:t>
      </w:r>
      <w:r>
        <w:rPr>
          <w:vertAlign w:val="superscript"/>
        </w:rPr>
        <w:t>8</w:t>
      </w:r>
      <w:r>
        <w:rPr>
          <w:vertAlign w:val="baseline"/>
        </w:rPr>
        <w:t>. Of course, the people purchasing the assets may not be the same people as those accumulating the liabilities. So will it all end in tears?</w:t>
      </w:r>
    </w:p>
    <w:p>
      <w:pPr>
        <w:pStyle w:val="BodyText"/>
        <w:spacing w:before="5"/>
        <w:rPr>
          <w:sz w:val="36"/>
        </w:rPr>
      </w:pPr>
    </w:p>
    <w:p>
      <w:pPr>
        <w:pStyle w:val="Heading1"/>
        <w:spacing w:before="1"/>
        <w:rPr>
          <w:u w:val="none"/>
        </w:rPr>
      </w:pPr>
      <w:r>
        <w:rPr>
          <w:u w:val="thick"/>
        </w:rPr>
        <w:t>Is Household Debt Too High?</w:t>
      </w:r>
    </w:p>
    <w:p>
      <w:pPr>
        <w:pStyle w:val="BodyText"/>
        <w:spacing w:line="360" w:lineRule="auto" w:before="134"/>
        <w:ind w:left="965" w:right="850"/>
      </w:pPr>
      <w:r>
        <w:rPr/>
        <w:t>To answer this question, the best place to start is the overall household balance sheet position. This is summarised in Figure 9. What we observe is that the ratio of total household debt to total household assets (financial assets plus housing wealth) is just below 17 per cent and is very close to its average value over the last fifteen years. So while this ratio has risen over the last few years, mainly because of the fall in the stock market since 2000, it is hardly at dangerous levels. Similarly, looking at the ratio of unsecured debt to financial wealth, we see that while the number is higher than the fifteen-year average, it is not very high by historical standards.</w:t>
      </w:r>
    </w:p>
    <w:p>
      <w:pPr>
        <w:pStyle w:val="BodyText"/>
        <w:spacing w:before="10"/>
        <w:rPr>
          <w:sz w:val="35"/>
        </w:rPr>
      </w:pPr>
    </w:p>
    <w:p>
      <w:pPr>
        <w:pStyle w:val="BodyText"/>
        <w:spacing w:line="360" w:lineRule="auto" w:before="1"/>
        <w:ind w:left="965" w:right="737"/>
      </w:pPr>
      <w:r>
        <w:rPr/>
        <w:t>So while there appears to be nothing very dangerous in these overall numbers, have the high rates of mortgage equity withdrawal produced excessive secured debt levels relative to housing wealth? In fact, as Figure 10 makes clear, mortgage equity withdrawal has not kept up with rising house prices, so that undrawn housing equity is now in excess of three quarters of total housing wealth. And finally, the cost of servicing all this household debt, even if we include regular repayments of mortgage principal, is currently at an historically low level relative to household income (see Figure 11). Of course, this is due to very low interest rates. But these would have to rise to around 10 per cent to push household income gearing up to its average level in the early 1990s.</w:t>
      </w:r>
    </w:p>
    <w:p>
      <w:pPr>
        <w:pStyle w:val="BodyText"/>
        <w:spacing w:before="1"/>
        <w:rPr>
          <w:sz w:val="36"/>
        </w:rPr>
      </w:pPr>
    </w:p>
    <w:p>
      <w:pPr>
        <w:pStyle w:val="BodyText"/>
        <w:spacing w:line="360" w:lineRule="auto"/>
        <w:ind w:left="965" w:right="744"/>
      </w:pPr>
      <w:r>
        <w:rPr/>
        <w:t>So the overall average picture remains benign despite the rapid accumulation of debt. And it will remain benign even if further debt is accumulated, as we expect it to be for the reasons already discussed. But the aggregate picture may be misleading. Maybe</w:t>
      </w:r>
    </w:p>
    <w:p>
      <w:pPr>
        <w:spacing w:after="0" w:line="360" w:lineRule="auto"/>
        <w:sectPr>
          <w:pgSz w:w="12240" w:h="15840"/>
          <w:pgMar w:header="209" w:footer="0" w:top="840" w:bottom="280" w:left="1000" w:right="1220"/>
        </w:sectPr>
      </w:pPr>
    </w:p>
    <w:p>
      <w:pPr>
        <w:pStyle w:val="BodyText"/>
        <w:spacing w:line="360" w:lineRule="auto" w:before="82"/>
        <w:ind w:left="965" w:right="744"/>
      </w:pPr>
      <w:r>
        <w:rPr/>
        <w:t>those with high debts are not the same households as those with high assets. In fact, broadly speaking, this is not true. Almost inevitably, those with high debts tend to have big mortgages and those with big mortgages tend to have expensive properties. But this does not mean that debt does not cause serious problems to many households. There are many low-income households in severe difficulty with unsecured debt. The evidence on whether there has been an increase in these difficulties is mixed (see Cox et al. 2002 and the Financial Stability Review, 2003, Section 2.3). But whether or not the situation is getting worse, unsecured debt problems there are, and these are bad for the individuals concerned and form an important issue for social policy.</w:t>
      </w:r>
    </w:p>
    <w:p>
      <w:pPr>
        <w:pStyle w:val="BodyText"/>
        <w:spacing w:line="360" w:lineRule="auto" w:before="2"/>
        <w:ind w:left="965" w:right="1017"/>
      </w:pPr>
      <w:r>
        <w:rPr/>
        <w:t>Nevertheless, because the volume of unsecured debt is relatively small, this is unlikely to be a particularly significant macroeconomic issue, so this leaves us with the question of secured debt.</w:t>
      </w:r>
    </w:p>
    <w:p>
      <w:pPr>
        <w:pStyle w:val="BodyText"/>
        <w:spacing w:before="5"/>
        <w:rPr>
          <w:sz w:val="36"/>
        </w:rPr>
      </w:pPr>
    </w:p>
    <w:p>
      <w:pPr>
        <w:pStyle w:val="Heading1"/>
        <w:rPr>
          <w:u w:val="none"/>
        </w:rPr>
      </w:pPr>
      <w:r>
        <w:rPr>
          <w:u w:val="thick"/>
        </w:rPr>
        <w:t>More on the secured debt picture</w:t>
      </w:r>
    </w:p>
    <w:p>
      <w:pPr>
        <w:pStyle w:val="BodyText"/>
        <w:spacing w:line="360" w:lineRule="auto" w:before="132"/>
        <w:ind w:left="965" w:right="767"/>
      </w:pPr>
      <w:r>
        <w:rPr/>
        <w:t>Any case being made for the dangers of household debt usually starts from the rising debt to income ratio. And it is clear from Figure 5 that the secured debt to income ratio is higher than it has ever been and, as we have seen, it is expected to go still higher. But, as a measure of danger, or sustainability, the debt to income ratio is almost worthless since the debt refers to the sum of the debts of debtors and the income refers to the income of everybody. What we need in this context is the total debt of secured debt holders (or mortgage holders) normalised on the total income of secured debt holders. Unfortunately, it is hard to get up-to-date numbers but as we can see from Table 2, there has been no upward trend in this ratio from the mid-1990s to 2001. This was a period when the aggregate secured debt to income ratio rose by around 8 percentage points. This, of course, simply reflects the fact that much of the overall increase in debt arises from the increasing number of people with mortgages because more and more people own their own home. </w:t>
      </w:r>
      <w:r>
        <w:rPr>
          <w:spacing w:val="-3"/>
        </w:rPr>
        <w:t>It </w:t>
      </w:r>
      <w:r>
        <w:rPr/>
        <w:t>is also consistent with the fact that in 2001 only 5 per cent of mortgage holders reported any form of distress, well down on the levels in the early 1990s. Of course, since 2001, it is possible that mortgage holders have seen a significant increase in debt relative to their income and that an increased proportion of them have been imprudent. We don’t know. But such evidence as we have, for example, historically low levels of arrears, suggests that there is no sign that mortgage holders, who hold the vast bulk of household debt, are facing increasing problems – indeed, lenders typically argue the reverse.</w:t>
      </w:r>
      <w:r>
        <w:rPr>
          <w:spacing w:val="29"/>
        </w:rPr>
        <w:t> </w:t>
      </w:r>
      <w:r>
        <w:rPr/>
        <w:t>More</w:t>
      </w:r>
    </w:p>
    <w:p>
      <w:pPr>
        <w:spacing w:after="0" w:line="360" w:lineRule="auto"/>
        <w:sectPr>
          <w:pgSz w:w="12240" w:h="15840"/>
          <w:pgMar w:header="209" w:footer="0" w:top="840" w:bottom="280" w:left="1000" w:right="1220"/>
        </w:sectPr>
      </w:pPr>
    </w:p>
    <w:p>
      <w:pPr>
        <w:pStyle w:val="BodyText"/>
        <w:spacing w:line="360" w:lineRule="auto" w:before="82"/>
        <w:ind w:left="965" w:right="931"/>
      </w:pPr>
      <w:r>
        <w:rPr/>
        <w:t>sophisticated credit scoring has generated a reduction in problems. One thing we do know, however, is that the mere existence of more mortgage debt in total does not necessarily mean any increase in danger to the macroeconomy. And given the historically low levels of mortgage arrears, evidence of such an increase in danger is hard to find.</w:t>
      </w:r>
    </w:p>
    <w:p>
      <w:pPr>
        <w:pStyle w:val="BodyText"/>
        <w:spacing w:before="5"/>
        <w:rPr>
          <w:sz w:val="36"/>
        </w:rPr>
      </w:pPr>
    </w:p>
    <w:p>
      <w:pPr>
        <w:pStyle w:val="Heading1"/>
        <w:rPr>
          <w:u w:val="none"/>
        </w:rPr>
      </w:pPr>
      <w:r>
        <w:rPr>
          <w:u w:val="thick"/>
        </w:rPr>
        <w:t>Will High Levels of Debt Cause Problems in the Future?</w:t>
      </w:r>
    </w:p>
    <w:p>
      <w:pPr>
        <w:pStyle w:val="BodyText"/>
        <w:spacing w:line="360" w:lineRule="auto" w:before="135"/>
        <w:ind w:left="965" w:right="810"/>
      </w:pPr>
      <w:r>
        <w:rPr/>
        <w:t>As we have seen, total household debt is at a record level and is highly likely to reach even higher levels over the coming years. Despite this, household balance sheets are not seriously stretched. Nevertheless, could these record levels of debt cause serious macroeconomic problems in the future?</w:t>
      </w:r>
    </w:p>
    <w:p>
      <w:pPr>
        <w:pStyle w:val="BodyText"/>
        <w:spacing w:before="10"/>
        <w:rPr>
          <w:sz w:val="35"/>
        </w:rPr>
      </w:pPr>
    </w:p>
    <w:p>
      <w:pPr>
        <w:pStyle w:val="BodyText"/>
        <w:spacing w:line="360" w:lineRule="auto"/>
        <w:ind w:left="965" w:right="737"/>
      </w:pPr>
      <w:r>
        <w:rPr/>
        <w:t>There are three distinct arguments here. The first is based on the possibility that households have underestimated the true real interest rate which they face. So it is sometimes argued that debtors will collectively “wake-up” to the fact that their debts have not been eroded, and will then take fright and cut their consumption dramatically causing severe macroeconomic problems. In the light of our previous discussion, why households, particularly mortgage holders who have the bulk of the debt, should do this is not at all clear. It is true that in the era of high inflation, which ended in 1992, debts were rapidly eroded. But the mortgage holders with the highest debts relative to income, namely the young, have no adult experience of the high inflation era.</w:t>
      </w:r>
    </w:p>
    <w:p>
      <w:pPr>
        <w:pStyle w:val="BodyText"/>
        <w:spacing w:line="360" w:lineRule="auto" w:before="2"/>
        <w:ind w:left="965" w:right="764"/>
      </w:pPr>
      <w:r>
        <w:rPr/>
        <w:t>Furthermore, they are the group with the fastest real earnings growth. So while they might behave in the irrational fashion described above, there seems no obvious reason why they should.</w:t>
      </w:r>
    </w:p>
    <w:p>
      <w:pPr>
        <w:pStyle w:val="BodyText"/>
        <w:rPr>
          <w:sz w:val="36"/>
        </w:rPr>
      </w:pPr>
    </w:p>
    <w:p>
      <w:pPr>
        <w:pStyle w:val="BodyText"/>
        <w:spacing w:line="360" w:lineRule="auto"/>
        <w:ind w:left="965" w:right="817"/>
      </w:pPr>
      <w:r>
        <w:rPr/>
        <w:t>The second argument concerns the behaviour of the economy in response to shocks if households have high, as opposed to low, levels of debt. Suppose there is a future adverse shock to the UK economy – for example, the major European economies do not recover. This will lead to a rise in UK unemployment and a fall in consumption whatever the debt levels. The argument here is that higher debt levels will make things substantially worse. That is because more people will be in a position where they are unable to extend their borrowing. If they become unemployed, or are threatened with unemployment, they will significantly reduce consumption because they will be, or will have the prospect of being, unable to service their debts.</w:t>
      </w:r>
    </w:p>
    <w:p>
      <w:pPr>
        <w:spacing w:after="0" w:line="360" w:lineRule="auto"/>
        <w:sectPr>
          <w:pgSz w:w="12240" w:h="15840"/>
          <w:pgMar w:header="209" w:footer="0" w:top="840" w:bottom="280" w:left="1000" w:right="1220"/>
        </w:sectPr>
      </w:pPr>
    </w:p>
    <w:p>
      <w:pPr>
        <w:pStyle w:val="BodyText"/>
        <w:rPr>
          <w:sz w:val="20"/>
        </w:rPr>
      </w:pPr>
    </w:p>
    <w:p>
      <w:pPr>
        <w:pStyle w:val="BodyText"/>
        <w:spacing w:before="3"/>
        <w:rPr>
          <w:sz w:val="23"/>
        </w:rPr>
      </w:pPr>
    </w:p>
    <w:p>
      <w:pPr>
        <w:pStyle w:val="BodyText"/>
        <w:spacing w:line="360" w:lineRule="auto"/>
        <w:ind w:left="965" w:right="796"/>
      </w:pPr>
      <w:r>
        <w:rPr/>
        <w:t>The first question is, will higher debt levels put substantially more people in this position? In aggregate, there appears to be “plenty of room”. As we have seen, secured debt is only around one quarter of gross housing wealth, a substantially lower level than throughout the 1990s (see Figure 10). But the aggregate hides a wide variation across the population and it is the numbers on the margin which count.</w:t>
      </w:r>
    </w:p>
    <w:p>
      <w:pPr>
        <w:pStyle w:val="BodyText"/>
        <w:spacing w:line="360" w:lineRule="auto"/>
        <w:ind w:left="965" w:right="950"/>
      </w:pPr>
      <w:r>
        <w:rPr/>
        <w:t>Comfort may perhaps be taken from the fact that data from the Survey of Mortgage Lenders indicate that loan to value ratios on new mortgages are modest by historical standards and are falling (see Financial Stability Review, June 2003, Chart 119).</w:t>
      </w:r>
    </w:p>
    <w:p>
      <w:pPr>
        <w:pStyle w:val="BodyText"/>
        <w:spacing w:line="360" w:lineRule="auto"/>
        <w:ind w:left="965" w:right="1170"/>
      </w:pPr>
      <w:r>
        <w:rPr/>
        <w:t>Furthermore, there has been a significant demographic shift towards two earner households over the last two decades and these households have a greater cushion against unemployment.</w:t>
      </w:r>
    </w:p>
    <w:p>
      <w:pPr>
        <w:pStyle w:val="BodyText"/>
        <w:rPr>
          <w:sz w:val="36"/>
        </w:rPr>
      </w:pPr>
    </w:p>
    <w:p>
      <w:pPr>
        <w:pStyle w:val="BodyText"/>
        <w:spacing w:line="360" w:lineRule="auto" w:before="1"/>
        <w:ind w:left="965" w:right="964"/>
      </w:pPr>
      <w:r>
        <w:rPr/>
        <w:t>Another point worth noting is that because one of the key issues in this argument is the cost of debt service, this will be moderated by the easing of monetary policy following the adverse shock. Back in the early 1990s, of course, this option was unavailable because of the ERM constraint. However, the excessive debt may still induce greater precautionary saving and a larger drop in consumption. Overall, it is hard to tell whether higher debt levels will generate a significant additional cut back in consumption which cannot be modified by easier monetary policy.</w:t>
      </w:r>
    </w:p>
    <w:p>
      <w:pPr>
        <w:pStyle w:val="BodyText"/>
        <w:rPr>
          <w:sz w:val="36"/>
        </w:rPr>
      </w:pPr>
    </w:p>
    <w:p>
      <w:pPr>
        <w:pStyle w:val="BodyText"/>
        <w:spacing w:line="360" w:lineRule="auto"/>
        <w:ind w:left="965" w:right="822"/>
      </w:pPr>
      <w:r>
        <w:rPr/>
        <w:t>The third argument is very simple. More people with mortgages means more trouble if there is a really serious collapse in the housing market. If house prices fall by 30 or 40 per cent, more people with mortgages means more people in negative equity. Of course, the consequences of this depend to some extent on the behaviour of</w:t>
      </w:r>
      <w:r>
        <w:rPr>
          <w:spacing w:val="-38"/>
        </w:rPr>
        <w:t> </w:t>
      </w:r>
      <w:r>
        <w:rPr/>
        <w:t>lenders.</w:t>
      </w:r>
    </w:p>
    <w:p>
      <w:pPr>
        <w:pStyle w:val="BodyText"/>
        <w:spacing w:line="360" w:lineRule="auto"/>
        <w:ind w:left="965" w:right="820"/>
      </w:pPr>
      <w:r>
        <w:rPr/>
        <w:t>If the mortgage debt continues to be treated as secured, even though some is not, then debt service costs remain unchanged. So a lot will then depend on the collateral damage associated with the collapse in the housing market and what caused it in the first place. For example, the house price correction in the late 1980s and early 1990s was basically a consequence of the 15 per cent interest rates required to control inflation. The tight monetary policy also generated a big rise in unemployment and all this together had a big macroeconomic impact. This particular scenario seems unlikely today. But what causes the collapse in house prices is not the main question. The issue is, if some disaster happens in the housing market, does the fact that</w:t>
      </w:r>
      <w:r>
        <w:rPr>
          <w:spacing w:val="-40"/>
        </w:rPr>
        <w:t> </w:t>
      </w:r>
      <w:r>
        <w:rPr/>
        <w:t>more</w:t>
      </w:r>
    </w:p>
    <w:p>
      <w:pPr>
        <w:spacing w:after="0" w:line="360" w:lineRule="auto"/>
        <w:sectPr>
          <w:pgSz w:w="12240" w:h="15840"/>
          <w:pgMar w:header="209" w:footer="0" w:top="840" w:bottom="280" w:left="1000" w:right="1220"/>
        </w:sectPr>
      </w:pPr>
    </w:p>
    <w:p>
      <w:pPr>
        <w:pStyle w:val="BodyText"/>
        <w:spacing w:line="360" w:lineRule="auto" w:before="82"/>
        <w:ind w:left="965" w:right="737"/>
      </w:pPr>
      <w:r>
        <w:rPr/>
        <w:t>people have mortgages make the consequences very much worse? So much worse, indeed, that monetary policy should be used </w:t>
      </w:r>
      <w:r>
        <w:rPr>
          <w:u w:val="single"/>
        </w:rPr>
        <w:t>today</w:t>
      </w:r>
      <w:r>
        <w:rPr/>
        <w:t> to discourage individuals from taking out mortgages. In my view, this should not be a target of monetary policy.</w:t>
      </w:r>
    </w:p>
    <w:p>
      <w:pPr>
        <w:pStyle w:val="BodyText"/>
        <w:rPr>
          <w:sz w:val="36"/>
        </w:rPr>
      </w:pPr>
    </w:p>
    <w:p>
      <w:pPr>
        <w:pStyle w:val="BodyText"/>
        <w:spacing w:line="360" w:lineRule="auto" w:before="1"/>
        <w:ind w:left="965" w:right="737"/>
      </w:pPr>
      <w:r>
        <w:rPr/>
        <w:t>This leads to the final question, namely, should we keep interest rates higher than would be required to hit the inflation target in the medium term in order not to encourage further debt accumulation, because this will add to the risk of sharper falls in consumption generating an even bigger undershoot of the inflation target further out? In the light of all the previous discussion, my judgment, at present, would be no.</w:t>
      </w:r>
    </w:p>
    <w:p>
      <w:pPr>
        <w:pStyle w:val="BodyText"/>
        <w:spacing w:before="4"/>
        <w:rPr>
          <w:sz w:val="36"/>
        </w:rPr>
      </w:pPr>
    </w:p>
    <w:p>
      <w:pPr>
        <w:pStyle w:val="Heading1"/>
        <w:spacing w:before="1"/>
        <w:ind w:left="3586"/>
        <w:rPr>
          <w:u w:val="none"/>
        </w:rPr>
      </w:pPr>
      <w:r>
        <w:rPr>
          <w:u w:val="thick"/>
        </w:rPr>
        <w:t>4. Summary and Conclusions</w:t>
      </w:r>
    </w:p>
    <w:p>
      <w:pPr>
        <w:pStyle w:val="BodyText"/>
        <w:spacing w:line="360" w:lineRule="auto" w:before="134"/>
        <w:ind w:left="965" w:right="895"/>
      </w:pPr>
      <w:r>
        <w:rPr/>
        <w:t>We have looked at two issues, first the impending switch to targeting the HICP inflation rate and second the implications of the steady rise in household debt. The following is a summary of the discussion, starting with the switch to HICP targeting.</w:t>
      </w:r>
    </w:p>
    <w:p>
      <w:pPr>
        <w:pStyle w:val="BodyText"/>
        <w:spacing w:before="7"/>
        <w:rPr>
          <w:sz w:val="35"/>
        </w:rPr>
      </w:pPr>
    </w:p>
    <w:p>
      <w:pPr>
        <w:pStyle w:val="ListParagraph"/>
        <w:numPr>
          <w:ilvl w:val="0"/>
          <w:numId w:val="3"/>
        </w:numPr>
        <w:tabs>
          <w:tab w:pos="1326" w:val="left" w:leader="none"/>
        </w:tabs>
        <w:spacing w:line="240" w:lineRule="auto" w:before="0" w:after="0"/>
        <w:ind w:left="1325" w:right="773" w:hanging="360"/>
        <w:jc w:val="left"/>
        <w:rPr>
          <w:sz w:val="24"/>
        </w:rPr>
      </w:pPr>
      <w:r>
        <w:rPr>
          <w:sz w:val="24"/>
        </w:rPr>
        <w:t>In the longer run, thanks to differences in computational methods and the absence of the housing depreciation and council tax elements, the HICP inflation rate is likely, on average, to be around 0.8 pp lower than the RPI(X) inflation rate. In the short run, the gap between the two rates is highly</w:t>
      </w:r>
      <w:r>
        <w:rPr>
          <w:spacing w:val="-14"/>
          <w:sz w:val="24"/>
        </w:rPr>
        <w:t> </w:t>
      </w:r>
      <w:r>
        <w:rPr>
          <w:sz w:val="24"/>
        </w:rPr>
        <w:t>volatile.</w:t>
      </w:r>
    </w:p>
    <w:p>
      <w:pPr>
        <w:pStyle w:val="BodyText"/>
      </w:pPr>
    </w:p>
    <w:p>
      <w:pPr>
        <w:pStyle w:val="ListParagraph"/>
        <w:numPr>
          <w:ilvl w:val="0"/>
          <w:numId w:val="3"/>
        </w:numPr>
        <w:tabs>
          <w:tab w:pos="1326" w:val="left" w:leader="none"/>
        </w:tabs>
        <w:spacing w:line="240" w:lineRule="auto" w:before="0" w:after="0"/>
        <w:ind w:left="1325" w:right="828" w:hanging="360"/>
        <w:jc w:val="left"/>
        <w:rPr>
          <w:sz w:val="24"/>
        </w:rPr>
      </w:pPr>
      <w:r>
        <w:rPr>
          <w:sz w:val="24"/>
        </w:rPr>
        <w:t>The long-run stance of monetary policy should be gauged by the real interest rate. Since the switch from an RPIX target to an HICP target should have no long-run real impact on the economy, the long-run stance of monetary policy will be unaffected.</w:t>
      </w:r>
    </w:p>
    <w:p>
      <w:pPr>
        <w:pStyle w:val="BodyText"/>
      </w:pPr>
    </w:p>
    <w:p>
      <w:pPr>
        <w:pStyle w:val="ListParagraph"/>
        <w:numPr>
          <w:ilvl w:val="0"/>
          <w:numId w:val="3"/>
        </w:numPr>
        <w:tabs>
          <w:tab w:pos="1326" w:val="left" w:leader="none"/>
        </w:tabs>
        <w:spacing w:line="240" w:lineRule="auto" w:before="0" w:after="0"/>
        <w:ind w:left="1325" w:right="813" w:hanging="360"/>
        <w:jc w:val="left"/>
        <w:rPr>
          <w:sz w:val="24"/>
        </w:rPr>
      </w:pPr>
      <w:r>
        <w:rPr>
          <w:sz w:val="24"/>
        </w:rPr>
        <w:t>If the HICP target is set at 2.0%, this is equivalent, in the long run, to a switch from an RPIX target of 2.5% to an RPIX target of 2.8%, because the long-run gap is 0.8 pp. Since the long-run real interest rate is unaffected by the switch, the long-run nominal interest rate will be 0.3 pp </w:t>
      </w:r>
      <w:r>
        <w:rPr>
          <w:sz w:val="24"/>
          <w:u w:val="single"/>
        </w:rPr>
        <w:t>higher</w:t>
      </w:r>
      <w:r>
        <w:rPr>
          <w:sz w:val="24"/>
        </w:rPr>
        <w:t> after the</w:t>
      </w:r>
      <w:r>
        <w:rPr>
          <w:spacing w:val="-17"/>
          <w:sz w:val="24"/>
        </w:rPr>
        <w:t> </w:t>
      </w:r>
      <w:r>
        <w:rPr>
          <w:sz w:val="24"/>
        </w:rPr>
        <w:t>switch.</w:t>
      </w:r>
    </w:p>
    <w:p>
      <w:pPr>
        <w:pStyle w:val="BodyText"/>
        <w:spacing w:before="2"/>
        <w:rPr>
          <w:sz w:val="16"/>
        </w:rPr>
      </w:pPr>
    </w:p>
    <w:p>
      <w:pPr>
        <w:pStyle w:val="ListParagraph"/>
        <w:numPr>
          <w:ilvl w:val="0"/>
          <w:numId w:val="3"/>
        </w:numPr>
        <w:tabs>
          <w:tab w:pos="1326" w:val="left" w:leader="none"/>
        </w:tabs>
        <w:spacing w:line="240" w:lineRule="auto" w:before="90" w:after="0"/>
        <w:ind w:left="1325" w:right="820" w:hanging="360"/>
        <w:jc w:val="left"/>
        <w:rPr>
          <w:sz w:val="24"/>
        </w:rPr>
      </w:pPr>
      <w:r>
        <w:rPr>
          <w:sz w:val="24"/>
        </w:rPr>
        <w:t>If the HICP target is set at 2.0%, this is equivalent to a rise of 0.3 pp in the longer term inflation rate (ie. a switch from an RPIX target of 2.5% to an RPIX target of 2.8% or a switch from an HICP target of 1.7% to an HICP target of 2%, making use of the 0.8 pp long run gap between HICP and RPIX). This will involve slightly looser monetary policy for a limited period than would otherwise be the case. However, given the volatility in the gap between HICP and RPIX inflation and the frequent shocks to which the economy is subject, the temporary loosening would be barely noticeable in</w:t>
      </w:r>
      <w:r>
        <w:rPr>
          <w:spacing w:val="-11"/>
          <w:sz w:val="24"/>
        </w:rPr>
        <w:t> </w:t>
      </w:r>
      <w:r>
        <w:rPr>
          <w:sz w:val="24"/>
        </w:rPr>
        <w:t>practice.</w:t>
      </w:r>
    </w:p>
    <w:p>
      <w:pPr>
        <w:pStyle w:val="BodyText"/>
      </w:pPr>
    </w:p>
    <w:p>
      <w:pPr>
        <w:pStyle w:val="ListParagraph"/>
        <w:numPr>
          <w:ilvl w:val="0"/>
          <w:numId w:val="3"/>
        </w:numPr>
        <w:tabs>
          <w:tab w:pos="1326" w:val="left" w:leader="none"/>
        </w:tabs>
        <w:spacing w:line="240" w:lineRule="auto" w:before="0" w:after="0"/>
        <w:ind w:left="1325" w:right="827" w:hanging="360"/>
        <w:jc w:val="left"/>
        <w:rPr>
          <w:sz w:val="24"/>
        </w:rPr>
      </w:pPr>
      <w:r>
        <w:rPr>
          <w:sz w:val="24"/>
        </w:rPr>
        <w:t>A switch to an HICP target of 2% </w:t>
      </w:r>
      <w:r>
        <w:rPr>
          <w:sz w:val="24"/>
          <w:u w:val="single"/>
        </w:rPr>
        <w:t>today</w:t>
      </w:r>
      <w:r>
        <w:rPr>
          <w:sz w:val="24"/>
        </w:rPr>
        <w:t> would have little or no impact on the current stance of monetary policy despite the large gap between RPIX and HICP inflation at present. This is because this large gap is only temporary, having been generated</w:t>
      </w:r>
      <w:r>
        <w:rPr>
          <w:spacing w:val="-4"/>
          <w:sz w:val="24"/>
        </w:rPr>
        <w:t> </w:t>
      </w:r>
      <w:r>
        <w:rPr>
          <w:sz w:val="24"/>
        </w:rPr>
        <w:t>by</w:t>
      </w:r>
      <w:r>
        <w:rPr>
          <w:spacing w:val="-8"/>
          <w:sz w:val="24"/>
        </w:rPr>
        <w:t> </w:t>
      </w:r>
      <w:r>
        <w:rPr>
          <w:sz w:val="24"/>
        </w:rPr>
        <w:t>the</w:t>
      </w:r>
      <w:r>
        <w:rPr>
          <w:spacing w:val="-3"/>
          <w:sz w:val="24"/>
        </w:rPr>
        <w:t> </w:t>
      </w:r>
      <w:r>
        <w:rPr>
          <w:sz w:val="24"/>
        </w:rPr>
        <w:t>recent</w:t>
      </w:r>
      <w:r>
        <w:rPr>
          <w:spacing w:val="-4"/>
          <w:sz w:val="24"/>
        </w:rPr>
        <w:t> </w:t>
      </w:r>
      <w:r>
        <w:rPr>
          <w:sz w:val="24"/>
        </w:rPr>
        <w:t>surge</w:t>
      </w:r>
      <w:r>
        <w:rPr>
          <w:spacing w:val="-4"/>
          <w:sz w:val="24"/>
        </w:rPr>
        <w:t> </w:t>
      </w:r>
      <w:r>
        <w:rPr>
          <w:sz w:val="24"/>
        </w:rPr>
        <w:t>in</w:t>
      </w:r>
      <w:r>
        <w:rPr>
          <w:spacing w:val="-4"/>
          <w:sz w:val="24"/>
        </w:rPr>
        <w:t> </w:t>
      </w:r>
      <w:r>
        <w:rPr>
          <w:sz w:val="24"/>
        </w:rPr>
        <w:t>house</w:t>
      </w:r>
      <w:r>
        <w:rPr>
          <w:spacing w:val="-3"/>
          <w:sz w:val="24"/>
        </w:rPr>
        <w:t> </w:t>
      </w:r>
      <w:r>
        <w:rPr>
          <w:sz w:val="24"/>
        </w:rPr>
        <w:t>price</w:t>
      </w:r>
      <w:r>
        <w:rPr>
          <w:spacing w:val="-4"/>
          <w:sz w:val="24"/>
        </w:rPr>
        <w:t> </w:t>
      </w:r>
      <w:r>
        <w:rPr>
          <w:sz w:val="24"/>
        </w:rPr>
        <w:t>inflation</w:t>
      </w:r>
      <w:r>
        <w:rPr>
          <w:spacing w:val="-4"/>
          <w:sz w:val="24"/>
        </w:rPr>
        <w:t> </w:t>
      </w:r>
      <w:r>
        <w:rPr>
          <w:sz w:val="24"/>
        </w:rPr>
        <w:t>which</w:t>
      </w:r>
      <w:r>
        <w:rPr>
          <w:spacing w:val="-4"/>
          <w:sz w:val="24"/>
        </w:rPr>
        <w:t> </w:t>
      </w:r>
      <w:r>
        <w:rPr>
          <w:sz w:val="24"/>
        </w:rPr>
        <w:t>impacts</w:t>
      </w:r>
      <w:r>
        <w:rPr>
          <w:spacing w:val="-3"/>
          <w:sz w:val="24"/>
        </w:rPr>
        <w:t> </w:t>
      </w:r>
      <w:r>
        <w:rPr>
          <w:sz w:val="24"/>
        </w:rPr>
        <w:t>on</w:t>
      </w:r>
      <w:r>
        <w:rPr>
          <w:spacing w:val="-4"/>
          <w:sz w:val="24"/>
        </w:rPr>
        <w:t> </w:t>
      </w:r>
      <w:r>
        <w:rPr>
          <w:sz w:val="24"/>
        </w:rPr>
        <w:t>RPIX,</w:t>
      </w:r>
      <w:r>
        <w:rPr>
          <w:spacing w:val="-4"/>
          <w:sz w:val="24"/>
        </w:rPr>
        <w:t> </w:t>
      </w:r>
      <w:r>
        <w:rPr>
          <w:sz w:val="24"/>
        </w:rPr>
        <w:t>via</w:t>
      </w:r>
    </w:p>
    <w:p>
      <w:pPr>
        <w:spacing w:after="0" w:line="240" w:lineRule="auto"/>
        <w:jc w:val="left"/>
        <w:rPr>
          <w:sz w:val="24"/>
        </w:rPr>
        <w:sectPr>
          <w:pgSz w:w="12240" w:h="15840"/>
          <w:pgMar w:header="209" w:footer="0" w:top="840" w:bottom="280" w:left="1000" w:right="1220"/>
        </w:sectPr>
      </w:pPr>
    </w:p>
    <w:p>
      <w:pPr>
        <w:pStyle w:val="BodyText"/>
        <w:spacing w:before="80"/>
        <w:ind w:left="1325" w:right="850"/>
      </w:pPr>
      <w:r>
        <w:rPr/>
        <w:t>the housing depreciation element, but not on HICP. As this surge fades, the gap will close to normal levels and given the structure of the August RPIX inflation projection, the corresponding HICP projection would not be far from 2% towards the end of the forecast horizon.</w:t>
      </w:r>
    </w:p>
    <w:p>
      <w:pPr>
        <w:pStyle w:val="BodyText"/>
      </w:pPr>
    </w:p>
    <w:p>
      <w:pPr>
        <w:pStyle w:val="ListParagraph"/>
        <w:numPr>
          <w:ilvl w:val="0"/>
          <w:numId w:val="3"/>
        </w:numPr>
        <w:tabs>
          <w:tab w:pos="1326" w:val="left" w:leader="none"/>
        </w:tabs>
        <w:spacing w:line="240" w:lineRule="auto" w:before="0" w:after="0"/>
        <w:ind w:left="1325" w:right="761" w:hanging="360"/>
        <w:jc w:val="left"/>
        <w:rPr>
          <w:sz w:val="24"/>
        </w:rPr>
      </w:pPr>
      <w:r>
        <w:rPr>
          <w:sz w:val="24"/>
        </w:rPr>
        <w:t>The direct inclusion of house prices in RPIX, via the housing depreciation element, only impacted on monetary policy to the extent that the MPC was able to forecast surges in house price inflation well in advance. History indicates that it was not able to do this. So excluding this element from the cost of living index will probably have little consequence for monetary policy in practice. (Of course house price booms will continue to impact on monetary policy via their impact on debt, consumption and aggregate demand further out. This is equally true whether we have an RPIX or an HICP</w:t>
      </w:r>
      <w:r>
        <w:rPr>
          <w:spacing w:val="-6"/>
          <w:sz w:val="24"/>
        </w:rPr>
        <w:t> </w:t>
      </w:r>
      <w:r>
        <w:rPr>
          <w:sz w:val="24"/>
        </w:rPr>
        <w:t>target.)</w:t>
      </w:r>
    </w:p>
    <w:p>
      <w:pPr>
        <w:pStyle w:val="BodyText"/>
        <w:ind w:left="1325" w:right="1303"/>
      </w:pPr>
      <w:r>
        <w:rPr/>
        <w:t>Turning next to the issue of household debt, we consider both the causes and consequences of its dramatic increase.</w:t>
      </w:r>
    </w:p>
    <w:p>
      <w:pPr>
        <w:pStyle w:val="BodyText"/>
      </w:pPr>
    </w:p>
    <w:p>
      <w:pPr>
        <w:pStyle w:val="ListParagraph"/>
        <w:numPr>
          <w:ilvl w:val="0"/>
          <w:numId w:val="3"/>
        </w:numPr>
        <w:tabs>
          <w:tab w:pos="1326" w:val="left" w:leader="none"/>
        </w:tabs>
        <w:spacing w:line="240" w:lineRule="auto" w:before="0" w:after="0"/>
        <w:ind w:left="1325" w:right="828" w:hanging="360"/>
        <w:jc w:val="left"/>
        <w:rPr>
          <w:sz w:val="24"/>
        </w:rPr>
      </w:pPr>
      <w:r>
        <w:rPr>
          <w:sz w:val="24"/>
        </w:rPr>
        <w:t>Household secured debt (mortgages) is around 80 per cent of total household debt and is thus more significant than unsecured debt in the macroeconomic context. The secured debt to income ratio rose rapidly throughout the 1980s and from the middle of the 1990s, so it is now more than double its level in 1980. The most important factor underlying this change has been the trend increase in the number of owner-occupied dwellings per person of working age. This trend has been generated by the shrinking average size of households and the increasing owner- occupation rate (strongly boosted by Council House sales). Other factors include the somewhat higher loan-to-income ratios offered to first-time buyers in the period of low inflation since 1992, as mortgages are no longer heavily “front end loaded”, and the short-term burst of mortgage equity withdrawal following the recent housing boom as homeowners have greater access to the lower real interest rate borrowing available on secured</w:t>
      </w:r>
      <w:r>
        <w:rPr>
          <w:spacing w:val="-9"/>
          <w:sz w:val="24"/>
        </w:rPr>
        <w:t> </w:t>
      </w:r>
      <w:r>
        <w:rPr>
          <w:sz w:val="24"/>
        </w:rPr>
        <w:t>debt.</w:t>
      </w:r>
    </w:p>
    <w:p>
      <w:pPr>
        <w:pStyle w:val="BodyText"/>
        <w:spacing w:before="1"/>
      </w:pPr>
    </w:p>
    <w:p>
      <w:pPr>
        <w:pStyle w:val="ListParagraph"/>
        <w:numPr>
          <w:ilvl w:val="0"/>
          <w:numId w:val="3"/>
        </w:numPr>
        <w:tabs>
          <w:tab w:pos="1326" w:val="left" w:leader="none"/>
        </w:tabs>
        <w:spacing w:line="240" w:lineRule="auto" w:before="0" w:after="0"/>
        <w:ind w:left="1325" w:right="761" w:hanging="360"/>
        <w:jc w:val="left"/>
        <w:rPr>
          <w:sz w:val="24"/>
        </w:rPr>
      </w:pPr>
      <w:r>
        <w:rPr>
          <w:sz w:val="24"/>
        </w:rPr>
        <w:t>Household unsecured debt has also risen rapidly relative to income in recent years. By and large, this has reflected increasing debt levels per unsecured debtor, not rising numbers of unsecured debtors. A key factor explaining this is likely to have been the rapid trend fall in unsecured borrowing rates since the late 1990s, a vastly greater fall than in the Bank of England repo rate, probably due to increasing competition in the unsecured lending</w:t>
      </w:r>
      <w:r>
        <w:rPr>
          <w:spacing w:val="-8"/>
          <w:sz w:val="24"/>
        </w:rPr>
        <w:t> </w:t>
      </w:r>
      <w:r>
        <w:rPr>
          <w:sz w:val="24"/>
        </w:rPr>
        <w:t>market.</w:t>
      </w:r>
    </w:p>
    <w:p>
      <w:pPr>
        <w:pStyle w:val="BodyText"/>
      </w:pPr>
    </w:p>
    <w:p>
      <w:pPr>
        <w:pStyle w:val="ListParagraph"/>
        <w:numPr>
          <w:ilvl w:val="0"/>
          <w:numId w:val="3"/>
        </w:numPr>
        <w:tabs>
          <w:tab w:pos="1326" w:val="left" w:leader="none"/>
        </w:tabs>
        <w:spacing w:line="240" w:lineRule="auto" w:before="0" w:after="0"/>
        <w:ind w:left="1325" w:right="848" w:hanging="360"/>
        <w:jc w:val="left"/>
        <w:rPr>
          <w:sz w:val="24"/>
        </w:rPr>
      </w:pPr>
      <w:r>
        <w:rPr>
          <w:sz w:val="24"/>
        </w:rPr>
        <w:t>The connection between household borrowing and consumption is a tenuous one. The proportion of nominal GDP spent on household consumption was almost the same in 2003 Q1 (63.2%) as in 1996 Q4 (62.7%) despite the vastly greater rate of new household borrowing in the more recent period. What has happened is that the rapid increase in new borrowing in recent years has been almost exactly balanced by a rapid increase in net purchases of financial assets, a fact which is rarely mentioned when household debt is</w:t>
      </w:r>
      <w:r>
        <w:rPr>
          <w:spacing w:val="-8"/>
          <w:sz w:val="24"/>
        </w:rPr>
        <w:t> </w:t>
      </w:r>
      <w:r>
        <w:rPr>
          <w:sz w:val="24"/>
        </w:rPr>
        <w:t>discussed.</w:t>
      </w:r>
    </w:p>
    <w:p>
      <w:pPr>
        <w:pStyle w:val="BodyText"/>
      </w:pPr>
    </w:p>
    <w:p>
      <w:pPr>
        <w:pStyle w:val="ListParagraph"/>
        <w:numPr>
          <w:ilvl w:val="0"/>
          <w:numId w:val="3"/>
        </w:numPr>
        <w:tabs>
          <w:tab w:pos="1326" w:val="left" w:leader="none"/>
        </w:tabs>
        <w:spacing w:line="240" w:lineRule="auto" w:before="0" w:after="0"/>
        <w:ind w:left="1325" w:right="954" w:hanging="360"/>
        <w:jc w:val="left"/>
        <w:rPr>
          <w:sz w:val="24"/>
        </w:rPr>
      </w:pPr>
      <w:r>
        <w:rPr>
          <w:sz w:val="24"/>
        </w:rPr>
        <w:t>Looking at household balance sheets, we find that today the ratio of total household debt to total household assets (financial assets plus housing wealth) is just below 17%, very close to its average value over the last fifteen years. Furthermore, despite the recent burst of mortgage equity withdrawal,</w:t>
      </w:r>
      <w:r>
        <w:rPr>
          <w:spacing w:val="-40"/>
          <w:sz w:val="24"/>
        </w:rPr>
        <w:t> </w:t>
      </w:r>
      <w:r>
        <w:rPr>
          <w:sz w:val="24"/>
        </w:rPr>
        <w:t>undrawn</w:t>
      </w:r>
    </w:p>
    <w:p>
      <w:pPr>
        <w:spacing w:after="0" w:line="240" w:lineRule="auto"/>
        <w:jc w:val="left"/>
        <w:rPr>
          <w:sz w:val="24"/>
        </w:rPr>
        <w:sectPr>
          <w:pgSz w:w="12240" w:h="15840"/>
          <w:pgMar w:header="209" w:footer="0" w:top="840" w:bottom="280" w:left="1000" w:right="1220"/>
        </w:sectPr>
      </w:pPr>
    </w:p>
    <w:p>
      <w:pPr>
        <w:pStyle w:val="BodyText"/>
        <w:spacing w:before="80"/>
        <w:ind w:left="1325" w:right="1196"/>
      </w:pPr>
      <w:r>
        <w:rPr/>
        <w:t>housing equity is rising and is now in excess of three quarters of total housing wealth. So overall, household balance sheets are relatively healthy.</w:t>
      </w:r>
    </w:p>
    <w:p>
      <w:pPr>
        <w:pStyle w:val="BodyText"/>
      </w:pPr>
    </w:p>
    <w:p>
      <w:pPr>
        <w:pStyle w:val="ListParagraph"/>
        <w:numPr>
          <w:ilvl w:val="0"/>
          <w:numId w:val="3"/>
        </w:numPr>
        <w:tabs>
          <w:tab w:pos="1326" w:val="left" w:leader="none"/>
        </w:tabs>
        <w:spacing w:line="240" w:lineRule="auto" w:before="0" w:after="0"/>
        <w:ind w:left="1325" w:right="832" w:hanging="360"/>
        <w:jc w:val="left"/>
        <w:rPr>
          <w:sz w:val="24"/>
        </w:rPr>
      </w:pPr>
      <w:r>
        <w:rPr>
          <w:sz w:val="24"/>
        </w:rPr>
        <w:t>Despite the health of average household balance sheets, there are many households, particularly with low incomes, which are in severe difficulties with unsecured debt. The evidence on whether this situation is getting worse is mixed, but, in any event, unsecured debt is such a small proportion of the total that the macroeconomic impact of such problems is not</w:t>
      </w:r>
      <w:r>
        <w:rPr>
          <w:spacing w:val="-12"/>
          <w:sz w:val="24"/>
        </w:rPr>
        <w:t> </w:t>
      </w:r>
      <w:r>
        <w:rPr>
          <w:sz w:val="24"/>
        </w:rPr>
        <w:t>large.</w:t>
      </w:r>
    </w:p>
    <w:p>
      <w:pPr>
        <w:pStyle w:val="BodyText"/>
      </w:pPr>
    </w:p>
    <w:p>
      <w:pPr>
        <w:pStyle w:val="ListParagraph"/>
        <w:numPr>
          <w:ilvl w:val="0"/>
          <w:numId w:val="3"/>
        </w:numPr>
        <w:tabs>
          <w:tab w:pos="1326" w:val="left" w:leader="none"/>
        </w:tabs>
        <w:spacing w:line="240" w:lineRule="auto" w:before="0" w:after="0"/>
        <w:ind w:left="1325" w:right="747" w:hanging="360"/>
        <w:jc w:val="left"/>
        <w:rPr>
          <w:sz w:val="24"/>
        </w:rPr>
      </w:pPr>
      <w:r>
        <w:rPr>
          <w:sz w:val="24"/>
        </w:rPr>
        <w:t>While the published secured debt to income ratio has been rising rapidly since 1997, this is not a very helpful piece of information when it comes to analysing issues of sustainability. The problem is that the numerator of the ratio refers to the sum total of mortgage debt whereas the denominator refers to the total disposable income of </w:t>
      </w:r>
      <w:r>
        <w:rPr>
          <w:sz w:val="24"/>
          <w:u w:val="single"/>
        </w:rPr>
        <w:t>all</w:t>
      </w:r>
      <w:r>
        <w:rPr>
          <w:sz w:val="24"/>
        </w:rPr>
        <w:t> households. To be informative, the denominator should be the total disposable income of households with mortgages. Up-to-date data using this measure is unavailable but we know that the ratio of total secured debt to total income of secured debt holders exhibited no upward trend from 1997 to</w:t>
      </w:r>
      <w:r>
        <w:rPr>
          <w:spacing w:val="-31"/>
          <w:sz w:val="24"/>
        </w:rPr>
        <w:t> </w:t>
      </w:r>
      <w:r>
        <w:rPr>
          <w:sz w:val="24"/>
        </w:rPr>
        <w:t>2001.</w:t>
      </w:r>
    </w:p>
    <w:p>
      <w:pPr>
        <w:pStyle w:val="BodyText"/>
      </w:pPr>
    </w:p>
    <w:p>
      <w:pPr>
        <w:pStyle w:val="ListParagraph"/>
        <w:numPr>
          <w:ilvl w:val="0"/>
          <w:numId w:val="3"/>
        </w:numPr>
        <w:tabs>
          <w:tab w:pos="1326" w:val="left" w:leader="none"/>
        </w:tabs>
        <w:spacing w:line="240" w:lineRule="auto" w:before="0" w:after="0"/>
        <w:ind w:left="1325" w:right="759" w:hanging="360"/>
        <w:jc w:val="left"/>
        <w:rPr>
          <w:sz w:val="24"/>
        </w:rPr>
      </w:pPr>
      <w:r>
        <w:rPr>
          <w:sz w:val="24"/>
        </w:rPr>
        <w:t>Despite the above, could record levels of household debt cause serious macroeconomic problems in the future? There are three frequently used arguments. The first is based on the possibility that households have underestimated true real interest rates.  In the high inflation era prior to 1993, debts were rapidly eroded. This no longer happens and perhaps households do not fully recognise this fact. However, the young, who tend to be the most indebted (relative to their income and assets) and hence the most endangered, were not financially aware in the pre-1993 era, so there is little reason to think they are not making sensible judgments on this score. Indeed, overall, there are no strong reasons why households, or indeed lenders, should be behaving particularly imprudently. Nor is there any persuasive evidence that they are doing</w:t>
      </w:r>
      <w:r>
        <w:rPr>
          <w:spacing w:val="-32"/>
          <w:sz w:val="24"/>
        </w:rPr>
        <w:t> </w:t>
      </w:r>
      <w:r>
        <w:rPr>
          <w:sz w:val="24"/>
        </w:rPr>
        <w:t>so.</w:t>
      </w:r>
    </w:p>
    <w:p>
      <w:pPr>
        <w:pStyle w:val="BodyText"/>
        <w:spacing w:before="1"/>
      </w:pPr>
    </w:p>
    <w:p>
      <w:pPr>
        <w:pStyle w:val="ListParagraph"/>
        <w:numPr>
          <w:ilvl w:val="0"/>
          <w:numId w:val="3"/>
        </w:numPr>
        <w:tabs>
          <w:tab w:pos="1326" w:val="left" w:leader="none"/>
        </w:tabs>
        <w:spacing w:line="240" w:lineRule="auto" w:before="0" w:after="0"/>
        <w:ind w:left="1325" w:right="769" w:hanging="360"/>
        <w:jc w:val="left"/>
        <w:rPr>
          <w:sz w:val="24"/>
        </w:rPr>
      </w:pPr>
      <w:r>
        <w:rPr>
          <w:sz w:val="24"/>
        </w:rPr>
        <w:t>The second argument is that the economy will be a more fragile place in the future if households have very high levels of debt. In particular, </w:t>
      </w:r>
      <w:r>
        <w:rPr>
          <w:sz w:val="24"/>
          <w:u w:val="single"/>
        </w:rPr>
        <w:t>in response to a future adverse shock</w:t>
      </w:r>
      <w:r>
        <w:rPr>
          <w:sz w:val="24"/>
        </w:rPr>
        <w:t>, higher debt levels would lead to bigger falls in consumption and a bigger economic slowdown. However, since debt service charges are the problem here, in a higher debt world adverse shocks could be offset by a more vigorous monetary policy</w:t>
      </w:r>
      <w:r>
        <w:rPr>
          <w:spacing w:val="-11"/>
          <w:sz w:val="24"/>
        </w:rPr>
        <w:t> </w:t>
      </w:r>
      <w:r>
        <w:rPr>
          <w:sz w:val="24"/>
        </w:rPr>
        <w:t>response.</w:t>
      </w:r>
    </w:p>
    <w:p>
      <w:pPr>
        <w:pStyle w:val="BodyText"/>
      </w:pPr>
    </w:p>
    <w:p>
      <w:pPr>
        <w:pStyle w:val="ListParagraph"/>
        <w:numPr>
          <w:ilvl w:val="0"/>
          <w:numId w:val="3"/>
        </w:numPr>
        <w:tabs>
          <w:tab w:pos="1326" w:val="left" w:leader="none"/>
        </w:tabs>
        <w:spacing w:line="240" w:lineRule="auto" w:before="0" w:after="0"/>
        <w:ind w:left="1325" w:right="759" w:hanging="360"/>
        <w:jc w:val="left"/>
        <w:rPr>
          <w:sz w:val="24"/>
        </w:rPr>
      </w:pPr>
      <w:r>
        <w:rPr>
          <w:sz w:val="24"/>
        </w:rPr>
        <w:t>The third argument is very simple. If more people have big mortgages, a collapse in the housing market has more serious macroeconomic consequences. Of course, if this were thought to be a serious issue, one solution is a policy to reduce the size of the owner-occupied sector. More council houses, perhaps. But, in the present situation, does this mean we should use policy to discourage people from taking out mortgages? </w:t>
      </w:r>
      <w:r>
        <w:rPr>
          <w:spacing w:val="-3"/>
          <w:sz w:val="24"/>
        </w:rPr>
        <w:t>In </w:t>
      </w:r>
      <w:r>
        <w:rPr>
          <w:spacing w:val="2"/>
          <w:sz w:val="24"/>
        </w:rPr>
        <w:t>my </w:t>
      </w:r>
      <w:r>
        <w:rPr>
          <w:sz w:val="24"/>
        </w:rPr>
        <w:t>view, this should not be the target of monetary</w:t>
      </w:r>
      <w:r>
        <w:rPr>
          <w:spacing w:val="-18"/>
          <w:sz w:val="24"/>
        </w:rPr>
        <w:t> </w:t>
      </w:r>
      <w:r>
        <w:rPr>
          <w:sz w:val="24"/>
        </w:rPr>
        <w:t>policy.</w:t>
      </w:r>
    </w:p>
    <w:p>
      <w:pPr>
        <w:pStyle w:val="BodyText"/>
      </w:pPr>
    </w:p>
    <w:p>
      <w:pPr>
        <w:pStyle w:val="ListParagraph"/>
        <w:numPr>
          <w:ilvl w:val="0"/>
          <w:numId w:val="3"/>
        </w:numPr>
        <w:tabs>
          <w:tab w:pos="1326" w:val="left" w:leader="none"/>
        </w:tabs>
        <w:spacing w:line="240" w:lineRule="auto" w:before="0" w:after="0"/>
        <w:ind w:left="1325" w:right="752" w:hanging="360"/>
        <w:jc w:val="left"/>
        <w:rPr>
          <w:sz w:val="24"/>
        </w:rPr>
      </w:pPr>
      <w:r>
        <w:rPr>
          <w:sz w:val="24"/>
        </w:rPr>
        <w:t>This leads to the final question, should we keep interest rates higher than would be required to hit the inflation target in the medium term in order not to encourage further debt accumulation? </w:t>
      </w:r>
      <w:r>
        <w:rPr>
          <w:spacing w:val="-3"/>
          <w:sz w:val="24"/>
        </w:rPr>
        <w:t>In </w:t>
      </w:r>
      <w:r>
        <w:rPr>
          <w:sz w:val="24"/>
        </w:rPr>
        <w:t>the light of all the previous points, my answer, at present, would be</w:t>
      </w:r>
      <w:r>
        <w:rPr>
          <w:spacing w:val="-4"/>
          <w:sz w:val="24"/>
        </w:rPr>
        <w:t> </w:t>
      </w:r>
      <w:r>
        <w:rPr>
          <w:sz w:val="24"/>
        </w:rPr>
        <w:t>no.</w:t>
      </w:r>
    </w:p>
    <w:p>
      <w:pPr>
        <w:spacing w:after="0" w:line="240" w:lineRule="auto"/>
        <w:jc w:val="left"/>
        <w:rPr>
          <w:sz w:val="24"/>
        </w:rPr>
        <w:sectPr>
          <w:pgSz w:w="12240" w:h="15840"/>
          <w:pgMar w:header="209" w:footer="0" w:top="840" w:bottom="280" w:left="1000" w:right="1220"/>
        </w:sectPr>
      </w:pPr>
    </w:p>
    <w:p>
      <w:pPr>
        <w:pStyle w:val="Heading1"/>
        <w:spacing w:before="87"/>
        <w:ind w:left="955" w:right="740"/>
        <w:jc w:val="center"/>
        <w:rPr>
          <w:u w:val="none"/>
        </w:rPr>
      </w:pPr>
      <w:r>
        <w:rPr>
          <w:u w:val="thick"/>
        </w:rPr>
        <w:t>Footnotes</w:t>
      </w:r>
    </w:p>
    <w:p>
      <w:pPr>
        <w:pStyle w:val="BodyText"/>
        <w:rPr>
          <w:b/>
          <w:sz w:val="20"/>
        </w:rPr>
      </w:pPr>
    </w:p>
    <w:p>
      <w:pPr>
        <w:pStyle w:val="BodyText"/>
        <w:spacing w:before="7"/>
        <w:rPr>
          <w:b/>
          <w:sz w:val="21"/>
        </w:rPr>
      </w:pPr>
    </w:p>
    <w:p>
      <w:pPr>
        <w:spacing w:after="0"/>
        <w:rPr>
          <w:sz w:val="21"/>
        </w:rPr>
        <w:sectPr>
          <w:pgSz w:w="12240" w:h="15840"/>
          <w:pgMar w:header="209" w:footer="0" w:top="840" w:bottom="280" w:left="1000" w:right="1220"/>
        </w:sectPr>
      </w:pPr>
    </w:p>
    <w:p>
      <w:pPr>
        <w:pStyle w:val="ListParagraph"/>
        <w:numPr>
          <w:ilvl w:val="0"/>
          <w:numId w:val="4"/>
        </w:numPr>
        <w:tabs>
          <w:tab w:pos="1326" w:val="left" w:leader="none"/>
        </w:tabs>
        <w:spacing w:line="240" w:lineRule="auto" w:before="151" w:after="0"/>
        <w:ind w:left="1325" w:right="0" w:hanging="361"/>
        <w:jc w:val="left"/>
        <w:rPr>
          <w:sz w:val="14"/>
        </w:rPr>
      </w:pPr>
      <w:r>
        <w:rPr>
          <w:sz w:val="24"/>
        </w:rPr>
        <w:t>If there are two numbers, </w:t>
      </w:r>
      <w:r>
        <w:rPr>
          <w:spacing w:val="4"/>
          <w:sz w:val="24"/>
        </w:rPr>
        <w:t>a</w:t>
      </w:r>
      <w:r>
        <w:rPr>
          <w:spacing w:val="4"/>
          <w:position w:val="-5"/>
          <w:sz w:val="14"/>
        </w:rPr>
        <w:t>1</w:t>
      </w:r>
      <w:r>
        <w:rPr>
          <w:spacing w:val="4"/>
          <w:sz w:val="24"/>
        </w:rPr>
        <w:t>,</w:t>
      </w:r>
      <w:r>
        <w:rPr>
          <w:spacing w:val="-5"/>
          <w:sz w:val="24"/>
        </w:rPr>
        <w:t> </w:t>
      </w:r>
      <w:r>
        <w:rPr>
          <w:spacing w:val="10"/>
          <w:sz w:val="24"/>
        </w:rPr>
        <w:t>a</w:t>
      </w:r>
      <w:r>
        <w:rPr>
          <w:spacing w:val="10"/>
          <w:position w:val="-5"/>
          <w:sz w:val="14"/>
        </w:rPr>
        <w:t>2</w:t>
      </w:r>
    </w:p>
    <w:p>
      <w:pPr>
        <w:pStyle w:val="BodyText"/>
        <w:spacing w:before="151"/>
        <w:ind w:left="60"/>
      </w:pPr>
      <w:r>
        <w:rPr/>
        <w:br w:type="column"/>
      </w:r>
      <w:r>
        <w:rPr/>
        <w:t>, the arithmetic mean (AM) is</w:t>
      </w:r>
    </w:p>
    <w:p>
      <w:pPr>
        <w:spacing w:before="74"/>
        <w:ind w:left="86" w:right="0" w:firstLine="0"/>
        <w:jc w:val="left"/>
        <w:rPr>
          <w:sz w:val="24"/>
        </w:rPr>
      </w:pPr>
      <w:r>
        <w:rPr/>
        <w:br w:type="column"/>
      </w:r>
      <w:r>
        <w:rPr>
          <w:spacing w:val="14"/>
          <w:w w:val="100"/>
          <w:position w:val="6"/>
          <w:sz w:val="24"/>
        </w:rPr>
        <w:t>1</w:t>
      </w:r>
      <w:r>
        <w:rPr>
          <w:w w:val="100"/>
          <w:position w:val="-11"/>
          <w:sz w:val="24"/>
        </w:rPr>
        <w:t>2</w:t>
      </w:r>
      <w:r>
        <w:rPr>
          <w:spacing w:val="-34"/>
          <w:position w:val="-11"/>
          <w:sz w:val="24"/>
        </w:rPr>
        <w:t> </w:t>
      </w:r>
      <w:r>
        <w:rPr>
          <w:rFonts w:ascii="Arial"/>
          <w:spacing w:val="-8"/>
          <w:w w:val="74"/>
          <w:sz w:val="32"/>
        </w:rPr>
        <w:t>(</w:t>
      </w:r>
      <w:r>
        <w:rPr>
          <w:spacing w:val="3"/>
          <w:w w:val="100"/>
          <w:sz w:val="24"/>
        </w:rPr>
        <w:t>a</w:t>
      </w:r>
      <w:r>
        <w:rPr>
          <w:position w:val="-5"/>
          <w:sz w:val="14"/>
        </w:rPr>
        <w:t>1 </w:t>
      </w:r>
      <w:r>
        <w:rPr>
          <w:spacing w:val="-13"/>
          <w:position w:val="-5"/>
          <w:sz w:val="14"/>
        </w:rPr>
        <w:t> </w:t>
      </w:r>
      <w:r>
        <w:rPr>
          <w:rFonts w:ascii="Open Sans"/>
          <w:i/>
          <w:w w:val="99"/>
          <w:sz w:val="24"/>
        </w:rPr>
        <w:t>+</w:t>
      </w:r>
      <w:r>
        <w:rPr>
          <w:rFonts w:ascii="Open Sans"/>
          <w:i/>
          <w:spacing w:val="-15"/>
          <w:sz w:val="24"/>
        </w:rPr>
        <w:t> </w:t>
      </w:r>
      <w:r>
        <w:rPr>
          <w:spacing w:val="20"/>
          <w:w w:val="100"/>
          <w:sz w:val="24"/>
        </w:rPr>
        <w:t>a</w:t>
      </w:r>
      <w:r>
        <w:rPr>
          <w:position w:val="-5"/>
          <w:sz w:val="14"/>
        </w:rPr>
        <w:t>2</w:t>
      </w:r>
      <w:r>
        <w:rPr>
          <w:spacing w:val="-5"/>
          <w:position w:val="-5"/>
          <w:sz w:val="14"/>
        </w:rPr>
        <w:t> </w:t>
      </w:r>
      <w:r>
        <w:rPr>
          <w:rFonts w:ascii="Arial"/>
          <w:w w:val="74"/>
          <w:sz w:val="32"/>
        </w:rPr>
        <w:t>)</w:t>
      </w:r>
      <w:r>
        <w:rPr>
          <w:rFonts w:ascii="Arial"/>
          <w:spacing w:val="-8"/>
          <w:sz w:val="32"/>
        </w:rPr>
        <w:t> </w:t>
      </w:r>
      <w:r>
        <w:rPr>
          <w:spacing w:val="-1"/>
          <w:w w:val="100"/>
          <w:sz w:val="24"/>
        </w:rPr>
        <w:t>an</w:t>
      </w:r>
      <w:r>
        <w:rPr>
          <w:w w:val="100"/>
          <w:sz w:val="24"/>
        </w:rPr>
        <w:t>d</w:t>
      </w:r>
      <w:r>
        <w:rPr>
          <w:spacing w:val="4"/>
          <w:sz w:val="24"/>
        </w:rPr>
        <w:t> </w:t>
      </w:r>
      <w:r>
        <w:rPr>
          <w:spacing w:val="-1"/>
          <w:w w:val="100"/>
          <w:sz w:val="24"/>
        </w:rPr>
        <w:t>the</w:t>
      </w:r>
    </w:p>
    <w:p>
      <w:pPr>
        <w:spacing w:after="0"/>
        <w:jc w:val="left"/>
        <w:rPr>
          <w:sz w:val="24"/>
        </w:rPr>
        <w:sectPr>
          <w:type w:val="continuous"/>
          <w:pgSz w:w="12240" w:h="15840"/>
          <w:pgMar w:top="1180" w:bottom="280" w:left="1000" w:right="1220"/>
          <w:cols w:num="3" w:equalWidth="0">
            <w:col w:w="4319" w:space="40"/>
            <w:col w:w="2925" w:space="39"/>
            <w:col w:w="2697"/>
          </w:cols>
        </w:sectPr>
      </w:pPr>
    </w:p>
    <w:p>
      <w:pPr>
        <w:pStyle w:val="BodyText"/>
        <w:spacing w:line="441" w:lineRule="exact"/>
        <w:ind w:left="1318" w:right="740"/>
        <w:jc w:val="center"/>
      </w:pPr>
      <w:r>
        <w:rPr/>
        <w:pict>
          <v:line style="position:absolute;mso-position-horizontal-relative:page;mso-position-vertical-relative:paragraph;z-index:-254265344" from="432.720015pt,-20.796942pt" to="419.640015pt,-2.316942pt" stroked="true" strokeweight=".495pt" strokecolor="#000000">
            <v:stroke dashstyle="solid"/>
            <w10:wrap type="none"/>
          </v:line>
        </w:pict>
      </w:r>
      <w:r>
        <w:rPr/>
        <w:pict>
          <v:line style="position:absolute;mso-position-horizontal-relative:page;mso-position-vertical-relative:paragraph;z-index:-254264320" from="277.199989pt,3.083058pt" to="269.519989pt,13.763058pt" stroked="true" strokeweight=".248pt" strokecolor="#000000">
            <v:stroke dashstyle="solid"/>
            <w10:wrap type="none"/>
          </v:line>
        </w:pict>
      </w:r>
      <w:r>
        <w:rPr/>
        <w:pict>
          <v:line style="position:absolute;mso-position-horizontal-relative:page;mso-position-vertical-relative:paragraph;z-index:-254262272" from="348.600013pt,27.083057pt" to="340.920013pt,37.763057pt" stroked="true" strokeweight=".248pt" strokecolor="#000000">
            <v:stroke dashstyle="solid"/>
            <w10:wrap type="none"/>
          </v:line>
        </w:pict>
      </w:r>
      <w:r>
        <w:rPr/>
        <w:pict>
          <v:shape style="position:absolute;margin-left:270.119904pt;margin-top:2.245394pt;width:3.5pt;height:7.8pt;mso-position-horizontal-relative:page;mso-position-vertical-relative:paragraph;z-index:-254259200" type="#_x0000_t202" filled="false" stroked="false">
            <v:textbox inset="0,0,0,0">
              <w:txbxContent>
                <w:p>
                  <w:pPr>
                    <w:spacing w:line="155" w:lineRule="exact" w:before="0"/>
                    <w:ind w:left="0" w:right="0" w:firstLine="0"/>
                    <w:jc w:val="left"/>
                    <w:rPr>
                      <w:sz w:val="14"/>
                    </w:rPr>
                  </w:pPr>
                  <w:r>
                    <w:rPr>
                      <w:sz w:val="14"/>
                    </w:rPr>
                    <w:t>1</w:t>
                  </w:r>
                </w:p>
              </w:txbxContent>
            </v:textbox>
            <w10:wrap type="none"/>
          </v:shape>
        </w:pict>
      </w:r>
      <w:r>
        <w:rPr/>
        <w:pict>
          <v:shape style="position:absolute;margin-left:341.519836pt;margin-top:26.256344pt;width:3.5pt;height:7.75pt;mso-position-horizontal-relative:page;mso-position-vertical-relative:paragraph;z-index:-254258176" type="#_x0000_t202" filled="false" stroked="false">
            <v:textbox inset="0,0,0,0">
              <w:txbxContent>
                <w:p>
                  <w:pPr>
                    <w:spacing w:line="155" w:lineRule="exact" w:before="0"/>
                    <w:ind w:left="0" w:right="0" w:firstLine="0"/>
                    <w:jc w:val="left"/>
                    <w:rPr>
                      <w:sz w:val="14"/>
                    </w:rPr>
                  </w:pPr>
                  <w:r>
                    <w:rPr>
                      <w:w w:val="99"/>
                      <w:sz w:val="14"/>
                    </w:rPr>
                    <w:t>1</w:t>
                  </w:r>
                </w:p>
              </w:txbxContent>
            </v:textbox>
            <w10:wrap type="none"/>
          </v:shape>
        </w:pict>
      </w:r>
      <w:r>
        <w:rPr>
          <w:spacing w:val="-3"/>
          <w:w w:val="100"/>
        </w:rPr>
        <w:t>g</w:t>
      </w:r>
      <w:r>
        <w:rPr>
          <w:spacing w:val="-2"/>
          <w:w w:val="100"/>
        </w:rPr>
        <w:t>e</w:t>
      </w:r>
      <w:r>
        <w:rPr>
          <w:spacing w:val="-1"/>
          <w:w w:val="100"/>
        </w:rPr>
        <w:t>o</w:t>
      </w:r>
      <w:r>
        <w:rPr>
          <w:spacing w:val="2"/>
          <w:w w:val="100"/>
        </w:rPr>
        <w:t>m</w:t>
      </w:r>
      <w:r>
        <w:rPr>
          <w:spacing w:val="-1"/>
          <w:w w:val="100"/>
        </w:rPr>
        <w:t>e</w:t>
      </w:r>
      <w:r>
        <w:rPr>
          <w:w w:val="100"/>
        </w:rPr>
        <w:t>t</w:t>
      </w:r>
      <w:r>
        <w:rPr>
          <w:spacing w:val="-1"/>
          <w:w w:val="100"/>
        </w:rPr>
        <w:t>r</w:t>
      </w:r>
      <w:r>
        <w:rPr>
          <w:w w:val="100"/>
        </w:rPr>
        <w:t>ic</w:t>
      </w:r>
      <w:r>
        <w:rPr>
          <w:spacing w:val="13"/>
        </w:rPr>
        <w:t> </w:t>
      </w:r>
      <w:r>
        <w:rPr>
          <w:w w:val="100"/>
        </w:rPr>
        <w:t>m</w:t>
      </w:r>
      <w:r>
        <w:rPr>
          <w:spacing w:val="-1"/>
          <w:w w:val="100"/>
        </w:rPr>
        <w:t>ea</w:t>
      </w:r>
      <w:r>
        <w:rPr>
          <w:w w:val="100"/>
        </w:rPr>
        <w:t>n</w:t>
      </w:r>
      <w:r>
        <w:rPr>
          <w:spacing w:val="16"/>
        </w:rPr>
        <w:t> </w:t>
      </w:r>
      <w:r>
        <w:rPr>
          <w:spacing w:val="-1"/>
          <w:w w:val="100"/>
        </w:rPr>
        <w:t>(GM</w:t>
      </w:r>
      <w:r>
        <w:rPr>
          <w:w w:val="100"/>
        </w:rPr>
        <w:t>)</w:t>
      </w:r>
      <w:r>
        <w:rPr>
          <w:spacing w:val="13"/>
        </w:rPr>
        <w:t> </w:t>
      </w:r>
      <w:r>
        <w:rPr>
          <w:w w:val="100"/>
        </w:rPr>
        <w:t>is</w:t>
      </w:r>
      <w:r>
        <w:rPr/>
        <w:t> </w:t>
      </w:r>
      <w:r>
        <w:rPr>
          <w:spacing w:val="-13"/>
        </w:rPr>
        <w:t> </w:t>
      </w:r>
      <w:r>
        <w:rPr>
          <w:rFonts w:ascii="Microsoft YaHei"/>
          <w:spacing w:val="-8"/>
          <w:w w:val="76"/>
          <w:sz w:val="31"/>
        </w:rPr>
        <w:t>(</w:t>
      </w:r>
      <w:r>
        <w:rPr>
          <w:spacing w:val="3"/>
          <w:w w:val="100"/>
        </w:rPr>
        <w:t>a</w:t>
      </w:r>
      <w:r>
        <w:rPr>
          <w:spacing w:val="-6"/>
          <w:position w:val="-5"/>
          <w:sz w:val="14"/>
        </w:rPr>
        <w:t>1</w:t>
      </w:r>
      <w:r>
        <w:rPr>
          <w:spacing w:val="20"/>
          <w:w w:val="100"/>
        </w:rPr>
        <w:t>a</w:t>
      </w:r>
      <w:r>
        <w:rPr>
          <w:position w:val="-5"/>
          <w:sz w:val="14"/>
        </w:rPr>
        <w:t>2</w:t>
      </w:r>
      <w:r>
        <w:rPr>
          <w:spacing w:val="-2"/>
          <w:position w:val="-5"/>
          <w:sz w:val="14"/>
        </w:rPr>
        <w:t> </w:t>
      </w:r>
      <w:r>
        <w:rPr>
          <w:rFonts w:ascii="Microsoft YaHei"/>
          <w:w w:val="76"/>
          <w:sz w:val="31"/>
        </w:rPr>
        <w:t>)</w:t>
      </w:r>
      <w:r>
        <w:rPr>
          <w:rFonts w:ascii="Microsoft YaHei"/>
          <w:spacing w:val="-11"/>
          <w:sz w:val="31"/>
        </w:rPr>
        <w:t> </w:t>
      </w:r>
      <w:r>
        <w:rPr>
          <w:position w:val="5"/>
          <w:sz w:val="14"/>
        </w:rPr>
        <w:t>2</w:t>
      </w:r>
      <w:r>
        <w:rPr>
          <w:spacing w:val="5"/>
          <w:position w:val="5"/>
          <w:sz w:val="14"/>
        </w:rPr>
        <w:t> </w:t>
      </w:r>
      <w:r>
        <w:rPr>
          <w:w w:val="100"/>
        </w:rPr>
        <w:t>.</w:t>
      </w:r>
      <w:r>
        <w:rPr/>
        <w:t>  </w:t>
      </w:r>
      <w:r>
        <w:rPr>
          <w:spacing w:val="-29"/>
        </w:rPr>
        <w:t> </w:t>
      </w:r>
      <w:r>
        <w:rPr>
          <w:spacing w:val="-6"/>
          <w:w w:val="100"/>
        </w:rPr>
        <w:t>I</w:t>
      </w:r>
      <w:r>
        <w:rPr>
          <w:w w:val="100"/>
        </w:rPr>
        <w:t>f</w:t>
      </w:r>
      <w:r>
        <w:rPr>
          <w:spacing w:val="13"/>
        </w:rPr>
        <w:t> </w:t>
      </w:r>
      <w:r>
        <w:rPr>
          <w:w w:val="100"/>
        </w:rPr>
        <w:t>t</w:t>
      </w:r>
      <w:r>
        <w:rPr>
          <w:spacing w:val="2"/>
          <w:w w:val="100"/>
        </w:rPr>
        <w:t>h</w:t>
      </w:r>
      <w:r>
        <w:rPr>
          <w:spacing w:val="-2"/>
          <w:w w:val="100"/>
        </w:rPr>
        <w:t>er</w:t>
      </w:r>
      <w:r>
        <w:rPr>
          <w:w w:val="100"/>
        </w:rPr>
        <w:t>e</w:t>
      </w:r>
      <w:r>
        <w:rPr>
          <w:spacing w:val="15"/>
        </w:rPr>
        <w:t> </w:t>
      </w:r>
      <w:r>
        <w:rPr>
          <w:spacing w:val="-2"/>
          <w:w w:val="100"/>
        </w:rPr>
        <w:t>ar</w:t>
      </w:r>
      <w:r>
        <w:rPr>
          <w:w w:val="100"/>
        </w:rPr>
        <w:t>e</w:t>
      </w:r>
      <w:r>
        <w:rPr>
          <w:spacing w:val="12"/>
        </w:rPr>
        <w:t> </w:t>
      </w:r>
      <w:r>
        <w:rPr>
          <w:i/>
        </w:rPr>
        <w:t>n</w:t>
      </w:r>
      <w:r>
        <w:rPr>
          <w:i/>
          <w:spacing w:val="14"/>
        </w:rPr>
        <w:t> </w:t>
      </w:r>
      <w:r>
        <w:rPr>
          <w:spacing w:val="-1"/>
          <w:w w:val="100"/>
        </w:rPr>
        <w:t>num</w:t>
      </w:r>
      <w:r>
        <w:rPr>
          <w:spacing w:val="2"/>
          <w:w w:val="100"/>
        </w:rPr>
        <w:t>b</w:t>
      </w:r>
      <w:r>
        <w:rPr>
          <w:spacing w:val="-2"/>
          <w:w w:val="100"/>
        </w:rPr>
        <w:t>e</w:t>
      </w:r>
      <w:r>
        <w:rPr>
          <w:spacing w:val="-1"/>
          <w:w w:val="100"/>
        </w:rPr>
        <w:t>r</w:t>
      </w:r>
      <w:r>
        <w:rPr>
          <w:w w:val="100"/>
        </w:rPr>
        <w:t>s</w:t>
      </w:r>
      <w:r>
        <w:rPr/>
        <w:t> </w:t>
      </w:r>
      <w:r>
        <w:rPr>
          <w:spacing w:val="-10"/>
        </w:rPr>
        <w:t> </w:t>
      </w:r>
      <w:r>
        <w:rPr>
          <w:spacing w:val="3"/>
          <w:w w:val="100"/>
        </w:rPr>
        <w:t>a</w:t>
      </w:r>
      <w:r>
        <w:rPr>
          <w:spacing w:val="9"/>
          <w:position w:val="-5"/>
          <w:sz w:val="14"/>
        </w:rPr>
        <w:t>1</w:t>
      </w:r>
      <w:r>
        <w:rPr>
          <w:w w:val="100"/>
        </w:rPr>
        <w:t>,</w:t>
      </w:r>
      <w:r>
        <w:rPr>
          <w:spacing w:val="-39"/>
        </w:rPr>
        <w:t> </w:t>
      </w:r>
      <w:r>
        <w:rPr>
          <w:spacing w:val="20"/>
          <w:w w:val="100"/>
        </w:rPr>
        <w:t>a</w:t>
      </w:r>
      <w:r>
        <w:rPr>
          <w:position w:val="-5"/>
          <w:sz w:val="14"/>
        </w:rPr>
        <w:t>2</w:t>
      </w:r>
      <w:r>
        <w:rPr>
          <w:spacing w:val="-14"/>
          <w:position w:val="-5"/>
          <w:sz w:val="14"/>
        </w:rPr>
        <w:t> </w:t>
      </w:r>
      <w:r>
        <w:rPr>
          <w:w w:val="100"/>
        </w:rPr>
        <w:t>,...</w:t>
      </w:r>
      <w:r>
        <w:rPr>
          <w:spacing w:val="18"/>
          <w:w w:val="100"/>
        </w:rPr>
        <w:t>,</w:t>
      </w:r>
      <w:r>
        <w:rPr>
          <w:spacing w:val="20"/>
          <w:w w:val="100"/>
        </w:rPr>
        <w:t>a</w:t>
      </w:r>
      <w:r>
        <w:rPr>
          <w:position w:val="-5"/>
          <w:sz w:val="14"/>
        </w:rPr>
        <w:t>n </w:t>
      </w:r>
      <w:r>
        <w:rPr>
          <w:spacing w:val="-11"/>
          <w:position w:val="-5"/>
          <w:sz w:val="14"/>
        </w:rPr>
        <w:t> </w:t>
      </w:r>
      <w:r>
        <w:rPr>
          <w:w w:val="100"/>
        </w:rPr>
        <w:t>,</w:t>
      </w:r>
      <w:r>
        <w:rPr>
          <w:spacing w:val="14"/>
        </w:rPr>
        <w:t> </w:t>
      </w:r>
      <w:r>
        <w:rPr>
          <w:w w:val="100"/>
        </w:rPr>
        <w:t>the</w:t>
      </w:r>
      <w:r>
        <w:rPr>
          <w:spacing w:val="13"/>
        </w:rPr>
        <w:t> </w:t>
      </w:r>
      <w:r>
        <w:rPr>
          <w:spacing w:val="-1"/>
          <w:w w:val="100"/>
        </w:rPr>
        <w:t>A</w:t>
      </w:r>
      <w:r>
        <w:rPr>
          <w:w w:val="100"/>
        </w:rPr>
        <w:t>M</w:t>
      </w:r>
      <w:r>
        <w:rPr>
          <w:spacing w:val="14"/>
        </w:rPr>
        <w:t> </w:t>
      </w:r>
      <w:r>
        <w:rPr>
          <w:w w:val="100"/>
        </w:rPr>
        <w:t>is</w:t>
      </w:r>
    </w:p>
    <w:p>
      <w:pPr>
        <w:spacing w:after="0" w:line="441" w:lineRule="exact"/>
        <w:jc w:val="center"/>
        <w:sectPr>
          <w:type w:val="continuous"/>
          <w:pgSz w:w="12240" w:h="15840"/>
          <w:pgMar w:top="1180" w:bottom="280" w:left="1000" w:right="1220"/>
        </w:sectPr>
      </w:pPr>
    </w:p>
    <w:p>
      <w:pPr>
        <w:pStyle w:val="BodyText"/>
        <w:spacing w:line="413" w:lineRule="exact"/>
        <w:ind w:left="1383"/>
        <w:rPr>
          <w:rFonts w:ascii="Microsoft YaHei"/>
          <w:sz w:val="31"/>
        </w:rPr>
      </w:pPr>
      <w:r>
        <w:rPr/>
        <w:pict>
          <v:line style="position:absolute;mso-position-horizontal-relative:page;mso-position-vertical-relative:paragraph;z-index:-254263296" from="118.32pt,15.358449pt" to="126.12pt,15.358449pt" stroked="true" strokeweight=".495pt" strokecolor="#000000">
            <v:stroke dashstyle="solid"/>
            <w10:wrap type="none"/>
          </v:line>
        </w:pict>
      </w:r>
      <w:r>
        <w:rPr>
          <w:position w:val="15"/>
        </w:rPr>
        <w:t>1 </w:t>
      </w:r>
      <w:r>
        <w:rPr>
          <w:rFonts w:ascii="Microsoft YaHei"/>
          <w:spacing w:val="-5"/>
          <w:sz w:val="31"/>
        </w:rPr>
        <w:t>(</w:t>
      </w:r>
      <w:r>
        <w:rPr>
          <w:spacing w:val="-5"/>
        </w:rPr>
        <w:t>a  </w:t>
      </w:r>
      <w:r>
        <w:rPr>
          <w:rFonts w:ascii="Constantia"/>
        </w:rPr>
        <w:t>+ </w:t>
      </w:r>
      <w:r>
        <w:rPr/>
        <w:t>a   </w:t>
      </w:r>
      <w:r>
        <w:rPr>
          <w:rFonts w:ascii="Constantia"/>
        </w:rPr>
        <w:t>+ </w:t>
      </w:r>
      <w:r>
        <w:rPr/>
        <w:t>....a</w:t>
      </w:r>
      <w:r>
        <w:rPr>
          <w:spacing w:val="-25"/>
        </w:rPr>
        <w:t> </w:t>
      </w:r>
      <w:r>
        <w:rPr>
          <w:rFonts w:ascii="Microsoft YaHei"/>
          <w:spacing w:val="-16"/>
          <w:sz w:val="31"/>
        </w:rPr>
        <w:t>)</w:t>
      </w:r>
    </w:p>
    <w:p>
      <w:pPr>
        <w:tabs>
          <w:tab w:pos="1738" w:val="left" w:leader="none"/>
          <w:tab w:pos="2177" w:val="left" w:leader="none"/>
          <w:tab w:pos="2847" w:val="left" w:leader="none"/>
        </w:tabs>
        <w:spacing w:line="14" w:lineRule="auto" w:before="0"/>
        <w:ind w:left="1380" w:right="0" w:firstLine="0"/>
        <w:jc w:val="left"/>
        <w:rPr>
          <w:sz w:val="14"/>
        </w:rPr>
      </w:pPr>
      <w:r>
        <w:rPr>
          <w:position w:val="-12"/>
          <w:sz w:val="24"/>
        </w:rPr>
        <w:t>n</w:t>
        <w:tab/>
      </w:r>
      <w:r>
        <w:rPr>
          <w:sz w:val="14"/>
        </w:rPr>
        <w:t>1</w:t>
        <w:tab/>
        <w:t>2</w:t>
        <w:tab/>
        <w:t>n</w:t>
      </w:r>
    </w:p>
    <w:p>
      <w:pPr>
        <w:pStyle w:val="BodyText"/>
        <w:spacing w:before="76"/>
        <w:ind w:left="72"/>
      </w:pPr>
      <w:r>
        <w:rPr/>
        <w:br w:type="column"/>
      </w:r>
      <w:r>
        <w:rPr>
          <w:spacing w:val="-2"/>
          <w:w w:val="100"/>
        </w:rPr>
        <w:t>a</w:t>
      </w:r>
      <w:r>
        <w:rPr>
          <w:spacing w:val="-1"/>
          <w:w w:val="100"/>
        </w:rPr>
        <w:t>n</w:t>
      </w:r>
      <w:r>
        <w:rPr>
          <w:w w:val="100"/>
        </w:rPr>
        <w:t>d</w:t>
      </w:r>
      <w:r>
        <w:rPr>
          <w:spacing w:val="21"/>
        </w:rPr>
        <w:t> </w:t>
      </w:r>
      <w:r>
        <w:rPr>
          <w:spacing w:val="-1"/>
          <w:w w:val="100"/>
        </w:rPr>
        <w:t>th</w:t>
      </w:r>
      <w:r>
        <w:rPr>
          <w:w w:val="100"/>
        </w:rPr>
        <w:t>e</w:t>
      </w:r>
      <w:r>
        <w:rPr>
          <w:spacing w:val="20"/>
        </w:rPr>
        <w:t> </w:t>
      </w:r>
      <w:r>
        <w:rPr>
          <w:spacing w:val="-1"/>
          <w:w w:val="100"/>
        </w:rPr>
        <w:t>G</w:t>
      </w:r>
      <w:r>
        <w:rPr>
          <w:w w:val="100"/>
        </w:rPr>
        <w:t>M</w:t>
      </w:r>
      <w:r>
        <w:rPr>
          <w:spacing w:val="21"/>
        </w:rPr>
        <w:t> </w:t>
      </w:r>
      <w:r>
        <w:rPr>
          <w:w w:val="100"/>
        </w:rPr>
        <w:t>is</w:t>
      </w:r>
      <w:r>
        <w:rPr/>
        <w:t> </w:t>
      </w:r>
      <w:r>
        <w:rPr>
          <w:spacing w:val="-8"/>
        </w:rPr>
        <w:t> </w:t>
      </w:r>
      <w:r>
        <w:rPr>
          <w:rFonts w:ascii="Arial"/>
          <w:spacing w:val="-8"/>
          <w:w w:val="76"/>
          <w:sz w:val="31"/>
        </w:rPr>
        <w:t>(</w:t>
      </w:r>
      <w:r>
        <w:rPr>
          <w:spacing w:val="4"/>
          <w:w w:val="99"/>
        </w:rPr>
        <w:t>a</w:t>
      </w:r>
      <w:r>
        <w:rPr>
          <w:spacing w:val="-6"/>
          <w:w w:val="99"/>
          <w:position w:val="-5"/>
          <w:sz w:val="14"/>
        </w:rPr>
        <w:t>1</w:t>
      </w:r>
      <w:r>
        <w:rPr>
          <w:spacing w:val="20"/>
          <w:w w:val="99"/>
        </w:rPr>
        <w:t>a</w:t>
      </w:r>
      <w:r>
        <w:rPr>
          <w:spacing w:val="6"/>
          <w:w w:val="99"/>
          <w:position w:val="-5"/>
          <w:sz w:val="14"/>
        </w:rPr>
        <w:t>2</w:t>
      </w:r>
      <w:r>
        <w:rPr>
          <w:spacing w:val="16"/>
          <w:w w:val="99"/>
        </w:rPr>
        <w:t>a</w:t>
      </w:r>
      <w:r>
        <w:rPr>
          <w:spacing w:val="6"/>
          <w:w w:val="99"/>
          <w:position w:val="-5"/>
          <w:sz w:val="14"/>
        </w:rPr>
        <w:t>3</w:t>
      </w:r>
      <w:r>
        <w:rPr>
          <w:w w:val="99"/>
        </w:rPr>
        <w:t>..</w:t>
      </w:r>
      <w:r>
        <w:rPr>
          <w:spacing w:val="-10"/>
          <w:w w:val="99"/>
        </w:rPr>
        <w:t>.</w:t>
      </w:r>
      <w:r>
        <w:rPr>
          <w:spacing w:val="18"/>
          <w:w w:val="99"/>
        </w:rPr>
        <w:t>a</w:t>
      </w:r>
      <w:r>
        <w:rPr>
          <w:w w:val="99"/>
          <w:position w:val="-5"/>
          <w:sz w:val="14"/>
        </w:rPr>
        <w:t>n</w:t>
      </w:r>
      <w:r>
        <w:rPr>
          <w:spacing w:val="5"/>
          <w:position w:val="-5"/>
          <w:sz w:val="14"/>
        </w:rPr>
        <w:t> </w:t>
      </w:r>
      <w:r>
        <w:rPr>
          <w:rFonts w:ascii="Arial"/>
          <w:w w:val="76"/>
          <w:sz w:val="31"/>
        </w:rPr>
        <w:t>)</w:t>
      </w:r>
      <w:r>
        <w:rPr>
          <w:rFonts w:ascii="Arial"/>
          <w:spacing w:val="-5"/>
          <w:sz w:val="31"/>
        </w:rPr>
        <w:t> </w:t>
      </w:r>
      <w:r>
        <w:rPr>
          <w:w w:val="99"/>
          <w:position w:val="5"/>
          <w:sz w:val="14"/>
        </w:rPr>
        <w:t>n</w:t>
      </w:r>
      <w:r>
        <w:rPr>
          <w:spacing w:val="5"/>
          <w:position w:val="5"/>
          <w:sz w:val="14"/>
        </w:rPr>
        <w:t> </w:t>
      </w:r>
      <w:r>
        <w:rPr>
          <w:w w:val="100"/>
        </w:rPr>
        <w:t>.</w:t>
      </w:r>
      <w:r>
        <w:rPr/>
        <w:t>  </w:t>
      </w:r>
      <w:r>
        <w:rPr>
          <w:spacing w:val="-18"/>
        </w:rPr>
        <w:t> </w:t>
      </w:r>
      <w:r>
        <w:rPr>
          <w:w w:val="100"/>
        </w:rPr>
        <w:t>So</w:t>
      </w:r>
      <w:r>
        <w:rPr>
          <w:spacing w:val="21"/>
        </w:rPr>
        <w:t> </w:t>
      </w:r>
      <w:r>
        <w:rPr>
          <w:w w:val="100"/>
        </w:rPr>
        <w:t>l</w:t>
      </w:r>
      <w:r>
        <w:rPr>
          <w:spacing w:val="-1"/>
          <w:w w:val="100"/>
        </w:rPr>
        <w:t>on</w:t>
      </w:r>
      <w:r>
        <w:rPr>
          <w:w w:val="100"/>
        </w:rPr>
        <w:t>g</w:t>
      </w:r>
      <w:r>
        <w:rPr>
          <w:spacing w:val="18"/>
        </w:rPr>
        <w:t> </w:t>
      </w:r>
      <w:r>
        <w:rPr>
          <w:spacing w:val="-1"/>
          <w:w w:val="100"/>
        </w:rPr>
        <w:t>a</w:t>
      </w:r>
      <w:r>
        <w:rPr>
          <w:w w:val="100"/>
        </w:rPr>
        <w:t>s</w:t>
      </w:r>
      <w:r>
        <w:rPr>
          <w:spacing w:val="23"/>
        </w:rPr>
        <w:t> </w:t>
      </w:r>
      <w:r>
        <w:rPr>
          <w:w w:val="100"/>
        </w:rPr>
        <w:t>t</w:t>
      </w:r>
      <w:r>
        <w:rPr>
          <w:spacing w:val="-1"/>
          <w:w w:val="100"/>
        </w:rPr>
        <w:t>h</w:t>
      </w:r>
      <w:r>
        <w:rPr>
          <w:w w:val="100"/>
        </w:rPr>
        <w:t>e</w:t>
      </w:r>
      <w:r>
        <w:rPr>
          <w:spacing w:val="23"/>
        </w:rPr>
        <w:t> </w:t>
      </w:r>
      <w:r>
        <w:rPr>
          <w:spacing w:val="-1"/>
          <w:w w:val="100"/>
        </w:rPr>
        <w:t>nu</w:t>
      </w:r>
      <w:r>
        <w:rPr>
          <w:w w:val="100"/>
        </w:rPr>
        <w:t>m</w:t>
      </w:r>
      <w:r>
        <w:rPr>
          <w:spacing w:val="2"/>
          <w:w w:val="100"/>
        </w:rPr>
        <w:t>b</w:t>
      </w:r>
      <w:r>
        <w:rPr>
          <w:spacing w:val="-2"/>
          <w:w w:val="100"/>
        </w:rPr>
        <w:t>e</w:t>
      </w:r>
      <w:r>
        <w:rPr>
          <w:spacing w:val="-1"/>
          <w:w w:val="100"/>
        </w:rPr>
        <w:t>r</w:t>
      </w:r>
      <w:r>
        <w:rPr>
          <w:w w:val="100"/>
        </w:rPr>
        <w:t>s</w:t>
      </w:r>
      <w:r>
        <w:rPr>
          <w:spacing w:val="23"/>
        </w:rPr>
        <w:t> </w:t>
      </w:r>
      <w:r>
        <w:rPr>
          <w:spacing w:val="-1"/>
          <w:w w:val="100"/>
        </w:rPr>
        <w:t>a</w:t>
      </w:r>
      <w:r>
        <w:rPr>
          <w:spacing w:val="1"/>
          <w:w w:val="100"/>
        </w:rPr>
        <w:t>r</w:t>
      </w:r>
      <w:r>
        <w:rPr>
          <w:w w:val="100"/>
        </w:rPr>
        <w:t>e</w:t>
      </w:r>
      <w:r>
        <w:rPr>
          <w:spacing w:val="23"/>
        </w:rPr>
        <w:t> </w:t>
      </w:r>
      <w:r>
        <w:rPr>
          <w:spacing w:val="-1"/>
          <w:w w:val="100"/>
        </w:rPr>
        <w:t>a</w:t>
      </w:r>
      <w:r>
        <w:rPr>
          <w:w w:val="100"/>
        </w:rPr>
        <w:t>ll</w:t>
      </w:r>
    </w:p>
    <w:p>
      <w:pPr>
        <w:spacing w:after="0"/>
        <w:sectPr>
          <w:type w:val="continuous"/>
          <w:pgSz w:w="12240" w:h="15840"/>
          <w:pgMar w:top="1180" w:bottom="280" w:left="1000" w:right="1220"/>
          <w:cols w:num="2" w:equalWidth="0">
            <w:col w:w="3035" w:space="40"/>
            <w:col w:w="6945"/>
          </w:cols>
        </w:sectPr>
      </w:pPr>
    </w:p>
    <w:p>
      <w:pPr>
        <w:pStyle w:val="BodyText"/>
        <w:spacing w:before="133"/>
        <w:ind w:left="1325"/>
      </w:pPr>
      <w:r>
        <w:rPr/>
        <w:t>positive and not all the same, a famous theorem in mathematics states that the GM</w:t>
      </w:r>
    </w:p>
    <w:p>
      <w:pPr>
        <w:spacing w:after="0"/>
        <w:sectPr>
          <w:type w:val="continuous"/>
          <w:pgSz w:w="12240" w:h="15840"/>
          <w:pgMar w:top="1180" w:bottom="280" w:left="1000" w:right="1220"/>
        </w:sectPr>
      </w:pPr>
    </w:p>
    <w:p>
      <w:pPr>
        <w:pStyle w:val="BodyText"/>
        <w:spacing w:line="206" w:lineRule="auto" w:before="43"/>
        <w:ind w:left="1325" w:hanging="1"/>
      </w:pPr>
      <w:r>
        <w:rPr/>
        <w:pict>
          <v:line style="position:absolute;mso-position-horizontal-relative:page;mso-position-vertical-relative:paragraph;z-index:-254261248" from="429.479994pt,3.156428pt" to="416.399994pt,21.636428pt" stroked="true" strokeweight=".495pt" strokecolor="#000000">
            <v:stroke dashstyle="solid"/>
            <w10:wrap type="none"/>
          </v:line>
        </w:pict>
      </w:r>
      <w:r>
        <w:rPr/>
        <w:pict>
          <v:line style="position:absolute;mso-position-horizontal-relative:page;mso-position-vertical-relative:paragraph;z-index:-254260224" from="201.239998pt,27.036428pt" to="193.559998pt,37.716428pt" stroked="true" strokeweight=".248pt" strokecolor="#000000">
            <v:stroke dashstyle="solid"/>
            <w10:wrap type="none"/>
          </v:line>
        </w:pict>
      </w:r>
      <w:r>
        <w:rPr/>
        <w:pict>
          <v:shape style="position:absolute;margin-left:194.040359pt;margin-top:26.209814pt;width:3.5pt;height:7.75pt;mso-position-horizontal-relative:page;mso-position-vertical-relative:paragraph;z-index:-254257152" type="#_x0000_t202" filled="false" stroked="false">
            <v:textbox inset="0,0,0,0">
              <w:txbxContent>
                <w:p>
                  <w:pPr>
                    <w:spacing w:line="155" w:lineRule="exact" w:before="0"/>
                    <w:ind w:left="0" w:right="0" w:firstLine="0"/>
                    <w:jc w:val="left"/>
                    <w:rPr>
                      <w:sz w:val="14"/>
                    </w:rPr>
                  </w:pPr>
                  <w:r>
                    <w:rPr>
                      <w:w w:val="99"/>
                      <w:sz w:val="14"/>
                    </w:rPr>
                    <w:t>1</w:t>
                  </w:r>
                </w:p>
              </w:txbxContent>
            </v:textbox>
            <w10:wrap type="none"/>
          </v:shape>
        </w:pict>
      </w:r>
      <w:r>
        <w:rPr/>
        <w:t>is less</w:t>
      </w:r>
      <w:r>
        <w:rPr>
          <w:spacing w:val="-1"/>
        </w:rPr>
        <w:t> </w:t>
      </w:r>
      <w:r>
        <w:rPr/>
        <w:t>than</w:t>
      </w:r>
      <w:r>
        <w:rPr>
          <w:spacing w:val="-1"/>
        </w:rPr>
        <w:t> </w:t>
      </w:r>
      <w:r>
        <w:rPr/>
        <w:t>the</w:t>
      </w:r>
      <w:r>
        <w:rPr>
          <w:spacing w:val="-1"/>
        </w:rPr>
        <w:t> </w:t>
      </w:r>
      <w:r>
        <w:rPr/>
        <w:t>AM.  For</w:t>
      </w:r>
      <w:r>
        <w:rPr>
          <w:spacing w:val="-1"/>
        </w:rPr>
        <w:t> </w:t>
      </w:r>
      <w:r>
        <w:rPr/>
        <w:t>example</w:t>
      </w:r>
      <w:r>
        <w:rPr>
          <w:spacing w:val="-1"/>
        </w:rPr>
        <w:t> </w:t>
      </w:r>
      <w:r>
        <w:rPr/>
        <w:t>if</w:t>
      </w:r>
      <w:r>
        <w:rPr>
          <w:spacing w:val="34"/>
        </w:rPr>
        <w:t> </w:t>
      </w:r>
      <w:r>
        <w:rPr/>
        <w:t>a</w:t>
      </w:r>
      <w:r>
        <w:rPr>
          <w:position w:val="-5"/>
          <w:sz w:val="14"/>
        </w:rPr>
        <w:t>1</w:t>
      </w:r>
      <w:r>
        <w:rPr>
          <w:spacing w:val="6"/>
          <w:position w:val="-5"/>
          <w:sz w:val="14"/>
        </w:rPr>
        <w:t> </w:t>
      </w:r>
      <w:r>
        <w:rPr>
          <w:rFonts w:ascii="Castellar"/>
        </w:rPr>
        <w:t>=</w:t>
      </w:r>
      <w:r>
        <w:rPr>
          <w:rFonts w:ascii="Castellar"/>
          <w:spacing w:val="-47"/>
        </w:rPr>
        <w:t> </w:t>
      </w:r>
      <w:r>
        <w:rPr>
          <w:spacing w:val="-11"/>
        </w:rPr>
        <w:t>1,</w:t>
      </w:r>
      <w:r>
        <w:rPr>
          <w:spacing w:val="-40"/>
        </w:rPr>
        <w:t> </w:t>
      </w:r>
      <w:r>
        <w:rPr>
          <w:spacing w:val="9"/>
        </w:rPr>
        <w:t>a</w:t>
      </w:r>
      <w:r>
        <w:rPr>
          <w:spacing w:val="9"/>
          <w:position w:val="-5"/>
          <w:sz w:val="14"/>
        </w:rPr>
        <w:t>2</w:t>
      </w:r>
      <w:r>
        <w:rPr>
          <w:spacing w:val="52"/>
          <w:position w:val="-5"/>
          <w:sz w:val="14"/>
        </w:rPr>
        <w:t> </w:t>
      </w:r>
      <w:r>
        <w:rPr>
          <w:rFonts w:ascii="Castellar"/>
        </w:rPr>
        <w:t>=</w:t>
      </w:r>
      <w:r>
        <w:rPr>
          <w:rFonts w:ascii="Castellar"/>
          <w:spacing w:val="-22"/>
        </w:rPr>
        <w:t> </w:t>
      </w:r>
      <w:r>
        <w:rPr/>
        <w:t>4</w:t>
      </w:r>
      <w:r>
        <w:rPr>
          <w:spacing w:val="29"/>
        </w:rPr>
        <w:t> </w:t>
      </w:r>
      <w:r>
        <w:rPr/>
        <w:t>, the</w:t>
      </w:r>
      <w:r>
        <w:rPr>
          <w:spacing w:val="-1"/>
        </w:rPr>
        <w:t> </w:t>
      </w:r>
      <w:r>
        <w:rPr/>
        <w:t>AM is </w:t>
      </w:r>
      <w:r>
        <w:rPr>
          <w:spacing w:val="7"/>
          <w:position w:val="6"/>
        </w:rPr>
        <w:t>1</w:t>
      </w:r>
      <w:r>
        <w:rPr>
          <w:spacing w:val="7"/>
          <w:position w:val="-11"/>
        </w:rPr>
        <w:t>2</w:t>
      </w:r>
      <w:r>
        <w:rPr>
          <w:spacing w:val="-35"/>
          <w:position w:val="-11"/>
        </w:rPr>
        <w:t> </w:t>
      </w:r>
      <w:r>
        <w:rPr>
          <w:rFonts w:ascii="Arial"/>
          <w:spacing w:val="-15"/>
          <w:sz w:val="31"/>
        </w:rPr>
        <w:t>(</w:t>
      </w:r>
      <w:r>
        <w:rPr>
          <w:spacing w:val="-15"/>
        </w:rPr>
        <w:t>1</w:t>
      </w:r>
      <w:r>
        <w:rPr>
          <w:spacing w:val="-34"/>
        </w:rPr>
        <w:t> </w:t>
      </w:r>
      <w:r>
        <w:rPr>
          <w:rFonts w:ascii="Castellar"/>
        </w:rPr>
        <w:t>+</w:t>
      </w:r>
      <w:r>
        <w:rPr>
          <w:rFonts w:ascii="Castellar"/>
          <w:spacing w:val="-38"/>
        </w:rPr>
        <w:t> </w:t>
      </w:r>
      <w:r>
        <w:rPr>
          <w:spacing w:val="3"/>
        </w:rPr>
        <w:t>4</w:t>
      </w:r>
      <w:r>
        <w:rPr>
          <w:rFonts w:ascii="Arial"/>
          <w:spacing w:val="3"/>
          <w:sz w:val="31"/>
        </w:rPr>
        <w:t>)</w:t>
      </w:r>
      <w:r>
        <w:rPr>
          <w:rFonts w:ascii="Arial"/>
          <w:spacing w:val="-39"/>
          <w:sz w:val="31"/>
        </w:rPr>
        <w:t> </w:t>
      </w:r>
      <w:r>
        <w:rPr>
          <w:rFonts w:ascii="Castellar"/>
        </w:rPr>
        <w:t>=</w:t>
      </w:r>
      <w:r>
        <w:rPr>
          <w:rFonts w:ascii="Castellar"/>
          <w:spacing w:val="-19"/>
        </w:rPr>
        <w:t> </w:t>
      </w:r>
      <w:r>
        <w:rPr/>
        <w:t>2 the GM is </w:t>
      </w:r>
      <w:r>
        <w:rPr>
          <w:rFonts w:ascii="Microsoft YaHei"/>
          <w:spacing w:val="-5"/>
          <w:sz w:val="31"/>
        </w:rPr>
        <w:t>(</w:t>
      </w:r>
      <w:r>
        <w:rPr>
          <w:spacing w:val="-5"/>
        </w:rPr>
        <w:t>1x4</w:t>
      </w:r>
      <w:r>
        <w:rPr>
          <w:rFonts w:ascii="Microsoft YaHei"/>
          <w:spacing w:val="-5"/>
          <w:sz w:val="31"/>
        </w:rPr>
        <w:t>) </w:t>
      </w:r>
      <w:r>
        <w:rPr>
          <w:position w:val="5"/>
          <w:sz w:val="14"/>
        </w:rPr>
        <w:t>2 </w:t>
      </w:r>
      <w:r>
        <w:rPr>
          <w:rFonts w:ascii="Open Sans"/>
          <w:i/>
        </w:rPr>
        <w:t>= </w:t>
      </w:r>
      <w:r>
        <w:rPr/>
        <w:t>2</w:t>
      </w:r>
      <w:r>
        <w:rPr>
          <w:spacing w:val="-5"/>
        </w:rPr>
        <w:t> </w:t>
      </w:r>
      <w:r>
        <w:rPr/>
        <w:t>.</w:t>
      </w:r>
    </w:p>
    <w:p>
      <w:pPr>
        <w:pStyle w:val="BodyText"/>
        <w:spacing w:before="84"/>
        <w:ind w:left="62"/>
      </w:pPr>
      <w:r>
        <w:rPr/>
        <w:br w:type="column"/>
      </w:r>
      <w:r>
        <w:rPr/>
        <w:t>½ and</w:t>
      </w:r>
    </w:p>
    <w:p>
      <w:pPr>
        <w:spacing w:after="0"/>
        <w:sectPr>
          <w:type w:val="continuous"/>
          <w:pgSz w:w="12240" w:h="15840"/>
          <w:pgMar w:top="1180" w:bottom="280" w:left="1000" w:right="1220"/>
          <w:cols w:num="2" w:equalWidth="0">
            <w:col w:w="8582" w:space="40"/>
            <w:col w:w="1398"/>
          </w:cols>
        </w:sectPr>
      </w:pPr>
    </w:p>
    <w:p>
      <w:pPr>
        <w:pStyle w:val="BodyText"/>
        <w:rPr>
          <w:sz w:val="12"/>
        </w:rPr>
      </w:pPr>
    </w:p>
    <w:p>
      <w:pPr>
        <w:pStyle w:val="ListParagraph"/>
        <w:numPr>
          <w:ilvl w:val="0"/>
          <w:numId w:val="4"/>
        </w:numPr>
        <w:tabs>
          <w:tab w:pos="1326" w:val="left" w:leader="none"/>
        </w:tabs>
        <w:spacing w:line="240" w:lineRule="auto" w:before="90" w:after="0"/>
        <w:ind w:left="1325" w:right="745" w:hanging="360"/>
        <w:jc w:val="both"/>
        <w:rPr>
          <w:sz w:val="24"/>
        </w:rPr>
      </w:pPr>
      <w:r>
        <w:rPr>
          <w:sz w:val="24"/>
        </w:rPr>
        <w:t>This is based on a long-run rate of house price inflation of 4.5% (in line with trend average earnings growth) and council tax rises of 6.5% a year (the average gap between council tax rises and RPIX inflation over the last seven years is around 4 percentage</w:t>
      </w:r>
      <w:r>
        <w:rPr>
          <w:spacing w:val="-3"/>
          <w:sz w:val="24"/>
        </w:rPr>
        <w:t> </w:t>
      </w:r>
      <w:r>
        <w:rPr>
          <w:sz w:val="24"/>
        </w:rPr>
        <w:t>points).</w:t>
      </w:r>
    </w:p>
    <w:p>
      <w:pPr>
        <w:pStyle w:val="BodyText"/>
      </w:pPr>
    </w:p>
    <w:p>
      <w:pPr>
        <w:pStyle w:val="ListParagraph"/>
        <w:numPr>
          <w:ilvl w:val="0"/>
          <w:numId w:val="4"/>
        </w:numPr>
        <w:tabs>
          <w:tab w:pos="1326" w:val="left" w:leader="none"/>
        </w:tabs>
        <w:spacing w:line="240" w:lineRule="auto" w:before="1" w:after="0"/>
        <w:ind w:left="1325" w:right="740" w:hanging="360"/>
        <w:jc w:val="both"/>
        <w:rPr>
          <w:sz w:val="24"/>
        </w:rPr>
      </w:pPr>
      <w:r>
        <w:rPr>
          <w:sz w:val="24"/>
        </w:rPr>
        <w:t>The housing depreciation element of RPIX is supposed to capture the contribution to the cost of living of the costs associated with maintaining homes in response to their natural tendency to depreciate over time – eg. replacing the roof when necessary. This element was only introduced into the RPI in 1995 as a consequence of the majority recommendation of the RPI Advisory Committee (see CSO, 1994). This majority recommendation suggested that the costs associated with putting right the depredations of ageing in homes was best measured by a distributed lag on house prices. As the closely argued minority view expressed by Michael Fleming, Rita Maurice and Ralph Turvey noted, there was a serious problem here, namely that a substantial proportion of the rise in the price of housing reflects a rise in the price of land. Since land does not depreciate, the price of housing does not accurately reflect housing depreciation costs, indeed it typically overstates them (although not always; it probably understates them when house prices are falling). Arguably, some index of building costs would probably have been a better indicator of housing depreciation</w:t>
      </w:r>
      <w:r>
        <w:rPr>
          <w:spacing w:val="-19"/>
          <w:sz w:val="24"/>
        </w:rPr>
        <w:t> </w:t>
      </w:r>
      <w:r>
        <w:rPr>
          <w:sz w:val="24"/>
        </w:rPr>
        <w:t>costs.</w:t>
      </w:r>
    </w:p>
    <w:p>
      <w:pPr>
        <w:pStyle w:val="BodyText"/>
      </w:pPr>
    </w:p>
    <w:p>
      <w:pPr>
        <w:pStyle w:val="ListParagraph"/>
        <w:numPr>
          <w:ilvl w:val="0"/>
          <w:numId w:val="4"/>
        </w:numPr>
        <w:tabs>
          <w:tab w:pos="1326" w:val="left" w:leader="none"/>
        </w:tabs>
        <w:spacing w:line="240" w:lineRule="auto" w:before="0" w:after="0"/>
        <w:ind w:left="1325" w:right="742" w:hanging="360"/>
        <w:jc w:val="both"/>
        <w:rPr>
          <w:sz w:val="24"/>
        </w:rPr>
      </w:pPr>
      <w:r>
        <w:rPr>
          <w:sz w:val="24"/>
        </w:rPr>
        <w:t>In terms of HICP inflation, we currently have a target which is 1.7 (2.5 less 0.8). This is moved up to 2.0 after the switch. So if </w:t>
      </w:r>
      <w:r>
        <w:rPr>
          <w:i/>
          <w:sz w:val="24"/>
        </w:rPr>
        <w:t>r </w:t>
      </w:r>
      <w:r>
        <w:rPr>
          <w:sz w:val="24"/>
        </w:rPr>
        <w:t>is the nominal rate, the real rate shifts from (</w:t>
      </w:r>
      <w:r>
        <w:rPr>
          <w:i/>
          <w:sz w:val="24"/>
        </w:rPr>
        <w:t>r</w:t>
      </w:r>
      <w:r>
        <w:rPr>
          <w:sz w:val="24"/>
        </w:rPr>
        <w:t>-1.7) to (</w:t>
      </w:r>
      <w:r>
        <w:rPr>
          <w:i/>
          <w:sz w:val="24"/>
        </w:rPr>
        <w:t>r</w:t>
      </w:r>
      <w:r>
        <w:rPr>
          <w:sz w:val="24"/>
        </w:rPr>
        <w:t>-2.0). If the real rate is to remain unchanged, the nominal rate must be 0.3 pp higher after the</w:t>
      </w:r>
      <w:r>
        <w:rPr>
          <w:spacing w:val="-9"/>
          <w:sz w:val="24"/>
        </w:rPr>
        <w:t> </w:t>
      </w:r>
      <w:r>
        <w:rPr>
          <w:sz w:val="24"/>
        </w:rPr>
        <w:t>switch.</w:t>
      </w:r>
    </w:p>
    <w:p>
      <w:pPr>
        <w:pStyle w:val="BodyText"/>
      </w:pPr>
    </w:p>
    <w:p>
      <w:pPr>
        <w:pStyle w:val="ListParagraph"/>
        <w:numPr>
          <w:ilvl w:val="0"/>
          <w:numId w:val="4"/>
        </w:numPr>
        <w:tabs>
          <w:tab w:pos="1326" w:val="left" w:leader="none"/>
        </w:tabs>
        <w:spacing w:line="240" w:lineRule="auto" w:before="0" w:after="0"/>
        <w:ind w:left="1325" w:right="747" w:hanging="361"/>
        <w:jc w:val="both"/>
        <w:rPr>
          <w:sz w:val="24"/>
        </w:rPr>
      </w:pPr>
      <w:r>
        <w:rPr>
          <w:sz w:val="24"/>
        </w:rPr>
        <w:t>See Cox et al. (2002) for data up to 2000. A recent survey by NMG research suggests that this has remained more or less true up to</w:t>
      </w:r>
      <w:r>
        <w:rPr>
          <w:spacing w:val="-17"/>
          <w:sz w:val="24"/>
        </w:rPr>
        <w:t> </w:t>
      </w:r>
      <w:r>
        <w:rPr>
          <w:sz w:val="24"/>
        </w:rPr>
        <w:t>2003.</w:t>
      </w:r>
    </w:p>
    <w:p>
      <w:pPr>
        <w:pStyle w:val="BodyText"/>
      </w:pPr>
    </w:p>
    <w:p>
      <w:pPr>
        <w:pStyle w:val="ListParagraph"/>
        <w:numPr>
          <w:ilvl w:val="0"/>
          <w:numId w:val="4"/>
        </w:numPr>
        <w:tabs>
          <w:tab w:pos="1326" w:val="left" w:leader="none"/>
        </w:tabs>
        <w:spacing w:line="240" w:lineRule="auto" w:before="0" w:after="0"/>
        <w:ind w:left="1325" w:right="0" w:hanging="361"/>
        <w:jc w:val="left"/>
        <w:rPr>
          <w:sz w:val="24"/>
        </w:rPr>
      </w:pPr>
      <w:r>
        <w:rPr>
          <w:sz w:val="24"/>
        </w:rPr>
        <w:t>See Nickell (2002) for a detailed</w:t>
      </w:r>
      <w:r>
        <w:rPr>
          <w:spacing w:val="-6"/>
          <w:sz w:val="24"/>
        </w:rPr>
        <w:t> </w:t>
      </w:r>
      <w:r>
        <w:rPr>
          <w:sz w:val="24"/>
        </w:rPr>
        <w:t>analysis.</w:t>
      </w:r>
    </w:p>
    <w:p>
      <w:pPr>
        <w:pStyle w:val="BodyText"/>
      </w:pPr>
    </w:p>
    <w:p>
      <w:pPr>
        <w:pStyle w:val="ListParagraph"/>
        <w:numPr>
          <w:ilvl w:val="0"/>
          <w:numId w:val="4"/>
        </w:numPr>
        <w:tabs>
          <w:tab w:pos="1326" w:val="left" w:leader="none"/>
        </w:tabs>
        <w:spacing w:line="240" w:lineRule="auto" w:before="0" w:after="0"/>
        <w:ind w:left="1325" w:right="745" w:hanging="360"/>
        <w:jc w:val="both"/>
        <w:rPr>
          <w:sz w:val="24"/>
        </w:rPr>
      </w:pPr>
      <w:r>
        <w:rPr>
          <w:sz w:val="24"/>
        </w:rPr>
        <w:t>Simply to clarify, household savings are equal to their net acquisition of financial assets</w:t>
      </w:r>
      <w:r>
        <w:rPr>
          <w:spacing w:val="-4"/>
          <w:sz w:val="24"/>
        </w:rPr>
        <w:t> </w:t>
      </w:r>
      <w:r>
        <w:rPr>
          <w:sz w:val="24"/>
        </w:rPr>
        <w:t>shown</w:t>
      </w:r>
      <w:r>
        <w:rPr>
          <w:spacing w:val="-3"/>
          <w:sz w:val="24"/>
        </w:rPr>
        <w:t> </w:t>
      </w:r>
      <w:r>
        <w:rPr>
          <w:sz w:val="24"/>
        </w:rPr>
        <w:t>in</w:t>
      </w:r>
      <w:r>
        <w:rPr>
          <w:spacing w:val="-4"/>
          <w:sz w:val="24"/>
        </w:rPr>
        <w:t> </w:t>
      </w:r>
      <w:r>
        <w:rPr>
          <w:sz w:val="24"/>
        </w:rPr>
        <w:t>Figure</w:t>
      </w:r>
      <w:r>
        <w:rPr>
          <w:spacing w:val="-3"/>
          <w:sz w:val="24"/>
        </w:rPr>
        <w:t> </w:t>
      </w:r>
      <w:r>
        <w:rPr>
          <w:sz w:val="24"/>
        </w:rPr>
        <w:t>8</w:t>
      </w:r>
      <w:r>
        <w:rPr>
          <w:spacing w:val="-3"/>
          <w:sz w:val="24"/>
        </w:rPr>
        <w:t> </w:t>
      </w:r>
      <w:r>
        <w:rPr>
          <w:sz w:val="24"/>
        </w:rPr>
        <w:t>plus</w:t>
      </w:r>
      <w:r>
        <w:rPr>
          <w:spacing w:val="-4"/>
          <w:sz w:val="24"/>
        </w:rPr>
        <w:t> </w:t>
      </w:r>
      <w:r>
        <w:rPr>
          <w:sz w:val="24"/>
        </w:rPr>
        <w:t>their</w:t>
      </w:r>
      <w:r>
        <w:rPr>
          <w:spacing w:val="-3"/>
          <w:sz w:val="24"/>
        </w:rPr>
        <w:t> </w:t>
      </w:r>
      <w:r>
        <w:rPr>
          <w:sz w:val="24"/>
        </w:rPr>
        <w:t>net</w:t>
      </w:r>
      <w:r>
        <w:rPr>
          <w:spacing w:val="-4"/>
          <w:sz w:val="24"/>
        </w:rPr>
        <w:t> </w:t>
      </w:r>
      <w:r>
        <w:rPr>
          <w:sz w:val="24"/>
        </w:rPr>
        <w:t>acquisition</w:t>
      </w:r>
      <w:r>
        <w:rPr>
          <w:spacing w:val="-3"/>
          <w:sz w:val="24"/>
        </w:rPr>
        <w:t> </w:t>
      </w:r>
      <w:r>
        <w:rPr>
          <w:sz w:val="24"/>
        </w:rPr>
        <w:t>of</w:t>
      </w:r>
      <w:r>
        <w:rPr>
          <w:spacing w:val="-3"/>
          <w:sz w:val="24"/>
        </w:rPr>
        <w:t> </w:t>
      </w:r>
      <w:r>
        <w:rPr>
          <w:sz w:val="24"/>
        </w:rPr>
        <w:t>real</w:t>
      </w:r>
      <w:r>
        <w:rPr>
          <w:spacing w:val="-4"/>
          <w:sz w:val="24"/>
        </w:rPr>
        <w:t> </w:t>
      </w:r>
      <w:r>
        <w:rPr>
          <w:sz w:val="24"/>
        </w:rPr>
        <w:t>assets,</w:t>
      </w:r>
      <w:r>
        <w:rPr>
          <w:spacing w:val="-3"/>
          <w:sz w:val="24"/>
        </w:rPr>
        <w:t> </w:t>
      </w:r>
      <w:r>
        <w:rPr>
          <w:sz w:val="24"/>
        </w:rPr>
        <w:t>basically</w:t>
      </w:r>
      <w:r>
        <w:rPr>
          <w:spacing w:val="-8"/>
          <w:sz w:val="24"/>
        </w:rPr>
        <w:t> </w:t>
      </w:r>
      <w:r>
        <w:rPr>
          <w:sz w:val="24"/>
        </w:rPr>
        <w:t>housing.</w:t>
      </w:r>
    </w:p>
    <w:p>
      <w:pPr>
        <w:pStyle w:val="BodyText"/>
      </w:pPr>
    </w:p>
    <w:p>
      <w:pPr>
        <w:pStyle w:val="ListParagraph"/>
        <w:numPr>
          <w:ilvl w:val="0"/>
          <w:numId w:val="4"/>
        </w:numPr>
        <w:tabs>
          <w:tab w:pos="1326" w:val="left" w:leader="none"/>
        </w:tabs>
        <w:spacing w:line="240" w:lineRule="auto" w:before="0" w:after="0"/>
        <w:ind w:left="1325" w:right="746" w:hanging="360"/>
        <w:jc w:val="both"/>
        <w:rPr>
          <w:sz w:val="24"/>
        </w:rPr>
      </w:pPr>
      <w:r>
        <w:rPr>
          <w:sz w:val="24"/>
        </w:rPr>
        <w:t>This is not a new point. Robert Barrie, UK economist at CSFB is quoted in Philip Thornton’s 30 July Independent article as saying precisely this. As he</w:t>
      </w:r>
      <w:r>
        <w:rPr>
          <w:spacing w:val="53"/>
          <w:sz w:val="24"/>
        </w:rPr>
        <w:t> </w:t>
      </w:r>
      <w:r>
        <w:rPr>
          <w:sz w:val="24"/>
        </w:rPr>
        <w:t>notes,</w:t>
      </w:r>
    </w:p>
    <w:p>
      <w:pPr>
        <w:spacing w:after="0" w:line="240" w:lineRule="auto"/>
        <w:jc w:val="both"/>
        <w:rPr>
          <w:sz w:val="24"/>
        </w:rPr>
        <w:sectPr>
          <w:type w:val="continuous"/>
          <w:pgSz w:w="12240" w:h="15840"/>
          <w:pgMar w:top="1180" w:bottom="280" w:left="1000" w:right="1220"/>
        </w:sectPr>
      </w:pPr>
    </w:p>
    <w:p>
      <w:pPr>
        <w:pStyle w:val="BodyText"/>
        <w:spacing w:before="80"/>
        <w:ind w:left="1325" w:right="737"/>
      </w:pPr>
      <w:r>
        <w:rPr/>
        <w:t>“those who focussed on debt liabilities often forgot to mention the fact that households had also bought piles of assets”.</w:t>
      </w:r>
    </w:p>
    <w:p>
      <w:pPr>
        <w:spacing w:after="0"/>
        <w:sectPr>
          <w:pgSz w:w="12240" w:h="15840"/>
          <w:pgMar w:header="209" w:footer="0" w:top="840" w:bottom="280" w:left="1000" w:right="1220"/>
        </w:sectPr>
      </w:pPr>
    </w:p>
    <w:p>
      <w:pPr>
        <w:pStyle w:val="Heading1"/>
        <w:spacing w:before="87"/>
        <w:ind w:left="956" w:right="740"/>
        <w:jc w:val="center"/>
        <w:rPr>
          <w:u w:val="none"/>
        </w:rPr>
      </w:pPr>
      <w:r>
        <w:rPr>
          <w:u w:val="thick"/>
        </w:rPr>
        <w:t>References</w:t>
      </w:r>
    </w:p>
    <w:p>
      <w:pPr>
        <w:pStyle w:val="BodyText"/>
        <w:rPr>
          <w:b/>
          <w:sz w:val="20"/>
        </w:rPr>
      </w:pPr>
    </w:p>
    <w:p>
      <w:pPr>
        <w:pStyle w:val="BodyText"/>
        <w:spacing w:before="6"/>
        <w:rPr>
          <w:b/>
          <w:sz w:val="19"/>
        </w:rPr>
      </w:pPr>
    </w:p>
    <w:p>
      <w:pPr>
        <w:pStyle w:val="BodyText"/>
        <w:spacing w:before="91"/>
        <w:ind w:left="1685" w:right="1223" w:hanging="720"/>
      </w:pPr>
      <w:r>
        <w:rPr/>
        <w:t>CSO (1994), “Treatment of Owner Occupiers’ Housing Costs in the Retail Prices Index”, Retail Prices Index Advisory Committee, December, CM 2717 (London:</w:t>
      </w:r>
      <w:r>
        <w:rPr>
          <w:spacing w:val="58"/>
        </w:rPr>
        <w:t> </w:t>
      </w:r>
      <w:r>
        <w:rPr/>
        <w:t>HMSO).</w:t>
      </w:r>
    </w:p>
    <w:p>
      <w:pPr>
        <w:pStyle w:val="BodyText"/>
        <w:spacing w:before="11"/>
        <w:rPr>
          <w:sz w:val="23"/>
        </w:rPr>
      </w:pPr>
    </w:p>
    <w:p>
      <w:pPr>
        <w:pStyle w:val="BodyText"/>
        <w:ind w:left="1685" w:right="850" w:hanging="720"/>
      </w:pPr>
      <w:r>
        <w:rPr/>
        <w:t>Cox, P., Whitley, J. D. and Brierley, P. G. (2002), “Financial Pressures in the UK Household Sector: Evidence from the British Household Panel Study”, </w:t>
      </w:r>
      <w:r>
        <w:rPr>
          <w:u w:val="single"/>
        </w:rPr>
        <w:t>Bank</w:t>
      </w:r>
      <w:r>
        <w:rPr/>
        <w:t> </w:t>
      </w:r>
      <w:r>
        <w:rPr>
          <w:u w:val="single"/>
        </w:rPr>
        <w:t>of England Quarterly Bulletin</w:t>
      </w:r>
      <w:r>
        <w:rPr/>
        <w:t>, 42(4), Winter.</w:t>
      </w:r>
    </w:p>
    <w:p>
      <w:pPr>
        <w:pStyle w:val="BodyText"/>
        <w:spacing w:before="2"/>
        <w:rPr>
          <w:sz w:val="16"/>
        </w:rPr>
      </w:pPr>
    </w:p>
    <w:p>
      <w:pPr>
        <w:pStyle w:val="BodyText"/>
        <w:spacing w:before="90"/>
        <w:ind w:left="965"/>
      </w:pPr>
      <w:r>
        <w:rPr/>
        <w:t>Financial Stability Review (2003), Bank of England, June (Issue No.14).</w:t>
      </w:r>
    </w:p>
    <w:p>
      <w:pPr>
        <w:pStyle w:val="BodyText"/>
      </w:pPr>
    </w:p>
    <w:p>
      <w:pPr>
        <w:pStyle w:val="BodyText"/>
        <w:ind w:left="1685" w:right="757" w:hanging="720"/>
      </w:pPr>
      <w:r>
        <w:rPr/>
        <w:t>Hamilton, R. (2003), “Trends in Household Aggregate Secured Debt and Borrowing”, </w:t>
      </w:r>
      <w:r>
        <w:rPr>
          <w:u w:val="single"/>
        </w:rPr>
        <w:t>Bank of England Quarterly Bulletin</w:t>
      </w:r>
      <w:r>
        <w:rPr/>
        <w:t> 43(3), forthcoming.</w:t>
      </w:r>
    </w:p>
    <w:p>
      <w:pPr>
        <w:pStyle w:val="BodyText"/>
        <w:spacing w:before="2"/>
        <w:rPr>
          <w:sz w:val="16"/>
        </w:rPr>
      </w:pPr>
    </w:p>
    <w:p>
      <w:pPr>
        <w:pStyle w:val="BodyText"/>
        <w:spacing w:before="90"/>
        <w:ind w:left="1685" w:right="737" w:hanging="720"/>
      </w:pPr>
      <w:r>
        <w:rPr/>
        <w:t>Nickell, S. (2002), “Monetary Policy Issues: Past, Present, Future”, </w:t>
      </w:r>
      <w:r>
        <w:rPr>
          <w:u w:val="single"/>
        </w:rPr>
        <w:t>Bank of England</w:t>
      </w:r>
      <w:r>
        <w:rPr/>
        <w:t> </w:t>
      </w:r>
      <w:r>
        <w:rPr>
          <w:u w:val="single"/>
        </w:rPr>
        <w:t>Quarterly Bulletin</w:t>
      </w:r>
      <w:r>
        <w:rPr/>
        <w:t>, 42(3).</w:t>
      </w:r>
    </w:p>
    <w:p>
      <w:pPr>
        <w:spacing w:after="0"/>
        <w:sectPr>
          <w:pgSz w:w="12240" w:h="15840"/>
          <w:pgMar w:header="209" w:footer="0" w:top="840" w:bottom="280" w:left="1000" w:right="1220"/>
        </w:sectPr>
      </w:pPr>
    </w:p>
    <w:p>
      <w:pPr>
        <w:pStyle w:val="BodyText"/>
        <w:rPr>
          <w:sz w:val="20"/>
        </w:rPr>
      </w:pPr>
    </w:p>
    <w:p>
      <w:pPr>
        <w:pStyle w:val="BodyText"/>
        <w:spacing w:before="10"/>
        <w:rPr>
          <w:sz w:val="19"/>
        </w:rPr>
      </w:pPr>
    </w:p>
    <w:p>
      <w:pPr>
        <w:spacing w:before="90"/>
        <w:ind w:left="221" w:right="0" w:firstLine="0"/>
        <w:jc w:val="left"/>
        <w:rPr>
          <w:b/>
          <w:sz w:val="24"/>
        </w:rPr>
      </w:pPr>
      <w:r>
        <w:rPr>
          <w:b/>
          <w:sz w:val="24"/>
        </w:rPr>
        <w:t>Table 1: Household Borrowing, Acquisition of Financial Asset and the Net Sectoral Balance</w:t>
      </w:r>
    </w:p>
    <w:p>
      <w:pPr>
        <w:pStyle w:val="BodyText"/>
        <w:spacing w:before="5"/>
        <w:rPr>
          <w:b/>
          <w:sz w:val="23"/>
        </w:rPr>
      </w:pPr>
    </w:p>
    <w:p>
      <w:pPr>
        <w:spacing w:before="0" w:after="5"/>
        <w:ind w:left="0" w:right="1382" w:firstLine="0"/>
        <w:jc w:val="right"/>
        <w:rPr>
          <w:sz w:val="20"/>
        </w:rPr>
      </w:pPr>
      <w:r>
        <w:rPr>
          <w:sz w:val="20"/>
        </w:rPr>
        <w:t>% of post-tax income</w:t>
      </w: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3"/>
        <w:gridCol w:w="993"/>
        <w:gridCol w:w="849"/>
        <w:gridCol w:w="1135"/>
        <w:gridCol w:w="1133"/>
        <w:gridCol w:w="1135"/>
        <w:gridCol w:w="1133"/>
      </w:tblGrid>
      <w:tr>
        <w:trPr>
          <w:trHeight w:val="230" w:hRule="atLeast"/>
        </w:trPr>
        <w:tc>
          <w:tcPr>
            <w:tcW w:w="3403" w:type="dxa"/>
          </w:tcPr>
          <w:p>
            <w:pPr>
              <w:pStyle w:val="TableParagraph"/>
              <w:spacing w:line="210" w:lineRule="exact"/>
              <w:ind w:left="107"/>
              <w:rPr>
                <w:b/>
                <w:sz w:val="20"/>
              </w:rPr>
            </w:pPr>
            <w:r>
              <w:rPr>
                <w:b/>
                <w:sz w:val="20"/>
              </w:rPr>
              <w:t>Household Financial Balance</w:t>
            </w:r>
          </w:p>
        </w:tc>
        <w:tc>
          <w:tcPr>
            <w:tcW w:w="993" w:type="dxa"/>
          </w:tcPr>
          <w:p>
            <w:pPr>
              <w:pStyle w:val="TableParagraph"/>
              <w:spacing w:line="210" w:lineRule="exact"/>
              <w:ind w:left="275" w:right="268"/>
              <w:jc w:val="center"/>
              <w:rPr>
                <w:b/>
                <w:sz w:val="20"/>
              </w:rPr>
            </w:pPr>
            <w:r>
              <w:rPr>
                <w:b/>
                <w:sz w:val="20"/>
              </w:rPr>
              <w:t>1998</w:t>
            </w:r>
          </w:p>
        </w:tc>
        <w:tc>
          <w:tcPr>
            <w:tcW w:w="849" w:type="dxa"/>
          </w:tcPr>
          <w:p>
            <w:pPr>
              <w:pStyle w:val="TableParagraph"/>
              <w:spacing w:line="210" w:lineRule="exact"/>
              <w:ind w:left="224"/>
              <w:rPr>
                <w:b/>
                <w:sz w:val="20"/>
              </w:rPr>
            </w:pPr>
            <w:r>
              <w:rPr>
                <w:b/>
                <w:sz w:val="20"/>
              </w:rPr>
              <w:t>1999</w:t>
            </w:r>
          </w:p>
        </w:tc>
        <w:tc>
          <w:tcPr>
            <w:tcW w:w="1135" w:type="dxa"/>
          </w:tcPr>
          <w:p>
            <w:pPr>
              <w:pStyle w:val="TableParagraph"/>
              <w:spacing w:line="210" w:lineRule="exact"/>
              <w:ind w:left="366"/>
              <w:rPr>
                <w:b/>
                <w:sz w:val="20"/>
              </w:rPr>
            </w:pPr>
            <w:r>
              <w:rPr>
                <w:b/>
                <w:sz w:val="20"/>
              </w:rPr>
              <w:t>2000</w:t>
            </w:r>
          </w:p>
        </w:tc>
        <w:tc>
          <w:tcPr>
            <w:tcW w:w="1133" w:type="dxa"/>
          </w:tcPr>
          <w:p>
            <w:pPr>
              <w:pStyle w:val="TableParagraph"/>
              <w:spacing w:line="210" w:lineRule="exact"/>
              <w:ind w:left="192" w:right="179"/>
              <w:jc w:val="center"/>
              <w:rPr>
                <w:b/>
                <w:sz w:val="20"/>
              </w:rPr>
            </w:pPr>
            <w:r>
              <w:rPr>
                <w:b/>
                <w:sz w:val="20"/>
              </w:rPr>
              <w:t>2001</w:t>
            </w:r>
          </w:p>
        </w:tc>
        <w:tc>
          <w:tcPr>
            <w:tcW w:w="1135" w:type="dxa"/>
          </w:tcPr>
          <w:p>
            <w:pPr>
              <w:pStyle w:val="TableParagraph"/>
              <w:spacing w:line="210" w:lineRule="exact"/>
              <w:ind w:right="353"/>
              <w:jc w:val="right"/>
              <w:rPr>
                <w:b/>
                <w:sz w:val="20"/>
              </w:rPr>
            </w:pPr>
            <w:r>
              <w:rPr>
                <w:b/>
                <w:sz w:val="20"/>
              </w:rPr>
              <w:t>2002</w:t>
            </w:r>
          </w:p>
        </w:tc>
        <w:tc>
          <w:tcPr>
            <w:tcW w:w="1133" w:type="dxa"/>
          </w:tcPr>
          <w:p>
            <w:pPr>
              <w:pStyle w:val="TableParagraph"/>
              <w:spacing w:line="210" w:lineRule="exact"/>
              <w:ind w:left="192" w:right="184"/>
              <w:jc w:val="center"/>
              <w:rPr>
                <w:b/>
                <w:sz w:val="20"/>
              </w:rPr>
            </w:pPr>
            <w:r>
              <w:rPr>
                <w:b/>
                <w:sz w:val="20"/>
              </w:rPr>
              <w:t>2003 Q1</w:t>
            </w:r>
          </w:p>
        </w:tc>
      </w:tr>
      <w:tr>
        <w:trPr>
          <w:trHeight w:val="230" w:hRule="atLeast"/>
        </w:trPr>
        <w:tc>
          <w:tcPr>
            <w:tcW w:w="3403" w:type="dxa"/>
          </w:tcPr>
          <w:p>
            <w:pPr>
              <w:pStyle w:val="TableParagraph"/>
              <w:rPr>
                <w:sz w:val="16"/>
              </w:rPr>
            </w:pPr>
          </w:p>
        </w:tc>
        <w:tc>
          <w:tcPr>
            <w:tcW w:w="993" w:type="dxa"/>
          </w:tcPr>
          <w:p>
            <w:pPr>
              <w:pStyle w:val="TableParagraph"/>
              <w:rPr>
                <w:sz w:val="16"/>
              </w:rPr>
            </w:pPr>
          </w:p>
        </w:tc>
        <w:tc>
          <w:tcPr>
            <w:tcW w:w="849" w:type="dxa"/>
          </w:tcPr>
          <w:p>
            <w:pPr>
              <w:pStyle w:val="TableParagraph"/>
              <w:rPr>
                <w:sz w:val="16"/>
              </w:rPr>
            </w:pPr>
          </w:p>
        </w:tc>
        <w:tc>
          <w:tcPr>
            <w:tcW w:w="1135" w:type="dxa"/>
          </w:tcPr>
          <w:p>
            <w:pPr>
              <w:pStyle w:val="TableParagraph"/>
              <w:rPr>
                <w:sz w:val="16"/>
              </w:rPr>
            </w:pPr>
          </w:p>
        </w:tc>
        <w:tc>
          <w:tcPr>
            <w:tcW w:w="1133" w:type="dxa"/>
          </w:tcPr>
          <w:p>
            <w:pPr>
              <w:pStyle w:val="TableParagraph"/>
              <w:rPr>
                <w:sz w:val="16"/>
              </w:rPr>
            </w:pPr>
          </w:p>
        </w:tc>
        <w:tc>
          <w:tcPr>
            <w:tcW w:w="1135" w:type="dxa"/>
          </w:tcPr>
          <w:p>
            <w:pPr>
              <w:pStyle w:val="TableParagraph"/>
              <w:rPr>
                <w:sz w:val="16"/>
              </w:rPr>
            </w:pPr>
          </w:p>
        </w:tc>
        <w:tc>
          <w:tcPr>
            <w:tcW w:w="1133" w:type="dxa"/>
          </w:tcPr>
          <w:p>
            <w:pPr>
              <w:pStyle w:val="TableParagraph"/>
              <w:rPr>
                <w:sz w:val="16"/>
              </w:rPr>
            </w:pPr>
          </w:p>
        </w:tc>
      </w:tr>
      <w:tr>
        <w:trPr>
          <w:trHeight w:val="230" w:hRule="atLeast"/>
        </w:trPr>
        <w:tc>
          <w:tcPr>
            <w:tcW w:w="3403" w:type="dxa"/>
          </w:tcPr>
          <w:p>
            <w:pPr>
              <w:pStyle w:val="TableParagraph"/>
              <w:spacing w:line="210" w:lineRule="exact"/>
              <w:ind w:left="107"/>
              <w:rPr>
                <w:b/>
                <w:sz w:val="20"/>
              </w:rPr>
            </w:pPr>
            <w:r>
              <w:rPr>
                <w:b/>
                <w:sz w:val="20"/>
              </w:rPr>
              <w:t>Acquisition of financial assets</w:t>
            </w:r>
          </w:p>
        </w:tc>
        <w:tc>
          <w:tcPr>
            <w:tcW w:w="993" w:type="dxa"/>
          </w:tcPr>
          <w:p>
            <w:pPr>
              <w:pStyle w:val="TableParagraph"/>
              <w:spacing w:line="210" w:lineRule="exact"/>
              <w:ind w:left="274" w:right="268"/>
              <w:jc w:val="center"/>
              <w:rPr>
                <w:b/>
                <w:sz w:val="20"/>
              </w:rPr>
            </w:pPr>
            <w:r>
              <w:rPr>
                <w:b/>
                <w:sz w:val="20"/>
              </w:rPr>
              <w:t>8.1</w:t>
            </w:r>
          </w:p>
        </w:tc>
        <w:tc>
          <w:tcPr>
            <w:tcW w:w="849" w:type="dxa"/>
          </w:tcPr>
          <w:p>
            <w:pPr>
              <w:pStyle w:val="TableParagraph"/>
              <w:spacing w:line="210" w:lineRule="exact"/>
              <w:ind w:left="249"/>
              <w:rPr>
                <w:b/>
                <w:sz w:val="20"/>
              </w:rPr>
            </w:pPr>
            <w:r>
              <w:rPr>
                <w:b/>
                <w:sz w:val="20"/>
              </w:rPr>
              <w:t>10.2</w:t>
            </w:r>
          </w:p>
        </w:tc>
        <w:tc>
          <w:tcPr>
            <w:tcW w:w="1135" w:type="dxa"/>
          </w:tcPr>
          <w:p>
            <w:pPr>
              <w:pStyle w:val="TableParagraph"/>
              <w:spacing w:line="210" w:lineRule="exact"/>
              <w:ind w:left="389"/>
              <w:rPr>
                <w:b/>
                <w:sz w:val="20"/>
              </w:rPr>
            </w:pPr>
            <w:r>
              <w:rPr>
                <w:b/>
                <w:sz w:val="20"/>
              </w:rPr>
              <w:t>10.6</w:t>
            </w:r>
          </w:p>
        </w:tc>
        <w:tc>
          <w:tcPr>
            <w:tcW w:w="1133" w:type="dxa"/>
          </w:tcPr>
          <w:p>
            <w:pPr>
              <w:pStyle w:val="TableParagraph"/>
              <w:spacing w:line="210" w:lineRule="exact"/>
              <w:ind w:left="192" w:right="184"/>
              <w:jc w:val="center"/>
              <w:rPr>
                <w:b/>
                <w:sz w:val="20"/>
              </w:rPr>
            </w:pPr>
            <w:r>
              <w:rPr>
                <w:b/>
                <w:sz w:val="20"/>
              </w:rPr>
              <w:t>11.0</w:t>
            </w:r>
          </w:p>
        </w:tc>
        <w:tc>
          <w:tcPr>
            <w:tcW w:w="1135" w:type="dxa"/>
          </w:tcPr>
          <w:p>
            <w:pPr>
              <w:pStyle w:val="TableParagraph"/>
              <w:spacing w:line="210" w:lineRule="exact"/>
              <w:ind w:right="381"/>
              <w:jc w:val="right"/>
              <w:rPr>
                <w:b/>
                <w:sz w:val="20"/>
              </w:rPr>
            </w:pPr>
            <w:r>
              <w:rPr>
                <w:b/>
                <w:sz w:val="20"/>
              </w:rPr>
              <w:t>13.0</w:t>
            </w:r>
          </w:p>
        </w:tc>
        <w:tc>
          <w:tcPr>
            <w:tcW w:w="1133" w:type="dxa"/>
          </w:tcPr>
          <w:p>
            <w:pPr>
              <w:pStyle w:val="TableParagraph"/>
              <w:spacing w:line="210" w:lineRule="exact"/>
              <w:ind w:left="192" w:right="184"/>
              <w:jc w:val="center"/>
              <w:rPr>
                <w:b/>
                <w:sz w:val="20"/>
              </w:rPr>
            </w:pPr>
            <w:r>
              <w:rPr>
                <w:b/>
                <w:sz w:val="20"/>
              </w:rPr>
              <w:t>15.8</w:t>
            </w:r>
          </w:p>
        </w:tc>
      </w:tr>
      <w:tr>
        <w:trPr>
          <w:trHeight w:val="230" w:hRule="atLeast"/>
        </w:trPr>
        <w:tc>
          <w:tcPr>
            <w:tcW w:w="3403" w:type="dxa"/>
          </w:tcPr>
          <w:p>
            <w:pPr>
              <w:pStyle w:val="TableParagraph"/>
              <w:spacing w:line="210" w:lineRule="exact"/>
              <w:ind w:left="107"/>
              <w:rPr>
                <w:b/>
                <w:sz w:val="20"/>
              </w:rPr>
            </w:pPr>
            <w:r>
              <w:rPr>
                <w:b/>
                <w:sz w:val="20"/>
              </w:rPr>
              <w:t>of which *:</w:t>
            </w:r>
          </w:p>
        </w:tc>
        <w:tc>
          <w:tcPr>
            <w:tcW w:w="993" w:type="dxa"/>
          </w:tcPr>
          <w:p>
            <w:pPr>
              <w:pStyle w:val="TableParagraph"/>
              <w:rPr>
                <w:sz w:val="16"/>
              </w:rPr>
            </w:pPr>
          </w:p>
        </w:tc>
        <w:tc>
          <w:tcPr>
            <w:tcW w:w="849" w:type="dxa"/>
          </w:tcPr>
          <w:p>
            <w:pPr>
              <w:pStyle w:val="TableParagraph"/>
              <w:rPr>
                <w:sz w:val="16"/>
              </w:rPr>
            </w:pPr>
          </w:p>
        </w:tc>
        <w:tc>
          <w:tcPr>
            <w:tcW w:w="1135" w:type="dxa"/>
          </w:tcPr>
          <w:p>
            <w:pPr>
              <w:pStyle w:val="TableParagraph"/>
              <w:rPr>
                <w:sz w:val="16"/>
              </w:rPr>
            </w:pPr>
          </w:p>
        </w:tc>
        <w:tc>
          <w:tcPr>
            <w:tcW w:w="1133" w:type="dxa"/>
          </w:tcPr>
          <w:p>
            <w:pPr>
              <w:pStyle w:val="TableParagraph"/>
              <w:rPr>
                <w:sz w:val="16"/>
              </w:rPr>
            </w:pPr>
          </w:p>
        </w:tc>
        <w:tc>
          <w:tcPr>
            <w:tcW w:w="1135" w:type="dxa"/>
          </w:tcPr>
          <w:p>
            <w:pPr>
              <w:pStyle w:val="TableParagraph"/>
              <w:rPr>
                <w:sz w:val="16"/>
              </w:rPr>
            </w:pPr>
          </w:p>
        </w:tc>
        <w:tc>
          <w:tcPr>
            <w:tcW w:w="1133" w:type="dxa"/>
          </w:tcPr>
          <w:p>
            <w:pPr>
              <w:pStyle w:val="TableParagraph"/>
              <w:rPr>
                <w:sz w:val="16"/>
              </w:rPr>
            </w:pPr>
          </w:p>
        </w:tc>
      </w:tr>
      <w:tr>
        <w:trPr>
          <w:trHeight w:val="230" w:hRule="atLeast"/>
        </w:trPr>
        <w:tc>
          <w:tcPr>
            <w:tcW w:w="3403" w:type="dxa"/>
          </w:tcPr>
          <w:p>
            <w:pPr>
              <w:pStyle w:val="TableParagraph"/>
              <w:spacing w:line="210" w:lineRule="exact"/>
              <w:ind w:left="107"/>
              <w:rPr>
                <w:b/>
                <w:sz w:val="20"/>
              </w:rPr>
            </w:pPr>
            <w:r>
              <w:rPr>
                <w:b/>
                <w:sz w:val="20"/>
              </w:rPr>
              <w:t>Currency &amp; deposits</w:t>
            </w:r>
          </w:p>
        </w:tc>
        <w:tc>
          <w:tcPr>
            <w:tcW w:w="993" w:type="dxa"/>
          </w:tcPr>
          <w:p>
            <w:pPr>
              <w:pStyle w:val="TableParagraph"/>
              <w:spacing w:line="210" w:lineRule="exact"/>
              <w:ind w:left="275" w:right="264"/>
              <w:jc w:val="center"/>
              <w:rPr>
                <w:b/>
                <w:sz w:val="20"/>
              </w:rPr>
            </w:pPr>
            <w:r>
              <w:rPr>
                <w:b/>
                <w:sz w:val="20"/>
              </w:rPr>
              <w:t>5.5</w:t>
            </w:r>
          </w:p>
        </w:tc>
        <w:tc>
          <w:tcPr>
            <w:tcW w:w="849" w:type="dxa"/>
          </w:tcPr>
          <w:p>
            <w:pPr>
              <w:pStyle w:val="TableParagraph"/>
              <w:spacing w:line="210" w:lineRule="exact"/>
              <w:ind w:left="301"/>
              <w:rPr>
                <w:b/>
                <w:sz w:val="20"/>
              </w:rPr>
            </w:pPr>
            <w:r>
              <w:rPr>
                <w:b/>
                <w:sz w:val="20"/>
              </w:rPr>
              <w:t>5.1</w:t>
            </w:r>
          </w:p>
        </w:tc>
        <w:tc>
          <w:tcPr>
            <w:tcW w:w="1135" w:type="dxa"/>
          </w:tcPr>
          <w:p>
            <w:pPr>
              <w:pStyle w:val="TableParagraph"/>
              <w:spacing w:line="210" w:lineRule="exact"/>
              <w:ind w:left="420" w:right="412"/>
              <w:jc w:val="center"/>
              <w:rPr>
                <w:b/>
                <w:sz w:val="20"/>
              </w:rPr>
            </w:pPr>
            <w:r>
              <w:rPr>
                <w:b/>
                <w:sz w:val="20"/>
              </w:rPr>
              <w:t>5.5</w:t>
            </w:r>
          </w:p>
        </w:tc>
        <w:tc>
          <w:tcPr>
            <w:tcW w:w="1133" w:type="dxa"/>
          </w:tcPr>
          <w:p>
            <w:pPr>
              <w:pStyle w:val="TableParagraph"/>
              <w:spacing w:line="210" w:lineRule="exact"/>
              <w:ind w:left="192" w:right="182"/>
              <w:jc w:val="center"/>
              <w:rPr>
                <w:b/>
                <w:sz w:val="20"/>
              </w:rPr>
            </w:pPr>
            <w:r>
              <w:rPr>
                <w:b/>
                <w:sz w:val="20"/>
              </w:rPr>
              <w:t>6.9</w:t>
            </w:r>
          </w:p>
        </w:tc>
        <w:tc>
          <w:tcPr>
            <w:tcW w:w="1135" w:type="dxa"/>
          </w:tcPr>
          <w:p>
            <w:pPr>
              <w:pStyle w:val="TableParagraph"/>
              <w:spacing w:line="210" w:lineRule="exact"/>
              <w:ind w:left="418" w:right="412"/>
              <w:jc w:val="center"/>
              <w:rPr>
                <w:b/>
                <w:sz w:val="20"/>
              </w:rPr>
            </w:pPr>
            <w:r>
              <w:rPr>
                <w:b/>
                <w:sz w:val="20"/>
              </w:rPr>
              <w:t>7.6</w:t>
            </w:r>
          </w:p>
        </w:tc>
        <w:tc>
          <w:tcPr>
            <w:tcW w:w="1133" w:type="dxa"/>
          </w:tcPr>
          <w:p>
            <w:pPr>
              <w:pStyle w:val="TableParagraph"/>
              <w:spacing w:line="210" w:lineRule="exact"/>
              <w:ind w:left="192" w:right="184"/>
              <w:jc w:val="center"/>
              <w:rPr>
                <w:b/>
                <w:sz w:val="20"/>
              </w:rPr>
            </w:pPr>
            <w:r>
              <w:rPr>
                <w:b/>
                <w:sz w:val="20"/>
              </w:rPr>
              <w:t>8.3</w:t>
            </w:r>
          </w:p>
        </w:tc>
      </w:tr>
      <w:tr>
        <w:trPr>
          <w:trHeight w:val="230" w:hRule="atLeast"/>
        </w:trPr>
        <w:tc>
          <w:tcPr>
            <w:tcW w:w="3403" w:type="dxa"/>
          </w:tcPr>
          <w:p>
            <w:pPr>
              <w:pStyle w:val="TableParagraph"/>
              <w:spacing w:line="210" w:lineRule="exact"/>
              <w:ind w:left="107"/>
              <w:rPr>
                <w:b/>
                <w:sz w:val="20"/>
              </w:rPr>
            </w:pPr>
            <w:r>
              <w:rPr>
                <w:b/>
                <w:sz w:val="20"/>
              </w:rPr>
              <w:t>Shares &amp; equity</w:t>
            </w:r>
          </w:p>
        </w:tc>
        <w:tc>
          <w:tcPr>
            <w:tcW w:w="993" w:type="dxa"/>
          </w:tcPr>
          <w:p>
            <w:pPr>
              <w:pStyle w:val="TableParagraph"/>
              <w:spacing w:line="210" w:lineRule="exact"/>
              <w:ind w:left="275" w:right="266"/>
              <w:jc w:val="center"/>
              <w:rPr>
                <w:b/>
                <w:sz w:val="20"/>
              </w:rPr>
            </w:pPr>
            <w:r>
              <w:rPr>
                <w:b/>
                <w:sz w:val="20"/>
              </w:rPr>
              <w:t>-4.1</w:t>
            </w:r>
          </w:p>
        </w:tc>
        <w:tc>
          <w:tcPr>
            <w:tcW w:w="849" w:type="dxa"/>
          </w:tcPr>
          <w:p>
            <w:pPr>
              <w:pStyle w:val="TableParagraph"/>
              <w:spacing w:line="210" w:lineRule="exact"/>
              <w:ind w:left="267"/>
              <w:rPr>
                <w:b/>
                <w:sz w:val="20"/>
              </w:rPr>
            </w:pPr>
            <w:r>
              <w:rPr>
                <w:b/>
                <w:sz w:val="20"/>
              </w:rPr>
              <w:t>-2.4</w:t>
            </w:r>
          </w:p>
        </w:tc>
        <w:tc>
          <w:tcPr>
            <w:tcW w:w="1135" w:type="dxa"/>
          </w:tcPr>
          <w:p>
            <w:pPr>
              <w:pStyle w:val="TableParagraph"/>
              <w:spacing w:line="210" w:lineRule="exact"/>
              <w:ind w:left="406"/>
              <w:rPr>
                <w:b/>
                <w:sz w:val="20"/>
              </w:rPr>
            </w:pPr>
            <w:r>
              <w:rPr>
                <w:b/>
                <w:sz w:val="20"/>
              </w:rPr>
              <w:t>-2.4</w:t>
            </w:r>
          </w:p>
        </w:tc>
        <w:tc>
          <w:tcPr>
            <w:tcW w:w="1133" w:type="dxa"/>
          </w:tcPr>
          <w:p>
            <w:pPr>
              <w:pStyle w:val="TableParagraph"/>
              <w:spacing w:line="210" w:lineRule="exact"/>
              <w:ind w:left="192" w:right="184"/>
              <w:jc w:val="center"/>
              <w:rPr>
                <w:b/>
                <w:sz w:val="20"/>
              </w:rPr>
            </w:pPr>
            <w:r>
              <w:rPr>
                <w:b/>
                <w:sz w:val="20"/>
              </w:rPr>
              <w:t>-2.1</w:t>
            </w:r>
          </w:p>
        </w:tc>
        <w:tc>
          <w:tcPr>
            <w:tcW w:w="1135" w:type="dxa"/>
          </w:tcPr>
          <w:p>
            <w:pPr>
              <w:pStyle w:val="TableParagraph"/>
              <w:spacing w:line="210" w:lineRule="exact"/>
              <w:ind w:right="398"/>
              <w:jc w:val="right"/>
              <w:rPr>
                <w:b/>
                <w:sz w:val="20"/>
              </w:rPr>
            </w:pPr>
            <w:r>
              <w:rPr>
                <w:b/>
                <w:w w:val="95"/>
                <w:sz w:val="20"/>
              </w:rPr>
              <w:t>-0.3</w:t>
            </w:r>
          </w:p>
        </w:tc>
        <w:tc>
          <w:tcPr>
            <w:tcW w:w="1133" w:type="dxa"/>
          </w:tcPr>
          <w:p>
            <w:pPr>
              <w:pStyle w:val="TableParagraph"/>
              <w:spacing w:line="210" w:lineRule="exact"/>
              <w:ind w:left="190" w:right="184"/>
              <w:jc w:val="center"/>
              <w:rPr>
                <w:b/>
                <w:sz w:val="20"/>
              </w:rPr>
            </w:pPr>
            <w:r>
              <w:rPr>
                <w:b/>
                <w:sz w:val="20"/>
              </w:rPr>
              <w:t>0.5</w:t>
            </w:r>
          </w:p>
        </w:tc>
      </w:tr>
      <w:tr>
        <w:trPr>
          <w:trHeight w:val="230" w:hRule="atLeast"/>
        </w:trPr>
        <w:tc>
          <w:tcPr>
            <w:tcW w:w="3403" w:type="dxa"/>
          </w:tcPr>
          <w:p>
            <w:pPr>
              <w:pStyle w:val="TableParagraph"/>
              <w:spacing w:line="210" w:lineRule="exact"/>
              <w:ind w:left="107"/>
              <w:rPr>
                <w:b/>
                <w:sz w:val="20"/>
              </w:rPr>
            </w:pPr>
            <w:r>
              <w:rPr>
                <w:b/>
                <w:sz w:val="20"/>
              </w:rPr>
              <w:t>Total insurance technical services**</w:t>
            </w:r>
          </w:p>
        </w:tc>
        <w:tc>
          <w:tcPr>
            <w:tcW w:w="993" w:type="dxa"/>
          </w:tcPr>
          <w:p>
            <w:pPr>
              <w:pStyle w:val="TableParagraph"/>
              <w:spacing w:line="210" w:lineRule="exact"/>
              <w:ind w:left="275" w:right="263"/>
              <w:jc w:val="center"/>
              <w:rPr>
                <w:b/>
                <w:sz w:val="20"/>
              </w:rPr>
            </w:pPr>
            <w:r>
              <w:rPr>
                <w:b/>
                <w:sz w:val="20"/>
              </w:rPr>
              <w:t>7.0</w:t>
            </w:r>
          </w:p>
        </w:tc>
        <w:tc>
          <w:tcPr>
            <w:tcW w:w="849" w:type="dxa"/>
          </w:tcPr>
          <w:p>
            <w:pPr>
              <w:pStyle w:val="TableParagraph"/>
              <w:spacing w:line="210" w:lineRule="exact"/>
              <w:ind w:left="302"/>
              <w:rPr>
                <w:b/>
                <w:sz w:val="20"/>
              </w:rPr>
            </w:pPr>
            <w:r>
              <w:rPr>
                <w:b/>
                <w:sz w:val="20"/>
              </w:rPr>
              <w:t>6.0</w:t>
            </w:r>
          </w:p>
        </w:tc>
        <w:tc>
          <w:tcPr>
            <w:tcW w:w="1135" w:type="dxa"/>
          </w:tcPr>
          <w:p>
            <w:pPr>
              <w:pStyle w:val="TableParagraph"/>
              <w:spacing w:line="210" w:lineRule="exact"/>
              <w:ind w:left="420" w:right="410"/>
              <w:jc w:val="center"/>
              <w:rPr>
                <w:b/>
                <w:sz w:val="20"/>
              </w:rPr>
            </w:pPr>
            <w:r>
              <w:rPr>
                <w:b/>
                <w:sz w:val="20"/>
              </w:rPr>
              <w:t>6.6</w:t>
            </w:r>
          </w:p>
        </w:tc>
        <w:tc>
          <w:tcPr>
            <w:tcW w:w="1133" w:type="dxa"/>
          </w:tcPr>
          <w:p>
            <w:pPr>
              <w:pStyle w:val="TableParagraph"/>
              <w:spacing w:line="210" w:lineRule="exact"/>
              <w:ind w:left="192" w:right="181"/>
              <w:jc w:val="center"/>
              <w:rPr>
                <w:b/>
                <w:sz w:val="20"/>
              </w:rPr>
            </w:pPr>
            <w:r>
              <w:rPr>
                <w:b/>
                <w:sz w:val="20"/>
              </w:rPr>
              <w:t>4.8</w:t>
            </w:r>
          </w:p>
        </w:tc>
        <w:tc>
          <w:tcPr>
            <w:tcW w:w="1135" w:type="dxa"/>
          </w:tcPr>
          <w:p>
            <w:pPr>
              <w:pStyle w:val="TableParagraph"/>
              <w:spacing w:line="210" w:lineRule="exact"/>
              <w:ind w:left="420" w:right="412"/>
              <w:jc w:val="center"/>
              <w:rPr>
                <w:b/>
                <w:sz w:val="20"/>
              </w:rPr>
            </w:pPr>
            <w:r>
              <w:rPr>
                <w:b/>
                <w:sz w:val="20"/>
              </w:rPr>
              <w:t>5.9</w:t>
            </w:r>
          </w:p>
        </w:tc>
        <w:tc>
          <w:tcPr>
            <w:tcW w:w="1133" w:type="dxa"/>
          </w:tcPr>
          <w:p>
            <w:pPr>
              <w:pStyle w:val="TableParagraph"/>
              <w:spacing w:line="210" w:lineRule="exact"/>
              <w:ind w:left="192" w:right="183"/>
              <w:jc w:val="center"/>
              <w:rPr>
                <w:b/>
                <w:sz w:val="20"/>
              </w:rPr>
            </w:pPr>
            <w:r>
              <w:rPr>
                <w:b/>
                <w:sz w:val="20"/>
              </w:rPr>
              <w:t>5.1</w:t>
            </w:r>
          </w:p>
        </w:tc>
      </w:tr>
      <w:tr>
        <w:trPr>
          <w:trHeight w:val="230" w:hRule="atLeast"/>
        </w:trPr>
        <w:tc>
          <w:tcPr>
            <w:tcW w:w="3403" w:type="dxa"/>
          </w:tcPr>
          <w:p>
            <w:pPr>
              <w:pStyle w:val="TableParagraph"/>
              <w:rPr>
                <w:sz w:val="16"/>
              </w:rPr>
            </w:pPr>
          </w:p>
        </w:tc>
        <w:tc>
          <w:tcPr>
            <w:tcW w:w="993" w:type="dxa"/>
          </w:tcPr>
          <w:p>
            <w:pPr>
              <w:pStyle w:val="TableParagraph"/>
              <w:rPr>
                <w:sz w:val="16"/>
              </w:rPr>
            </w:pPr>
          </w:p>
        </w:tc>
        <w:tc>
          <w:tcPr>
            <w:tcW w:w="849" w:type="dxa"/>
          </w:tcPr>
          <w:p>
            <w:pPr>
              <w:pStyle w:val="TableParagraph"/>
              <w:rPr>
                <w:sz w:val="16"/>
              </w:rPr>
            </w:pPr>
          </w:p>
        </w:tc>
        <w:tc>
          <w:tcPr>
            <w:tcW w:w="1135" w:type="dxa"/>
          </w:tcPr>
          <w:p>
            <w:pPr>
              <w:pStyle w:val="TableParagraph"/>
              <w:rPr>
                <w:sz w:val="16"/>
              </w:rPr>
            </w:pPr>
          </w:p>
        </w:tc>
        <w:tc>
          <w:tcPr>
            <w:tcW w:w="1133" w:type="dxa"/>
          </w:tcPr>
          <w:p>
            <w:pPr>
              <w:pStyle w:val="TableParagraph"/>
              <w:rPr>
                <w:sz w:val="16"/>
              </w:rPr>
            </w:pPr>
          </w:p>
        </w:tc>
        <w:tc>
          <w:tcPr>
            <w:tcW w:w="1135" w:type="dxa"/>
          </w:tcPr>
          <w:p>
            <w:pPr>
              <w:pStyle w:val="TableParagraph"/>
              <w:rPr>
                <w:sz w:val="16"/>
              </w:rPr>
            </w:pPr>
          </w:p>
        </w:tc>
        <w:tc>
          <w:tcPr>
            <w:tcW w:w="1133" w:type="dxa"/>
          </w:tcPr>
          <w:p>
            <w:pPr>
              <w:pStyle w:val="TableParagraph"/>
              <w:rPr>
                <w:sz w:val="16"/>
              </w:rPr>
            </w:pPr>
          </w:p>
        </w:tc>
      </w:tr>
      <w:tr>
        <w:trPr>
          <w:trHeight w:val="230" w:hRule="atLeast"/>
        </w:trPr>
        <w:tc>
          <w:tcPr>
            <w:tcW w:w="3403" w:type="dxa"/>
          </w:tcPr>
          <w:p>
            <w:pPr>
              <w:pStyle w:val="TableParagraph"/>
              <w:spacing w:line="210" w:lineRule="exact"/>
              <w:ind w:left="107"/>
              <w:rPr>
                <w:b/>
                <w:sz w:val="20"/>
              </w:rPr>
            </w:pPr>
            <w:r>
              <w:rPr>
                <w:b/>
                <w:sz w:val="20"/>
              </w:rPr>
              <w:t>Acquisition of financial liabilities</w:t>
            </w:r>
          </w:p>
        </w:tc>
        <w:tc>
          <w:tcPr>
            <w:tcW w:w="993" w:type="dxa"/>
          </w:tcPr>
          <w:p>
            <w:pPr>
              <w:pStyle w:val="TableParagraph"/>
              <w:spacing w:line="210" w:lineRule="exact"/>
              <w:ind w:left="275" w:right="268"/>
              <w:jc w:val="center"/>
              <w:rPr>
                <w:b/>
                <w:sz w:val="20"/>
              </w:rPr>
            </w:pPr>
            <w:r>
              <w:rPr>
                <w:b/>
                <w:sz w:val="20"/>
              </w:rPr>
              <w:t>7.9</w:t>
            </w:r>
          </w:p>
        </w:tc>
        <w:tc>
          <w:tcPr>
            <w:tcW w:w="849" w:type="dxa"/>
          </w:tcPr>
          <w:p>
            <w:pPr>
              <w:pStyle w:val="TableParagraph"/>
              <w:spacing w:line="210" w:lineRule="exact"/>
              <w:ind w:left="250"/>
              <w:rPr>
                <w:b/>
                <w:sz w:val="20"/>
              </w:rPr>
            </w:pPr>
            <w:r>
              <w:rPr>
                <w:b/>
                <w:sz w:val="20"/>
              </w:rPr>
              <w:t>10.5</w:t>
            </w:r>
          </w:p>
        </w:tc>
        <w:tc>
          <w:tcPr>
            <w:tcW w:w="1135" w:type="dxa"/>
          </w:tcPr>
          <w:p>
            <w:pPr>
              <w:pStyle w:val="TableParagraph"/>
              <w:spacing w:line="210" w:lineRule="exact"/>
              <w:ind w:left="389"/>
              <w:rPr>
                <w:b/>
                <w:sz w:val="20"/>
              </w:rPr>
            </w:pPr>
            <w:r>
              <w:rPr>
                <w:b/>
                <w:sz w:val="20"/>
              </w:rPr>
              <w:t>10.3</w:t>
            </w:r>
          </w:p>
        </w:tc>
        <w:tc>
          <w:tcPr>
            <w:tcW w:w="1133" w:type="dxa"/>
          </w:tcPr>
          <w:p>
            <w:pPr>
              <w:pStyle w:val="TableParagraph"/>
              <w:spacing w:line="210" w:lineRule="exact"/>
              <w:ind w:left="192" w:right="184"/>
              <w:jc w:val="center"/>
              <w:rPr>
                <w:b/>
                <w:sz w:val="20"/>
              </w:rPr>
            </w:pPr>
            <w:r>
              <w:rPr>
                <w:b/>
                <w:sz w:val="20"/>
              </w:rPr>
              <w:t>11.2</w:t>
            </w:r>
          </w:p>
        </w:tc>
        <w:tc>
          <w:tcPr>
            <w:tcW w:w="1135" w:type="dxa"/>
          </w:tcPr>
          <w:p>
            <w:pPr>
              <w:pStyle w:val="TableParagraph"/>
              <w:spacing w:line="210" w:lineRule="exact"/>
              <w:ind w:right="381"/>
              <w:jc w:val="right"/>
              <w:rPr>
                <w:b/>
                <w:sz w:val="20"/>
              </w:rPr>
            </w:pPr>
            <w:r>
              <w:rPr>
                <w:b/>
                <w:sz w:val="20"/>
              </w:rPr>
              <w:t>14.8</w:t>
            </w:r>
          </w:p>
        </w:tc>
        <w:tc>
          <w:tcPr>
            <w:tcW w:w="1133" w:type="dxa"/>
          </w:tcPr>
          <w:p>
            <w:pPr>
              <w:pStyle w:val="TableParagraph"/>
              <w:spacing w:line="210" w:lineRule="exact"/>
              <w:ind w:left="192" w:right="184"/>
              <w:jc w:val="center"/>
              <w:rPr>
                <w:b/>
                <w:sz w:val="20"/>
              </w:rPr>
            </w:pPr>
            <w:r>
              <w:rPr>
                <w:b/>
                <w:sz w:val="20"/>
              </w:rPr>
              <w:t>14.6</w:t>
            </w:r>
          </w:p>
        </w:tc>
      </w:tr>
      <w:tr>
        <w:trPr>
          <w:trHeight w:val="230" w:hRule="atLeast"/>
        </w:trPr>
        <w:tc>
          <w:tcPr>
            <w:tcW w:w="3403" w:type="dxa"/>
          </w:tcPr>
          <w:p>
            <w:pPr>
              <w:pStyle w:val="TableParagraph"/>
              <w:spacing w:line="210" w:lineRule="exact"/>
              <w:ind w:left="107"/>
              <w:rPr>
                <w:b/>
                <w:sz w:val="20"/>
              </w:rPr>
            </w:pPr>
            <w:r>
              <w:rPr>
                <w:b/>
                <w:sz w:val="20"/>
              </w:rPr>
              <w:t>of which*:</w:t>
            </w:r>
          </w:p>
        </w:tc>
        <w:tc>
          <w:tcPr>
            <w:tcW w:w="993" w:type="dxa"/>
          </w:tcPr>
          <w:p>
            <w:pPr>
              <w:pStyle w:val="TableParagraph"/>
              <w:rPr>
                <w:sz w:val="16"/>
              </w:rPr>
            </w:pPr>
          </w:p>
        </w:tc>
        <w:tc>
          <w:tcPr>
            <w:tcW w:w="849" w:type="dxa"/>
          </w:tcPr>
          <w:p>
            <w:pPr>
              <w:pStyle w:val="TableParagraph"/>
              <w:rPr>
                <w:sz w:val="16"/>
              </w:rPr>
            </w:pPr>
          </w:p>
        </w:tc>
        <w:tc>
          <w:tcPr>
            <w:tcW w:w="1135" w:type="dxa"/>
          </w:tcPr>
          <w:p>
            <w:pPr>
              <w:pStyle w:val="TableParagraph"/>
              <w:rPr>
                <w:sz w:val="16"/>
              </w:rPr>
            </w:pPr>
          </w:p>
        </w:tc>
        <w:tc>
          <w:tcPr>
            <w:tcW w:w="1133" w:type="dxa"/>
          </w:tcPr>
          <w:p>
            <w:pPr>
              <w:pStyle w:val="TableParagraph"/>
              <w:rPr>
                <w:sz w:val="16"/>
              </w:rPr>
            </w:pPr>
          </w:p>
        </w:tc>
        <w:tc>
          <w:tcPr>
            <w:tcW w:w="1135" w:type="dxa"/>
          </w:tcPr>
          <w:p>
            <w:pPr>
              <w:pStyle w:val="TableParagraph"/>
              <w:rPr>
                <w:sz w:val="16"/>
              </w:rPr>
            </w:pPr>
          </w:p>
        </w:tc>
        <w:tc>
          <w:tcPr>
            <w:tcW w:w="1133" w:type="dxa"/>
          </w:tcPr>
          <w:p>
            <w:pPr>
              <w:pStyle w:val="TableParagraph"/>
              <w:rPr>
                <w:sz w:val="16"/>
              </w:rPr>
            </w:pPr>
          </w:p>
        </w:tc>
      </w:tr>
      <w:tr>
        <w:trPr>
          <w:trHeight w:val="230" w:hRule="atLeast"/>
        </w:trPr>
        <w:tc>
          <w:tcPr>
            <w:tcW w:w="3403" w:type="dxa"/>
          </w:tcPr>
          <w:p>
            <w:pPr>
              <w:pStyle w:val="TableParagraph"/>
              <w:spacing w:line="210" w:lineRule="exact"/>
              <w:ind w:left="107"/>
              <w:rPr>
                <w:b/>
                <w:sz w:val="20"/>
              </w:rPr>
            </w:pPr>
            <w:r>
              <w:rPr>
                <w:b/>
                <w:sz w:val="20"/>
              </w:rPr>
              <w:t>Total loans</w:t>
            </w:r>
          </w:p>
        </w:tc>
        <w:tc>
          <w:tcPr>
            <w:tcW w:w="993" w:type="dxa"/>
          </w:tcPr>
          <w:p>
            <w:pPr>
              <w:pStyle w:val="TableParagraph"/>
              <w:spacing w:line="210" w:lineRule="exact"/>
              <w:ind w:left="275" w:right="268"/>
              <w:jc w:val="center"/>
              <w:rPr>
                <w:b/>
                <w:sz w:val="20"/>
              </w:rPr>
            </w:pPr>
            <w:r>
              <w:rPr>
                <w:b/>
                <w:sz w:val="20"/>
              </w:rPr>
              <w:t>7.3</w:t>
            </w:r>
          </w:p>
        </w:tc>
        <w:tc>
          <w:tcPr>
            <w:tcW w:w="849" w:type="dxa"/>
          </w:tcPr>
          <w:p>
            <w:pPr>
              <w:pStyle w:val="TableParagraph"/>
              <w:spacing w:line="210" w:lineRule="exact"/>
              <w:ind w:left="250"/>
              <w:rPr>
                <w:b/>
                <w:sz w:val="20"/>
              </w:rPr>
            </w:pPr>
            <w:r>
              <w:rPr>
                <w:b/>
                <w:sz w:val="20"/>
              </w:rPr>
              <w:t>10.3</w:t>
            </w:r>
          </w:p>
        </w:tc>
        <w:tc>
          <w:tcPr>
            <w:tcW w:w="1135" w:type="dxa"/>
          </w:tcPr>
          <w:p>
            <w:pPr>
              <w:pStyle w:val="TableParagraph"/>
              <w:spacing w:line="210" w:lineRule="exact"/>
              <w:ind w:left="389"/>
              <w:rPr>
                <w:b/>
                <w:sz w:val="20"/>
              </w:rPr>
            </w:pPr>
            <w:r>
              <w:rPr>
                <w:b/>
                <w:sz w:val="20"/>
              </w:rPr>
              <w:t>10.5</w:t>
            </w:r>
          </w:p>
        </w:tc>
        <w:tc>
          <w:tcPr>
            <w:tcW w:w="1133" w:type="dxa"/>
          </w:tcPr>
          <w:p>
            <w:pPr>
              <w:pStyle w:val="TableParagraph"/>
              <w:spacing w:line="210" w:lineRule="exact"/>
              <w:ind w:left="192" w:right="183"/>
              <w:jc w:val="center"/>
              <w:rPr>
                <w:b/>
                <w:sz w:val="20"/>
              </w:rPr>
            </w:pPr>
            <w:r>
              <w:rPr>
                <w:b/>
                <w:sz w:val="20"/>
              </w:rPr>
              <w:t>10.9</w:t>
            </w:r>
          </w:p>
        </w:tc>
        <w:tc>
          <w:tcPr>
            <w:tcW w:w="1135" w:type="dxa"/>
          </w:tcPr>
          <w:p>
            <w:pPr>
              <w:pStyle w:val="TableParagraph"/>
              <w:spacing w:line="210" w:lineRule="exact"/>
              <w:ind w:right="380"/>
              <w:jc w:val="right"/>
              <w:rPr>
                <w:b/>
                <w:sz w:val="20"/>
              </w:rPr>
            </w:pPr>
            <w:r>
              <w:rPr>
                <w:b/>
                <w:sz w:val="20"/>
              </w:rPr>
              <w:t>14.4</w:t>
            </w:r>
          </w:p>
        </w:tc>
        <w:tc>
          <w:tcPr>
            <w:tcW w:w="1133" w:type="dxa"/>
          </w:tcPr>
          <w:p>
            <w:pPr>
              <w:pStyle w:val="TableParagraph"/>
              <w:spacing w:line="210" w:lineRule="exact"/>
              <w:ind w:left="192" w:right="183"/>
              <w:jc w:val="center"/>
              <w:rPr>
                <w:b/>
                <w:sz w:val="20"/>
              </w:rPr>
            </w:pPr>
            <w:r>
              <w:rPr>
                <w:b/>
                <w:sz w:val="20"/>
              </w:rPr>
              <w:t>13.3</w:t>
            </w:r>
          </w:p>
        </w:tc>
      </w:tr>
      <w:tr>
        <w:trPr>
          <w:trHeight w:val="230" w:hRule="atLeast"/>
        </w:trPr>
        <w:tc>
          <w:tcPr>
            <w:tcW w:w="3403" w:type="dxa"/>
          </w:tcPr>
          <w:p>
            <w:pPr>
              <w:pStyle w:val="TableParagraph"/>
              <w:rPr>
                <w:sz w:val="16"/>
              </w:rPr>
            </w:pPr>
          </w:p>
        </w:tc>
        <w:tc>
          <w:tcPr>
            <w:tcW w:w="993" w:type="dxa"/>
          </w:tcPr>
          <w:p>
            <w:pPr>
              <w:pStyle w:val="TableParagraph"/>
              <w:rPr>
                <w:sz w:val="16"/>
              </w:rPr>
            </w:pPr>
          </w:p>
        </w:tc>
        <w:tc>
          <w:tcPr>
            <w:tcW w:w="849" w:type="dxa"/>
          </w:tcPr>
          <w:p>
            <w:pPr>
              <w:pStyle w:val="TableParagraph"/>
              <w:rPr>
                <w:sz w:val="16"/>
              </w:rPr>
            </w:pPr>
          </w:p>
        </w:tc>
        <w:tc>
          <w:tcPr>
            <w:tcW w:w="1135" w:type="dxa"/>
          </w:tcPr>
          <w:p>
            <w:pPr>
              <w:pStyle w:val="TableParagraph"/>
              <w:rPr>
                <w:sz w:val="16"/>
              </w:rPr>
            </w:pPr>
          </w:p>
        </w:tc>
        <w:tc>
          <w:tcPr>
            <w:tcW w:w="1133" w:type="dxa"/>
          </w:tcPr>
          <w:p>
            <w:pPr>
              <w:pStyle w:val="TableParagraph"/>
              <w:rPr>
                <w:sz w:val="16"/>
              </w:rPr>
            </w:pPr>
          </w:p>
        </w:tc>
        <w:tc>
          <w:tcPr>
            <w:tcW w:w="1135" w:type="dxa"/>
          </w:tcPr>
          <w:p>
            <w:pPr>
              <w:pStyle w:val="TableParagraph"/>
              <w:rPr>
                <w:sz w:val="16"/>
              </w:rPr>
            </w:pPr>
          </w:p>
        </w:tc>
        <w:tc>
          <w:tcPr>
            <w:tcW w:w="1133" w:type="dxa"/>
          </w:tcPr>
          <w:p>
            <w:pPr>
              <w:pStyle w:val="TableParagraph"/>
              <w:rPr>
                <w:sz w:val="16"/>
              </w:rPr>
            </w:pPr>
          </w:p>
        </w:tc>
      </w:tr>
      <w:tr>
        <w:trPr>
          <w:trHeight w:val="230" w:hRule="atLeast"/>
        </w:trPr>
        <w:tc>
          <w:tcPr>
            <w:tcW w:w="3403" w:type="dxa"/>
          </w:tcPr>
          <w:p>
            <w:pPr>
              <w:pStyle w:val="TableParagraph"/>
              <w:spacing w:line="210" w:lineRule="exact"/>
              <w:ind w:left="107"/>
              <w:rPr>
                <w:b/>
                <w:sz w:val="20"/>
              </w:rPr>
            </w:pPr>
            <w:r>
              <w:rPr>
                <w:b/>
                <w:sz w:val="20"/>
              </w:rPr>
              <w:t>Net acquisition of financial assets</w:t>
            </w:r>
          </w:p>
        </w:tc>
        <w:tc>
          <w:tcPr>
            <w:tcW w:w="993" w:type="dxa"/>
          </w:tcPr>
          <w:p>
            <w:pPr>
              <w:pStyle w:val="TableParagraph"/>
              <w:spacing w:line="210" w:lineRule="exact"/>
              <w:ind w:left="273" w:right="268"/>
              <w:jc w:val="center"/>
              <w:rPr>
                <w:b/>
                <w:sz w:val="20"/>
              </w:rPr>
            </w:pPr>
            <w:r>
              <w:rPr>
                <w:b/>
                <w:sz w:val="20"/>
              </w:rPr>
              <w:t>0.2</w:t>
            </w:r>
          </w:p>
        </w:tc>
        <w:tc>
          <w:tcPr>
            <w:tcW w:w="849" w:type="dxa"/>
          </w:tcPr>
          <w:p>
            <w:pPr>
              <w:pStyle w:val="TableParagraph"/>
              <w:spacing w:line="210" w:lineRule="exact"/>
              <w:ind w:left="266"/>
              <w:rPr>
                <w:b/>
                <w:sz w:val="20"/>
              </w:rPr>
            </w:pPr>
            <w:r>
              <w:rPr>
                <w:b/>
                <w:sz w:val="20"/>
              </w:rPr>
              <w:t>-0.3</w:t>
            </w:r>
          </w:p>
        </w:tc>
        <w:tc>
          <w:tcPr>
            <w:tcW w:w="1135" w:type="dxa"/>
          </w:tcPr>
          <w:p>
            <w:pPr>
              <w:pStyle w:val="TableParagraph"/>
              <w:spacing w:line="210" w:lineRule="exact"/>
              <w:ind w:left="439"/>
              <w:rPr>
                <w:b/>
                <w:sz w:val="20"/>
              </w:rPr>
            </w:pPr>
            <w:r>
              <w:rPr>
                <w:b/>
                <w:sz w:val="20"/>
              </w:rPr>
              <w:t>0.3</w:t>
            </w:r>
          </w:p>
        </w:tc>
        <w:tc>
          <w:tcPr>
            <w:tcW w:w="1133" w:type="dxa"/>
          </w:tcPr>
          <w:p>
            <w:pPr>
              <w:pStyle w:val="TableParagraph"/>
              <w:spacing w:line="210" w:lineRule="exact"/>
              <w:ind w:left="192" w:right="184"/>
              <w:jc w:val="center"/>
              <w:rPr>
                <w:b/>
                <w:sz w:val="20"/>
              </w:rPr>
            </w:pPr>
            <w:r>
              <w:rPr>
                <w:b/>
                <w:sz w:val="20"/>
              </w:rPr>
              <w:t>-0.2</w:t>
            </w:r>
          </w:p>
        </w:tc>
        <w:tc>
          <w:tcPr>
            <w:tcW w:w="1135" w:type="dxa"/>
          </w:tcPr>
          <w:p>
            <w:pPr>
              <w:pStyle w:val="TableParagraph"/>
              <w:spacing w:line="210" w:lineRule="exact"/>
              <w:ind w:right="398"/>
              <w:jc w:val="right"/>
              <w:rPr>
                <w:b/>
                <w:sz w:val="20"/>
              </w:rPr>
            </w:pPr>
            <w:r>
              <w:rPr>
                <w:b/>
                <w:w w:val="95"/>
                <w:sz w:val="20"/>
              </w:rPr>
              <w:t>-1.9</w:t>
            </w:r>
          </w:p>
        </w:tc>
        <w:tc>
          <w:tcPr>
            <w:tcW w:w="1133" w:type="dxa"/>
          </w:tcPr>
          <w:p>
            <w:pPr>
              <w:pStyle w:val="TableParagraph"/>
              <w:spacing w:line="210" w:lineRule="exact"/>
              <w:ind w:left="191" w:right="184"/>
              <w:jc w:val="center"/>
              <w:rPr>
                <w:b/>
                <w:sz w:val="20"/>
              </w:rPr>
            </w:pPr>
            <w:r>
              <w:rPr>
                <w:b/>
                <w:sz w:val="20"/>
              </w:rPr>
              <w:t>1.2</w:t>
            </w:r>
          </w:p>
        </w:tc>
      </w:tr>
    </w:tbl>
    <w:p>
      <w:pPr>
        <w:pStyle w:val="BodyText"/>
        <w:spacing w:before="7"/>
        <w:rPr>
          <w:sz w:val="19"/>
        </w:rPr>
      </w:pPr>
    </w:p>
    <w:p>
      <w:pPr>
        <w:spacing w:before="0"/>
        <w:ind w:left="221" w:right="0" w:firstLine="0"/>
        <w:jc w:val="left"/>
        <w:rPr>
          <w:sz w:val="20"/>
        </w:rPr>
      </w:pPr>
      <w:r>
        <w:rPr>
          <w:sz w:val="20"/>
        </w:rPr>
        <w:t>* Totals do not add up due to the exclusion of minor items.</w:t>
      </w:r>
    </w:p>
    <w:p>
      <w:pPr>
        <w:spacing w:line="720" w:lineRule="auto" w:before="1"/>
        <w:ind w:left="221" w:right="4046" w:firstLine="0"/>
        <w:jc w:val="left"/>
        <w:rPr>
          <w:sz w:val="20"/>
        </w:rPr>
      </w:pPr>
      <w:r>
        <w:rPr>
          <w:sz w:val="20"/>
        </w:rPr>
        <w:t>** Mainly net equity of households in pension funds and life insurance. Source: ONS</w:t>
      </w:r>
    </w:p>
    <w:p>
      <w:pPr>
        <w:pStyle w:val="BodyText"/>
        <w:rPr>
          <w:sz w:val="32"/>
        </w:rPr>
      </w:pPr>
    </w:p>
    <w:p>
      <w:pPr>
        <w:pStyle w:val="Heading1"/>
        <w:ind w:left="955" w:right="740"/>
        <w:jc w:val="center"/>
        <w:rPr>
          <w:u w:val="none"/>
        </w:rPr>
      </w:pPr>
      <w:r>
        <w:rPr>
          <w:u w:val="thick"/>
        </w:rPr>
        <w:t>Table 2</w:t>
      </w:r>
    </w:p>
    <w:p>
      <w:pPr>
        <w:pStyle w:val="BodyText"/>
        <w:spacing w:before="2"/>
        <w:rPr>
          <w:b/>
          <w:sz w:val="16"/>
        </w:rPr>
      </w:pPr>
    </w:p>
    <w:p>
      <w:pPr>
        <w:spacing w:before="90"/>
        <w:ind w:left="955" w:right="740" w:firstLine="0"/>
        <w:jc w:val="center"/>
        <w:rPr>
          <w:b/>
          <w:sz w:val="24"/>
        </w:rPr>
      </w:pPr>
      <w:r>
        <w:rPr>
          <w:b/>
          <w:sz w:val="24"/>
          <w:u w:val="thick"/>
        </w:rPr>
        <w:t>Secured Debt to Income Ratio Among Mortgage Holders</w:t>
      </w:r>
    </w:p>
    <w:p>
      <w:pPr>
        <w:pStyle w:val="BodyText"/>
        <w:rPr>
          <w:b/>
          <w:sz w:val="20"/>
        </w:rPr>
      </w:pPr>
    </w:p>
    <w:p>
      <w:pPr>
        <w:pStyle w:val="BodyText"/>
        <w:spacing w:before="7" w:after="1"/>
        <w:rPr>
          <w:b/>
          <w:sz w:val="28"/>
        </w:rPr>
      </w:pPr>
    </w:p>
    <w:tbl>
      <w:tblPr>
        <w:tblW w:w="0" w:type="auto"/>
        <w:jc w:val="left"/>
        <w:tblInd w:w="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3"/>
        <w:gridCol w:w="1066"/>
        <w:gridCol w:w="1065"/>
        <w:gridCol w:w="1065"/>
        <w:gridCol w:w="1066"/>
        <w:gridCol w:w="1066"/>
        <w:gridCol w:w="1065"/>
        <w:gridCol w:w="822"/>
      </w:tblGrid>
      <w:tr>
        <w:trPr>
          <w:trHeight w:val="271" w:hRule="atLeast"/>
        </w:trPr>
        <w:tc>
          <w:tcPr>
            <w:tcW w:w="823" w:type="dxa"/>
          </w:tcPr>
          <w:p>
            <w:pPr>
              <w:pStyle w:val="TableParagraph"/>
              <w:spacing w:line="251" w:lineRule="exact"/>
              <w:ind w:left="50"/>
              <w:rPr>
                <w:sz w:val="24"/>
              </w:rPr>
            </w:pPr>
            <w:r>
              <w:rPr>
                <w:sz w:val="24"/>
              </w:rPr>
              <w:t>1994</w:t>
            </w:r>
          </w:p>
        </w:tc>
        <w:tc>
          <w:tcPr>
            <w:tcW w:w="1066" w:type="dxa"/>
          </w:tcPr>
          <w:p>
            <w:pPr>
              <w:pStyle w:val="TableParagraph"/>
              <w:spacing w:line="251" w:lineRule="exact"/>
              <w:ind w:left="292"/>
              <w:rPr>
                <w:sz w:val="24"/>
              </w:rPr>
            </w:pPr>
            <w:r>
              <w:rPr>
                <w:sz w:val="24"/>
              </w:rPr>
              <w:t>1995</w:t>
            </w:r>
          </w:p>
        </w:tc>
        <w:tc>
          <w:tcPr>
            <w:tcW w:w="1065" w:type="dxa"/>
          </w:tcPr>
          <w:p>
            <w:pPr>
              <w:pStyle w:val="TableParagraph"/>
              <w:spacing w:line="251" w:lineRule="exact"/>
              <w:ind w:left="292"/>
              <w:rPr>
                <w:sz w:val="24"/>
              </w:rPr>
            </w:pPr>
            <w:r>
              <w:rPr>
                <w:sz w:val="24"/>
              </w:rPr>
              <w:t>1996</w:t>
            </w:r>
          </w:p>
        </w:tc>
        <w:tc>
          <w:tcPr>
            <w:tcW w:w="1065" w:type="dxa"/>
          </w:tcPr>
          <w:p>
            <w:pPr>
              <w:pStyle w:val="TableParagraph"/>
              <w:spacing w:line="251" w:lineRule="exact"/>
              <w:ind w:left="290"/>
              <w:rPr>
                <w:sz w:val="24"/>
              </w:rPr>
            </w:pPr>
            <w:r>
              <w:rPr>
                <w:sz w:val="24"/>
              </w:rPr>
              <w:t>1997</w:t>
            </w:r>
          </w:p>
        </w:tc>
        <w:tc>
          <w:tcPr>
            <w:tcW w:w="1066" w:type="dxa"/>
          </w:tcPr>
          <w:p>
            <w:pPr>
              <w:pStyle w:val="TableParagraph"/>
              <w:spacing w:line="251" w:lineRule="exact"/>
              <w:ind w:left="271" w:right="273"/>
              <w:jc w:val="center"/>
              <w:rPr>
                <w:sz w:val="24"/>
              </w:rPr>
            </w:pPr>
            <w:r>
              <w:rPr>
                <w:sz w:val="24"/>
              </w:rPr>
              <w:t>1998</w:t>
            </w:r>
          </w:p>
        </w:tc>
        <w:tc>
          <w:tcPr>
            <w:tcW w:w="1066" w:type="dxa"/>
          </w:tcPr>
          <w:p>
            <w:pPr>
              <w:pStyle w:val="TableParagraph"/>
              <w:spacing w:line="251" w:lineRule="exact"/>
              <w:ind w:left="271" w:right="274"/>
              <w:jc w:val="center"/>
              <w:rPr>
                <w:sz w:val="24"/>
              </w:rPr>
            </w:pPr>
            <w:r>
              <w:rPr>
                <w:sz w:val="24"/>
              </w:rPr>
              <w:t>1999</w:t>
            </w:r>
          </w:p>
        </w:tc>
        <w:tc>
          <w:tcPr>
            <w:tcW w:w="1065" w:type="dxa"/>
          </w:tcPr>
          <w:p>
            <w:pPr>
              <w:pStyle w:val="TableParagraph"/>
              <w:spacing w:line="251" w:lineRule="exact"/>
              <w:ind w:left="290"/>
              <w:rPr>
                <w:sz w:val="24"/>
              </w:rPr>
            </w:pPr>
            <w:r>
              <w:rPr>
                <w:sz w:val="24"/>
              </w:rPr>
              <w:t>2000</w:t>
            </w:r>
          </w:p>
        </w:tc>
        <w:tc>
          <w:tcPr>
            <w:tcW w:w="822" w:type="dxa"/>
          </w:tcPr>
          <w:p>
            <w:pPr>
              <w:pStyle w:val="TableParagraph"/>
              <w:spacing w:line="251" w:lineRule="exact"/>
              <w:ind w:left="288"/>
              <w:rPr>
                <w:sz w:val="24"/>
              </w:rPr>
            </w:pPr>
            <w:r>
              <w:rPr>
                <w:sz w:val="24"/>
              </w:rPr>
              <w:t>2001</w:t>
            </w:r>
          </w:p>
        </w:tc>
      </w:tr>
      <w:tr>
        <w:trPr>
          <w:trHeight w:val="271" w:hRule="atLeast"/>
        </w:trPr>
        <w:tc>
          <w:tcPr>
            <w:tcW w:w="823" w:type="dxa"/>
          </w:tcPr>
          <w:p>
            <w:pPr>
              <w:pStyle w:val="TableParagraph"/>
              <w:spacing w:line="251" w:lineRule="exact"/>
              <w:ind w:left="50"/>
              <w:rPr>
                <w:sz w:val="24"/>
              </w:rPr>
            </w:pPr>
            <w:r>
              <w:rPr>
                <w:sz w:val="24"/>
              </w:rPr>
              <w:t>1.26</w:t>
            </w:r>
          </w:p>
        </w:tc>
        <w:tc>
          <w:tcPr>
            <w:tcW w:w="1066" w:type="dxa"/>
          </w:tcPr>
          <w:p>
            <w:pPr>
              <w:pStyle w:val="TableParagraph"/>
              <w:spacing w:line="251" w:lineRule="exact"/>
              <w:ind w:left="292"/>
              <w:rPr>
                <w:sz w:val="24"/>
              </w:rPr>
            </w:pPr>
            <w:r>
              <w:rPr>
                <w:sz w:val="24"/>
              </w:rPr>
              <w:t>1.24</w:t>
            </w:r>
          </w:p>
        </w:tc>
        <w:tc>
          <w:tcPr>
            <w:tcW w:w="1065" w:type="dxa"/>
          </w:tcPr>
          <w:p>
            <w:pPr>
              <w:pStyle w:val="TableParagraph"/>
              <w:spacing w:line="251" w:lineRule="exact"/>
              <w:ind w:left="292"/>
              <w:rPr>
                <w:sz w:val="24"/>
              </w:rPr>
            </w:pPr>
            <w:r>
              <w:rPr>
                <w:sz w:val="24"/>
              </w:rPr>
              <w:t>1.28</w:t>
            </w:r>
          </w:p>
        </w:tc>
        <w:tc>
          <w:tcPr>
            <w:tcW w:w="1065" w:type="dxa"/>
          </w:tcPr>
          <w:p>
            <w:pPr>
              <w:pStyle w:val="TableParagraph"/>
              <w:spacing w:line="251" w:lineRule="exact"/>
              <w:ind w:left="290"/>
              <w:rPr>
                <w:sz w:val="24"/>
              </w:rPr>
            </w:pPr>
            <w:r>
              <w:rPr>
                <w:sz w:val="24"/>
              </w:rPr>
              <w:t>1.29</w:t>
            </w:r>
          </w:p>
        </w:tc>
        <w:tc>
          <w:tcPr>
            <w:tcW w:w="1066" w:type="dxa"/>
          </w:tcPr>
          <w:p>
            <w:pPr>
              <w:pStyle w:val="TableParagraph"/>
              <w:spacing w:line="251" w:lineRule="exact"/>
              <w:ind w:left="212" w:right="274"/>
              <w:jc w:val="center"/>
              <w:rPr>
                <w:sz w:val="24"/>
              </w:rPr>
            </w:pPr>
            <w:r>
              <w:rPr>
                <w:sz w:val="24"/>
              </w:rPr>
              <w:t>1.30</w:t>
            </w:r>
          </w:p>
        </w:tc>
        <w:tc>
          <w:tcPr>
            <w:tcW w:w="1066" w:type="dxa"/>
          </w:tcPr>
          <w:p>
            <w:pPr>
              <w:pStyle w:val="TableParagraph"/>
              <w:spacing w:line="251" w:lineRule="exact"/>
              <w:ind w:left="211" w:right="274"/>
              <w:jc w:val="center"/>
              <w:rPr>
                <w:sz w:val="24"/>
              </w:rPr>
            </w:pPr>
            <w:r>
              <w:rPr>
                <w:sz w:val="24"/>
              </w:rPr>
              <w:t>1.25</w:t>
            </w:r>
          </w:p>
        </w:tc>
        <w:tc>
          <w:tcPr>
            <w:tcW w:w="1065" w:type="dxa"/>
          </w:tcPr>
          <w:p>
            <w:pPr>
              <w:pStyle w:val="TableParagraph"/>
              <w:spacing w:line="251" w:lineRule="exact"/>
              <w:ind w:left="289"/>
              <w:rPr>
                <w:sz w:val="24"/>
              </w:rPr>
            </w:pPr>
            <w:r>
              <w:rPr>
                <w:sz w:val="24"/>
              </w:rPr>
              <w:t>1.24</w:t>
            </w:r>
          </w:p>
        </w:tc>
        <w:tc>
          <w:tcPr>
            <w:tcW w:w="822" w:type="dxa"/>
          </w:tcPr>
          <w:p>
            <w:pPr>
              <w:pStyle w:val="TableParagraph"/>
              <w:spacing w:line="251" w:lineRule="exact"/>
              <w:ind w:left="287"/>
              <w:rPr>
                <w:sz w:val="24"/>
              </w:rPr>
            </w:pPr>
            <w:r>
              <w:rPr>
                <w:sz w:val="24"/>
              </w:rPr>
              <w:t>1.25</w:t>
            </w:r>
          </w:p>
        </w:tc>
      </w:tr>
    </w:tbl>
    <w:p>
      <w:pPr>
        <w:pStyle w:val="BodyText"/>
        <w:rPr>
          <w:b/>
          <w:sz w:val="20"/>
        </w:rPr>
      </w:pPr>
    </w:p>
    <w:p>
      <w:pPr>
        <w:pStyle w:val="BodyText"/>
        <w:rPr>
          <w:b/>
          <w:sz w:val="20"/>
        </w:rPr>
      </w:pPr>
    </w:p>
    <w:p>
      <w:pPr>
        <w:spacing w:before="91"/>
        <w:ind w:left="965" w:right="0" w:firstLine="0"/>
        <w:jc w:val="left"/>
        <w:rPr>
          <w:sz w:val="20"/>
        </w:rPr>
      </w:pPr>
      <w:r>
        <w:rPr>
          <w:b/>
          <w:sz w:val="20"/>
        </w:rPr>
        <w:t>Source: </w:t>
      </w:r>
      <w:r>
        <w:rPr>
          <w:sz w:val="20"/>
        </w:rPr>
        <w:t>British Household Panel Study.</w:t>
      </w:r>
    </w:p>
    <w:p>
      <w:pPr>
        <w:pStyle w:val="BodyText"/>
        <w:rPr>
          <w:sz w:val="20"/>
        </w:rPr>
      </w:pPr>
    </w:p>
    <w:p>
      <w:pPr>
        <w:tabs>
          <w:tab w:pos="1685" w:val="left" w:leader="none"/>
        </w:tabs>
        <w:spacing w:before="0"/>
        <w:ind w:left="1685" w:right="1115" w:hanging="720"/>
        <w:jc w:val="left"/>
        <w:rPr>
          <w:sz w:val="20"/>
        </w:rPr>
      </w:pPr>
      <w:r>
        <w:rPr>
          <w:b/>
          <w:sz w:val="20"/>
        </w:rPr>
        <w:t>Note:</w:t>
        <w:tab/>
      </w:r>
      <w:r>
        <w:rPr>
          <w:sz w:val="20"/>
        </w:rPr>
        <w:t>These data are 3-year centred moving averages to smooth out the sampling variation. The 2001 number is an average of 2000 and</w:t>
      </w:r>
      <w:r>
        <w:rPr>
          <w:spacing w:val="-2"/>
          <w:sz w:val="20"/>
        </w:rPr>
        <w:t> </w:t>
      </w:r>
      <w:r>
        <w:rPr>
          <w:sz w:val="20"/>
        </w:rPr>
        <w:t>2001.</w:t>
      </w:r>
    </w:p>
    <w:p>
      <w:pPr>
        <w:spacing w:after="0"/>
        <w:jc w:val="left"/>
        <w:rPr>
          <w:sz w:val="20"/>
        </w:rPr>
        <w:sectPr>
          <w:pgSz w:w="12240" w:h="15840"/>
          <w:pgMar w:header="209" w:footer="0" w:top="840" w:bottom="280" w:left="1000" w:right="1220"/>
        </w:sectPr>
      </w:pPr>
    </w:p>
    <w:p>
      <w:pPr>
        <w:pStyle w:val="BodyText"/>
        <w:rPr>
          <w:sz w:val="20"/>
        </w:rPr>
      </w:pPr>
      <w:r>
        <w:rPr/>
        <w:pict>
          <v:group style="position:absolute;margin-left:118.670502pt;margin-top:112.620003pt;width:289.1pt;height:148.950pt;mso-position-horizontal-relative:page;mso-position-vertical-relative:page;z-index:-254243840" coordorigin="2373,2252" coordsize="5782,2979">
            <v:line style="position:absolute" from="2396,3989" to="2396,4486" stroked="true" strokeweight="2.280pt" strokecolor="#000080">
              <v:stroke dashstyle="solid"/>
            </v:line>
            <v:shape style="position:absolute;left:2455;top:4017;width:58;height:468" coordorigin="2455,4018" coordsize="58,468" path="m2455,4032l2455,4486m2513,4018l2513,4486e" filled="false" stroked="true" strokeweight="2.16pt" strokecolor="#000080">
              <v:path arrowok="t"/>
              <v:stroke dashstyle="solid"/>
            </v:shape>
            <v:line style="position:absolute" from="2564,4003" to="2564,4486" stroked="true" strokeweight="1.56pt" strokecolor="#000080">
              <v:stroke dashstyle="solid"/>
            </v:line>
            <v:shape style="position:absolute;left:2616;top:4017;width:58;height:468" coordorigin="2616,4018" coordsize="58,468" path="m2616,4032l2616,4486m2674,4018l2674,4486e" filled="false" stroked="true" strokeweight="2.16pt" strokecolor="#000080">
              <v:path arrowok="t"/>
              <v:stroke dashstyle="solid"/>
            </v:shape>
            <v:line style="position:absolute" from="2732,4018" to="2732,4486" stroked="true" strokeweight="2.280pt" strokecolor="#000080">
              <v:stroke dashstyle="solid"/>
            </v:line>
            <v:shape style="position:absolute;left:2791;top:4003;width:58;height:483" coordorigin="2791,4003" coordsize="58,483" path="m2791,4003l2791,4486m2849,4018l2849,4486e" filled="false" stroked="true" strokeweight="2.16pt" strokecolor="#000080">
              <v:path arrowok="t"/>
              <v:stroke dashstyle="solid"/>
            </v:shape>
            <v:line style="position:absolute" from="2899,4032" to="2899,4486" stroked="true" strokeweight="1.44pt" strokecolor="#000080">
              <v:stroke dashstyle="solid"/>
            </v:line>
            <v:line style="position:absolute" from="2951,4032" to="2951,4486" stroked="true" strokeweight="2.280pt" strokecolor="#000080">
              <v:stroke dashstyle="solid"/>
            </v:line>
            <v:shape style="position:absolute;left:3009;top:3988;width:58;height:497" coordorigin="3010,3989" coordsize="58,497" path="m3010,4032l3010,4486m3067,3989l3067,4486e" filled="false" stroked="true" strokeweight="2.16pt" strokecolor="#000080">
              <v:path arrowok="t"/>
              <v:stroke dashstyle="solid"/>
            </v:shape>
            <v:line style="position:absolute" from="3126,3974" to="3126,4486" stroked="true" strokeweight="2.280pt" strokecolor="#000080">
              <v:stroke dashstyle="solid"/>
            </v:line>
            <v:line style="position:absolute" from="3185,3946" to="3185,4486" stroked="true" strokeweight="2.16pt" strokecolor="#000080">
              <v:stroke dashstyle="solid"/>
            </v:line>
            <v:line style="position:absolute" from="3235,3946" to="3235,4486" stroked="true" strokeweight="1.44pt" strokecolor="#000080">
              <v:stroke dashstyle="solid"/>
            </v:line>
            <v:line style="position:absolute" from="3287,3960" to="3287,4486" stroked="true" strokeweight="2.280pt" strokecolor="#000080">
              <v:stroke dashstyle="solid"/>
            </v:line>
            <v:shape style="position:absolute;left:3345;top:3916;width:58;height:569" coordorigin="3346,3917" coordsize="58,569" path="m3346,3946l3346,4486m3403,3917l3403,4486e" filled="false" stroked="true" strokeweight="2.16pt" strokecolor="#000080">
              <v:path arrowok="t"/>
              <v:stroke dashstyle="solid"/>
            </v:shape>
            <v:line style="position:absolute" from="3462,3946" to="3462,4486" stroked="true" strokeweight="2.280pt" strokecolor="#000080">
              <v:stroke dashstyle="solid"/>
            </v:line>
            <v:line style="position:absolute" from="3521,3917" to="3521,4486" stroked="true" strokeweight="2.16pt" strokecolor="#000080">
              <v:stroke dashstyle="solid"/>
            </v:line>
            <v:line style="position:absolute" from="3571,3886" to="3571,4486" stroked="true" strokeweight="1.44pt" strokecolor="#000080">
              <v:stroke dashstyle="solid"/>
            </v:line>
            <v:line style="position:absolute" from="3623,3902" to="3623,4486" stroked="true" strokeweight="2.280pt" strokecolor="#000080">
              <v:stroke dashstyle="solid"/>
            </v:line>
            <v:shape style="position:absolute;left:3681;top:3856;width:58;height:629" coordorigin="3682,3857" coordsize="58,629" path="m3682,3902l3682,4486m3739,3857l3739,4486e" filled="false" stroked="true" strokeweight="2.16pt" strokecolor="#000080">
              <v:path arrowok="t"/>
              <v:stroke dashstyle="solid"/>
            </v:shape>
            <v:line style="position:absolute" from="3798,3857" to="3798,4486" stroked="true" strokeweight="2.280pt" strokecolor="#000080">
              <v:stroke dashstyle="solid"/>
            </v:line>
            <v:line style="position:absolute" from="3857,3799" to="3857,4486" stroked="true" strokeweight="2.16pt" strokecolor="#000080">
              <v:stroke dashstyle="solid"/>
            </v:line>
            <v:line style="position:absolute" from="3907,3814" to="3907,4486" stroked="true" strokeweight="1.44pt" strokecolor="#000080">
              <v:stroke dashstyle="solid"/>
            </v:line>
            <v:line style="position:absolute" from="3958,3814" to="3958,4486" stroked="true" strokeweight="2.16pt" strokecolor="#000080">
              <v:stroke dashstyle="solid"/>
            </v:line>
            <v:line style="position:absolute" from="4016,3814" to="4016,4486" stroked="true" strokeweight="2.280pt" strokecolor="#000080">
              <v:stroke dashstyle="solid"/>
            </v:line>
            <v:shape style="position:absolute;left:4075;top:3799;width:58;height:687" coordorigin="4075,3799" coordsize="58,687" path="m4075,3814l4075,4486m4133,3799l4133,4486e" filled="false" stroked="true" strokeweight="2.16pt" strokecolor="#000080">
              <v:path arrowok="t"/>
              <v:stroke dashstyle="solid"/>
            </v:shape>
            <v:line style="position:absolute" from="4192,3857" to="4192,4486" stroked="true" strokeweight="2.280pt" strokecolor="#000080">
              <v:stroke dashstyle="solid"/>
            </v:line>
            <v:line style="position:absolute" from="4243,3857" to="4243,4486" stroked="true" strokeweight="1.44pt" strokecolor="#000080">
              <v:stroke dashstyle="solid"/>
            </v:line>
            <v:line style="position:absolute" from="4294,3871" to="4294,4486" stroked="true" strokeweight="2.16pt" strokecolor="#000080">
              <v:stroke dashstyle="solid"/>
            </v:line>
            <v:line style="position:absolute" from="4352,3857" to="4352,4486" stroked="true" strokeweight="2.280pt" strokecolor="#000080">
              <v:stroke dashstyle="solid"/>
            </v:line>
            <v:shape style="position:absolute;left:4411;top:3799;width:58;height:687" coordorigin="4411,3799" coordsize="58,687" path="m4411,3886l4411,4486m4469,3799l4469,4486e" filled="false" stroked="true" strokeweight="2.16pt" strokecolor="#000080">
              <v:path arrowok="t"/>
              <v:stroke dashstyle="solid"/>
            </v:shape>
            <v:line style="position:absolute" from="4528,3814" to="4528,4486" stroked="true" strokeweight="2.280pt" strokecolor="#000080">
              <v:stroke dashstyle="solid"/>
            </v:line>
            <v:line style="position:absolute" from="4579,3842" to="4579,4486" stroked="true" strokeweight="1.44pt" strokecolor="#000080">
              <v:stroke dashstyle="solid"/>
            </v:line>
            <v:line style="position:absolute" from="4630,3799" to="4630,4486" stroked="true" strokeweight="2.16pt" strokecolor="#000080">
              <v:stroke dashstyle="solid"/>
            </v:line>
            <v:line style="position:absolute" from="4688,3785" to="4688,4486" stroked="true" strokeweight="2.280pt" strokecolor="#000080">
              <v:stroke dashstyle="solid"/>
            </v:line>
            <v:shape style="position:absolute;left:4747;top:3799;width:58;height:687" coordorigin="4747,3799" coordsize="58,687" path="m4747,3799l4747,4486m4805,3814l4805,4486e" filled="false" stroked="true" strokeweight="2.16pt" strokecolor="#000080">
              <v:path arrowok="t"/>
              <v:stroke dashstyle="solid"/>
            </v:shape>
            <v:line style="position:absolute" from="4864,3828" to="4864,4486" stroked="true" strokeweight="2.280pt" strokecolor="#000080">
              <v:stroke dashstyle="solid"/>
            </v:line>
            <v:line style="position:absolute" from="4915,3857" to="4915,4486" stroked="true" strokeweight="1.44pt" strokecolor="#000080">
              <v:stroke dashstyle="solid"/>
            </v:line>
            <v:shape style="position:absolute;left:4965;top:3784;width:58;height:701" coordorigin="4966,3785" coordsize="58,701" path="m4966,3814l4966,4486m5023,3785l5023,4486e" filled="false" stroked="true" strokeweight="2.16pt" strokecolor="#000080">
              <v:path arrowok="t"/>
              <v:stroke dashstyle="solid"/>
            </v:shape>
            <v:line style="position:absolute" from="5082,3842" to="5082,4486" stroked="true" strokeweight="2.280pt" strokecolor="#000080">
              <v:stroke dashstyle="solid"/>
            </v:line>
            <v:line style="position:absolute" from="5141,3857" to="5141,4486" stroked="true" strokeweight="2.16pt" strokecolor="#000080">
              <v:stroke dashstyle="solid"/>
            </v:line>
            <v:line style="position:absolute" from="5198,3857" to="5198,4486" stroked="true" strokeweight="2.16pt" strokecolor="#000080">
              <v:stroke dashstyle="solid"/>
            </v:line>
            <v:line style="position:absolute" from="5250,3871" to="5250,4486" stroked="true" strokeweight="1.56pt" strokecolor="#000080">
              <v:stroke dashstyle="solid"/>
            </v:line>
            <v:shape style="position:absolute;left:5301;top:3902;width:58;height:584" coordorigin="5302,3902" coordsize="58,584" path="m5302,3917l5302,4486m5359,3902l5359,4486e" filled="false" stroked="true" strokeweight="2.16pt" strokecolor="#000080">
              <v:path arrowok="t"/>
              <v:stroke dashstyle="solid"/>
            </v:shape>
            <v:line style="position:absolute" from="5418,3857" to="5418,4486" stroked="true" strokeweight="2.280pt" strokecolor="#000080">
              <v:stroke dashstyle="solid"/>
            </v:line>
            <v:shape style="position:absolute;left:5476;top:3871;width:58;height:615" coordorigin="5477,3871" coordsize="58,615" path="m5477,3886l5477,4486m5534,3871l5534,4486e" filled="false" stroked="true" strokeweight="2.16pt" strokecolor="#000080">
              <v:path arrowok="t"/>
              <v:stroke dashstyle="solid"/>
            </v:shape>
            <v:line style="position:absolute" from="5586,3857" to="5586,4486" stroked="true" strokeweight="1.56pt" strokecolor="#000080">
              <v:stroke dashstyle="solid"/>
            </v:line>
            <v:shape style="position:absolute;left:5637;top:3856;width:58;height:629" coordorigin="5638,3857" coordsize="58,629" path="m5638,3857l5638,4486m5695,3857l5695,4486e" filled="false" stroked="true" strokeweight="2.16pt" strokecolor="#000080">
              <v:path arrowok="t"/>
              <v:stroke dashstyle="solid"/>
            </v:shape>
            <v:line style="position:absolute" from="5754,3799" to="5754,4486" stroked="true" strokeweight="2.280pt" strokecolor="#000080">
              <v:stroke dashstyle="solid"/>
            </v:line>
            <v:shape style="position:absolute;left:5812;top:3756;width:58;height:730" coordorigin="5813,3756" coordsize="58,730" path="m5813,3756l5813,4486m5870,3770l5870,4486e" filled="false" stroked="true" strokeweight="2.16pt" strokecolor="#000080">
              <v:path arrowok="t"/>
              <v:stroke dashstyle="solid"/>
            </v:shape>
            <v:line style="position:absolute" from="5921,3696" to="5921,4486" stroked="true" strokeweight="1.44pt" strokecolor="#000080">
              <v:stroke dashstyle="solid"/>
            </v:line>
            <v:shape style="position:absolute;left:5973;top:3681;width:116;height:804" coordorigin="5974,3682" coordsize="116,804" path="m5974,3696l5974,4486m6031,3682l6031,4486m6089,3696l6089,4486e" filled="false" stroked="true" strokeweight="2.16pt" strokecolor="#000080">
              <v:path arrowok="t"/>
              <v:stroke dashstyle="solid"/>
            </v:shape>
            <v:line style="position:absolute" from="6148,3667" to="6148,4486" stroked="true" strokeweight="2.280pt" strokecolor="#000080">
              <v:stroke dashstyle="solid"/>
            </v:line>
            <v:line style="position:absolute" from="6206,3638" to="6206,4486" stroked="true" strokeweight="2.16pt" strokecolor="#000080">
              <v:stroke dashstyle="solid"/>
            </v:line>
            <v:line style="position:absolute" from="6257,3682" to="6257,4486" stroked="true" strokeweight="1.44pt" strokecolor="#000080">
              <v:stroke dashstyle="solid"/>
            </v:line>
            <v:line style="position:absolute" from="6308,3667" to="6308,4486" stroked="true" strokeweight="2.280pt" strokecolor="#000080">
              <v:stroke dashstyle="solid"/>
            </v:line>
            <v:shape style="position:absolute;left:6367;top:3727;width:58;height:759" coordorigin="6367,3727" coordsize="58,759" path="m6367,3727l6367,4486m6425,3770l6425,4486e" filled="false" stroked="true" strokeweight="2.16pt" strokecolor="#000080">
              <v:path arrowok="t"/>
              <v:stroke dashstyle="solid"/>
            </v:shape>
            <v:line style="position:absolute" from="6484,3785" to="6484,4486" stroked="true" strokeweight="2.280pt" strokecolor="#000080">
              <v:stroke dashstyle="solid"/>
            </v:line>
            <v:line style="position:absolute" from="6542,3785" to="6542,4486" stroked="true" strokeweight="2.16pt" strokecolor="#000080">
              <v:stroke dashstyle="solid"/>
            </v:line>
            <v:line style="position:absolute" from="6593,3842" to="6593,4486" stroked="true" strokeweight="1.44pt" strokecolor="#000080">
              <v:stroke dashstyle="solid"/>
            </v:line>
            <v:line style="position:absolute" from="6644,3842" to="6644,4486" stroked="true" strokeweight="2.280pt" strokecolor="#000080">
              <v:stroke dashstyle="solid"/>
            </v:line>
            <v:shape style="position:absolute;left:6703;top:3856;width:58;height:629" coordorigin="6703,3857" coordsize="58,629" path="m6703,3857l6703,4486m6761,3857l6761,4486e" filled="false" stroked="true" strokeweight="2.16pt" strokecolor="#000080">
              <v:path arrowok="t"/>
              <v:stroke dashstyle="solid"/>
            </v:shape>
            <v:line style="position:absolute" from="6820,3871" to="6820,4486" stroked="true" strokeweight="2.280pt" strokecolor="#000080">
              <v:stroke dashstyle="solid"/>
            </v:line>
            <v:line style="position:absolute" from="6878,3931" to="6878,4486" stroked="true" strokeweight="2.16pt" strokecolor="#000080">
              <v:stroke dashstyle="solid"/>
            </v:line>
            <v:line style="position:absolute" from="6929,3886" to="6929,4486" stroked="true" strokeweight="1.44pt" strokecolor="#000080">
              <v:stroke dashstyle="solid"/>
            </v:line>
            <v:shape style="position:absolute;left:6979;top:3856;width:176;height:629" coordorigin="6979,3857" coordsize="176,629" path="m6979,3946l6979,4486m7039,3886l7039,4486m7097,3857l7097,4486m7154,3960l7154,4486e" filled="false" stroked="true" strokeweight="2.16pt" strokecolor="#000080">
              <v:path arrowok="t"/>
              <v:stroke dashstyle="solid"/>
            </v:shape>
            <v:line style="position:absolute" from="7213,3960" to="7213,4486" stroked="true" strokeweight="2.280pt" strokecolor="#000080">
              <v:stroke dashstyle="solid"/>
            </v:line>
            <v:line style="position:absolute" from="7265,3960" to="7265,4486" stroked="true" strokeweight="1.44pt" strokecolor="#000080">
              <v:stroke dashstyle="solid"/>
            </v:line>
            <v:line style="position:absolute" from="7315,3960" to="7315,4486" stroked="true" strokeweight="2.16pt" strokecolor="#000080">
              <v:stroke dashstyle="solid"/>
            </v:line>
            <v:line style="position:absolute" from="7374,3960" to="7374,4486" stroked="true" strokeweight="2.280pt" strokecolor="#000080">
              <v:stroke dashstyle="solid"/>
            </v:line>
            <v:shape style="position:absolute;left:7432;top:3945;width:58;height:540" coordorigin="7433,3946" coordsize="58,540" path="m7433,3974l7433,4486m7490,3946l7490,4486e" filled="false" stroked="true" strokeweight="2.16pt" strokecolor="#000080">
              <v:path arrowok="t"/>
              <v:stroke dashstyle="solid"/>
            </v:shape>
            <v:line style="position:absolute" from="7549,3946" to="7549,4486" stroked="true" strokeweight="2.280pt" strokecolor="#000080">
              <v:stroke dashstyle="solid"/>
            </v:line>
            <v:line style="position:absolute" from="7601,3974" to="7601,4486" stroked="true" strokeweight="1.44pt" strokecolor="#000080">
              <v:stroke dashstyle="solid"/>
            </v:line>
            <v:line style="position:absolute" from="7651,3946" to="7651,4486" stroked="true" strokeweight="2.16pt" strokecolor="#000080">
              <v:stroke dashstyle="solid"/>
            </v:line>
            <v:line style="position:absolute" from="7710,3902" to="7710,4486" stroked="true" strokeweight="2.280pt" strokecolor="#000080">
              <v:stroke dashstyle="solid"/>
            </v:line>
            <v:shape style="position:absolute;left:7768;top:3945;width:58;height:540" coordorigin="7769,3946" coordsize="58,540" path="m7769,3960l7769,4486m7826,3946l7826,4486e" filled="false" stroked="true" strokeweight="2.16pt" strokecolor="#000080">
              <v:path arrowok="t"/>
              <v:stroke dashstyle="solid"/>
            </v:shape>
            <v:line style="position:absolute" from="7885,3946" to="7885,4486" stroked="true" strokeweight="2.280pt" strokecolor="#000080">
              <v:stroke dashstyle="solid"/>
            </v:line>
            <v:line style="position:absolute" from="7937,3946" to="7937,4486" stroked="true" strokeweight="1.44pt" strokecolor="#000080">
              <v:stroke dashstyle="solid"/>
            </v:line>
            <v:shape style="position:absolute;left:7987;top:3916;width:58;height:569" coordorigin="7987,3917" coordsize="58,569" path="m7987,3946l7987,4486m8045,3917l8045,4486e" filled="false" stroked="true" strokeweight="2.16pt" strokecolor="#000080">
              <v:path arrowok="t"/>
              <v:stroke dashstyle="solid"/>
            </v:shape>
            <v:line style="position:absolute" from="8090,3946" to="8090,4486" stroked="true" strokeweight=".72pt" strokecolor="#000080">
              <v:stroke dashstyle="solid"/>
            </v:line>
            <v:shape style="position:absolute;left:2491;top:3960;width:380;height:656" coordorigin="2491,3960" coordsize="380,656" path="m2534,4486l2491,4486,2491,4615,2534,4615,2534,4486m2580,3960l2549,3960,2549,4003,2580,4003,2580,3960m2638,4486l2594,4486,2594,4543,2638,4543,2638,4486m2695,3974l2652,3974,2652,4018,2695,4018,2695,3974m2755,4486l2710,4486,2710,4500,2755,4500,2755,4486m2813,4486l2770,4486,2770,4514,2813,4514,2813,4486m2870,4486l2827,4486,2827,4529,2870,4529,2870,4486e" filled="true" fillcolor="#ff00ff" stroked="false">
              <v:path arrowok="t"/>
              <v:fill type="solid"/>
            </v:shape>
            <v:line style="position:absolute" from="2899,4486" to="2899,4632" stroked="true" strokeweight="1.44pt" strokecolor="#ff00ff">
              <v:stroke dashstyle="solid"/>
            </v:line>
            <v:rect style="position:absolute;left:2928;top:4485;width:46;height:116" filled="true" fillcolor="#ff00ff" stroked="false">
              <v:fill type="solid"/>
            </v:rect>
            <v:shape style="position:absolute;left:3009;top:4485;width:58;height:176" coordorigin="3010,4486" coordsize="58,176" path="m3010,4486l3010,4661m3067,4486l3067,4661e" filled="false" stroked="true" strokeweight="2.16pt" strokecolor="#ff00ff">
              <v:path arrowok="t"/>
              <v:stroke dashstyle="solid"/>
            </v:shape>
            <v:shape style="position:absolute;left:3103;top:3784;width:440;height:773" coordorigin="3103,3785" coordsize="440,773" path="m3149,4486l3103,4486,3103,4558,3149,4558,3149,4486m3206,3931l3163,3931,3163,3946,3206,3946,3206,3931m3250,3857l3221,3857,3221,3946,3250,3946,3250,3857m3310,3828l3264,3828,3264,3960,3310,3960,3310,3828m3367,4486l3324,4486,3324,4514,3367,4514,3367,4486m3425,3828l3382,3828,3382,3917,3425,3917,3425,3828m3485,3828l3439,3828,3439,3946,3485,3946,3485,3828m3542,3785l3499,3785,3499,3917,3542,3917,3542,3785e" filled="true" fillcolor="#ff00ff" stroked="false">
              <v:path arrowok="t"/>
              <v:fill type="solid"/>
            </v:shape>
            <v:line style="position:absolute" from="3571,3653" to="3571,3886" stroked="true" strokeweight="1.44pt" strokecolor="#ff00ff">
              <v:stroke dashstyle="solid"/>
            </v:line>
            <v:line style="position:absolute" from="3623,3696" to="3623,3902" stroked="true" strokeweight="2.280pt" strokecolor="#ff00ff">
              <v:stroke dashstyle="solid"/>
            </v:line>
            <v:shape style="position:absolute;left:3681;top:3580;width:58;height:322" coordorigin="3682,3581" coordsize="58,322" path="m3682,3653l3682,3902m3739,3581l3739,3857e" filled="false" stroked="true" strokeweight="2.16pt" strokecolor="#ff00ff">
              <v:path arrowok="t"/>
              <v:stroke dashstyle="solid"/>
            </v:shape>
            <v:line style="position:absolute" from="3798,3624" to="3798,3857" stroked="true" strokeweight="2.280pt" strokecolor="#ff00ff">
              <v:stroke dashstyle="solid"/>
            </v:line>
            <v:line style="position:absolute" from="3857,3595" to="3857,3799" stroked="true" strokeweight="2.16pt" strokecolor="#ff00ff">
              <v:stroke dashstyle="solid"/>
            </v:line>
            <v:line style="position:absolute" from="3907,3653" to="3907,3814" stroked="true" strokeweight="1.44pt" strokecolor="#ff00ff">
              <v:stroke dashstyle="solid"/>
            </v:line>
            <v:line style="position:absolute" from="3958,3581" to="3958,3814" stroked="true" strokeweight="2.16pt" strokecolor="#ff00ff">
              <v:stroke dashstyle="solid"/>
            </v:line>
            <v:line style="position:absolute" from="4016,3538" to="4016,3814" stroked="true" strokeweight="2.280pt" strokecolor="#ff00ff">
              <v:stroke dashstyle="solid"/>
            </v:line>
            <v:shape style="position:absolute;left:4075;top:3537;width:58;height:276" coordorigin="4075,3538" coordsize="58,276" path="m4075,3538l4075,3814m4133,3538l4133,3799e" filled="false" stroked="true" strokeweight="2.16pt" strokecolor="#ff00ff">
              <v:path arrowok="t"/>
              <v:stroke dashstyle="solid"/>
            </v:shape>
            <v:line style="position:absolute" from="4192,3566" to="4192,3857" stroked="true" strokeweight="2.280pt" strokecolor="#ff00ff">
              <v:stroke dashstyle="solid"/>
            </v:line>
            <v:line style="position:absolute" from="4243,3581" to="4243,3857" stroked="true" strokeweight="1.44pt" strokecolor="#ff00ff">
              <v:stroke dashstyle="solid"/>
            </v:line>
            <v:line style="position:absolute" from="4294,3581" to="4294,3871" stroked="true" strokeweight="2.16pt" strokecolor="#ff00ff">
              <v:stroke dashstyle="solid"/>
            </v:line>
            <v:line style="position:absolute" from="4352,3523" to="4352,3857" stroked="true" strokeweight="2.280pt" strokecolor="#ff00ff">
              <v:stroke dashstyle="solid"/>
            </v:line>
            <v:shape style="position:absolute;left:4411;top:3477;width:58;height:408" coordorigin="4411,3478" coordsize="58,408" path="m4411,3538l4411,3886m4469,3478l4469,3799e" filled="false" stroked="true" strokeweight="2.16pt" strokecolor="#ff00ff">
              <v:path arrowok="t"/>
              <v:stroke dashstyle="solid"/>
            </v:shape>
            <v:line style="position:absolute" from="4528,3478" to="4528,3814" stroked="true" strokeweight="2.280pt" strokecolor="#ff00ff">
              <v:stroke dashstyle="solid"/>
            </v:line>
            <v:line style="position:absolute" from="4579,3434" to="4579,3842" stroked="true" strokeweight="1.44pt" strokecolor="#ff00ff">
              <v:stroke dashstyle="solid"/>
            </v:line>
            <v:line style="position:absolute" from="4630,3377" to="4630,3799" stroked="true" strokeweight="2.16pt" strokecolor="#ff00ff">
              <v:stroke dashstyle="solid"/>
            </v:line>
            <v:line style="position:absolute" from="4688,3348" to="4688,3785" stroked="true" strokeweight="2.280pt" strokecolor="#ff00ff">
              <v:stroke dashstyle="solid"/>
            </v:line>
            <v:shape style="position:absolute;left:4747;top:3288;width:58;height:526" coordorigin="4747,3288" coordsize="58,526" path="m4747,3288l4747,3799m4805,3288l4805,3814e" filled="false" stroked="true" strokeweight="2.16pt" strokecolor="#ff00ff">
              <v:path arrowok="t"/>
              <v:stroke dashstyle="solid"/>
            </v:shape>
            <v:line style="position:absolute" from="4864,3317" to="4864,3828" stroked="true" strokeweight="2.280pt" strokecolor="#ff00ff">
              <v:stroke dashstyle="solid"/>
            </v:line>
            <v:line style="position:absolute" from="4915,3348" to="4915,3857" stroked="true" strokeweight="1.44pt" strokecolor="#ff00ff">
              <v:stroke dashstyle="solid"/>
            </v:line>
            <v:shape style="position:absolute;left:4965;top:3288;width:58;height:526" coordorigin="4966,3288" coordsize="58,526" path="m4966,3288l4966,3814m5023,3288l5023,3785e" filled="false" stroked="true" strokeweight="2.16pt" strokecolor="#ff00ff">
              <v:path arrowok="t"/>
              <v:stroke dashstyle="solid"/>
            </v:shape>
            <v:line style="position:absolute" from="5082,3302" to="5082,3842" stroked="true" strokeweight="2.280pt" strokecolor="#ff00ff">
              <v:stroke dashstyle="solid"/>
            </v:line>
            <v:line style="position:absolute" from="5141,3302" to="5141,3857" stroked="true" strokeweight="2.16pt" strokecolor="#ff00ff">
              <v:stroke dashstyle="solid"/>
            </v:line>
            <v:line style="position:absolute" from="5198,3331" to="5198,3857" stroked="true" strokeweight="2.16pt" strokecolor="#ff00ff">
              <v:stroke dashstyle="solid"/>
            </v:line>
            <v:line style="position:absolute" from="5250,3391" to="5250,3871" stroked="true" strokeweight="1.56pt" strokecolor="#ff00ff">
              <v:stroke dashstyle="solid"/>
            </v:line>
            <v:shape style="position:absolute;left:5301;top:3391;width:58;height:526" coordorigin="5302,3391" coordsize="58,526" path="m5302,3449l5302,3917m5359,3391l5359,3902e" filled="false" stroked="true" strokeweight="2.16pt" strokecolor="#ff00ff">
              <v:path arrowok="t"/>
              <v:stroke dashstyle="solid"/>
            </v:shape>
            <v:line style="position:absolute" from="5418,3406" to="5418,3857" stroked="true" strokeweight="2.280pt" strokecolor="#ff00ff">
              <v:stroke dashstyle="solid"/>
            </v:line>
            <v:shape style="position:absolute;left:5476;top:3376;width:58;height:509" coordorigin="5477,3377" coordsize="58,509" path="m5477,3434l5477,3886m5534,3377l5534,3871e" filled="false" stroked="true" strokeweight="2.16pt" strokecolor="#ff00ff">
              <v:path arrowok="t"/>
              <v:stroke dashstyle="solid"/>
            </v:shape>
            <v:line style="position:absolute" from="5586,3288" to="5586,3857" stroked="true" strokeweight="1.56pt" strokecolor="#ff00ff">
              <v:stroke dashstyle="solid"/>
            </v:line>
            <v:shape style="position:absolute;left:5637;top:3316;width:58;height:540" coordorigin="5638,3317" coordsize="58,540" path="m5638,3317l5638,3857m5695,3317l5695,3857e" filled="false" stroked="true" strokeweight="2.16pt" strokecolor="#ff00ff">
              <v:path arrowok="t"/>
              <v:stroke dashstyle="solid"/>
            </v:shape>
            <v:line style="position:absolute" from="5754,3098" to="5754,3799" stroked="true" strokeweight="2.280pt" strokecolor="#ff00ff">
              <v:stroke dashstyle="solid"/>
            </v:line>
            <v:shape style="position:absolute;left:5812;top:3069;width:58;height:701" coordorigin="5813,3070" coordsize="58,701" path="m5813,3098l5813,3756m5870,3070l5870,3770e" filled="false" stroked="true" strokeweight="2.16pt" strokecolor="#ff00ff">
              <v:path arrowok="t"/>
              <v:stroke dashstyle="solid"/>
            </v:shape>
            <v:line style="position:absolute" from="5921,3026" to="5921,3696" stroked="true" strokeweight="1.44pt" strokecolor="#ff00ff">
              <v:stroke dashstyle="solid"/>
            </v:line>
            <v:shape style="position:absolute;left:5973;top:2923;width:116;height:773" coordorigin="5974,2923" coordsize="116,773" path="m5974,2966l5974,3696m6031,2923l6031,3682m6089,2923l6089,3696e" filled="false" stroked="true" strokeweight="2.16pt" strokecolor="#ff00ff">
              <v:path arrowok="t"/>
              <v:stroke dashstyle="solid"/>
            </v:shape>
            <v:line style="position:absolute" from="6148,2880" to="6148,3667" stroked="true" strokeweight="2.280pt" strokecolor="#ff00ff">
              <v:stroke dashstyle="solid"/>
            </v:line>
            <v:line style="position:absolute" from="6206,2866" to="6206,3638" stroked="true" strokeweight="2.16pt" strokecolor="#ff00ff">
              <v:stroke dashstyle="solid"/>
            </v:line>
            <v:line style="position:absolute" from="6257,2998" to="6257,3682" stroked="true" strokeweight="1.44pt" strokecolor="#ff00ff">
              <v:stroke dashstyle="solid"/>
            </v:line>
            <v:line style="position:absolute" from="6308,3041" to="6308,3667" stroked="true" strokeweight="2.280pt" strokecolor="#ff00ff">
              <v:stroke dashstyle="solid"/>
            </v:line>
            <v:shape style="position:absolute;left:6367;top:3040;width:58;height:730" coordorigin="6367,3041" coordsize="58,730" path="m6367,3041l6367,3727m6425,3158l6425,3770e" filled="false" stroked="true" strokeweight="2.16pt" strokecolor="#ff00ff">
              <v:path arrowok="t"/>
              <v:stroke dashstyle="solid"/>
            </v:shape>
            <v:line style="position:absolute" from="6484,3113" to="6484,3785" stroked="true" strokeweight="2.280pt" strokecolor="#ff00ff">
              <v:stroke dashstyle="solid"/>
            </v:line>
            <v:line style="position:absolute" from="6542,3098" to="6542,3785" stroked="true" strokeweight="2.16pt" strokecolor="#ff00ff">
              <v:stroke dashstyle="solid"/>
            </v:line>
            <v:line style="position:absolute" from="6593,3187" to="6593,3842" stroked="true" strokeweight="1.44pt" strokecolor="#ff00ff">
              <v:stroke dashstyle="solid"/>
            </v:line>
            <v:line style="position:absolute" from="6644,3259" to="6644,3842" stroked="true" strokeweight="2.280pt" strokecolor="#ff00ff">
              <v:stroke dashstyle="solid"/>
            </v:line>
            <v:shape style="position:absolute;left:6703;top:3216;width:58;height:641" coordorigin="6703,3216" coordsize="58,641" path="m6703,3362l6703,3857m6761,3216l6761,3857e" filled="false" stroked="true" strokeweight="2.16pt" strokecolor="#ff00ff">
              <v:path arrowok="t"/>
              <v:stroke dashstyle="solid"/>
            </v:shape>
            <v:line style="position:absolute" from="6820,3230" to="6820,3871" stroked="true" strokeweight="2.280pt" strokecolor="#ff00ff">
              <v:stroke dashstyle="solid"/>
            </v:line>
            <v:line style="position:absolute" from="6878,3245" to="6878,3931" stroked="true" strokeweight="2.16pt" strokecolor="#ff00ff">
              <v:stroke dashstyle="solid"/>
            </v:line>
            <v:line style="position:absolute" from="6929,3216" to="6929,3886" stroked="true" strokeweight="1.44pt" strokecolor="#ff00ff">
              <v:stroke dashstyle="solid"/>
            </v:line>
            <v:shape style="position:absolute;left:6979;top:3244;width:176;height:716" coordorigin="6979,3245" coordsize="176,716" path="m6979,3245l6979,3946m7039,3274l7039,3886m7097,3288l7097,3857m7154,3449l7154,3960e" filled="false" stroked="true" strokeweight="2.16pt" strokecolor="#ff00ff">
              <v:path arrowok="t"/>
              <v:stroke dashstyle="solid"/>
            </v:shape>
            <v:line style="position:absolute" from="7213,3463" to="7213,3960" stroked="true" strokeweight="2.280pt" strokecolor="#ff00ff">
              <v:stroke dashstyle="solid"/>
            </v:line>
            <v:line style="position:absolute" from="7265,3317" to="7265,3960" stroked="true" strokeweight="1.44pt" strokecolor="#ff00ff">
              <v:stroke dashstyle="solid"/>
            </v:line>
            <v:line style="position:absolute" from="7315,3202" to="7315,3960" stroked="true" strokeweight="2.16pt" strokecolor="#ff00ff">
              <v:stroke dashstyle="solid"/>
            </v:line>
            <v:line style="position:absolute" from="7374,3041" to="7374,3960" stroked="true" strokeweight="2.280pt" strokecolor="#ff00ff">
              <v:stroke dashstyle="solid"/>
            </v:line>
            <v:shape style="position:absolute;left:7432;top:2952;width:58;height:1023" coordorigin="7433,2952" coordsize="58,1023" path="m7433,3041l7433,3974m7490,2952l7490,3946e" filled="false" stroked="true" strokeweight="2.16pt" strokecolor="#ff00ff">
              <v:path arrowok="t"/>
              <v:stroke dashstyle="solid"/>
            </v:shape>
            <v:line style="position:absolute" from="7549,2894" to="7549,3946" stroked="true" strokeweight="2.280pt" strokecolor="#ff00ff">
              <v:stroke dashstyle="solid"/>
            </v:line>
            <v:line style="position:absolute" from="7601,2777" to="7601,3974" stroked="true" strokeweight="1.44pt" strokecolor="#ff00ff">
              <v:stroke dashstyle="solid"/>
            </v:line>
            <v:line style="position:absolute" from="7651,2633" to="7651,3946" stroked="true" strokeweight="2.16pt" strokecolor="#ff00ff">
              <v:stroke dashstyle="solid"/>
            </v:line>
            <v:line style="position:absolute" from="7710,2472" to="7710,3902" stroked="true" strokeweight="2.280pt" strokecolor="#ff00ff">
              <v:stroke dashstyle="solid"/>
            </v:line>
            <v:shape style="position:absolute;left:7768;top:2457;width:58;height:1503" coordorigin="7769,2458" coordsize="58,1503" path="m7769,2458l7769,3960m7826,2458l7826,3946e" filled="false" stroked="true" strokeweight="2.16pt" strokecolor="#ff00ff">
              <v:path arrowok="t"/>
              <v:stroke dashstyle="solid"/>
            </v:shape>
            <v:line style="position:absolute" from="7885,2501" to="7885,3946" stroked="true" strokeweight="2.280pt" strokecolor="#ff00ff">
              <v:stroke dashstyle="solid"/>
            </v:line>
            <v:line style="position:absolute" from="7937,2297" to="7937,3946" stroked="true" strokeweight="1.44pt" strokecolor="#ff00ff">
              <v:stroke dashstyle="solid"/>
            </v:line>
            <v:shape style="position:absolute;left:7987;top:2383;width:58;height:1563" coordorigin="7987,2383" coordsize="58,1563" path="m7987,2383l7987,3946m8045,2429l8045,3917e" filled="false" stroked="true" strokeweight="2.16pt" strokecolor="#ff00ff">
              <v:path arrowok="t"/>
              <v:stroke dashstyle="solid"/>
            </v:shape>
            <v:line style="position:absolute" from="8090,2544" to="8090,3946" stroked="true" strokeweight=".72pt" strokecolor="#ff00ff">
              <v:stroke dashstyle="solid"/>
            </v:line>
            <v:shape style="position:absolute;left:2373;top:4485;width:264;height:190" coordorigin="2374,4486" coordsize="264,190" path="m2419,4486l2374,4486,2374,4558,2419,4558,2419,4486m2477,4486l2434,4486,2434,4558,2477,4558,2477,4486m2534,4615l2491,4615,2491,4675,2534,4675,2534,4615m2580,4486l2549,4486,2549,4601,2580,4601,2580,4486m2638,4543l2594,4543,2594,4675,2638,4675,2638,4543e" filled="true" fillcolor="#008000" stroked="false">
              <v:path arrowok="t"/>
              <v:fill type="solid"/>
            </v:shape>
            <v:line style="position:absolute" from="2674,4486" to="2674,4675" stroked="true" strokeweight="2.16pt" strokecolor="#008000">
              <v:stroke dashstyle="solid"/>
            </v:line>
            <v:line style="position:absolute" from="2732,4500" to="2732,4690" stroked="true" strokeweight="2.280pt" strokecolor="#008000">
              <v:stroke dashstyle="solid"/>
            </v:line>
            <v:shape style="position:absolute;left:2791;top:4514;width:58;height:248" coordorigin="2791,4514" coordsize="58,248" path="m2791,4514l2791,4661m2849,4529l2849,4762e" filled="false" stroked="true" strokeweight="2.16pt" strokecolor="#008000">
              <v:path arrowok="t"/>
              <v:stroke dashstyle="solid"/>
            </v:shape>
            <v:line style="position:absolute" from="2899,4632" to="2899,4908" stroked="true" strokeweight="1.44pt" strokecolor="#008000">
              <v:stroke dashstyle="solid"/>
            </v:line>
            <v:line style="position:absolute" from="2951,4601" to="2951,4879" stroked="true" strokeweight="2.280pt" strokecolor="#008000">
              <v:stroke dashstyle="solid"/>
            </v:line>
            <v:shape style="position:absolute;left:3009;top:4660;width:58;height:305" coordorigin="3010,4661" coordsize="58,305" path="m3010,4661l3010,4966m3067,4661l3067,4850e" filled="false" stroked="true" strokeweight="2.16pt" strokecolor="#008000">
              <v:path arrowok="t"/>
              <v:stroke dashstyle="solid"/>
            </v:shape>
            <v:line style="position:absolute" from="3126,4558" to="3126,4805" stroked="true" strokeweight="2.280pt" strokecolor="#008000">
              <v:stroke dashstyle="solid"/>
            </v:line>
            <v:line style="position:absolute" from="3185,4486" to="3185,4690" stroked="true" strokeweight="2.16pt" strokecolor="#008000">
              <v:stroke dashstyle="solid"/>
            </v:line>
            <v:line style="position:absolute" from="3235,4486" to="3235,4646" stroked="true" strokeweight="1.44pt" strokecolor="#008000">
              <v:stroke dashstyle="solid"/>
            </v:line>
            <v:shape style="position:absolute;left:3264;top:3552;width:440;height:1049" coordorigin="3264,3552" coordsize="440,1049" path="m3310,4486l3264,4486,3264,4601,3310,4601,3310,4486m3367,4514l3324,4514,3324,4558,3367,4558,3367,4514m3425,3814l3382,3814,3382,3828,3425,3828,3425,3814m3485,3814l3439,3814,3439,3828,3485,3828,3485,3814m3542,3727l3499,3727,3499,3785,3542,3785,3542,3727m3586,3552l3557,3552,3557,3653,3586,3653,3586,3552m3646,3610l3600,3610,3600,3696,3646,3696,3646,3610m3703,3566l3660,3566,3660,3653,3703,3653,3703,3566e" filled="true" fillcolor="#008000" stroked="false">
              <v:path arrowok="t"/>
              <v:fill type="solid"/>
            </v:shape>
            <v:line style="position:absolute" from="3739,3331" to="3739,3581" stroked="true" strokeweight="2.16pt" strokecolor="#008000">
              <v:stroke dashstyle="solid"/>
            </v:line>
            <v:line style="position:absolute" from="3798,3302" to="3798,3624" stroked="true" strokeweight="2.280pt" strokecolor="#008000">
              <v:stroke dashstyle="solid"/>
            </v:line>
            <v:line style="position:absolute" from="3857,3317" to="3857,3595" stroked="true" strokeweight="2.16pt" strokecolor="#008000">
              <v:stroke dashstyle="solid"/>
            </v:line>
            <v:line style="position:absolute" from="3907,3362" to="3907,3653" stroked="true" strokeweight="1.44pt" strokecolor="#008000">
              <v:stroke dashstyle="solid"/>
            </v:line>
            <v:line style="position:absolute" from="3958,3302" to="3958,3581" stroked="true" strokeweight="2.16pt" strokecolor="#008000">
              <v:stroke dashstyle="solid"/>
            </v:line>
            <v:line style="position:absolute" from="4016,3288" to="4016,3538" stroked="true" strokeweight="2.280pt" strokecolor="#008000">
              <v:stroke dashstyle="solid"/>
            </v:line>
            <v:shape style="position:absolute;left:4075;top:3362;width:58;height:176" coordorigin="4075,3362" coordsize="58,176" path="m4075,3362l4075,3538m4133,3377l4133,3538e" filled="false" stroked="true" strokeweight="2.16pt" strokecolor="#008000">
              <v:path arrowok="t"/>
              <v:stroke dashstyle="solid"/>
            </v:shape>
            <v:line style="position:absolute" from="4192,3377" to="4192,3566" stroked="true" strokeweight="2.280pt" strokecolor="#008000">
              <v:stroke dashstyle="solid"/>
            </v:line>
            <v:line style="position:absolute" from="4243,3302" to="4243,3581" stroked="true" strokeweight="1.44pt" strokecolor="#008000">
              <v:stroke dashstyle="solid"/>
            </v:line>
            <v:line style="position:absolute" from="4294,3362" to="4294,3581" stroked="true" strokeweight="2.16pt" strokecolor="#008000">
              <v:stroke dashstyle="solid"/>
            </v:line>
            <v:line style="position:absolute" from="4352,3302" to="4352,3523" stroked="true" strokeweight="2.280pt" strokecolor="#008000">
              <v:stroke dashstyle="solid"/>
            </v:line>
            <v:shape style="position:absolute;left:4411;top:3216;width:58;height:322" coordorigin="4411,3216" coordsize="58,322" path="m4411,3288l4411,3538m4469,3216l4469,3478e" filled="false" stroked="true" strokeweight="2.16pt" strokecolor="#008000">
              <v:path arrowok="t"/>
              <v:stroke dashstyle="solid"/>
            </v:shape>
            <v:line style="position:absolute" from="4528,3274" to="4528,3478" stroked="true" strokeweight="2.280pt" strokecolor="#008000">
              <v:stroke dashstyle="solid"/>
            </v:line>
            <v:line style="position:absolute" from="4579,3098" to="4579,3434" stroked="true" strokeweight="1.44pt" strokecolor="#008000">
              <v:stroke dashstyle="solid"/>
            </v:line>
            <v:line style="position:absolute" from="4630,3084" to="4630,3377" stroked="true" strokeweight="2.16pt" strokecolor="#008000">
              <v:stroke dashstyle="solid"/>
            </v:line>
            <v:line style="position:absolute" from="4688,3041" to="4688,3348" stroked="true" strokeweight="2.280pt" strokecolor="#008000">
              <v:stroke dashstyle="solid"/>
            </v:line>
            <v:shape style="position:absolute;left:4747;top:2983;width:58;height:305" coordorigin="4747,2983" coordsize="58,305" path="m4747,2998l4747,3288m4805,2983l4805,3288e" filled="false" stroked="true" strokeweight="2.16pt" strokecolor="#008000">
              <v:path arrowok="t"/>
              <v:stroke dashstyle="solid"/>
            </v:shape>
            <v:line style="position:absolute" from="4864,3041" to="4864,3317" stroked="true" strokeweight="2.280pt" strokecolor="#008000">
              <v:stroke dashstyle="solid"/>
            </v:line>
            <v:line style="position:absolute" from="4915,3098" to="4915,3348" stroked="true" strokeweight="1.44pt" strokecolor="#008000">
              <v:stroke dashstyle="solid"/>
            </v:line>
            <v:shape style="position:absolute;left:4965;top:3040;width:58;height:248" coordorigin="4966,3041" coordsize="58,248" path="m4966,3041l4966,3288m5023,3142l5023,3288e" filled="false" stroked="true" strokeweight="2.16pt" strokecolor="#008000">
              <v:path arrowok="t"/>
              <v:stroke dashstyle="solid"/>
            </v:shape>
            <v:shape style="position:absolute;left:5059;top:3158;width:658;height:1342" coordorigin="5059,3158" coordsize="658,1342" path="m5105,3202l5059,3202,5059,3302,5105,3302,5105,3202m5162,3245l5119,3245,5119,3302,5162,3302,5162,3245m5220,3259l5177,3259,5177,3331,5220,3331,5220,3259m5266,3377l5234,3377,5234,3391,5266,3391,5266,3377m5323,4486l5280,4486,5280,4500,5323,4500,5323,4486m5381,4486l5338,4486,5338,4500,5381,4500,5381,4486m5441,3288l5395,3288,5395,3406,5441,3406,5441,3288m5498,3348l5455,3348,5455,3434,5498,3434,5498,3348m5556,3348l5513,3348,5513,3377,5556,3377,5556,3348m5602,3158l5570,3158,5570,3288,5602,3288,5602,3158m5659,3202l5616,3202,5616,3317,5659,3317,5659,3202m5717,3230l5674,3230,5674,3317,5717,3317,5717,3230e" filled="true" fillcolor="#008000" stroked="false">
              <v:path arrowok="t"/>
              <v:fill type="solid"/>
            </v:shape>
            <v:line style="position:absolute" from="5754,2880" to="5754,3098" stroked="true" strokeweight="2.280pt" strokecolor="#008000">
              <v:stroke dashstyle="solid"/>
            </v:line>
            <v:rect style="position:absolute;left:5791;top:2983;width:44;height:116" filled="true" fillcolor="#008000" stroked="false">
              <v:fill type="solid"/>
            </v:rect>
            <v:line style="position:absolute" from="5870,2794" to="5870,3070" stroked="true" strokeweight="2.16pt" strokecolor="#008000">
              <v:stroke dashstyle="solid"/>
            </v:line>
            <v:line style="position:absolute" from="5921,2734" to="5921,3026" stroked="true" strokeweight="1.44pt" strokecolor="#008000">
              <v:stroke dashstyle="solid"/>
            </v:line>
            <v:shape style="position:absolute;left:5973;top:2647;width:58;height:320" coordorigin="5974,2647" coordsize="58,320" path="m5974,2705l5974,2966m6031,2647l6031,2923e" filled="false" stroked="true" strokeweight="2.16pt" strokecolor="#008000">
              <v:path arrowok="t"/>
              <v:stroke dashstyle="solid"/>
            </v:shape>
            <v:shape style="position:absolute;left:6067;top:2851;width:161;height:1678" coordorigin="6067,2851" coordsize="161,1678" path="m6110,2851l6067,2851,6067,2923,6110,2923,6110,2851m6170,4486l6125,4486,6125,4514,6170,4514,6170,4486m6228,4486l6185,4486,6185,4529,6228,4529,6228,4486e" filled="true" fillcolor="#008000" stroked="false">
              <v:path arrowok="t"/>
              <v:fill type="solid"/>
            </v:shape>
            <v:line style="position:absolute" from="6257,4486" to="6257,4704" stroked="true" strokeweight="1.44pt" strokecolor="#008000">
              <v:stroke dashstyle="solid"/>
            </v:line>
            <v:shape style="position:absolute;left:6285;top:2952;width:104;height:1577" coordorigin="6286,2952" coordsize="104,1577" path="m6331,4486l6286,4486,6286,4529,6331,4529,6331,4486m6389,2952l6346,2952,6346,3041,6389,3041,6389,2952e" filled="true" fillcolor="#008000" stroked="false">
              <v:path arrowok="t"/>
              <v:fill type="solid"/>
            </v:shape>
            <v:line style="position:absolute" from="6425,4486" to="6425,4690" stroked="true" strokeweight="2.16pt" strokecolor="#008000">
              <v:stroke dashstyle="solid"/>
            </v:line>
            <v:rect style="position:absolute;left:6520;top:4485;width:44;height:130" filled="true" fillcolor="#008000" stroked="false">
              <v:fill type="solid"/>
            </v:rect>
            <v:line style="position:absolute" from="6593,4486" to="6593,4805" stroked="true" strokeweight="1.44pt" strokecolor="#008000">
              <v:stroke dashstyle="solid"/>
            </v:line>
            <v:line style="position:absolute" from="6644,4486" to="6644,4733" stroked="true" strokeweight="2.280pt" strokecolor="#008000">
              <v:stroke dashstyle="solid"/>
            </v:line>
            <v:shape style="position:absolute;left:6703;top:4485;width:58;height:336" coordorigin="6703,4486" coordsize="58,336" path="m6703,4486l6703,4690m6761,4486l6761,4822e" filled="false" stroked="true" strokeweight="2.16pt" strokecolor="#008000">
              <v:path arrowok="t"/>
              <v:stroke dashstyle="solid"/>
            </v:shape>
            <v:line style="position:absolute" from="6820,4486" to="6820,4762" stroked="true" strokeweight="2.280pt" strokecolor="#008000">
              <v:stroke dashstyle="solid"/>
            </v:line>
            <v:shape style="position:absolute;left:6914;top:3112;width:87;height:1388" coordorigin="6914,3113" coordsize="87,1388" path="m6943,3113l6914,3113,6914,3216,6943,3216,6943,3113m7001,4486l6958,4486,6958,4500,7001,4500,7001,4486e" filled="true" fillcolor="#008000" stroked="false">
              <v:path arrowok="t"/>
              <v:fill type="solid"/>
            </v:shape>
            <v:line style="position:absolute" from="7039,4486" to="7039,4646" stroked="true" strokeweight="2.16pt" strokecolor="#008000">
              <v:stroke dashstyle="solid"/>
            </v:line>
            <v:shape style="position:absolute;left:7075;top:3302;width:262;height:1313" coordorigin="7075,3302" coordsize="262,1313" path="m7118,4486l7075,4486,7075,4558,7118,4558,7118,4486m7176,4486l7133,4486,7133,4572,7176,4572,7176,4486m7236,4486l7190,4486,7190,4615,7236,4615,7236,4486m7279,3302l7250,3302,7250,3317,7279,3317,7279,3302m7337,4486l7294,4486,7294,4586,7337,4586,7337,4486e" filled="true" fillcolor="#008000" stroked="false">
              <v:path arrowok="t"/>
              <v:fill type="solid"/>
            </v:shape>
            <v:line style="position:absolute" from="7374,4486" to="7374,4836" stroked="true" strokeweight="2.280pt" strokecolor="#008000">
              <v:stroke dashstyle="solid"/>
            </v:line>
            <v:shape style="position:absolute;left:7432;top:4485;width:58;height:437" coordorigin="7433,4486" coordsize="58,437" path="m7433,4486l7433,4879m7490,4486l7490,4922e" filled="false" stroked="true" strokeweight="2.16pt" strokecolor="#008000">
              <v:path arrowok="t"/>
              <v:stroke dashstyle="solid"/>
            </v:shape>
            <v:line style="position:absolute" from="7549,4486" to="7549,4718" stroked="true" strokeweight="2.280pt" strokecolor="#008000">
              <v:stroke dashstyle="solid"/>
            </v:line>
            <v:line style="position:absolute" from="7601,4486" to="7601,5011" stroked="true" strokeweight="1.44pt" strokecolor="#008000">
              <v:stroke dashstyle="solid"/>
            </v:line>
            <v:line style="position:absolute" from="7651,4486" to="7651,4822" stroked="true" strokeweight="2.16pt" strokecolor="#008000">
              <v:stroke dashstyle="solid"/>
            </v:line>
            <v:line style="position:absolute" from="7710,4486" to="7710,5126" stroked="true" strokeweight="2.280pt" strokecolor="#008000">
              <v:stroke dashstyle="solid"/>
            </v:line>
            <v:shape style="position:absolute;left:7768;top:4485;width:58;height:291" coordorigin="7769,4486" coordsize="58,291" path="m7769,4486l7769,4776m7826,4486l7826,4776e" filled="false" stroked="true" strokeweight="2.16pt" strokecolor="#008000">
              <v:path arrowok="t"/>
              <v:stroke dashstyle="solid"/>
            </v:shape>
            <v:rect style="position:absolute;left:7862;top:4485;width:46;height:130" filled="true" fillcolor="#008000" stroked="false">
              <v:fill type="solid"/>
            </v:rect>
            <v:line style="position:absolute" from="7937,4486" to="7937,4733" stroked="true" strokeweight="1.44pt" strokecolor="#008000">
              <v:stroke dashstyle="solid"/>
            </v:line>
            <v:shape style="position:absolute;left:7965;top:2368;width:132;height:2247" coordorigin="7966,2369" coordsize="132,2247" path="m8009,4486l7966,4486,7966,4615,8009,4615,8009,4486m8066,2369l8023,2369,8023,2429,8066,2429,8066,2369m8098,2486l8083,2486,8083,2544,8098,2544,8098,2486e" filled="true" fillcolor="#008000" stroked="false">
              <v:path arrowok="t"/>
              <v:fill type="solid"/>
            </v:shape>
            <v:shape style="position:absolute;left:2388;top:2253;width:5768;height:2976" coordorigin="2388,2254" coordsize="5768,2976" path="m8098,2254l8098,5230m8098,5230l8155,5230m8098,4486l8155,4486m8098,3742l8155,3742m8098,2998l8155,2998m8098,2254l8155,2254m2388,5230l8098,5230m2388,5230l2388,5170m3060,5230l3060,5170m3732,5230l3732,5170m4404,5230l4404,5170m5076,5230l5076,5170m5746,5230l5746,5170m6418,5230l6418,5170m7090,5230l7090,5170m7762,5230l7762,5170e" filled="false" stroked="true" strokeweight=".12pt" strokecolor="#000000">
              <v:path arrowok="t"/>
              <v:stroke dashstyle="solid"/>
            </v:shape>
            <v:line style="position:absolute" from="2388,4061" to="2448,4121" stroked="true" strokeweight="1.459pt" strokecolor="#000000">
              <v:stroke dashstyle="solid"/>
            </v:line>
            <v:line style="position:absolute" from="2448,4121" to="2506,4193" stroked="true" strokeweight="1.459pt" strokecolor="#000000">
              <v:stroke dashstyle="solid"/>
            </v:line>
            <v:line style="position:absolute" from="2506,4193" to="2563,4078" stroked="true" strokeweight="1.459pt" strokecolor="#000000">
              <v:stroke dashstyle="solid"/>
            </v:line>
            <v:shape style="position:absolute;left:2563;top:2632;width:5199;height:1882" coordorigin="2563,2633" coordsize="5199,1882" path="m2563,4078l2609,4222m2609,4222l2666,4164m2666,4164l2724,4222m2724,4222l2784,4178m2784,4178l2842,4282m2842,4282l2899,4457m2899,4457l2945,4426m2945,4426l3002,4514m3002,4514l3060,4354m3060,4354l3120,4296m3120,4296l3178,4121m3178,4121l3235,4032m3235,4032l3278,3946m3278,3946l3338,4032m3338,4032l3396,3814m3396,3814l3454,3814m3454,3814l3514,3727m3514,3727l3571,3552m3571,3552l3614,3610m3614,3610l3674,3566m3674,3566l3732,3331m3732,3331l3790,3302m3790,3302l3850,3317m3850,3317l3907,3362m3907,3362l3950,3302m3950,3302l4010,3288m4010,3288l4068,3362m4068,3362l4126,3377m4126,3377l4186,3377m4186,3377l4243,3302m4243,3302l4286,3362m4286,3362l4344,3302m4344,3302l4404,3288m4404,3288l4462,3216m4462,3216l4519,3274m4519,3274l4579,3098m4579,3098l4622,3084m4622,3084l4680,3041m4680,3041l4740,2998m4740,2998l4798,2983m4798,2983l4855,3041m4855,3041l4915,3098m4915,3098l4958,3041m4958,3041l5016,3142m5016,3142l5076,3202m5076,3202l5134,3245m5134,3245l5191,3259m5191,3259l5251,3377m5251,3377l5294,3449m5294,3449l5352,3420m5352,3420l5410,3288m5410,3288l5470,3362m5470,3362l5527,3348m5527,3348l5585,3173m5585,3173l5630,3216m5630,3216l5688,3230m5688,3230l5746,2880m5746,2880l5806,2983m5806,2983l5863,2794m5863,2794l5921,2748m5921,2748l5966,2705m5966,2705l6024,2633m6024,2633l6082,2837m6082,2837l6142,2880m6142,2880l6199,2923m6199,2923l6257,3216m6257,3216l6300,3070m6300,3070l6360,2966m6360,2966l6418,3348m6418,3348l6475,3098m6475,3098l6535,3216m6535,3216l6593,3523m6593,3523l6636,3523m6636,3523l6696,3566m6696,3566l6754,3552m6754,3552l6811,3506m6811,3506l6871,3245m6871,3245l6929,3098m6929,3098l6972,3245m6972,3245l7032,3449m7032,3449l7090,3377m7090,3377l7147,3538m7147,3538l7207,3581m7207,3581l7265,3288m7265,3288l7308,3288m7308,3288l7366,3406m7366,3406l7426,3434m7426,3434l7483,3391m7483,3391l7541,3127m7541,3127l7601,3288m7601,3288l7644,2952m7644,2952l7702,3127m7702,3127l7762,2719e" filled="false" stroked="true" strokeweight="1.459pt" strokecolor="#000000">
              <v:path arrowok="t"/>
              <v:stroke dashstyle="solid"/>
            </v:shape>
            <v:shape style="position:absolute;left:7747;top:2368;width:366;height:380" type="#_x0000_t75" stroked="false">
              <v:imagedata r:id="rId8" o:title=""/>
            </v:shape>
            <v:line style="position:absolute" from="8112,4486" to="2405,4486" stroked="true" strokeweight=".73pt" strokecolor="#000000">
              <v:stroke dashstyle="solid"/>
            </v:line>
            <w10:wrap type="none"/>
          </v:group>
        </w:pict>
      </w:r>
    </w:p>
    <w:p>
      <w:pPr>
        <w:pStyle w:val="BodyText"/>
        <w:spacing w:before="2" w:after="1"/>
        <w:rPr>
          <w:sz w:val="11"/>
        </w:rPr>
      </w:pPr>
    </w:p>
    <w:p>
      <w:pPr>
        <w:pStyle w:val="BodyText"/>
        <w:ind w:left="960"/>
        <w:rPr>
          <w:sz w:val="20"/>
        </w:rPr>
      </w:pPr>
      <w:r>
        <w:rPr>
          <w:sz w:val="20"/>
        </w:rPr>
        <w:pict>
          <v:group style="width:414pt;height:236.55pt;mso-position-horizontal-relative:char;mso-position-vertical-relative:line" coordorigin="0,0" coordsize="8280,4731">
            <v:line style="position:absolute" from="0,4" to="8280,4" stroked="true" strokeweight=".36pt" strokecolor="#000000">
              <v:stroke dashstyle="solid"/>
            </v:line>
            <v:line style="position:absolute" from="0,281" to="8280,281" stroked="true" strokeweight=".48pt" strokecolor="#000000">
              <v:stroke dashstyle="solid"/>
            </v:line>
            <v:line style="position:absolute" from="0,4536" to="8280,4536" stroked="true" strokeweight=".48pt" strokecolor="#000000">
              <v:stroke dashstyle="solid"/>
            </v:line>
            <v:line style="position:absolute" from="5,0" to="5,4730" stroked="true" strokeweight=".48pt" strokecolor="#000000">
              <v:stroke dashstyle="solid"/>
            </v:line>
            <v:line style="position:absolute" from="0,4726" to="8280,4726" stroked="true" strokeweight=".48pt" strokecolor="#000000">
              <v:stroke dashstyle="solid"/>
            </v:line>
            <v:shape style="position:absolute;left:307;top:15;width:4638;height:950" type="#_x0000_t202" filled="false" stroked="false">
              <v:textbox inset="0,0,0,0">
                <w:txbxContent>
                  <w:p>
                    <w:pPr>
                      <w:spacing w:line="258" w:lineRule="exact" w:before="0"/>
                      <w:ind w:left="3386" w:right="0" w:firstLine="0"/>
                      <w:jc w:val="left"/>
                      <w:rPr>
                        <w:b/>
                        <w:sz w:val="23"/>
                      </w:rPr>
                    </w:pPr>
                    <w:r>
                      <w:rPr>
                        <w:b/>
                        <w:sz w:val="23"/>
                      </w:rPr>
                      <w:t>Figure 1:</w:t>
                    </w:r>
                  </w:p>
                  <w:p>
                    <w:pPr>
                      <w:spacing w:line="300" w:lineRule="atLeast" w:before="84"/>
                      <w:ind w:left="0" w:right="0" w:firstLine="0"/>
                      <w:jc w:val="left"/>
                      <w:rPr>
                        <w:b/>
                        <w:sz w:val="23"/>
                      </w:rPr>
                    </w:pPr>
                    <w:r>
                      <w:rPr>
                        <w:b/>
                        <w:spacing w:val="-9"/>
                        <w:sz w:val="23"/>
                      </w:rPr>
                      <w:t>Contributions </w:t>
                    </w:r>
                    <w:r>
                      <w:rPr>
                        <w:b/>
                        <w:spacing w:val="-3"/>
                        <w:sz w:val="23"/>
                      </w:rPr>
                      <w:t>to </w:t>
                    </w:r>
                    <w:r>
                      <w:rPr>
                        <w:b/>
                        <w:spacing w:val="-7"/>
                        <w:sz w:val="23"/>
                      </w:rPr>
                      <w:t>the </w:t>
                    </w:r>
                    <w:r>
                      <w:rPr>
                        <w:b/>
                        <w:spacing w:val="-4"/>
                        <w:sz w:val="23"/>
                      </w:rPr>
                      <w:t>differential </w:t>
                    </w:r>
                    <w:r>
                      <w:rPr>
                        <w:b/>
                        <w:sz w:val="23"/>
                      </w:rPr>
                      <w:t>between </w:t>
                    </w:r>
                    <w:r>
                      <w:rPr>
                        <w:b/>
                        <w:spacing w:val="-8"/>
                        <w:sz w:val="23"/>
                      </w:rPr>
                      <w:t>annual </w:t>
                    </w:r>
                    <w:r>
                      <w:rPr>
                        <w:b/>
                        <w:spacing w:val="-3"/>
                        <w:sz w:val="23"/>
                      </w:rPr>
                      <w:t>RPIX </w:t>
                    </w:r>
                    <w:r>
                      <w:rPr>
                        <w:b/>
                        <w:spacing w:val="-5"/>
                        <w:sz w:val="23"/>
                      </w:rPr>
                      <w:t>inflation and HICP </w:t>
                    </w:r>
                    <w:r>
                      <w:rPr>
                        <w:b/>
                        <w:spacing w:val="-6"/>
                        <w:sz w:val="23"/>
                      </w:rPr>
                      <w:t>inflation</w:t>
                    </w:r>
                  </w:p>
                </w:txbxContent>
              </v:textbox>
              <w10:wrap type="none"/>
            </v:shape>
            <v:shape style="position:absolute;left:5503;top:399;width:1035;height:751" type="#_x0000_t202" filled="false" stroked="false">
              <v:textbox inset="0,0,0,0">
                <w:txbxContent>
                  <w:p>
                    <w:pPr>
                      <w:spacing w:line="271" w:lineRule="auto" w:before="0"/>
                      <w:ind w:left="204" w:right="0" w:hanging="204"/>
                      <w:jc w:val="left"/>
                      <w:rPr>
                        <w:b/>
                        <w:sz w:val="19"/>
                      </w:rPr>
                    </w:pPr>
                    <w:r>
                      <w:rPr>
                        <w:b/>
                        <w:sz w:val="19"/>
                      </w:rPr>
                      <w:t>percentage points</w:t>
                    </w:r>
                  </w:p>
                  <w:p>
                    <w:pPr>
                      <w:spacing w:before="38"/>
                      <w:ind w:left="772" w:right="0" w:firstLine="0"/>
                      <w:jc w:val="left"/>
                      <w:rPr>
                        <w:b/>
                        <w:sz w:val="19"/>
                      </w:rPr>
                    </w:pPr>
                    <w:r>
                      <w:rPr>
                        <w:b/>
                        <w:sz w:val="19"/>
                      </w:rPr>
                      <w:t>1.8</w:t>
                    </w:r>
                  </w:p>
                </w:txbxContent>
              </v:textbox>
              <w10:wrap type="none"/>
            </v:shape>
            <v:shape style="position:absolute;left:3093;top:1217;width:473;height:227" type="#_x0000_t202" filled="false" stroked="false">
              <v:textbox inset="0,0,0,0">
                <w:txbxContent>
                  <w:p>
                    <w:pPr>
                      <w:spacing w:line="225" w:lineRule="exact" w:before="0"/>
                      <w:ind w:left="0" w:right="0" w:firstLine="0"/>
                      <w:jc w:val="left"/>
                      <w:rPr>
                        <w:b/>
                        <w:sz w:val="20"/>
                      </w:rPr>
                    </w:pPr>
                    <w:r>
                      <w:rPr>
                        <w:b/>
                        <w:sz w:val="20"/>
                      </w:rPr>
                      <w:t>Total</w:t>
                    </w:r>
                  </w:p>
                </w:txbxContent>
              </v:textbox>
              <w10:wrap type="none"/>
            </v:shape>
            <v:shape style="position:absolute;left:232;top:1625;width:1860;height:488" type="#_x0000_t202" filled="false" stroked="false">
              <v:textbox inset="0,0,0,0">
                <w:txbxContent>
                  <w:p>
                    <w:pPr>
                      <w:spacing w:line="225" w:lineRule="exact" w:before="0"/>
                      <w:ind w:left="0" w:right="0" w:firstLine="0"/>
                      <w:jc w:val="left"/>
                      <w:rPr>
                        <w:b/>
                        <w:sz w:val="20"/>
                      </w:rPr>
                    </w:pPr>
                    <w:r>
                      <w:rPr>
                        <w:b/>
                        <w:color w:val="FF00FF"/>
                        <w:sz w:val="20"/>
                      </w:rPr>
                      <w:t>Exclusion of housing</w:t>
                    </w:r>
                  </w:p>
                  <w:p>
                    <w:pPr>
                      <w:spacing w:before="31"/>
                      <w:ind w:left="0" w:right="0" w:firstLine="0"/>
                      <w:jc w:val="left"/>
                      <w:rPr>
                        <w:b/>
                        <w:sz w:val="20"/>
                      </w:rPr>
                    </w:pPr>
                    <w:r>
                      <w:rPr>
                        <w:b/>
                        <w:color w:val="FF00FF"/>
                        <w:sz w:val="20"/>
                      </w:rPr>
                      <w:t>components</w:t>
                    </w:r>
                  </w:p>
                </w:txbxContent>
              </v:textbox>
              <w10:wrap type="none"/>
            </v:shape>
            <v:shape style="position:absolute;left:6276;top:1683;width:262;height:211" type="#_x0000_t202" filled="false" stroked="false">
              <v:textbox inset="0,0,0,0">
                <w:txbxContent>
                  <w:p>
                    <w:pPr>
                      <w:spacing w:line="210" w:lineRule="exact" w:before="0"/>
                      <w:ind w:left="0" w:right="0" w:firstLine="0"/>
                      <w:jc w:val="left"/>
                      <w:rPr>
                        <w:b/>
                        <w:sz w:val="19"/>
                      </w:rPr>
                    </w:pPr>
                    <w:r>
                      <w:rPr>
                        <w:b/>
                        <w:sz w:val="19"/>
                      </w:rPr>
                      <w:t>1.2</w:t>
                    </w:r>
                  </w:p>
                </w:txbxContent>
              </v:textbox>
              <w10:wrap type="none"/>
            </v:shape>
            <v:shape style="position:absolute;left:6276;top:2427;width:262;height:211" type="#_x0000_t202" filled="false" stroked="false">
              <v:textbox inset="0,0,0,0">
                <w:txbxContent>
                  <w:p>
                    <w:pPr>
                      <w:spacing w:line="210" w:lineRule="exact" w:before="0"/>
                      <w:ind w:left="0" w:right="0" w:firstLine="0"/>
                      <w:jc w:val="left"/>
                      <w:rPr>
                        <w:b/>
                        <w:sz w:val="19"/>
                      </w:rPr>
                    </w:pPr>
                    <w:r>
                      <w:rPr>
                        <w:b/>
                        <w:sz w:val="19"/>
                      </w:rPr>
                      <w:t>0.6</w:t>
                    </w:r>
                  </w:p>
                </w:txbxContent>
              </v:textbox>
              <w10:wrap type="none"/>
            </v:shape>
            <v:shape style="position:absolute;left:6276;top:3171;width:262;height:211" type="#_x0000_t202" filled="false" stroked="false">
              <v:textbox inset="0,0,0,0">
                <w:txbxContent>
                  <w:p>
                    <w:pPr>
                      <w:spacing w:line="210" w:lineRule="exact" w:before="0"/>
                      <w:ind w:left="0" w:right="0" w:firstLine="0"/>
                      <w:jc w:val="left"/>
                      <w:rPr>
                        <w:b/>
                        <w:sz w:val="19"/>
                      </w:rPr>
                    </w:pPr>
                    <w:r>
                      <w:rPr>
                        <w:b/>
                        <w:sz w:val="19"/>
                      </w:rPr>
                      <w:t>0.0</w:t>
                    </w:r>
                  </w:p>
                </w:txbxContent>
              </v:textbox>
              <w10:wrap type="none"/>
            </v:shape>
            <v:shape style="position:absolute;left:1780;top:3609;width:1344;height:227" type="#_x0000_t202" filled="false" stroked="false">
              <v:textbox inset="0,0,0,0">
                <w:txbxContent>
                  <w:p>
                    <w:pPr>
                      <w:spacing w:line="225" w:lineRule="exact" w:before="0"/>
                      <w:ind w:left="0" w:right="0" w:firstLine="0"/>
                      <w:jc w:val="left"/>
                      <w:rPr>
                        <w:b/>
                        <w:sz w:val="20"/>
                      </w:rPr>
                    </w:pPr>
                    <w:r>
                      <w:rPr>
                        <w:b/>
                        <w:color w:val="000080"/>
                        <w:sz w:val="20"/>
                      </w:rPr>
                      <w:t>Formula effect</w:t>
                    </w:r>
                  </w:p>
                </w:txbxContent>
              </v:textbox>
              <w10:wrap type="none"/>
            </v:shape>
            <v:shape style="position:absolute;left:3751;top:3609;width:565;height:227" type="#_x0000_t202" filled="false" stroked="false">
              <v:textbox inset="0,0,0,0">
                <w:txbxContent>
                  <w:p>
                    <w:pPr>
                      <w:spacing w:line="225" w:lineRule="exact" w:before="0"/>
                      <w:ind w:left="0" w:right="0" w:firstLine="0"/>
                      <w:jc w:val="left"/>
                      <w:rPr>
                        <w:b/>
                        <w:sz w:val="20"/>
                      </w:rPr>
                    </w:pPr>
                    <w:r>
                      <w:rPr>
                        <w:b/>
                        <w:color w:val="008000"/>
                        <w:sz w:val="20"/>
                      </w:rPr>
                      <w:t>Other</w:t>
                    </w:r>
                  </w:p>
                </w:txbxContent>
              </v:textbox>
              <w10:wrap type="none"/>
            </v:shape>
            <v:shape style="position:absolute;left:6276;top:3915;width:322;height:211" type="#_x0000_t202" filled="false" stroked="false">
              <v:textbox inset="0,0,0,0">
                <w:txbxContent>
                  <w:p>
                    <w:pPr>
                      <w:spacing w:line="210" w:lineRule="exact" w:before="0"/>
                      <w:ind w:left="0" w:right="0" w:firstLine="0"/>
                      <w:jc w:val="left"/>
                      <w:rPr>
                        <w:b/>
                        <w:sz w:val="19"/>
                      </w:rPr>
                    </w:pPr>
                    <w:r>
                      <w:rPr>
                        <w:b/>
                        <w:sz w:val="19"/>
                      </w:rPr>
                      <w:t>-0.6</w:t>
                    </w:r>
                  </w:p>
                </w:txbxContent>
              </v:textbox>
              <w10:wrap type="none"/>
            </v:shape>
            <v:shape style="position:absolute;left:110;top:4194;width:5902;height:523" type="#_x0000_t202" filled="false" stroked="false">
              <v:textbox inset="0,0,0,0">
                <w:txbxContent>
                  <w:p>
                    <w:pPr>
                      <w:tabs>
                        <w:tab w:pos="779" w:val="left" w:leader="none"/>
                        <w:tab w:pos="1451" w:val="left" w:leader="none"/>
                        <w:tab w:pos="2123" w:val="left" w:leader="none"/>
                        <w:tab w:pos="2793" w:val="left" w:leader="none"/>
                        <w:tab w:pos="3465" w:val="left" w:leader="none"/>
                        <w:tab w:pos="4137" w:val="left" w:leader="none"/>
                        <w:tab w:pos="4809" w:val="left" w:leader="none"/>
                        <w:tab w:pos="5481" w:val="left" w:leader="none"/>
                      </w:tabs>
                      <w:spacing w:line="210" w:lineRule="exact" w:before="0"/>
                      <w:ind w:left="108" w:right="0" w:firstLine="0"/>
                      <w:jc w:val="left"/>
                      <w:rPr>
                        <w:b/>
                        <w:sz w:val="19"/>
                      </w:rPr>
                    </w:pPr>
                    <w:r>
                      <w:rPr>
                        <w:b/>
                        <w:spacing w:val="5"/>
                        <w:sz w:val="19"/>
                      </w:rPr>
                      <w:t>1995</w:t>
                      <w:tab/>
                      <w:t>1996</w:t>
                      <w:tab/>
                      <w:t>1997</w:t>
                      <w:tab/>
                    </w:r>
                    <w:r>
                      <w:rPr>
                        <w:b/>
                        <w:spacing w:val="4"/>
                        <w:sz w:val="19"/>
                      </w:rPr>
                      <w:t>1998</w:t>
                      <w:tab/>
                    </w:r>
                    <w:r>
                      <w:rPr>
                        <w:b/>
                        <w:spacing w:val="5"/>
                        <w:sz w:val="19"/>
                      </w:rPr>
                      <w:t>1999</w:t>
                      <w:tab/>
                      <w:t>2000</w:t>
                      <w:tab/>
                      <w:t>2001</w:t>
                      <w:tab/>
                      <w:t>2002</w:t>
                      <w:tab/>
                    </w:r>
                    <w:r>
                      <w:rPr>
                        <w:b/>
                        <w:spacing w:val="4"/>
                        <w:sz w:val="19"/>
                      </w:rPr>
                      <w:t>2003</w:t>
                    </w:r>
                  </w:p>
                  <w:p>
                    <w:pPr>
                      <w:spacing w:before="138"/>
                      <w:ind w:left="0" w:right="0" w:firstLine="0"/>
                      <w:jc w:val="left"/>
                      <w:rPr>
                        <w:sz w:val="15"/>
                      </w:rPr>
                    </w:pPr>
                    <w:r>
                      <w:rPr>
                        <w:w w:val="105"/>
                        <w:sz w:val="15"/>
                      </w:rPr>
                      <w:t>Sources: ONS and Bank of England.</w:t>
                    </w:r>
                  </w:p>
                </w:txbxContent>
              </v:textbox>
              <w10:wrap type="none"/>
            </v:shape>
          </v:group>
        </w:pict>
      </w:r>
      <w:r>
        <w:rPr>
          <w:sz w:val="20"/>
        </w:rPr>
      </w:r>
    </w:p>
    <w:p>
      <w:pPr>
        <w:spacing w:after="0"/>
        <w:rPr>
          <w:sz w:val="20"/>
        </w:rPr>
        <w:sectPr>
          <w:pgSz w:w="12240" w:h="15840"/>
          <w:pgMar w:header="209" w:footer="0" w:top="840" w:bottom="280" w:left="1000" w:right="1220"/>
        </w:sectPr>
      </w:pPr>
    </w:p>
    <w:p>
      <w:pPr>
        <w:pStyle w:val="BodyText"/>
        <w:spacing w:before="7"/>
        <w:rPr>
          <w:sz w:val="7"/>
        </w:rPr>
      </w:pPr>
    </w:p>
    <w:tbl>
      <w:tblPr>
        <w:tblW w:w="0" w:type="auto"/>
        <w:jc w:val="left"/>
        <w:tblInd w:w="9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02"/>
        <w:gridCol w:w="4193"/>
      </w:tblGrid>
      <w:tr>
        <w:trPr>
          <w:trHeight w:val="264" w:hRule="atLeast"/>
        </w:trPr>
        <w:tc>
          <w:tcPr>
            <w:tcW w:w="8295" w:type="dxa"/>
            <w:gridSpan w:val="2"/>
          </w:tcPr>
          <w:p>
            <w:pPr>
              <w:pStyle w:val="TableParagraph"/>
              <w:spacing w:line="245" w:lineRule="exact"/>
              <w:ind w:left="3677" w:right="3666"/>
              <w:jc w:val="center"/>
              <w:rPr>
                <w:b/>
                <w:sz w:val="23"/>
              </w:rPr>
            </w:pPr>
            <w:r>
              <w:rPr>
                <w:b/>
                <w:sz w:val="23"/>
              </w:rPr>
              <w:t>Figure 2:</w:t>
            </w:r>
          </w:p>
        </w:tc>
      </w:tr>
      <w:tr>
        <w:trPr>
          <w:trHeight w:val="514" w:hRule="atLeast"/>
        </w:trPr>
        <w:tc>
          <w:tcPr>
            <w:tcW w:w="4102" w:type="dxa"/>
          </w:tcPr>
          <w:p>
            <w:pPr>
              <w:pStyle w:val="TableParagraph"/>
              <w:spacing w:line="220" w:lineRule="atLeast" w:before="31"/>
              <w:ind w:left="165" w:right="104"/>
              <w:rPr>
                <w:b/>
                <w:sz w:val="18"/>
              </w:rPr>
            </w:pPr>
            <w:r>
              <w:rPr>
                <w:b/>
                <w:w w:val="105"/>
                <w:sz w:val="18"/>
              </w:rPr>
              <w:t>November 2001 RPIX inflation projection based on constant nominal interest rates at 4%</w:t>
            </w:r>
          </w:p>
        </w:tc>
        <w:tc>
          <w:tcPr>
            <w:tcW w:w="4193" w:type="dxa"/>
          </w:tcPr>
          <w:p>
            <w:pPr>
              <w:pStyle w:val="TableParagraph"/>
              <w:spacing w:line="220" w:lineRule="atLeast" w:before="31"/>
              <w:ind w:left="165" w:right="248"/>
              <w:rPr>
                <w:b/>
                <w:sz w:val="18"/>
              </w:rPr>
            </w:pPr>
            <w:r>
              <w:rPr>
                <w:b/>
                <w:w w:val="105"/>
                <w:sz w:val="18"/>
              </w:rPr>
              <w:t>February 2002 RPIX inflation projection based on constant nominal interest rates at</w:t>
            </w:r>
            <w:r>
              <w:rPr>
                <w:b/>
                <w:spacing w:val="-34"/>
                <w:w w:val="105"/>
                <w:sz w:val="18"/>
              </w:rPr>
              <w:t> </w:t>
            </w:r>
            <w:r>
              <w:rPr>
                <w:b/>
                <w:w w:val="105"/>
                <w:sz w:val="18"/>
              </w:rPr>
              <w:t>4%</w:t>
            </w:r>
          </w:p>
        </w:tc>
      </w:tr>
      <w:tr>
        <w:trPr>
          <w:trHeight w:val="3808" w:hRule="atLeast"/>
        </w:trPr>
        <w:tc>
          <w:tcPr>
            <w:tcW w:w="4102" w:type="dxa"/>
          </w:tcPr>
          <w:p>
            <w:pPr>
              <w:pStyle w:val="TableParagraph"/>
              <w:ind w:left="105"/>
              <w:rPr>
                <w:sz w:val="20"/>
              </w:rPr>
            </w:pPr>
            <w:r>
              <w:rPr>
                <w:sz w:val="20"/>
              </w:rPr>
              <w:drawing>
                <wp:inline distT="0" distB="0" distL="0" distR="0">
                  <wp:extent cx="2464846" cy="2412111"/>
                  <wp:effectExtent l="0" t="0" r="0" b="0"/>
                  <wp:docPr id="3" name="image3.png"/>
                  <wp:cNvGraphicFramePr>
                    <a:graphicFrameLocks noChangeAspect="1"/>
                  </wp:cNvGraphicFramePr>
                  <a:graphic>
                    <a:graphicData uri="http://schemas.openxmlformats.org/drawingml/2006/picture">
                      <pic:pic>
                        <pic:nvPicPr>
                          <pic:cNvPr id="4" name="image3.png"/>
                          <pic:cNvPicPr/>
                        </pic:nvPicPr>
                        <pic:blipFill>
                          <a:blip r:embed="rId9" cstate="print"/>
                          <a:stretch>
                            <a:fillRect/>
                          </a:stretch>
                        </pic:blipFill>
                        <pic:spPr>
                          <a:xfrm>
                            <a:off x="0" y="0"/>
                            <a:ext cx="2464846" cy="2412111"/>
                          </a:xfrm>
                          <a:prstGeom prst="rect">
                            <a:avLst/>
                          </a:prstGeom>
                        </pic:spPr>
                      </pic:pic>
                    </a:graphicData>
                  </a:graphic>
                </wp:inline>
              </w:drawing>
            </w:r>
            <w:r>
              <w:rPr>
                <w:sz w:val="20"/>
              </w:rPr>
            </w:r>
          </w:p>
        </w:tc>
        <w:tc>
          <w:tcPr>
            <w:tcW w:w="4193" w:type="dxa"/>
          </w:tcPr>
          <w:p>
            <w:pPr>
              <w:pStyle w:val="TableParagraph"/>
              <w:ind w:left="105"/>
              <w:rPr>
                <w:sz w:val="20"/>
              </w:rPr>
            </w:pPr>
            <w:r>
              <w:rPr>
                <w:sz w:val="20"/>
              </w:rPr>
              <w:drawing>
                <wp:inline distT="0" distB="0" distL="0" distR="0">
                  <wp:extent cx="2474439" cy="2271807"/>
                  <wp:effectExtent l="0" t="0" r="0" b="0"/>
                  <wp:docPr id="5" name="image4.png"/>
                  <wp:cNvGraphicFramePr>
                    <a:graphicFrameLocks noChangeAspect="1"/>
                  </wp:cNvGraphicFramePr>
                  <a:graphic>
                    <a:graphicData uri="http://schemas.openxmlformats.org/drawingml/2006/picture">
                      <pic:pic>
                        <pic:nvPicPr>
                          <pic:cNvPr id="6" name="image4.png"/>
                          <pic:cNvPicPr/>
                        </pic:nvPicPr>
                        <pic:blipFill>
                          <a:blip r:embed="rId10" cstate="print"/>
                          <a:stretch>
                            <a:fillRect/>
                          </a:stretch>
                        </pic:blipFill>
                        <pic:spPr>
                          <a:xfrm>
                            <a:off x="0" y="0"/>
                            <a:ext cx="2474439" cy="2271807"/>
                          </a:xfrm>
                          <a:prstGeom prst="rect">
                            <a:avLst/>
                          </a:prstGeom>
                        </pic:spPr>
                      </pic:pic>
                    </a:graphicData>
                  </a:graphic>
                </wp:inline>
              </w:drawing>
            </w:r>
            <w:r>
              <w:rPr>
                <w:sz w:val="20"/>
              </w:rPr>
            </w:r>
          </w:p>
        </w:tc>
      </w:tr>
      <w:tr>
        <w:trPr>
          <w:trHeight w:val="549" w:hRule="atLeast"/>
        </w:trPr>
        <w:tc>
          <w:tcPr>
            <w:tcW w:w="4102" w:type="dxa"/>
          </w:tcPr>
          <w:p>
            <w:pPr>
              <w:pStyle w:val="TableParagraph"/>
              <w:spacing w:line="240" w:lineRule="atLeast" w:before="24"/>
              <w:ind w:left="167" w:right="308"/>
              <w:rPr>
                <w:b/>
                <w:sz w:val="19"/>
              </w:rPr>
            </w:pPr>
            <w:r>
              <w:rPr>
                <w:b/>
                <w:sz w:val="19"/>
              </w:rPr>
              <w:t>May 2002 RPIX inflation projection based on constant nominal interest rates at 4%</w:t>
            </w:r>
          </w:p>
        </w:tc>
        <w:tc>
          <w:tcPr>
            <w:tcW w:w="4193" w:type="dxa"/>
          </w:tcPr>
          <w:p>
            <w:pPr>
              <w:pStyle w:val="TableParagraph"/>
              <w:spacing w:line="259" w:lineRule="auto" w:before="38"/>
              <w:ind w:left="165" w:right="168"/>
              <w:rPr>
                <w:b/>
                <w:sz w:val="19"/>
              </w:rPr>
            </w:pPr>
            <w:r>
              <w:rPr>
                <w:b/>
                <w:w w:val="105"/>
                <w:sz w:val="19"/>
              </w:rPr>
              <w:t>August 2002 RPIX inflation projection based on constant nominal interest rates at 4%</w:t>
            </w:r>
          </w:p>
        </w:tc>
      </w:tr>
      <w:tr>
        <w:trPr>
          <w:trHeight w:val="3582" w:hRule="atLeast"/>
        </w:trPr>
        <w:tc>
          <w:tcPr>
            <w:tcW w:w="4102" w:type="dxa"/>
          </w:tcPr>
          <w:p>
            <w:pPr>
              <w:pStyle w:val="TableParagraph"/>
              <w:ind w:left="105"/>
              <w:rPr>
                <w:sz w:val="20"/>
              </w:rPr>
            </w:pPr>
            <w:r>
              <w:rPr>
                <w:sz w:val="20"/>
              </w:rPr>
              <w:drawing>
                <wp:inline distT="0" distB="0" distL="0" distR="0">
                  <wp:extent cx="2477144" cy="2268474"/>
                  <wp:effectExtent l="0" t="0" r="0" b="0"/>
                  <wp:docPr id="7" name="image5.png"/>
                  <wp:cNvGraphicFramePr>
                    <a:graphicFrameLocks noChangeAspect="1"/>
                  </wp:cNvGraphicFramePr>
                  <a:graphic>
                    <a:graphicData uri="http://schemas.openxmlformats.org/drawingml/2006/picture">
                      <pic:pic>
                        <pic:nvPicPr>
                          <pic:cNvPr id="8" name="image5.png"/>
                          <pic:cNvPicPr/>
                        </pic:nvPicPr>
                        <pic:blipFill>
                          <a:blip r:embed="rId11" cstate="print"/>
                          <a:stretch>
                            <a:fillRect/>
                          </a:stretch>
                        </pic:blipFill>
                        <pic:spPr>
                          <a:xfrm>
                            <a:off x="0" y="0"/>
                            <a:ext cx="2477144" cy="2268474"/>
                          </a:xfrm>
                          <a:prstGeom prst="rect">
                            <a:avLst/>
                          </a:prstGeom>
                        </pic:spPr>
                      </pic:pic>
                    </a:graphicData>
                  </a:graphic>
                </wp:inline>
              </w:drawing>
            </w:r>
            <w:r>
              <w:rPr>
                <w:sz w:val="20"/>
              </w:rPr>
            </w:r>
          </w:p>
        </w:tc>
        <w:tc>
          <w:tcPr>
            <w:tcW w:w="4193" w:type="dxa"/>
          </w:tcPr>
          <w:p>
            <w:pPr>
              <w:pStyle w:val="TableParagraph"/>
              <w:ind w:left="105"/>
              <w:rPr>
                <w:sz w:val="20"/>
              </w:rPr>
            </w:pPr>
            <w:r>
              <w:rPr>
                <w:sz w:val="20"/>
              </w:rPr>
              <w:drawing>
                <wp:inline distT="0" distB="0" distL="0" distR="0">
                  <wp:extent cx="2459304" cy="2260187"/>
                  <wp:effectExtent l="0" t="0" r="0" b="0"/>
                  <wp:docPr id="9" name="image6.png"/>
                  <wp:cNvGraphicFramePr>
                    <a:graphicFrameLocks noChangeAspect="1"/>
                  </wp:cNvGraphicFramePr>
                  <a:graphic>
                    <a:graphicData uri="http://schemas.openxmlformats.org/drawingml/2006/picture">
                      <pic:pic>
                        <pic:nvPicPr>
                          <pic:cNvPr id="10" name="image6.png"/>
                          <pic:cNvPicPr/>
                        </pic:nvPicPr>
                        <pic:blipFill>
                          <a:blip r:embed="rId12" cstate="print"/>
                          <a:stretch>
                            <a:fillRect/>
                          </a:stretch>
                        </pic:blipFill>
                        <pic:spPr>
                          <a:xfrm>
                            <a:off x="0" y="0"/>
                            <a:ext cx="2459304" cy="2260187"/>
                          </a:xfrm>
                          <a:prstGeom prst="rect">
                            <a:avLst/>
                          </a:prstGeom>
                        </pic:spPr>
                      </pic:pic>
                    </a:graphicData>
                  </a:graphic>
                </wp:inline>
              </w:drawing>
            </w:r>
            <w:r>
              <w:rPr>
                <w:sz w:val="20"/>
              </w:rPr>
            </w:r>
          </w:p>
        </w:tc>
      </w:tr>
    </w:tbl>
    <w:p>
      <w:pPr>
        <w:spacing w:after="0"/>
        <w:rPr>
          <w:sz w:val="20"/>
        </w:rPr>
        <w:sectPr>
          <w:pgSz w:w="12240" w:h="15840"/>
          <w:pgMar w:header="209" w:footer="0" w:top="840" w:bottom="280" w:left="1000" w:right="1220"/>
        </w:sectPr>
      </w:pPr>
    </w:p>
    <w:p>
      <w:pPr>
        <w:pStyle w:val="BodyText"/>
        <w:spacing w:before="7"/>
        <w:rPr>
          <w:sz w:val="7"/>
        </w:rPr>
      </w:pPr>
    </w:p>
    <w:tbl>
      <w:tblPr>
        <w:tblW w:w="0" w:type="auto"/>
        <w:jc w:val="left"/>
        <w:tblInd w:w="9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45"/>
        <w:gridCol w:w="4147"/>
      </w:tblGrid>
      <w:tr>
        <w:trPr>
          <w:trHeight w:val="520" w:hRule="atLeast"/>
        </w:trPr>
        <w:tc>
          <w:tcPr>
            <w:tcW w:w="4145" w:type="dxa"/>
          </w:tcPr>
          <w:p>
            <w:pPr>
              <w:pStyle w:val="TableParagraph"/>
              <w:spacing w:line="249" w:lineRule="auto" w:before="36"/>
              <w:ind w:left="165" w:right="144"/>
              <w:rPr>
                <w:b/>
                <w:sz w:val="19"/>
              </w:rPr>
            </w:pPr>
            <w:r>
              <w:rPr>
                <w:b/>
                <w:sz w:val="19"/>
              </w:rPr>
              <w:t>November 2002 RPIX inflation projection based on constant nominal interest rates at 4%</w:t>
            </w:r>
          </w:p>
        </w:tc>
        <w:tc>
          <w:tcPr>
            <w:tcW w:w="4147" w:type="dxa"/>
          </w:tcPr>
          <w:p>
            <w:pPr>
              <w:pStyle w:val="TableParagraph"/>
              <w:spacing w:line="261" w:lineRule="auto" w:before="43"/>
              <w:ind w:left="162" w:right="138"/>
              <w:rPr>
                <w:b/>
                <w:sz w:val="18"/>
              </w:rPr>
            </w:pPr>
            <w:r>
              <w:rPr>
                <w:b/>
                <w:w w:val="105"/>
                <w:sz w:val="18"/>
              </w:rPr>
              <w:t>February 2003 RPIX inflation projection based on constant nominal interest rates at 3.75 %</w:t>
            </w:r>
          </w:p>
        </w:tc>
      </w:tr>
      <w:tr>
        <w:trPr>
          <w:trHeight w:val="3635" w:hRule="atLeast"/>
        </w:trPr>
        <w:tc>
          <w:tcPr>
            <w:tcW w:w="4145" w:type="dxa"/>
          </w:tcPr>
          <w:p>
            <w:pPr>
              <w:pStyle w:val="TableParagraph"/>
              <w:ind w:left="105"/>
              <w:rPr>
                <w:sz w:val="20"/>
              </w:rPr>
            </w:pPr>
            <w:r>
              <w:rPr>
                <w:sz w:val="20"/>
              </w:rPr>
              <w:drawing>
                <wp:inline distT="0" distB="0" distL="0" distR="0">
                  <wp:extent cx="2489317" cy="2128266"/>
                  <wp:effectExtent l="0" t="0" r="0" b="0"/>
                  <wp:docPr id="11" name="image7.png"/>
                  <wp:cNvGraphicFramePr>
                    <a:graphicFrameLocks noChangeAspect="1"/>
                  </wp:cNvGraphicFramePr>
                  <a:graphic>
                    <a:graphicData uri="http://schemas.openxmlformats.org/drawingml/2006/picture">
                      <pic:pic>
                        <pic:nvPicPr>
                          <pic:cNvPr id="12" name="image7.png"/>
                          <pic:cNvPicPr/>
                        </pic:nvPicPr>
                        <pic:blipFill>
                          <a:blip r:embed="rId13" cstate="print"/>
                          <a:stretch>
                            <a:fillRect/>
                          </a:stretch>
                        </pic:blipFill>
                        <pic:spPr>
                          <a:xfrm>
                            <a:off x="0" y="0"/>
                            <a:ext cx="2489317" cy="2128266"/>
                          </a:xfrm>
                          <a:prstGeom prst="rect">
                            <a:avLst/>
                          </a:prstGeom>
                        </pic:spPr>
                      </pic:pic>
                    </a:graphicData>
                  </a:graphic>
                </wp:inline>
              </w:drawing>
            </w:r>
            <w:r>
              <w:rPr>
                <w:sz w:val="20"/>
              </w:rPr>
            </w:r>
          </w:p>
        </w:tc>
        <w:tc>
          <w:tcPr>
            <w:tcW w:w="4147" w:type="dxa"/>
          </w:tcPr>
          <w:p>
            <w:pPr>
              <w:pStyle w:val="TableParagraph"/>
              <w:ind w:left="105"/>
              <w:rPr>
                <w:sz w:val="20"/>
              </w:rPr>
            </w:pPr>
            <w:r>
              <w:rPr>
                <w:sz w:val="20"/>
              </w:rPr>
              <w:drawing>
                <wp:inline distT="0" distB="0" distL="0" distR="0">
                  <wp:extent cx="2493199" cy="2305811"/>
                  <wp:effectExtent l="0" t="0" r="0" b="0"/>
                  <wp:docPr id="13" name="image8.png"/>
                  <wp:cNvGraphicFramePr>
                    <a:graphicFrameLocks noChangeAspect="1"/>
                  </wp:cNvGraphicFramePr>
                  <a:graphic>
                    <a:graphicData uri="http://schemas.openxmlformats.org/drawingml/2006/picture">
                      <pic:pic>
                        <pic:nvPicPr>
                          <pic:cNvPr id="14" name="image8.png"/>
                          <pic:cNvPicPr/>
                        </pic:nvPicPr>
                        <pic:blipFill>
                          <a:blip r:embed="rId14" cstate="print"/>
                          <a:stretch>
                            <a:fillRect/>
                          </a:stretch>
                        </pic:blipFill>
                        <pic:spPr>
                          <a:xfrm>
                            <a:off x="0" y="0"/>
                            <a:ext cx="2493199" cy="2305811"/>
                          </a:xfrm>
                          <a:prstGeom prst="rect">
                            <a:avLst/>
                          </a:prstGeom>
                        </pic:spPr>
                      </pic:pic>
                    </a:graphicData>
                  </a:graphic>
                </wp:inline>
              </w:drawing>
            </w:r>
            <w:r>
              <w:rPr>
                <w:sz w:val="20"/>
              </w:rPr>
            </w:r>
          </w:p>
        </w:tc>
      </w:tr>
      <w:tr>
        <w:trPr>
          <w:trHeight w:val="558" w:hRule="atLeast"/>
        </w:trPr>
        <w:tc>
          <w:tcPr>
            <w:tcW w:w="4145" w:type="dxa"/>
          </w:tcPr>
          <w:p>
            <w:pPr>
              <w:pStyle w:val="TableParagraph"/>
              <w:spacing w:line="254" w:lineRule="auto" w:before="34"/>
              <w:ind w:left="172" w:right="155"/>
              <w:rPr>
                <w:b/>
                <w:sz w:val="20"/>
              </w:rPr>
            </w:pPr>
            <w:r>
              <w:rPr>
                <w:b/>
                <w:sz w:val="20"/>
              </w:rPr>
              <w:t>May 2003 RPIX inflation projection based on constant nominal interest rates at 3.75%</w:t>
            </w:r>
          </w:p>
        </w:tc>
        <w:tc>
          <w:tcPr>
            <w:tcW w:w="4147" w:type="dxa"/>
          </w:tcPr>
          <w:p>
            <w:pPr>
              <w:pStyle w:val="TableParagraph"/>
              <w:spacing w:line="259" w:lineRule="auto" w:before="29"/>
              <w:ind w:left="167" w:right="142"/>
              <w:rPr>
                <w:b/>
                <w:sz w:val="19"/>
              </w:rPr>
            </w:pPr>
            <w:r>
              <w:rPr>
                <w:b/>
                <w:sz w:val="19"/>
              </w:rPr>
              <w:t>August 2003 RPIX inflation projection based on constant nominal interest rates at 3.5%</w:t>
            </w:r>
          </w:p>
        </w:tc>
      </w:tr>
      <w:tr>
        <w:trPr>
          <w:trHeight w:val="3750" w:hRule="atLeast"/>
        </w:trPr>
        <w:tc>
          <w:tcPr>
            <w:tcW w:w="4145" w:type="dxa"/>
          </w:tcPr>
          <w:p>
            <w:pPr>
              <w:pStyle w:val="TableParagraph"/>
              <w:ind w:left="107"/>
              <w:rPr>
                <w:sz w:val="20"/>
              </w:rPr>
            </w:pPr>
            <w:r>
              <w:rPr>
                <w:sz w:val="20"/>
              </w:rPr>
              <w:drawing>
                <wp:inline distT="0" distB="0" distL="0" distR="0">
                  <wp:extent cx="2481314" cy="2364295"/>
                  <wp:effectExtent l="0" t="0" r="0" b="0"/>
                  <wp:docPr id="15" name="image9.png"/>
                  <wp:cNvGraphicFramePr>
                    <a:graphicFrameLocks noChangeAspect="1"/>
                  </wp:cNvGraphicFramePr>
                  <a:graphic>
                    <a:graphicData uri="http://schemas.openxmlformats.org/drawingml/2006/picture">
                      <pic:pic>
                        <pic:nvPicPr>
                          <pic:cNvPr id="16" name="image9.png"/>
                          <pic:cNvPicPr/>
                        </pic:nvPicPr>
                        <pic:blipFill>
                          <a:blip r:embed="rId15" cstate="print"/>
                          <a:stretch>
                            <a:fillRect/>
                          </a:stretch>
                        </pic:blipFill>
                        <pic:spPr>
                          <a:xfrm>
                            <a:off x="0" y="0"/>
                            <a:ext cx="2481314" cy="2364295"/>
                          </a:xfrm>
                          <a:prstGeom prst="rect">
                            <a:avLst/>
                          </a:prstGeom>
                        </pic:spPr>
                      </pic:pic>
                    </a:graphicData>
                  </a:graphic>
                </wp:inline>
              </w:drawing>
            </w:r>
            <w:r>
              <w:rPr>
                <w:sz w:val="20"/>
              </w:rPr>
            </w:r>
          </w:p>
        </w:tc>
        <w:tc>
          <w:tcPr>
            <w:tcW w:w="4147" w:type="dxa"/>
          </w:tcPr>
          <w:p>
            <w:pPr>
              <w:pStyle w:val="TableParagraph"/>
              <w:ind w:left="105"/>
              <w:rPr>
                <w:sz w:val="20"/>
              </w:rPr>
            </w:pPr>
            <w:r>
              <w:rPr>
                <w:sz w:val="20"/>
              </w:rPr>
              <w:drawing>
                <wp:inline distT="0" distB="0" distL="0" distR="0">
                  <wp:extent cx="2505734" cy="2285428"/>
                  <wp:effectExtent l="0" t="0" r="0" b="0"/>
                  <wp:docPr id="17" name="image10.png"/>
                  <wp:cNvGraphicFramePr>
                    <a:graphicFrameLocks noChangeAspect="1"/>
                  </wp:cNvGraphicFramePr>
                  <a:graphic>
                    <a:graphicData uri="http://schemas.openxmlformats.org/drawingml/2006/picture">
                      <pic:pic>
                        <pic:nvPicPr>
                          <pic:cNvPr id="18" name="image10.png"/>
                          <pic:cNvPicPr/>
                        </pic:nvPicPr>
                        <pic:blipFill>
                          <a:blip r:embed="rId16" cstate="print"/>
                          <a:stretch>
                            <a:fillRect/>
                          </a:stretch>
                        </pic:blipFill>
                        <pic:spPr>
                          <a:xfrm>
                            <a:off x="0" y="0"/>
                            <a:ext cx="2505734" cy="2285428"/>
                          </a:xfrm>
                          <a:prstGeom prst="rect">
                            <a:avLst/>
                          </a:prstGeom>
                        </pic:spPr>
                      </pic:pic>
                    </a:graphicData>
                  </a:graphic>
                </wp:inline>
              </w:drawing>
            </w:r>
            <w:r>
              <w:rPr>
                <w:sz w:val="20"/>
              </w:rPr>
            </w:r>
          </w:p>
        </w:tc>
      </w:tr>
      <w:tr>
        <w:trPr>
          <w:trHeight w:val="179" w:hRule="atLeast"/>
        </w:trPr>
        <w:tc>
          <w:tcPr>
            <w:tcW w:w="8292" w:type="dxa"/>
            <w:gridSpan w:val="2"/>
          </w:tcPr>
          <w:p>
            <w:pPr>
              <w:pStyle w:val="TableParagraph"/>
              <w:spacing w:line="158" w:lineRule="exact" w:before="1"/>
              <w:ind w:left="105"/>
              <w:rPr>
                <w:sz w:val="15"/>
              </w:rPr>
            </w:pPr>
            <w:r>
              <w:rPr>
                <w:w w:val="105"/>
                <w:sz w:val="15"/>
              </w:rPr>
              <w:t>Source: Bank of England.</w:t>
            </w:r>
          </w:p>
        </w:tc>
      </w:tr>
    </w:tbl>
    <w:p>
      <w:pPr>
        <w:spacing w:after="0" w:line="158" w:lineRule="exact"/>
        <w:rPr>
          <w:sz w:val="15"/>
        </w:rPr>
        <w:sectPr>
          <w:pgSz w:w="12240" w:h="15840"/>
          <w:pgMar w:header="209" w:footer="0" w:top="840" w:bottom="280" w:left="1000" w:right="1220"/>
        </w:sectPr>
      </w:pPr>
    </w:p>
    <w:p>
      <w:pPr>
        <w:pStyle w:val="BodyText"/>
        <w:rPr>
          <w:sz w:val="20"/>
        </w:rPr>
      </w:pPr>
      <w:r>
        <w:rPr/>
        <w:pict>
          <v:group style="position:absolute;margin-left:117.900002pt;margin-top:102.139984pt;width:307.5pt;height:162.85pt;mso-position-horizontal-relative:page;mso-position-vertical-relative:page;z-index:-254232576" coordorigin="2358,2043" coordsize="6150,3257">
            <v:line style="position:absolute" from="2381,4320" to="2381,5194" stroked="true" strokeweight="2.16pt" strokecolor="#ff00ff">
              <v:stroke dashstyle="solid"/>
            </v:line>
            <v:line style="position:absolute" from="2432,4363" to="2432,5194" stroked="true" strokeweight="3pt" strokecolor="#ff00ff">
              <v:stroke dashstyle="solid"/>
            </v:line>
            <v:line style="position:absolute" from="2484,4421" to="2484,5194" stroked="true" strokeweight="2.16pt" strokecolor="#ff00ff">
              <v:stroke dashstyle="solid"/>
            </v:line>
            <v:line style="position:absolute" from="2556,4493" to="2556,5194" stroked="true" strokeweight="5.04pt" strokecolor="#ff00ff">
              <v:stroke dashstyle="solid"/>
            </v:line>
            <v:shape style="position:absolute;left:2606;top:4420;width:687;height:773" coordorigin="2606,4421" coordsize="687,773" path="m2650,4524l2606,4524,2606,5194,2650,5194,2650,4524m2854,4553l2753,4553,2753,4538,2650,4538,2650,5194,2753,5194,2854,5194,2854,4553m2899,4538l2854,4538,2854,5194,2899,5194,2899,4538m3103,4493l3000,4493,3000,4510,2957,4510,2957,4524,2899,4524,2899,5194,2957,5194,3000,5194,3000,5194,3103,5194,3103,4493m3250,4435l3204,4435,3204,4464,3146,4464,3146,4481,3103,4481,3103,5194,3146,5194,3146,5194,3204,5194,3204,5194,3250,5194,3250,4435m3293,4421l3250,4421,3250,5194,3293,5194,3293,4421e" filled="true" fillcolor="#ff00ff" stroked="false">
              <v:path arrowok="t"/>
              <v:fill type="solid"/>
            </v:shape>
            <v:rect style="position:absolute;left:3292;top:4435;width:248;height:759" filled="true" fillcolor="#ff00ff" stroked="false">
              <v:fill type="solid"/>
            </v:rect>
            <v:line style="position:absolute" from="3569,4421" to="3569,5194" stroked="true" strokeweight="2.88pt" strokecolor="#ff00ff">
              <v:stroke dashstyle="solid"/>
            </v:line>
            <v:line style="position:absolute" from="3619,4392" to="3619,5194" stroked="true" strokeweight="2.16pt" strokecolor="#ff00ff">
              <v:stroke dashstyle="solid"/>
            </v:line>
            <v:shape style="position:absolute;left:3640;top:4320;width:204;height:874" coordorigin="3641,4320" coordsize="204,874" path="m3787,4334l3744,4334,3744,4349,3701,4349,3701,4363,3641,4363,3641,5194,3701,5194,3701,5194,3744,5194,3787,5194,3787,4334m3845,4320l3787,4320,3787,5194,3845,5194,3845,4320e" filled="true" fillcolor="#ff00ff" stroked="false">
              <v:path arrowok="t"/>
              <v:fill type="solid"/>
            </v:shape>
            <v:line style="position:absolute" from="3868,4289" to="3868,5194" stroked="true" strokeweight="2.280pt" strokecolor="#ff00ff">
              <v:stroke dashstyle="solid"/>
            </v:line>
            <v:line style="position:absolute" from="3912,4260" to="3912,5194" stroked="true" strokeweight="2.16pt" strokecolor="#ff00ff">
              <v:stroke dashstyle="solid"/>
            </v:line>
            <v:line style="position:absolute" from="3962,4231" to="3962,5194" stroked="true" strokeweight="2.88pt" strokecolor="#ff00ff">
              <v:stroke dashstyle="solid"/>
            </v:line>
            <v:line style="position:absolute" from="4014,4202" to="4014,5194" stroked="true" strokeweight="2.280pt" strokecolor="#ff00ff">
              <v:stroke dashstyle="solid"/>
            </v:line>
            <v:line style="position:absolute" from="4066,4174" to="4066,5194" stroked="true" strokeweight="2.88pt" strokecolor="#ff00ff">
              <v:stroke dashstyle="solid"/>
            </v:line>
            <v:shape style="position:absolute;left:4094;top:4044;width:334;height:1150" coordorigin="4094,4044" coordsize="334,1150" path="m4181,4130l4138,4130,4138,4145,4094,4145,4094,5194,4138,5194,4138,5194,4181,5194,4181,4130m4282,4085l4241,4085,4241,4102,4181,4102,4181,5194,4241,5194,4282,5194,4282,4085m4428,4044l4385,4044,4385,4056,4342,4056,4342,4073,4282,4073,4282,5194,4342,5194,4385,5194,4385,5194,4428,5194,4428,4044e" filled="true" fillcolor="#ff00ff" stroked="false">
              <v:path arrowok="t"/>
              <v:fill type="solid"/>
            </v:shape>
            <v:line style="position:absolute" from="4457,4013" to="4457,5194" stroked="true" strokeweight="2.88pt" strokecolor="#ff00ff">
              <v:stroke dashstyle="solid"/>
            </v:line>
            <v:shape style="position:absolute;left:4485;top:3912;width:250;height:1282" coordorigin="4486,3912" coordsize="250,1282" path="m4632,3955l4589,3955,4589,3970,4531,3970,4531,3984,4486,3984,4486,5194,4531,5194,4589,5194,4589,5194,4632,5194,4632,3955m4735,3912l4678,3912,4678,3926,4632,3926,4632,5194,4678,5194,4735,5194,4735,3912e" filled="true" fillcolor="#ff00ff" stroked="false">
              <v:path arrowok="t"/>
              <v:fill type="solid"/>
            </v:shape>
            <v:shape style="position:absolute;left:4756;top:3840;width:44;height:1354" coordorigin="4757,3840" coordsize="44,1354" path="m4757,3881l4757,5194m4800,3840l4800,5194e" filled="false" stroked="true" strokeweight="2.16pt" strokecolor="#ff00ff">
              <v:path arrowok="t"/>
              <v:stroke dashstyle="solid"/>
            </v:shape>
            <v:line style="position:absolute" from="4852,3794" to="4852,5194" stroked="true" strokeweight="3pt" strokecolor="#ff00ff">
              <v:stroke dashstyle="solid"/>
            </v:line>
            <v:shape style="position:absolute;left:4881;top:3648;width:437;height:1546" coordorigin="4882,3648" coordsize="437,1546" path="m5026,3737l4982,3737,4982,3751,4925,3751,4925,3766,4882,3766,4882,5194,4925,5194,4982,5194,4982,5194,5026,5194,5026,3737m5318,3665l5273,3665,5273,3648,5230,3648,5230,3665,5172,3665,5172,3694,5129,3694,5129,3679,5069,3679,5069,3694,5026,3694,5026,5194,5069,5194,5069,5194,5129,5194,5129,5194,5172,5194,5172,5194,5230,5194,5230,5194,5273,5194,5273,5194,5318,5194,5318,3665e" filled="true" fillcolor="#ff00ff" stroked="false">
              <v:path arrowok="t"/>
              <v:fill type="solid"/>
            </v:shape>
            <v:rect style="position:absolute;left:5318;top:3679;width:204;height:1515" filled="true" fillcolor="#ff00ff" stroked="false">
              <v:fill type="solid"/>
            </v:rect>
            <v:shape style="position:absolute;left:5522;top:3722;width:190;height:1472" coordorigin="5522,3722" coordsize="190,1472" path="m5623,3737l5566,3737,5566,3722,5522,3722,5522,5194,5566,5194,5623,5194,5623,3737m5712,3766l5669,3766,5669,3751,5623,3751,5623,5194,5669,5194,5669,5194,5712,5194,5712,3766e" filled="true" fillcolor="#ff00ff" stroked="false">
              <v:path arrowok="t"/>
              <v:fill type="solid"/>
            </v:shape>
            <v:line style="position:absolute" from="5741,3809" to="5741,5194" stroked="true" strokeweight="2.88pt" strokecolor="#ff00ff">
              <v:stroke dashstyle="solid"/>
            </v:line>
            <v:line style="position:absolute" from="5821,3852" to="5821,5194" stroked="true" strokeweight="5.16pt" strokecolor="#ff00ff">
              <v:stroke dashstyle="solid"/>
            </v:line>
            <v:line style="position:absolute" from="5894,3881" to="5894,5194" stroked="true" strokeweight="2.16pt" strokecolor="#ff00ff">
              <v:stroke dashstyle="solid"/>
            </v:line>
            <v:rect style="position:absolute;left:5916;top:3955;width:204;height:1239" filled="true" fillcolor="#ff00ff" stroked="false">
              <v:fill type="solid"/>
            </v:rect>
            <v:shape style="position:absolute;left:6141;top:3955;width:44;height:1239" coordorigin="6142,3955" coordsize="44,1239" path="m6142,3984l6142,5194m6185,3955l6185,5194e" filled="false" stroked="true" strokeweight="2.16pt" strokecolor="#ff00ff">
              <v:path arrowok="t"/>
              <v:stroke dashstyle="solid"/>
            </v:shape>
            <v:line style="position:absolute" from="6235,3926" to="6235,5194" stroked="true" strokeweight="2.88pt" strokecolor="#ff00ff">
              <v:stroke dashstyle="solid"/>
            </v:line>
            <v:line style="position:absolute" from="6287,3898" to="6287,5194" stroked="true" strokeweight="2.280pt" strokecolor="#ff00ff">
              <v:stroke dashstyle="solid"/>
            </v:line>
            <v:shape style="position:absolute;left:6309;top:3808;width:101;height:1385" coordorigin="6310,3809" coordsize="101,1385" path="m6410,3809l6367,3809,6367,3823,6310,3823,6310,5194,6367,5194,6410,5194,6410,3809e" filled="true" fillcolor="#ff00ff" stroked="false">
              <v:path arrowok="t"/>
              <v:fill type="solid"/>
            </v:shape>
            <v:line style="position:absolute" from="6432,3780" to="6432,5194" stroked="true" strokeweight="2.16pt" strokecolor="#ff00ff">
              <v:stroke dashstyle="solid"/>
            </v:line>
            <v:shape style="position:absolute;left:6453;top:3736;width:147;height:1457" coordorigin="6454,3737" coordsize="147,1457" path="m6600,3737l6557,3737,6557,3751,6454,3751,6454,5194,6557,5194,6600,5194,6600,3737e" filled="true" fillcolor="#ff00ff" stroked="false">
              <v:path arrowok="t"/>
              <v:fill type="solid"/>
            </v:shape>
            <v:line style="position:absolute" from="6629,3679" to="6629,5194" stroked="true" strokeweight="2.88pt" strokecolor="#ff00ff">
              <v:stroke dashstyle="solid"/>
            </v:line>
            <v:shape style="position:absolute;left:6657;top:3590;width:190;height:1604" coordorigin="6658,3590" coordsize="190,1604" path="m6703,3648l6658,3648,6658,5194,6703,5194,6703,3648m6847,3590l6804,3590,6804,3605,6761,3605,6761,3636,6703,3636,6703,5194,6761,5194,6761,5194,6804,5194,6804,5194,6847,5194,6847,3590e" filled="true" fillcolor="#ff00ff" stroked="false">
              <v:path arrowok="t"/>
              <v:fill type="solid"/>
            </v:shape>
            <v:line style="position:absolute" from="6877,3547" to="6877,5194" stroked="true" strokeweight="3pt" strokecolor="#ff00ff">
              <v:stroke dashstyle="solid"/>
            </v:line>
            <v:line style="position:absolute" from="6929,3504" to="6929,5194" stroked="true" strokeweight="2.16pt" strokecolor="#ff00ff">
              <v:stroke dashstyle="solid"/>
            </v:line>
            <v:line style="position:absolute" from="6979,3446" to="6979,5194" stroked="true" strokeweight="2.88pt" strokecolor="#ff00ff">
              <v:stroke dashstyle="solid"/>
            </v:line>
            <v:line style="position:absolute" from="7030,3386" to="7030,5194" stroked="true" strokeweight="2.16pt" strokecolor="#ff00ff">
              <v:stroke dashstyle="solid"/>
            </v:line>
            <v:line style="position:absolute" from="7074,3329" to="7074,5194" stroked="true" strokeweight="2.280pt" strokecolor="#ff00ff">
              <v:stroke dashstyle="solid"/>
            </v:line>
            <v:shape style="position:absolute;left:7096;top:3271;width:101;height:1923" coordorigin="7097,3271" coordsize="101,1923" path="m7154,3286l7097,3286,7097,5194,7154,5194,7154,3286m7198,3271l7154,3271,7154,5194,7198,5194,7198,3271e" filled="true" fillcolor="#ff00ff" stroked="false">
              <v:path arrowok="t"/>
              <v:fill type="solid"/>
            </v:shape>
            <v:line style="position:absolute" from="7226,3228" to="7226,5194" stroked="true" strokeweight="2.88pt" strokecolor="#ff00ff">
              <v:stroke dashstyle="solid"/>
            </v:line>
            <v:shape style="position:absolute;left:7255;top:3124;width:190;height:2069" coordorigin="7255,3125" coordsize="190,2069" path="m7445,3125l7402,3125,7402,3139,7344,3139,7344,3168,7301,3168,7301,3182,7255,3182,7255,5194,7301,5194,7344,5194,7402,5194,7445,5194,7445,3125e" filled="true" fillcolor="#ff00ff" stroked="false">
              <v:path arrowok="t"/>
              <v:fill type="solid"/>
            </v:shape>
            <v:line style="position:absolute" from="7468,3082" to="7468,5194" stroked="true" strokeweight="2.280pt" strokecolor="#ff00ff">
              <v:stroke dashstyle="solid"/>
            </v:line>
            <v:line style="position:absolute" from="7519,3110" to="7519,5194" stroked="true" strokeweight="2.88pt" strokecolor="#ff00ff">
              <v:stroke dashstyle="solid"/>
            </v:line>
            <v:line style="position:absolute" from="7570,3082" to="7570,5194" stroked="true" strokeweight="2.16pt" strokecolor="#ff00ff">
              <v:stroke dashstyle="solid"/>
            </v:line>
            <v:line style="position:absolute" from="7620,3053" to="7620,5194" stroked="true" strokeweight="2.88pt" strokecolor="#ff00ff">
              <v:stroke dashstyle="solid"/>
            </v:line>
            <v:shape style="position:absolute;left:7648;top:2992;width:89;height:2201" coordorigin="7649,2993" coordsize="89,2201" path="m7694,3010l7649,3010,7649,5194,7694,5194,7694,3010m7738,2993l7694,2993,7694,5194,7738,5194,7738,2993e" filled="true" fillcolor="#ff00ff" stroked="false">
              <v:path arrowok="t"/>
              <v:fill type="solid"/>
            </v:shape>
            <v:line style="position:absolute" from="7766,2964" to="7766,5194" stroked="true" strokeweight="2.88pt" strokecolor="#ff00ff">
              <v:stroke dashstyle="solid"/>
            </v:line>
            <v:line style="position:absolute" from="7817,2892" to="7817,5194" stroked="true" strokeweight="2.16pt" strokecolor="#ff00ff">
              <v:stroke dashstyle="solid"/>
            </v:line>
            <v:line style="position:absolute" from="7890,2834" to="7890,5194" stroked="true" strokeweight="5.16pt" strokecolor="#ff00ff">
              <v:stroke dashstyle="solid"/>
            </v:line>
            <v:shape style="position:absolute;left:2359;top:2498;width:5640;height:2753" coordorigin="2359,2498" coordsize="5640,2753" path="m7942,2498l7942,5194m7942,5194l7999,5194m7942,4654l7999,4654m7942,4116l7999,4116m7942,3576l7999,3578m7942,3038l7999,3038m7942,2498l7999,2501m2359,5194l7942,5194m2359,5251l2359,5194m3350,5251l3350,5194m4342,5251l4342,5194m5318,5251l5318,5194m6310,5251l6310,5194m7298,5251l7301,5194e" filled="false" stroked="true" strokeweight=".12pt" strokecolor="#000000">
              <v:path arrowok="t"/>
              <v:stroke dashstyle="solid"/>
            </v:shape>
            <v:shape style="position:absolute;left:5827;top:2042;width:2681;height:3257" type="#_x0000_t202" filled="false" stroked="false">
              <v:textbox inset="0,0,0,0">
                <w:txbxContent>
                  <w:p>
                    <w:pPr>
                      <w:spacing w:line="199" w:lineRule="exact" w:before="0"/>
                      <w:ind w:left="0" w:right="0" w:firstLine="0"/>
                      <w:jc w:val="left"/>
                      <w:rPr>
                        <w:b/>
                        <w:sz w:val="18"/>
                      </w:rPr>
                    </w:pPr>
                    <w:r>
                      <w:rPr>
                        <w:b/>
                        <w:sz w:val="18"/>
                      </w:rPr>
                      <w:t>Per cent of annual post-tax income</w:t>
                    </w:r>
                  </w:p>
                  <w:p>
                    <w:pPr>
                      <w:spacing w:before="155"/>
                      <w:ind w:left="0" w:right="237" w:firstLine="0"/>
                      <w:jc w:val="right"/>
                      <w:rPr>
                        <w:b/>
                        <w:sz w:val="18"/>
                      </w:rPr>
                    </w:pPr>
                    <w:r>
                      <w:rPr>
                        <w:b/>
                        <w:sz w:val="18"/>
                      </w:rPr>
                      <w:t>25</w:t>
                    </w:r>
                  </w:p>
                  <w:p>
                    <w:pPr>
                      <w:spacing w:line="240" w:lineRule="auto" w:before="11"/>
                      <w:rPr>
                        <w:b/>
                        <w:sz w:val="28"/>
                      </w:rPr>
                    </w:pPr>
                  </w:p>
                  <w:p>
                    <w:pPr>
                      <w:spacing w:before="0"/>
                      <w:ind w:left="0" w:right="237" w:firstLine="0"/>
                      <w:jc w:val="right"/>
                      <w:rPr>
                        <w:b/>
                        <w:sz w:val="18"/>
                      </w:rPr>
                    </w:pPr>
                    <w:r>
                      <w:rPr>
                        <w:b/>
                        <w:sz w:val="18"/>
                      </w:rPr>
                      <w:t>20</w:t>
                    </w:r>
                  </w:p>
                  <w:p>
                    <w:pPr>
                      <w:spacing w:line="240" w:lineRule="auto" w:before="9"/>
                      <w:rPr>
                        <w:b/>
                        <w:sz w:val="28"/>
                      </w:rPr>
                    </w:pPr>
                  </w:p>
                  <w:p>
                    <w:pPr>
                      <w:spacing w:before="0"/>
                      <w:ind w:left="0" w:right="237" w:firstLine="0"/>
                      <w:jc w:val="right"/>
                      <w:rPr>
                        <w:b/>
                        <w:sz w:val="18"/>
                      </w:rPr>
                    </w:pPr>
                    <w:r>
                      <w:rPr>
                        <w:b/>
                        <w:sz w:val="18"/>
                      </w:rPr>
                      <w:t>15</w:t>
                    </w:r>
                  </w:p>
                  <w:p>
                    <w:pPr>
                      <w:spacing w:line="240" w:lineRule="auto" w:before="11"/>
                      <w:rPr>
                        <w:b/>
                        <w:sz w:val="28"/>
                      </w:rPr>
                    </w:pPr>
                  </w:p>
                  <w:p>
                    <w:pPr>
                      <w:spacing w:before="0"/>
                      <w:ind w:left="0" w:right="237" w:firstLine="0"/>
                      <w:jc w:val="right"/>
                      <w:rPr>
                        <w:b/>
                        <w:sz w:val="18"/>
                      </w:rPr>
                    </w:pPr>
                    <w:r>
                      <w:rPr>
                        <w:b/>
                        <w:sz w:val="18"/>
                      </w:rPr>
                      <w:t>10</w:t>
                    </w:r>
                  </w:p>
                  <w:p>
                    <w:pPr>
                      <w:spacing w:line="240" w:lineRule="auto" w:before="11"/>
                      <w:rPr>
                        <w:b/>
                        <w:sz w:val="28"/>
                      </w:rPr>
                    </w:pPr>
                  </w:p>
                  <w:p>
                    <w:pPr>
                      <w:spacing w:before="0"/>
                      <w:ind w:left="0" w:right="330" w:firstLine="0"/>
                      <w:jc w:val="right"/>
                      <w:rPr>
                        <w:b/>
                        <w:sz w:val="18"/>
                      </w:rPr>
                    </w:pPr>
                    <w:r>
                      <w:rPr>
                        <w:b/>
                        <w:sz w:val="18"/>
                      </w:rPr>
                      <w:t>5</w:t>
                    </w:r>
                  </w:p>
                  <w:p>
                    <w:pPr>
                      <w:spacing w:line="240" w:lineRule="auto" w:before="8"/>
                      <w:rPr>
                        <w:b/>
                        <w:sz w:val="28"/>
                      </w:rPr>
                    </w:pPr>
                  </w:p>
                  <w:p>
                    <w:pPr>
                      <w:spacing w:before="1"/>
                      <w:ind w:left="0" w:right="330" w:firstLine="0"/>
                      <w:jc w:val="right"/>
                      <w:rPr>
                        <w:b/>
                        <w:sz w:val="18"/>
                      </w:rPr>
                    </w:pPr>
                    <w:r>
                      <w:rPr>
                        <w:b/>
                        <w:sz w:val="18"/>
                      </w:rPr>
                      <w:t>0</w:t>
                    </w:r>
                  </w:p>
                </w:txbxContent>
              </v:textbox>
              <w10:wrap type="none"/>
            </v:shape>
            <w10:wrap type="none"/>
          </v:group>
        </w:pict>
      </w:r>
      <w:r>
        <w:rPr/>
        <w:pict>
          <v:group style="position:absolute;margin-left:108.480003pt;margin-top:404.279999pt;width:294pt;height:150.3pt;mso-position-horizontal-relative:page;mso-position-vertical-relative:page;z-index:-254231552" coordorigin="2170,8086" coordsize="5880,3006">
            <v:shape style="position:absolute;left:2416;top:8594;width:5633;height:2496" coordorigin="2417,8594" coordsize="5633,2496" path="m7992,8594l7992,11090m7992,11090l8050,11090m7992,10740l8050,10740m7992,10375l8050,10375m7992,10025l8050,10025m7992,9660l8050,9660m7992,9310l8050,9310m7992,8945l8050,8945m7992,8594l8050,8594m2417,11090l7992,11090m2609,11090l2609,11045m2813,11090l2813,11045m3002,11090l3002,11045m3192,11090l3192,11045m3586,11090l3586,11045m3790,11090l3790,11045m3979,11090l3979,11045m4169,11090l4169,11045m4562,11090l4562,11045m4752,11090l4752,11045m4956,11090l4956,11045m5146,11090l5146,11045m5542,11090l5542,11045m5731,11090l5731,11045m5935,11090l5935,11045m6125,11090l6125,11045m6518,11090l6518,11045m6708,11090l6708,11045m6898,11090l6898,11045m7102,11090l7102,11045m7481,11090l7481,11045m7685,11090l7685,11045m7874,11090l7874,11045m2417,11090l2417,11030m3396,11090l3396,11030m4373,11090l4373,11030m5335,11090l5335,11030m6314,11090l6314,11030m7291,11090l7291,11030e" filled="false" stroked="true" strokeweight=".12pt" strokecolor="#000000">
              <v:path arrowok="t"/>
              <v:stroke dashstyle="solid"/>
            </v:shape>
            <v:line style="position:absolute" from="2448,9689" to="2506,9689" stroked="true" strokeweight=".729pt" strokecolor="#008000">
              <v:stroke dashstyle="solid"/>
            </v:line>
            <v:shape style="position:absolute;left:2505;top:8901;width:5194;height:920" coordorigin="2506,8902" coordsize="5194,920" path="m2506,9689l2549,9689m2549,9689l2592,9353m2592,9353l2652,9178m2652,9178l2942,9178m2942,9178l2988,9617m2988,9617l3031,9689m3031,9689l3089,9689m3089,9689l3132,9442m3132,9442l3235,9442m3235,9442l3278,9353m3278,9353l3322,9178m3322,9178l3382,9178m3382,9178l3425,9002m3425,9002l3468,8902m3571,8902l3614,9002m3614,9002l3672,9178m3672,9178l3718,9178m3718,9178l3761,9002m3761,9002l3818,8902m3862,8902l3907,9178m3907,9178l3965,9353m3965,9353l4008,9442m4008,9442l4258,9442m4258,9442l4301,9353m4301,9353l4358,9442m4358,9442l4402,9353m4402,9353l4447,9178m4447,9178l4841,9178m4841,9178l4884,9442m4884,9442l5030,9442m5030,9442l5088,9353m5088,9353l5131,9178m5131,9178l5234,9178m5234,9178l5278,8959m5278,8959l5381,8959m5381,8959l5424,9062m5424,9062l5467,9106m5467,9106l5818,9106m5818,9106l5861,9062m5861,9062l5906,9223m5906,9223l5964,9456m5964,9456l6110,9456m6110,9456l6154,9528m6154,9528l6329,9528m6329,9528l6358,9456m6358,9456l6504,9456m6504,9456l6518,9485m6518,9485l6547,9485m6547,9485l6562,9499m6562,9499l6794,9499m6794,9499l6811,9456m6811,9456l7073,9456m7073,9456l7087,9528m7087,9528l7102,9557m7102,9557l7116,9557m7116,9557l7130,9602m7130,9602l7145,9602m7145,9602l7159,9674m7159,9674l7291,9674m7291,9674l7306,9703m7584,9703l7598,9746m7598,9746l7656,9746m7656,9746l7670,9821m7670,9821l7699,9821e" filled="false" stroked="true" strokeweight=".729pt" strokecolor="#008000">
              <v:path arrowok="t"/>
              <v:stroke dashstyle="solid"/>
            </v:shape>
            <v:line style="position:absolute" from="7706,9814" to="7706,10032" stroked="true" strokeweight="1.449pt" strokecolor="#008000">
              <v:stroke dashstyle="solid"/>
            </v:line>
            <v:line style="position:absolute" from="7714,10025" to="7802,10025" stroked="true" strokeweight=".729pt" strokecolor="#008000">
              <v:stroke dashstyle="solid"/>
            </v:line>
            <v:line style="position:absolute" from="7810,10018" to="7810,10250" stroked="true" strokeweight="1.449pt" strokecolor="#008000">
              <v:stroke dashstyle="solid"/>
            </v:line>
            <v:line style="position:absolute" from="7817,10243" to="7906,10243" stroked="true" strokeweight=".729pt" strokecolor="#008000">
              <v:stroke dashstyle="solid"/>
            </v:line>
            <v:line style="position:absolute" from="7906,10243" to="7934,10243" stroked="true" strokeweight=".729pt" strokecolor="#008000">
              <v:stroke dashstyle="solid"/>
            </v:line>
            <v:line style="position:absolute" from="7934,10243" to="7949,10243" stroked="true" strokeweight=".729pt" strokecolor="#008000">
              <v:stroke dashstyle="solid"/>
            </v:line>
            <v:line style="position:absolute" from="7949,10243" to="7963,10243" stroked="true" strokeweight=".729pt" strokecolor="#008000">
              <v:stroke dashstyle="solid"/>
            </v:line>
            <v:line style="position:absolute" from="7963,10243" to="7978,10243" stroked="true" strokeweight=".729pt" strokecolor="#008000">
              <v:stroke dashstyle="solid"/>
            </v:line>
            <v:line style="position:absolute" from="7978,10243" to="7992,10243" stroked="true" strokeweight=".729pt" strokecolor="#008000">
              <v:stroke dashstyle="solid"/>
            </v:line>
            <v:line style="position:absolute" from="2417,9864" to="2434,9864" stroked="true" strokeweight=".729pt" strokecolor="#9a3365">
              <v:stroke dashstyle="solid"/>
            </v:line>
            <v:line style="position:absolute" from="2434,9864" to="2448,9864" stroked="true" strokeweight=".729pt" strokecolor="#9a3365">
              <v:stroke dashstyle="solid"/>
            </v:line>
            <v:line style="position:absolute" from="2455,9857" to="2455,10003" stroked="true" strokeweight="1.449pt" strokecolor="#9a3365">
              <v:stroke dashstyle="solid"/>
            </v:line>
            <v:line style="position:absolute" from="2462,9996" to="2477,9996" stroked="true" strokeweight=".729pt" strokecolor="#9a3365">
              <v:stroke dashstyle="solid"/>
            </v:line>
            <v:line style="position:absolute" from="2477,9996" to="2506,9996" stroked="true" strokeweight=".729pt" strokecolor="#9a3365">
              <v:stroke dashstyle="solid"/>
            </v:line>
            <v:shape style="position:absolute;left:2505;top:9864;width:437;height:132" coordorigin="2506,9864" coordsize="437,132" path="m2506,9996l2520,9996m2520,9996l2534,9922m2534,9922l2724,9922m2724,9922l2738,9864m2738,9864l2827,9864m2827,9864l2842,9922m2842,9922l2942,9922e" filled="false" stroked="true" strokeweight=".729pt" strokecolor="#9a3365">
              <v:path arrowok="t"/>
              <v:stroke dashstyle="solid"/>
            </v:shape>
            <v:line style="position:absolute" from="2950,9914" to="2950,10075" stroked="true" strokeweight="1.449pt" strokecolor="#9a3365">
              <v:stroke dashstyle="solid"/>
            </v:line>
            <v:shape style="position:absolute;left:2956;top:9717;width:425;height:351" coordorigin="2957,9718" coordsize="425,351" path="m2957,10068l3046,10068m3046,10068l3074,9922m3074,9922l3146,9922m3146,9922l3163,9864m3163,9864l3278,9864m3278,9864l3293,9792m3293,9792l3338,9792m3338,9792l3367,9718m3367,9718l3382,9718e" filled="false" stroked="true" strokeweight=".729pt" strokecolor="#9a3365">
              <v:path arrowok="t"/>
              <v:stroke dashstyle="solid"/>
            </v:shape>
            <v:line style="position:absolute" from="3389,9581" to="3389,9725" stroked="true" strokeweight="1.449pt" strokecolor="#9a3365">
              <v:stroke dashstyle="solid"/>
            </v:line>
            <v:line style="position:absolute" from="3396,9588" to="3571,9588" stroked="true" strokeweight=".729pt" strokecolor="#9a3365">
              <v:stroke dashstyle="solid"/>
            </v:line>
            <v:line style="position:absolute" from="3578,9581" to="3578,9725" stroked="true" strokeweight="1.449pt" strokecolor="#9a3365">
              <v:stroke dashstyle="solid"/>
            </v:line>
            <v:line style="position:absolute" from="3586,9718" to="3600,9718" stroked="true" strokeweight=".729pt" strokecolor="#9a3365">
              <v:stroke dashstyle="solid"/>
            </v:line>
            <v:line style="position:absolute" from="3607,9710" to="3607,9871" stroked="true" strokeweight="1.449pt" strokecolor="#9a3365">
              <v:stroke dashstyle="solid"/>
            </v:line>
            <v:line style="position:absolute" from="3614,9864" to="3703,9864" stroked="true" strokeweight=".729pt" strokecolor="#9a3365">
              <v:stroke dashstyle="solid"/>
            </v:line>
            <v:shape style="position:absolute;left:3710;top:9580;width:15;height:291" coordorigin="3710,9581" coordsize="15,291" path="m3710,9710l3710,9871m3725,9581l3725,9725e" filled="false" stroked="true" strokeweight="1.449pt" strokecolor="#9a3365">
              <v:path arrowok="t"/>
              <v:stroke dashstyle="solid"/>
            </v:shape>
            <v:line style="position:absolute" from="3732,9588" to="3876,9588" stroked="true" strokeweight=".729pt" strokecolor="#9a3365">
              <v:stroke dashstyle="solid"/>
            </v:line>
            <v:line style="position:absolute" from="3884,9581" to="3884,9871" stroked="true" strokeweight="1.569pt" strokecolor="#9a3365">
              <v:stroke dashstyle="solid"/>
            </v:line>
            <v:line style="position:absolute" from="3893,9864" to="4111,9864" stroked="true" strokeweight=".729pt" strokecolor="#9a3365">
              <v:stroke dashstyle="solid"/>
            </v:line>
            <v:line style="position:absolute" from="4118,9710" to="4118,9871" stroked="true" strokeweight="1.449pt" strokecolor="#9a3365">
              <v:stroke dashstyle="solid"/>
            </v:line>
            <v:line style="position:absolute" from="4126,9718" to="4272,9718" stroked="true" strokeweight=".729pt" strokecolor="#9a3365">
              <v:stroke dashstyle="solid"/>
            </v:line>
            <v:line style="position:absolute" from="4279,9581" to="4279,9725" stroked="true" strokeweight="1.449pt" strokecolor="#9a3365">
              <v:stroke dashstyle="solid"/>
            </v:line>
            <v:line style="position:absolute" from="4286,9588" to="4358,9588" stroked="true" strokeweight=".729pt" strokecolor="#9a3365">
              <v:stroke dashstyle="solid"/>
            </v:line>
            <v:line style="position:absolute" from="4366,9449" to="4366,9595" stroked="true" strokeweight="1.449pt" strokecolor="#9a3365">
              <v:stroke dashstyle="solid"/>
            </v:line>
            <v:shape style="position:absolute;left:4372;top:9456;width:759;height:204" coordorigin="4373,9456" coordsize="759,204" path="m4373,9456l4622,9456m4622,9456l4651,9660m4651,9660l5131,9660e" filled="false" stroked="true" strokeweight=".729pt" strokecolor="#9a3365">
              <v:path arrowok="t"/>
              <v:stroke dashstyle="solid"/>
            </v:shape>
            <v:line style="position:absolute" from="5138,9449" to="5138,9667" stroked="true" strokeweight="1.449pt" strokecolor="#9a3365">
              <v:stroke dashstyle="solid"/>
            </v:line>
            <v:shape style="position:absolute;left:5145;top:9237;width:497;height:219" coordorigin="5146,9238" coordsize="497,219" path="m5146,9456l5220,9456m5220,9456l5234,9353m5234,9353l5321,9353m5321,9353l5335,9238m5335,9238l5642,9238e" filled="false" stroked="true" strokeweight=".729pt" strokecolor="#9a3365">
              <v:path arrowok="t"/>
              <v:stroke dashstyle="solid"/>
            </v:shape>
            <v:line style="position:absolute" from="5650,9230" to="5650,9391" stroked="true" strokeweight="1.449pt" strokecolor="#9a3365">
              <v:stroke dashstyle="solid"/>
            </v:line>
            <v:shape style="position:absolute;left:5656;top:9384;width:176;height:2" coordorigin="5657,9384" coordsize="176,0" path="m5657,9384l5746,9384m5746,9384l5832,9384e" filled="false" stroked="true" strokeweight=".729pt" strokecolor="#9a3365">
              <v:path arrowok="t"/>
              <v:stroke dashstyle="solid"/>
            </v:shape>
            <v:line style="position:absolute" from="5839,9377" to="5839,9535" stroked="true" strokeweight="1.449pt" strokecolor="#9a3365">
              <v:stroke dashstyle="solid"/>
            </v:line>
            <v:shape style="position:absolute;left:5846;top:9528;width:658;height:351" coordorigin="5846,9528" coordsize="658,351" path="m5846,9528l5890,9528m5890,9528l5906,9674m5906,9674l5950,9674m5950,9674l5964,9746m6110,9746l6125,9821m6125,9821l6139,9878m6139,9878l6504,9878e" filled="false" stroked="true" strokeweight=".729pt" strokecolor="#9a3365">
              <v:path arrowok="t"/>
              <v:stroke dashstyle="solid"/>
            </v:shape>
            <v:line style="position:absolute" from="6511,9871" to="6511,10032" stroked="true" strokeweight="1.449pt" strokecolor="#9a3365">
              <v:stroke dashstyle="solid"/>
            </v:line>
            <v:shape style="position:absolute;left:6518;top:9952;width:58;height:72" coordorigin="6518,9953" coordsize="58,72" path="m6518,10025l6533,10025m6533,10025l6547,9953m6547,9953l6576,9953e" filled="false" stroked="true" strokeweight=".729pt" strokecolor="#9a3365">
              <v:path arrowok="t"/>
              <v:stroke dashstyle="solid"/>
            </v:shape>
            <v:line style="position:absolute" from="6583,9946" to="6583,10104" stroked="true" strokeweight="1.449pt" strokecolor="#9a3365">
              <v:stroke dashstyle="solid"/>
            </v:line>
            <v:shape style="position:absolute;left:6590;top:10096;width:221;height:75" coordorigin="6590,10097" coordsize="221,75" path="m6590,10097l6605,10097m6605,10097l6619,10171m6619,10171l6650,10171m6650,10171l6665,10097m6665,10097l6708,10097m6708,10097l6722,10171m6722,10171l6737,10171m6737,10171l6751,10097m6751,10097l6811,10097e" filled="false" stroked="true" strokeweight=".729pt" strokecolor="#9a3365">
              <v:path arrowok="t"/>
              <v:stroke dashstyle="solid"/>
            </v:shape>
            <v:rect style="position:absolute;left:6803;top:10089;width:29;height:161" filled="true" fillcolor="#9a3365" stroked="false">
              <v:fill type="solid"/>
            </v:rect>
            <v:line style="position:absolute" from="6826,10243" to="6840,10243" stroked="true" strokeweight=".729pt" strokecolor="#9a3365">
              <v:stroke dashstyle="solid"/>
            </v:line>
            <v:rect style="position:absolute;left:6832;top:10089;width:29;height:161" filled="true" fillcolor="#9a3365" stroked="false">
              <v:fill type="solid"/>
            </v:rect>
            <v:shape style="position:absolute;left:6854;top:10096;width:147;height:147" coordorigin="6854,10097" coordsize="147,147" path="m6854,10097l6883,10097m6883,10097l6898,10171m6898,10171l6912,10171m6912,10171l6941,10097m6941,10097l6984,10097m6984,10097l7001,10243e" filled="false" stroked="true" strokeweight=".729pt" strokecolor="#9a3365">
              <v:path arrowok="t"/>
              <v:stroke dashstyle="solid"/>
            </v:shape>
            <v:rect style="position:absolute;left:6993;top:10235;width:29;height:161" filled="true" fillcolor="#9a3365" stroked="false">
              <v:fill type="solid"/>
            </v:rect>
            <v:line style="position:absolute" from="7015,10390" to="7030,10390" stroked="true" strokeweight=".729pt" strokecolor="#9a3365">
              <v:stroke dashstyle="solid"/>
            </v:line>
            <v:rect style="position:absolute;left:7022;top:10235;width:29;height:161" filled="true" fillcolor="#9a3365" stroked="false">
              <v:fill type="solid"/>
            </v:rect>
            <v:shape style="position:absolute;left:7044;top:10243;width:190;height:219" coordorigin="7044,10243" coordsize="190,219" path="m7044,10243l7087,10243m7087,10243l7102,10346m7102,10346l7116,10243m7116,10243l7190,10243m7190,10243l7219,10462m7219,10462l7234,10462e" filled="false" stroked="true" strokeweight=".729pt" strokecolor="#9a3365">
              <v:path arrowok="t"/>
              <v:stroke dashstyle="solid"/>
            </v:shape>
            <v:shape style="position:absolute;left:7226;top:10310;width:44;height:159" coordorigin="7226,10310" coordsize="44,159" path="m7270,10310l7255,10310,7241,10310,7226,10310,7226,10469,7241,10469,7255,10469,7270,10469,7270,10310e" filled="true" fillcolor="#9a3365" stroked="false">
              <v:path arrowok="t"/>
              <v:fill type="solid"/>
            </v:shape>
            <v:shape style="position:absolute;left:7262;top:10317;width:644;height:144" coordorigin="7262,10318" coordsize="644,144" path="m7262,10462l7394,10462m7394,10462l7409,10390m7409,10390l7423,10390m7423,10390l7438,10318m7438,10318l7759,10318m7759,10318l7788,10390m7788,10390l7906,10390e" filled="false" stroked="true" strokeweight=".729pt" strokecolor="#9a3365">
              <v:path arrowok="t"/>
              <v:stroke dashstyle="solid"/>
            </v:shape>
            <v:line style="position:absolute" from="7906,10390" to="7934,10390" stroked="true" strokeweight=".729pt" strokecolor="#9a3365">
              <v:stroke dashstyle="solid"/>
            </v:line>
            <v:line style="position:absolute" from="7934,10390" to="7949,10390" stroked="true" strokeweight=".729pt" strokecolor="#9a3365">
              <v:stroke dashstyle="solid"/>
            </v:line>
            <v:line style="position:absolute" from="7949,10390" to="7963,10390" stroked="true" strokeweight=".729pt" strokecolor="#9a3365">
              <v:stroke dashstyle="solid"/>
            </v:line>
            <v:line style="position:absolute" from="7963,10390" to="7978,10462" stroked="true" strokeweight=".729pt" strokecolor="#9a3365">
              <v:stroke dashstyle="solid"/>
            </v:line>
            <v:line style="position:absolute" from="7978,10462" to="7992,10462" stroked="true" strokeweight=".729pt" strokecolor="#9a3365">
              <v:stroke dashstyle="solid"/>
            </v:line>
            <v:shape style="position:absolute;left:2416;top:9849;width:5576;height:1006" type="#_x0000_t75" stroked="false">
              <v:imagedata r:id="rId17" o:title=""/>
            </v:shape>
            <v:rect style="position:absolute;left:2169;top:8085;width:2988;height:828" filled="true" fillcolor="#ffffff" stroked="false">
              <v:fill type="solid"/>
            </v:rect>
            <v:line style="position:absolute" from="2402,8215" to="2942,8215" stroked="true" strokeweight=".729pt" strokecolor="#008000">
              <v:stroke dashstyle="solid"/>
            </v:line>
            <v:line style="position:absolute" from="2402,8479" to="2942,8479" stroked="true" strokeweight=".729pt" strokecolor="#9a3365">
              <v:stroke dashstyle="solid"/>
            </v:line>
            <v:shape style="position:absolute;left:2402;top:8755;width:540;height:15" type="#_x0000_t75" stroked="false">
              <v:imagedata r:id="rId18" o:title=""/>
            </v:shape>
            <w10:wrap type="none"/>
          </v:group>
        </w:pict>
      </w:r>
    </w:p>
    <w:p>
      <w:pPr>
        <w:pStyle w:val="BodyText"/>
        <w:spacing w:before="2" w:after="1"/>
        <w:rPr>
          <w:sz w:val="11"/>
        </w:rPr>
      </w:pPr>
    </w:p>
    <w:p>
      <w:pPr>
        <w:pStyle w:val="BodyText"/>
        <w:ind w:left="960"/>
        <w:rPr>
          <w:sz w:val="20"/>
        </w:rPr>
      </w:pPr>
      <w:r>
        <w:rPr>
          <w:sz w:val="20"/>
        </w:rPr>
        <w:pict>
          <v:group style="width:414.5pt;height:226.05pt;mso-position-horizontal-relative:char;mso-position-vertical-relative:line" coordorigin="0,0" coordsize="8290,4521">
            <v:line style="position:absolute" from="0,282" to="8290,282" stroked="true" strokeweight=".48pt" strokecolor="#000000">
              <v:stroke dashstyle="solid"/>
            </v:line>
            <v:line style="position:absolute" from="5,1" to="5,4520" stroked="true" strokeweight=".48pt" strokecolor="#000000">
              <v:stroke dashstyle="solid"/>
            </v:line>
            <v:line style="position:absolute" from="0,4516" to="8280,4516" stroked="true" strokeweight=".48pt" strokecolor="#000000">
              <v:stroke dashstyle="solid"/>
            </v:line>
            <v:line style="position:absolute" from="8285,1" to="8285,4520" stroked="true" strokeweight=".48pt" strokecolor="#000000">
              <v:stroke dashstyle="solid"/>
            </v:line>
            <v:shape style="position:absolute;left:5160;top:4160;width:382;height:200" type="#_x0000_t202" filled="false" stroked="false">
              <v:textbox inset="0,0,0,0">
                <w:txbxContent>
                  <w:p>
                    <w:pPr>
                      <w:spacing w:line="199" w:lineRule="exact" w:before="0"/>
                      <w:ind w:left="0" w:right="0" w:firstLine="0"/>
                      <w:jc w:val="left"/>
                      <w:rPr>
                        <w:b/>
                        <w:sz w:val="18"/>
                      </w:rPr>
                    </w:pPr>
                    <w:r>
                      <w:rPr>
                        <w:b/>
                        <w:sz w:val="18"/>
                      </w:rPr>
                      <w:t>2000</w:t>
                    </w:r>
                  </w:p>
                </w:txbxContent>
              </v:textbox>
              <w10:wrap type="none"/>
            </v:shape>
            <v:shape style="position:absolute;left:4168;top:4160;width:382;height:200" type="#_x0000_t202" filled="false" stroked="false">
              <v:textbox inset="0,0,0,0">
                <w:txbxContent>
                  <w:p>
                    <w:pPr>
                      <w:spacing w:line="199" w:lineRule="exact" w:before="0"/>
                      <w:ind w:left="0" w:right="0" w:firstLine="0"/>
                      <w:jc w:val="left"/>
                      <w:rPr>
                        <w:b/>
                        <w:sz w:val="18"/>
                      </w:rPr>
                    </w:pPr>
                    <w:r>
                      <w:rPr>
                        <w:b/>
                        <w:sz w:val="18"/>
                      </w:rPr>
                      <w:t>1995</w:t>
                    </w:r>
                  </w:p>
                </w:txbxContent>
              </v:textbox>
              <w10:wrap type="none"/>
            </v:shape>
            <v:shape style="position:absolute;left:3177;top:4160;width:382;height:200" type="#_x0000_t202" filled="false" stroked="false">
              <v:textbox inset="0,0,0,0">
                <w:txbxContent>
                  <w:p>
                    <w:pPr>
                      <w:spacing w:line="199" w:lineRule="exact" w:before="0"/>
                      <w:ind w:left="0" w:right="0" w:firstLine="0"/>
                      <w:jc w:val="left"/>
                      <w:rPr>
                        <w:b/>
                        <w:sz w:val="18"/>
                      </w:rPr>
                    </w:pPr>
                    <w:r>
                      <w:rPr>
                        <w:b/>
                        <w:sz w:val="18"/>
                      </w:rPr>
                      <w:t>1990</w:t>
                    </w:r>
                  </w:p>
                </w:txbxContent>
              </v:textbox>
              <w10:wrap type="none"/>
            </v:shape>
            <v:shape style="position:absolute;left:2186;top:4160;width:382;height:200" type="#_x0000_t202" filled="false" stroked="false">
              <v:textbox inset="0,0,0,0">
                <w:txbxContent>
                  <w:p>
                    <w:pPr>
                      <w:spacing w:line="199" w:lineRule="exact" w:before="0"/>
                      <w:ind w:left="0" w:right="0" w:firstLine="0"/>
                      <w:jc w:val="left"/>
                      <w:rPr>
                        <w:b/>
                        <w:sz w:val="18"/>
                      </w:rPr>
                    </w:pPr>
                    <w:r>
                      <w:rPr>
                        <w:b/>
                        <w:sz w:val="18"/>
                      </w:rPr>
                      <w:t>1985</w:t>
                    </w:r>
                  </w:p>
                </w:txbxContent>
              </v:textbox>
              <w10:wrap type="none"/>
            </v:shape>
            <v:shape style="position:absolute;left:1195;top:4160;width:382;height:200" type="#_x0000_t202" filled="false" stroked="false">
              <v:textbox inset="0,0,0,0">
                <w:txbxContent>
                  <w:p>
                    <w:pPr>
                      <w:spacing w:line="199" w:lineRule="exact" w:before="0"/>
                      <w:ind w:left="0" w:right="0" w:firstLine="0"/>
                      <w:jc w:val="left"/>
                      <w:rPr>
                        <w:b/>
                        <w:sz w:val="18"/>
                      </w:rPr>
                    </w:pPr>
                    <w:r>
                      <w:rPr>
                        <w:b/>
                        <w:sz w:val="18"/>
                      </w:rPr>
                      <w:t>1980</w:t>
                    </w:r>
                  </w:p>
                </w:txbxContent>
              </v:textbox>
              <w10:wrap type="none"/>
            </v:shape>
            <v:shape style="position:absolute;left:218;top:4160;width:382;height:200" type="#_x0000_t202" filled="false" stroked="false">
              <v:textbox inset="0,0,0,0">
                <w:txbxContent>
                  <w:p>
                    <w:pPr>
                      <w:spacing w:line="199" w:lineRule="exact" w:before="0"/>
                      <w:ind w:left="0" w:right="0" w:firstLine="0"/>
                      <w:jc w:val="left"/>
                      <w:rPr>
                        <w:b/>
                        <w:sz w:val="18"/>
                      </w:rPr>
                    </w:pPr>
                    <w:r>
                      <w:rPr>
                        <w:b/>
                        <w:sz w:val="18"/>
                      </w:rPr>
                      <w:t>1975</w:t>
                    </w:r>
                  </w:p>
                </w:txbxContent>
              </v:textbox>
              <w10:wrap type="none"/>
            </v:shape>
            <v:shape style="position:absolute;left:232;top:399;width:2074;height:266" type="#_x0000_t202" filled="false" stroked="false">
              <v:textbox inset="0,0,0,0">
                <w:txbxContent>
                  <w:p>
                    <w:pPr>
                      <w:spacing w:line="266" w:lineRule="exact" w:before="0"/>
                      <w:ind w:left="0" w:right="0" w:firstLine="0"/>
                      <w:jc w:val="left"/>
                      <w:rPr>
                        <w:b/>
                        <w:sz w:val="24"/>
                      </w:rPr>
                    </w:pPr>
                    <w:r>
                      <w:rPr>
                        <w:b/>
                        <w:sz w:val="24"/>
                      </w:rPr>
                      <w:t>Unsecured debt and</w:t>
                    </w:r>
                  </w:p>
                </w:txbxContent>
              </v:textbox>
              <w10:wrap type="none"/>
            </v:shape>
            <v:shape style="position:absolute;left:4;top:4;width:8280;height:278" type="#_x0000_t202" filled="false" stroked="true" strokeweight=".48pt" strokecolor="#000000">
              <v:textbox inset="0,0,0,0">
                <w:txbxContent>
                  <w:p>
                    <w:pPr>
                      <w:spacing w:line="260" w:lineRule="exact" w:before="7"/>
                      <w:ind w:left="3658" w:right="3631" w:firstLine="0"/>
                      <w:jc w:val="center"/>
                      <w:rPr>
                        <w:b/>
                        <w:sz w:val="24"/>
                      </w:rPr>
                    </w:pPr>
                    <w:r>
                      <w:rPr>
                        <w:b/>
                        <w:sz w:val="24"/>
                      </w:rPr>
                      <w:t>Figure 3:</w:t>
                    </w:r>
                  </w:p>
                </w:txbxContent>
              </v:textbox>
              <v:stroke dashstyle="solid"/>
              <w10:wrap type="none"/>
            </v:shape>
          </v:group>
        </w:pic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2"/>
        </w:rPr>
      </w:pPr>
    </w:p>
    <w:tbl>
      <w:tblPr>
        <w:tblW w:w="0" w:type="auto"/>
        <w:jc w:val="left"/>
        <w:tblInd w:w="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71"/>
        <w:gridCol w:w="707"/>
        <w:gridCol w:w="1050"/>
        <w:gridCol w:w="850"/>
        <w:gridCol w:w="2613"/>
      </w:tblGrid>
      <w:tr>
        <w:trPr>
          <w:trHeight w:val="268" w:hRule="atLeast"/>
        </w:trPr>
        <w:tc>
          <w:tcPr>
            <w:tcW w:w="82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7" w:lineRule="exact" w:before="1"/>
              <w:ind w:left="3675" w:right="3664"/>
              <w:jc w:val="center"/>
              <w:rPr>
                <w:b/>
                <w:sz w:val="23"/>
              </w:rPr>
            </w:pPr>
            <w:r>
              <w:rPr>
                <w:b/>
                <w:sz w:val="23"/>
              </w:rPr>
              <w:t>Figure 4:</w:t>
            </w:r>
          </w:p>
        </w:tc>
      </w:tr>
      <w:tr>
        <w:trPr>
          <w:trHeight w:val="524" w:hRule="atLeast"/>
        </w:trPr>
        <w:tc>
          <w:tcPr>
            <w:tcW w:w="3071" w:type="dxa"/>
            <w:tcBorders>
              <w:top w:val="single" w:sz="4" w:space="0" w:color="000000"/>
              <w:left w:val="single" w:sz="4" w:space="0" w:color="000000"/>
            </w:tcBorders>
          </w:tcPr>
          <w:p>
            <w:pPr>
              <w:pStyle w:val="TableParagraph"/>
              <w:spacing w:before="104"/>
              <w:ind w:left="227"/>
              <w:rPr>
                <w:b/>
                <w:sz w:val="23"/>
              </w:rPr>
            </w:pPr>
            <w:r>
              <w:rPr>
                <w:b/>
                <w:sz w:val="23"/>
              </w:rPr>
              <w:t>Loan Rates Since 1975</w:t>
            </w:r>
          </w:p>
        </w:tc>
        <w:tc>
          <w:tcPr>
            <w:tcW w:w="707" w:type="dxa"/>
            <w:tcBorders>
              <w:top w:val="single" w:sz="4" w:space="0" w:color="000000"/>
            </w:tcBorders>
          </w:tcPr>
          <w:p>
            <w:pPr>
              <w:pStyle w:val="TableParagraph"/>
              <w:rPr>
                <w:sz w:val="18"/>
              </w:rPr>
            </w:pPr>
          </w:p>
        </w:tc>
        <w:tc>
          <w:tcPr>
            <w:tcW w:w="1050" w:type="dxa"/>
            <w:tcBorders>
              <w:top w:val="single" w:sz="4" w:space="0" w:color="000000"/>
            </w:tcBorders>
          </w:tcPr>
          <w:p>
            <w:pPr>
              <w:pStyle w:val="TableParagraph"/>
              <w:rPr>
                <w:sz w:val="18"/>
              </w:rPr>
            </w:pPr>
          </w:p>
        </w:tc>
        <w:tc>
          <w:tcPr>
            <w:tcW w:w="850" w:type="dxa"/>
            <w:tcBorders>
              <w:top w:val="single" w:sz="4" w:space="0" w:color="000000"/>
            </w:tcBorders>
          </w:tcPr>
          <w:p>
            <w:pPr>
              <w:pStyle w:val="TableParagraph"/>
              <w:rPr>
                <w:sz w:val="18"/>
              </w:rPr>
            </w:pPr>
          </w:p>
        </w:tc>
        <w:tc>
          <w:tcPr>
            <w:tcW w:w="2613" w:type="dxa"/>
            <w:tcBorders>
              <w:top w:val="single" w:sz="4" w:space="0" w:color="000000"/>
              <w:right w:val="single" w:sz="4" w:space="0" w:color="000000"/>
            </w:tcBorders>
          </w:tcPr>
          <w:p>
            <w:pPr>
              <w:pStyle w:val="TableParagraph"/>
              <w:rPr>
                <w:sz w:val="18"/>
              </w:rPr>
            </w:pPr>
          </w:p>
        </w:tc>
      </w:tr>
      <w:tr>
        <w:trPr>
          <w:trHeight w:val="458" w:hRule="atLeast"/>
        </w:trPr>
        <w:tc>
          <w:tcPr>
            <w:tcW w:w="3071" w:type="dxa"/>
            <w:tcBorders>
              <w:left w:val="single" w:sz="4" w:space="0" w:color="000000"/>
            </w:tcBorders>
          </w:tcPr>
          <w:p>
            <w:pPr>
              <w:pStyle w:val="TableParagraph"/>
              <w:spacing w:before="2"/>
              <w:rPr>
                <w:sz w:val="20"/>
              </w:rPr>
            </w:pPr>
          </w:p>
          <w:p>
            <w:pPr>
              <w:pStyle w:val="TableParagraph"/>
              <w:ind w:left="1017"/>
              <w:rPr>
                <w:sz w:val="16"/>
              </w:rPr>
            </w:pPr>
            <w:r>
              <w:rPr>
                <w:sz w:val="16"/>
              </w:rPr>
              <w:t>Barclaycard credit card</w:t>
            </w:r>
          </w:p>
        </w:tc>
        <w:tc>
          <w:tcPr>
            <w:tcW w:w="707" w:type="dxa"/>
          </w:tcPr>
          <w:p>
            <w:pPr>
              <w:pStyle w:val="TableParagraph"/>
              <w:rPr>
                <w:sz w:val="18"/>
              </w:rPr>
            </w:pPr>
          </w:p>
        </w:tc>
        <w:tc>
          <w:tcPr>
            <w:tcW w:w="1050" w:type="dxa"/>
          </w:tcPr>
          <w:p>
            <w:pPr>
              <w:pStyle w:val="TableParagraph"/>
              <w:rPr>
                <w:sz w:val="18"/>
              </w:rPr>
            </w:pPr>
          </w:p>
        </w:tc>
        <w:tc>
          <w:tcPr>
            <w:tcW w:w="850" w:type="dxa"/>
          </w:tcPr>
          <w:p>
            <w:pPr>
              <w:pStyle w:val="TableParagraph"/>
              <w:rPr>
                <w:sz w:val="18"/>
              </w:rPr>
            </w:pPr>
          </w:p>
        </w:tc>
        <w:tc>
          <w:tcPr>
            <w:tcW w:w="2613" w:type="dxa"/>
            <w:tcBorders>
              <w:right w:val="single" w:sz="4" w:space="0" w:color="000000"/>
            </w:tcBorders>
          </w:tcPr>
          <w:p>
            <w:pPr>
              <w:pStyle w:val="TableParagraph"/>
              <w:spacing w:before="147"/>
              <w:ind w:right="1858"/>
              <w:jc w:val="right"/>
              <w:rPr>
                <w:b/>
                <w:sz w:val="19"/>
              </w:rPr>
            </w:pPr>
            <w:r>
              <w:rPr>
                <w:b/>
                <w:sz w:val="19"/>
              </w:rPr>
              <w:t>Per cent</w:t>
            </w:r>
          </w:p>
        </w:tc>
      </w:tr>
      <w:tr>
        <w:trPr>
          <w:trHeight w:val="506" w:hRule="atLeast"/>
        </w:trPr>
        <w:tc>
          <w:tcPr>
            <w:tcW w:w="3071" w:type="dxa"/>
            <w:tcBorders>
              <w:left w:val="single" w:sz="4" w:space="0" w:color="000000"/>
            </w:tcBorders>
          </w:tcPr>
          <w:p>
            <w:pPr>
              <w:pStyle w:val="TableParagraph"/>
              <w:spacing w:before="35"/>
              <w:ind w:left="1017"/>
              <w:rPr>
                <w:sz w:val="16"/>
              </w:rPr>
            </w:pPr>
            <w:r>
              <w:rPr>
                <w:sz w:val="16"/>
              </w:rPr>
              <w:t>Natwest person loan (£1000)</w:t>
            </w:r>
          </w:p>
          <w:p>
            <w:pPr>
              <w:pStyle w:val="TableParagraph"/>
              <w:spacing w:line="173" w:lineRule="exact" w:before="95"/>
              <w:ind w:left="1017"/>
              <w:rPr>
                <w:sz w:val="16"/>
              </w:rPr>
            </w:pPr>
            <w:r>
              <w:rPr>
                <w:sz w:val="16"/>
              </w:rPr>
              <w:t>Repo rate</w:t>
            </w:r>
          </w:p>
        </w:tc>
        <w:tc>
          <w:tcPr>
            <w:tcW w:w="707" w:type="dxa"/>
          </w:tcPr>
          <w:p>
            <w:pPr>
              <w:pStyle w:val="TableParagraph"/>
              <w:rPr>
                <w:sz w:val="18"/>
              </w:rPr>
            </w:pPr>
          </w:p>
        </w:tc>
        <w:tc>
          <w:tcPr>
            <w:tcW w:w="1050" w:type="dxa"/>
          </w:tcPr>
          <w:p>
            <w:pPr>
              <w:pStyle w:val="TableParagraph"/>
              <w:rPr>
                <w:sz w:val="18"/>
              </w:rPr>
            </w:pPr>
          </w:p>
        </w:tc>
        <w:tc>
          <w:tcPr>
            <w:tcW w:w="850" w:type="dxa"/>
          </w:tcPr>
          <w:p>
            <w:pPr>
              <w:pStyle w:val="TableParagraph"/>
              <w:rPr>
                <w:sz w:val="18"/>
              </w:rPr>
            </w:pPr>
          </w:p>
        </w:tc>
        <w:tc>
          <w:tcPr>
            <w:tcW w:w="2613" w:type="dxa"/>
            <w:tcBorders>
              <w:right w:val="single" w:sz="4" w:space="0" w:color="000000"/>
            </w:tcBorders>
          </w:tcPr>
          <w:p>
            <w:pPr>
              <w:pStyle w:val="TableParagraph"/>
              <w:spacing w:before="156"/>
              <w:ind w:right="1909"/>
              <w:jc w:val="right"/>
              <w:rPr>
                <w:b/>
                <w:sz w:val="19"/>
              </w:rPr>
            </w:pPr>
            <w:r>
              <w:rPr>
                <w:b/>
                <w:w w:val="95"/>
                <w:sz w:val="19"/>
              </w:rPr>
              <w:t>35</w:t>
            </w:r>
          </w:p>
        </w:tc>
      </w:tr>
      <w:tr>
        <w:trPr>
          <w:trHeight w:val="295" w:hRule="atLeast"/>
        </w:trPr>
        <w:tc>
          <w:tcPr>
            <w:tcW w:w="3071" w:type="dxa"/>
            <w:tcBorders>
              <w:left w:val="single" w:sz="4" w:space="0" w:color="000000"/>
            </w:tcBorders>
          </w:tcPr>
          <w:p>
            <w:pPr>
              <w:pStyle w:val="TableParagraph"/>
              <w:rPr>
                <w:sz w:val="18"/>
              </w:rPr>
            </w:pPr>
          </w:p>
        </w:tc>
        <w:tc>
          <w:tcPr>
            <w:tcW w:w="707" w:type="dxa"/>
          </w:tcPr>
          <w:p>
            <w:pPr>
              <w:pStyle w:val="TableParagraph"/>
              <w:rPr>
                <w:sz w:val="18"/>
              </w:rPr>
            </w:pPr>
          </w:p>
        </w:tc>
        <w:tc>
          <w:tcPr>
            <w:tcW w:w="1050" w:type="dxa"/>
          </w:tcPr>
          <w:p>
            <w:pPr>
              <w:pStyle w:val="TableParagraph"/>
              <w:rPr>
                <w:sz w:val="18"/>
              </w:rPr>
            </w:pPr>
          </w:p>
        </w:tc>
        <w:tc>
          <w:tcPr>
            <w:tcW w:w="850" w:type="dxa"/>
          </w:tcPr>
          <w:p>
            <w:pPr>
              <w:pStyle w:val="TableParagraph"/>
              <w:rPr>
                <w:sz w:val="18"/>
              </w:rPr>
            </w:pPr>
          </w:p>
        </w:tc>
        <w:tc>
          <w:tcPr>
            <w:tcW w:w="2613" w:type="dxa"/>
            <w:tcBorders>
              <w:right w:val="single" w:sz="4" w:space="0" w:color="000000"/>
            </w:tcBorders>
          </w:tcPr>
          <w:p>
            <w:pPr>
              <w:pStyle w:val="TableParagraph"/>
              <w:ind w:right="1909"/>
              <w:jc w:val="right"/>
              <w:rPr>
                <w:b/>
                <w:sz w:val="19"/>
              </w:rPr>
            </w:pPr>
            <w:r>
              <w:rPr>
                <w:b/>
                <w:w w:val="95"/>
                <w:sz w:val="19"/>
              </w:rPr>
              <w:t>30</w:t>
            </w:r>
          </w:p>
        </w:tc>
      </w:tr>
      <w:tr>
        <w:trPr>
          <w:trHeight w:val="356" w:hRule="atLeast"/>
        </w:trPr>
        <w:tc>
          <w:tcPr>
            <w:tcW w:w="3071" w:type="dxa"/>
            <w:tcBorders>
              <w:left w:val="single" w:sz="4" w:space="0" w:color="000000"/>
            </w:tcBorders>
          </w:tcPr>
          <w:p>
            <w:pPr>
              <w:pStyle w:val="TableParagraph"/>
              <w:rPr>
                <w:sz w:val="18"/>
              </w:rPr>
            </w:pPr>
          </w:p>
        </w:tc>
        <w:tc>
          <w:tcPr>
            <w:tcW w:w="707" w:type="dxa"/>
          </w:tcPr>
          <w:p>
            <w:pPr>
              <w:pStyle w:val="TableParagraph"/>
              <w:rPr>
                <w:sz w:val="18"/>
              </w:rPr>
            </w:pPr>
          </w:p>
        </w:tc>
        <w:tc>
          <w:tcPr>
            <w:tcW w:w="1050" w:type="dxa"/>
          </w:tcPr>
          <w:p>
            <w:pPr>
              <w:pStyle w:val="TableParagraph"/>
              <w:rPr>
                <w:sz w:val="18"/>
              </w:rPr>
            </w:pPr>
          </w:p>
        </w:tc>
        <w:tc>
          <w:tcPr>
            <w:tcW w:w="850" w:type="dxa"/>
          </w:tcPr>
          <w:p>
            <w:pPr>
              <w:pStyle w:val="TableParagraph"/>
              <w:rPr>
                <w:sz w:val="18"/>
              </w:rPr>
            </w:pPr>
          </w:p>
        </w:tc>
        <w:tc>
          <w:tcPr>
            <w:tcW w:w="2613" w:type="dxa"/>
            <w:tcBorders>
              <w:right w:val="single" w:sz="4" w:space="0" w:color="000000"/>
            </w:tcBorders>
          </w:tcPr>
          <w:p>
            <w:pPr>
              <w:pStyle w:val="TableParagraph"/>
              <w:spacing w:before="69"/>
              <w:ind w:right="1909"/>
              <w:jc w:val="right"/>
              <w:rPr>
                <w:b/>
                <w:sz w:val="19"/>
              </w:rPr>
            </w:pPr>
            <w:r>
              <w:rPr>
                <w:b/>
                <w:w w:val="95"/>
                <w:sz w:val="19"/>
              </w:rPr>
              <w:t>25</w:t>
            </w:r>
          </w:p>
        </w:tc>
      </w:tr>
      <w:tr>
        <w:trPr>
          <w:trHeight w:val="356" w:hRule="atLeast"/>
        </w:trPr>
        <w:tc>
          <w:tcPr>
            <w:tcW w:w="3071" w:type="dxa"/>
            <w:tcBorders>
              <w:left w:val="single" w:sz="4" w:space="0" w:color="000000"/>
            </w:tcBorders>
          </w:tcPr>
          <w:p>
            <w:pPr>
              <w:pStyle w:val="TableParagraph"/>
              <w:rPr>
                <w:sz w:val="18"/>
              </w:rPr>
            </w:pPr>
          </w:p>
        </w:tc>
        <w:tc>
          <w:tcPr>
            <w:tcW w:w="707" w:type="dxa"/>
          </w:tcPr>
          <w:p>
            <w:pPr>
              <w:pStyle w:val="TableParagraph"/>
              <w:rPr>
                <w:sz w:val="18"/>
              </w:rPr>
            </w:pPr>
          </w:p>
        </w:tc>
        <w:tc>
          <w:tcPr>
            <w:tcW w:w="1050" w:type="dxa"/>
          </w:tcPr>
          <w:p>
            <w:pPr>
              <w:pStyle w:val="TableParagraph"/>
              <w:spacing w:before="60"/>
              <w:ind w:left="220"/>
              <w:rPr>
                <w:b/>
                <w:sz w:val="19"/>
              </w:rPr>
            </w:pPr>
            <w:r>
              <w:rPr>
                <w:b/>
                <w:w w:val="99"/>
                <w:sz w:val="19"/>
                <w:u w:val="single" w:color="9A3365"/>
              </w:rPr>
              <w:t> </w:t>
            </w:r>
            <w:r>
              <w:rPr>
                <w:b/>
                <w:spacing w:val="3"/>
                <w:sz w:val="19"/>
                <w:u w:val="single" w:color="9A3365"/>
              </w:rPr>
              <w:t> </w:t>
            </w:r>
          </w:p>
        </w:tc>
        <w:tc>
          <w:tcPr>
            <w:tcW w:w="850" w:type="dxa"/>
          </w:tcPr>
          <w:p>
            <w:pPr>
              <w:pStyle w:val="TableParagraph"/>
              <w:tabs>
                <w:tab w:pos="790" w:val="left" w:leader="none"/>
              </w:tabs>
              <w:spacing w:before="60"/>
              <w:ind w:left="511"/>
              <w:rPr>
                <w:b/>
                <w:sz w:val="19"/>
              </w:rPr>
            </w:pPr>
            <w:r>
              <w:rPr>
                <w:b/>
                <w:w w:val="99"/>
                <w:sz w:val="19"/>
                <w:u w:val="single" w:color="008000"/>
              </w:rPr>
              <w:t> </w:t>
            </w:r>
            <w:r>
              <w:rPr>
                <w:b/>
                <w:sz w:val="19"/>
                <w:u w:val="single" w:color="008000"/>
              </w:rPr>
              <w:tab/>
            </w:r>
          </w:p>
        </w:tc>
        <w:tc>
          <w:tcPr>
            <w:tcW w:w="2613" w:type="dxa"/>
            <w:tcBorders>
              <w:right w:val="single" w:sz="4" w:space="0" w:color="000000"/>
            </w:tcBorders>
          </w:tcPr>
          <w:p>
            <w:pPr>
              <w:pStyle w:val="TableParagraph"/>
              <w:spacing w:before="60"/>
              <w:ind w:right="1909"/>
              <w:jc w:val="right"/>
              <w:rPr>
                <w:b/>
                <w:sz w:val="19"/>
              </w:rPr>
            </w:pPr>
            <w:r>
              <w:rPr>
                <w:b/>
                <w:w w:val="95"/>
                <w:sz w:val="19"/>
              </w:rPr>
              <w:t>20</w:t>
            </w:r>
          </w:p>
        </w:tc>
      </w:tr>
      <w:tr>
        <w:trPr>
          <w:trHeight w:val="357" w:hRule="atLeast"/>
        </w:trPr>
        <w:tc>
          <w:tcPr>
            <w:tcW w:w="3071" w:type="dxa"/>
            <w:tcBorders>
              <w:left w:val="single" w:sz="4" w:space="0" w:color="000000"/>
            </w:tcBorders>
          </w:tcPr>
          <w:p>
            <w:pPr>
              <w:pStyle w:val="TableParagraph"/>
              <w:rPr>
                <w:sz w:val="18"/>
              </w:rPr>
            </w:pPr>
          </w:p>
        </w:tc>
        <w:tc>
          <w:tcPr>
            <w:tcW w:w="707" w:type="dxa"/>
          </w:tcPr>
          <w:p>
            <w:pPr>
              <w:pStyle w:val="TableParagraph"/>
              <w:rPr>
                <w:sz w:val="18"/>
              </w:rPr>
            </w:pPr>
          </w:p>
        </w:tc>
        <w:tc>
          <w:tcPr>
            <w:tcW w:w="1050" w:type="dxa"/>
          </w:tcPr>
          <w:p>
            <w:pPr>
              <w:pStyle w:val="TableParagraph"/>
              <w:rPr>
                <w:sz w:val="18"/>
              </w:rPr>
            </w:pPr>
          </w:p>
        </w:tc>
        <w:tc>
          <w:tcPr>
            <w:tcW w:w="850" w:type="dxa"/>
          </w:tcPr>
          <w:p>
            <w:pPr>
              <w:pStyle w:val="TableParagraph"/>
              <w:rPr>
                <w:sz w:val="18"/>
              </w:rPr>
            </w:pPr>
          </w:p>
        </w:tc>
        <w:tc>
          <w:tcPr>
            <w:tcW w:w="2613" w:type="dxa"/>
            <w:tcBorders>
              <w:right w:val="single" w:sz="4" w:space="0" w:color="000000"/>
            </w:tcBorders>
          </w:tcPr>
          <w:p>
            <w:pPr>
              <w:pStyle w:val="TableParagraph"/>
              <w:spacing w:before="69"/>
              <w:ind w:right="1909"/>
              <w:jc w:val="right"/>
              <w:rPr>
                <w:b/>
                <w:sz w:val="19"/>
              </w:rPr>
            </w:pPr>
            <w:r>
              <w:rPr>
                <w:b/>
                <w:w w:val="95"/>
                <w:sz w:val="19"/>
              </w:rPr>
              <w:t>15</w:t>
            </w:r>
          </w:p>
        </w:tc>
      </w:tr>
      <w:tr>
        <w:trPr>
          <w:trHeight w:val="357" w:hRule="atLeast"/>
        </w:trPr>
        <w:tc>
          <w:tcPr>
            <w:tcW w:w="3071" w:type="dxa"/>
            <w:tcBorders>
              <w:left w:val="single" w:sz="4" w:space="0" w:color="000000"/>
            </w:tcBorders>
          </w:tcPr>
          <w:p>
            <w:pPr>
              <w:pStyle w:val="TableParagraph"/>
              <w:rPr>
                <w:sz w:val="18"/>
              </w:rPr>
            </w:pPr>
          </w:p>
        </w:tc>
        <w:tc>
          <w:tcPr>
            <w:tcW w:w="707" w:type="dxa"/>
          </w:tcPr>
          <w:p>
            <w:pPr>
              <w:pStyle w:val="TableParagraph"/>
              <w:rPr>
                <w:sz w:val="18"/>
              </w:rPr>
            </w:pPr>
          </w:p>
        </w:tc>
        <w:tc>
          <w:tcPr>
            <w:tcW w:w="1050" w:type="dxa"/>
          </w:tcPr>
          <w:p>
            <w:pPr>
              <w:pStyle w:val="TableParagraph"/>
              <w:rPr>
                <w:sz w:val="18"/>
              </w:rPr>
            </w:pPr>
          </w:p>
        </w:tc>
        <w:tc>
          <w:tcPr>
            <w:tcW w:w="850" w:type="dxa"/>
          </w:tcPr>
          <w:p>
            <w:pPr>
              <w:pStyle w:val="TableParagraph"/>
              <w:rPr>
                <w:sz w:val="18"/>
              </w:rPr>
            </w:pPr>
          </w:p>
        </w:tc>
        <w:tc>
          <w:tcPr>
            <w:tcW w:w="2613" w:type="dxa"/>
            <w:tcBorders>
              <w:right w:val="single" w:sz="4" w:space="0" w:color="000000"/>
            </w:tcBorders>
          </w:tcPr>
          <w:p>
            <w:pPr>
              <w:pStyle w:val="TableParagraph"/>
              <w:spacing w:before="62"/>
              <w:ind w:right="1909"/>
              <w:jc w:val="right"/>
              <w:rPr>
                <w:b/>
                <w:sz w:val="19"/>
              </w:rPr>
            </w:pPr>
            <w:r>
              <w:rPr>
                <w:b/>
                <w:w w:val="95"/>
                <w:sz w:val="19"/>
              </w:rPr>
              <w:t>10</w:t>
            </w:r>
          </w:p>
        </w:tc>
      </w:tr>
      <w:tr>
        <w:trPr>
          <w:trHeight w:val="357" w:hRule="atLeast"/>
        </w:trPr>
        <w:tc>
          <w:tcPr>
            <w:tcW w:w="3071" w:type="dxa"/>
            <w:tcBorders>
              <w:left w:val="single" w:sz="4" w:space="0" w:color="000000"/>
            </w:tcBorders>
          </w:tcPr>
          <w:p>
            <w:pPr>
              <w:pStyle w:val="TableParagraph"/>
              <w:rPr>
                <w:sz w:val="18"/>
              </w:rPr>
            </w:pPr>
          </w:p>
        </w:tc>
        <w:tc>
          <w:tcPr>
            <w:tcW w:w="707" w:type="dxa"/>
          </w:tcPr>
          <w:p>
            <w:pPr>
              <w:pStyle w:val="TableParagraph"/>
              <w:rPr>
                <w:sz w:val="18"/>
              </w:rPr>
            </w:pPr>
          </w:p>
        </w:tc>
        <w:tc>
          <w:tcPr>
            <w:tcW w:w="1050" w:type="dxa"/>
          </w:tcPr>
          <w:p>
            <w:pPr>
              <w:pStyle w:val="TableParagraph"/>
              <w:rPr>
                <w:sz w:val="18"/>
              </w:rPr>
            </w:pPr>
          </w:p>
        </w:tc>
        <w:tc>
          <w:tcPr>
            <w:tcW w:w="850" w:type="dxa"/>
          </w:tcPr>
          <w:p>
            <w:pPr>
              <w:pStyle w:val="TableParagraph"/>
              <w:rPr>
                <w:sz w:val="18"/>
              </w:rPr>
            </w:pPr>
          </w:p>
        </w:tc>
        <w:tc>
          <w:tcPr>
            <w:tcW w:w="2613" w:type="dxa"/>
            <w:tcBorders>
              <w:right w:val="single" w:sz="4" w:space="0" w:color="000000"/>
            </w:tcBorders>
          </w:tcPr>
          <w:p>
            <w:pPr>
              <w:pStyle w:val="TableParagraph"/>
              <w:spacing w:before="69"/>
              <w:ind w:left="494"/>
              <w:rPr>
                <w:b/>
                <w:sz w:val="19"/>
              </w:rPr>
            </w:pPr>
            <w:r>
              <w:rPr>
                <w:b/>
                <w:w w:val="99"/>
                <w:sz w:val="19"/>
              </w:rPr>
              <w:t>5</w:t>
            </w:r>
          </w:p>
        </w:tc>
      </w:tr>
      <w:tr>
        <w:trPr>
          <w:trHeight w:val="314" w:hRule="atLeast"/>
        </w:trPr>
        <w:tc>
          <w:tcPr>
            <w:tcW w:w="3071" w:type="dxa"/>
            <w:tcBorders>
              <w:left w:val="single" w:sz="4" w:space="0" w:color="000000"/>
            </w:tcBorders>
          </w:tcPr>
          <w:p>
            <w:pPr>
              <w:pStyle w:val="TableParagraph"/>
              <w:rPr>
                <w:sz w:val="18"/>
              </w:rPr>
            </w:pPr>
          </w:p>
        </w:tc>
        <w:tc>
          <w:tcPr>
            <w:tcW w:w="707" w:type="dxa"/>
          </w:tcPr>
          <w:p>
            <w:pPr>
              <w:pStyle w:val="TableParagraph"/>
              <w:rPr>
                <w:sz w:val="18"/>
              </w:rPr>
            </w:pPr>
          </w:p>
        </w:tc>
        <w:tc>
          <w:tcPr>
            <w:tcW w:w="1050" w:type="dxa"/>
          </w:tcPr>
          <w:p>
            <w:pPr>
              <w:pStyle w:val="TableParagraph"/>
              <w:rPr>
                <w:sz w:val="18"/>
              </w:rPr>
            </w:pPr>
          </w:p>
        </w:tc>
        <w:tc>
          <w:tcPr>
            <w:tcW w:w="850" w:type="dxa"/>
          </w:tcPr>
          <w:p>
            <w:pPr>
              <w:pStyle w:val="TableParagraph"/>
              <w:rPr>
                <w:sz w:val="18"/>
              </w:rPr>
            </w:pPr>
          </w:p>
        </w:tc>
        <w:tc>
          <w:tcPr>
            <w:tcW w:w="2613" w:type="dxa"/>
            <w:tcBorders>
              <w:right w:val="single" w:sz="4" w:space="0" w:color="000000"/>
            </w:tcBorders>
          </w:tcPr>
          <w:p>
            <w:pPr>
              <w:pStyle w:val="TableParagraph"/>
              <w:spacing w:before="62"/>
              <w:ind w:left="494"/>
              <w:rPr>
                <w:b/>
                <w:sz w:val="19"/>
              </w:rPr>
            </w:pPr>
            <w:r>
              <w:rPr>
                <w:b/>
                <w:w w:val="99"/>
                <w:sz w:val="19"/>
              </w:rPr>
              <w:t>0</w:t>
            </w:r>
          </w:p>
        </w:tc>
      </w:tr>
      <w:tr>
        <w:trPr>
          <w:trHeight w:val="390" w:hRule="atLeast"/>
        </w:trPr>
        <w:tc>
          <w:tcPr>
            <w:tcW w:w="3071" w:type="dxa"/>
            <w:tcBorders>
              <w:left w:val="single" w:sz="4" w:space="0" w:color="000000"/>
              <w:bottom w:val="single" w:sz="4" w:space="0" w:color="000000"/>
            </w:tcBorders>
          </w:tcPr>
          <w:p>
            <w:pPr>
              <w:pStyle w:val="TableParagraph"/>
              <w:tabs>
                <w:tab w:pos="1221" w:val="left" w:leader="none"/>
                <w:tab w:pos="2198" w:val="left" w:leader="none"/>
              </w:tabs>
              <w:spacing w:before="26"/>
              <w:ind w:left="242"/>
              <w:rPr>
                <w:b/>
                <w:sz w:val="19"/>
              </w:rPr>
            </w:pPr>
            <w:r>
              <w:rPr>
                <w:b/>
                <w:spacing w:val="5"/>
                <w:sz w:val="19"/>
              </w:rPr>
              <w:t>1975</w:t>
              <w:tab/>
            </w:r>
            <w:r>
              <w:rPr>
                <w:b/>
                <w:spacing w:val="4"/>
                <w:sz w:val="19"/>
              </w:rPr>
              <w:t>1980</w:t>
              <w:tab/>
            </w:r>
            <w:r>
              <w:rPr>
                <w:b/>
                <w:spacing w:val="7"/>
                <w:sz w:val="19"/>
              </w:rPr>
              <w:t>1985</w:t>
            </w:r>
          </w:p>
        </w:tc>
        <w:tc>
          <w:tcPr>
            <w:tcW w:w="707" w:type="dxa"/>
            <w:tcBorders>
              <w:bottom w:val="single" w:sz="4" w:space="0" w:color="000000"/>
            </w:tcBorders>
          </w:tcPr>
          <w:p>
            <w:pPr>
              <w:pStyle w:val="TableParagraph"/>
              <w:spacing w:before="26"/>
              <w:ind w:left="94"/>
              <w:rPr>
                <w:b/>
                <w:sz w:val="19"/>
              </w:rPr>
            </w:pPr>
            <w:r>
              <w:rPr>
                <w:b/>
                <w:sz w:val="19"/>
              </w:rPr>
              <w:t>1990</w:t>
            </w:r>
          </w:p>
        </w:tc>
        <w:tc>
          <w:tcPr>
            <w:tcW w:w="1050" w:type="dxa"/>
            <w:tcBorders>
              <w:bottom w:val="single" w:sz="4" w:space="0" w:color="000000"/>
            </w:tcBorders>
          </w:tcPr>
          <w:p>
            <w:pPr>
              <w:pStyle w:val="TableParagraph"/>
              <w:spacing w:before="26"/>
              <w:ind w:left="366"/>
              <w:rPr>
                <w:b/>
                <w:sz w:val="19"/>
              </w:rPr>
            </w:pPr>
            <w:r>
              <w:rPr>
                <w:b/>
                <w:sz w:val="19"/>
              </w:rPr>
              <w:t>1995</w:t>
            </w:r>
          </w:p>
        </w:tc>
        <w:tc>
          <w:tcPr>
            <w:tcW w:w="850" w:type="dxa"/>
            <w:tcBorders>
              <w:bottom w:val="single" w:sz="4" w:space="0" w:color="000000"/>
            </w:tcBorders>
          </w:tcPr>
          <w:p>
            <w:pPr>
              <w:pStyle w:val="TableParagraph"/>
              <w:spacing w:before="26"/>
              <w:ind w:left="293"/>
              <w:rPr>
                <w:b/>
                <w:sz w:val="19"/>
              </w:rPr>
            </w:pPr>
            <w:r>
              <w:rPr>
                <w:b/>
                <w:sz w:val="19"/>
              </w:rPr>
              <w:t>2000</w:t>
            </w:r>
          </w:p>
        </w:tc>
        <w:tc>
          <w:tcPr>
            <w:tcW w:w="2613" w:type="dxa"/>
            <w:tcBorders>
              <w:bottom w:val="single" w:sz="4" w:space="0" w:color="000000"/>
              <w:right w:val="single" w:sz="4" w:space="0" w:color="000000"/>
            </w:tcBorders>
          </w:tcPr>
          <w:p>
            <w:pPr>
              <w:pStyle w:val="TableParagraph"/>
              <w:rPr>
                <w:sz w:val="18"/>
              </w:rPr>
            </w:pPr>
          </w:p>
        </w:tc>
      </w:tr>
    </w:tbl>
    <w:p>
      <w:pPr>
        <w:spacing w:after="0"/>
        <w:rPr>
          <w:sz w:val="18"/>
        </w:rPr>
        <w:sectPr>
          <w:pgSz w:w="12240" w:h="15840"/>
          <w:pgMar w:header="209" w:footer="0" w:top="840" w:bottom="280" w:left="1000" w:right="1220"/>
        </w:sectPr>
      </w:pPr>
    </w:p>
    <w:p>
      <w:pPr>
        <w:pStyle w:val="BodyText"/>
        <w:spacing w:before="7"/>
        <w:rPr>
          <w:sz w:val="7"/>
        </w:rPr>
      </w:pPr>
      <w:r>
        <w:rPr/>
        <w:pict>
          <v:group style="position:absolute;margin-left:117.900002pt;margin-top:119.940002pt;width:276.45pt;height:128.5pt;mso-position-horizontal-relative:page;mso-position-vertical-relative:page;z-index:-254230528" coordorigin="2358,2399" coordsize="5529,2570">
            <v:shape style="position:absolute;left:2359;top:4005;width:1356;height:905" coordorigin="2359,4006" coordsize="1356,905" path="m2402,4078l2359,4078,2359,4910,2402,4910,2402,4078m2652,4092l2606,4092,2549,4092,2506,4092,2462,4092,2402,4092,2402,4910,2462,4910,2506,4910,2549,4910,2606,4910,2652,4910,2652,4092m2796,4078l2753,4078,2753,4092,2695,4092,2652,4092,2652,4910,2695,4910,2753,4910,2796,4910,2796,4078m2842,4063l2796,4063,2796,4910,2842,4910,2842,4063m2986,4034l2942,4034,2899,4034,2899,4049,2842,4049,2842,4910,2899,4910,2899,4910,2942,4910,2986,4910,2986,4034m3132,4034l3089,4034,3031,4034,2986,4034,2986,4910,3031,4910,3089,4910,3132,4910,3132,4034m3278,4049l3235,4049,3235,4034,3175,4034,3132,4034,3132,4910,3175,4910,3235,4910,3235,4910,3278,4910,3278,4049m3322,4063l3278,4063,3278,4910,3322,4910,3322,4063m3468,4092l3425,4092,3382,4092,3382,4078,3322,4078,3322,4910,3382,4910,3425,4910,3468,4910,3468,4092m3614,4049l3571,4049,3571,4063,3526,4063,3526,4078,3468,4078,3468,4910,3526,4910,3571,4910,3571,4910,3614,4910,3614,4049m3715,4006l3672,4006,3672,4020,3614,4020,3614,4910,3672,4910,3715,4910,3715,4006e" filled="true" fillcolor="#008000" stroked="false">
              <v:path arrowok="t"/>
              <v:fill type="solid"/>
            </v:shape>
            <v:line style="position:absolute" from="3738,3960" to="3738,4910" stroked="true" strokeweight="2.280pt" strokecolor="#008000">
              <v:stroke dashstyle="solid"/>
            </v:line>
            <v:line style="position:absolute" from="3790,3931" to="3790,4910" stroked="true" strokeweight="2.88pt" strokecolor="#008000">
              <v:stroke dashstyle="solid"/>
            </v:line>
            <v:shape style="position:absolute;left:3840;top:3859;width:44;height:1052" coordorigin="3840,3859" coordsize="44,1052" path="m3840,3902l3840,4910m3883,3859l3883,4910e" filled="false" stroked="true" strokeweight="2.16pt" strokecolor="#008000">
              <v:path arrowok="t"/>
              <v:stroke dashstyle="solid"/>
            </v:shape>
            <v:line style="position:absolute" from="3935,3830" to="3935,4910" stroked="true" strokeweight="3pt" strokecolor="#008000">
              <v:stroke dashstyle="solid"/>
            </v:line>
            <v:shape style="position:absolute;left:3986;top:3770;width:44;height:1140" coordorigin="3986,3770" coordsize="44,1140" path="m3986,3802l3986,4910m4030,3770l4030,4910e" filled="false" stroked="true" strokeweight="2.16pt" strokecolor="#008000">
              <v:path arrowok="t"/>
              <v:stroke dashstyle="solid"/>
            </v:shape>
            <v:shape style="position:absolute;left:4051;top:3727;width:104;height:1184" coordorigin="4051,3727" coordsize="104,1184" path="m4094,3742l4051,3742,4051,4910,4094,4910,4094,3742m4154,3727l4094,3727,4094,4910,4154,4910,4154,3727e" filled="true" fillcolor="#008000" stroked="false">
              <v:path arrowok="t"/>
              <v:fill type="solid"/>
            </v:shape>
            <v:line style="position:absolute" from="4176,3698" to="4176,4910" stroked="true" strokeweight="2.16pt" strokecolor="#008000">
              <v:stroke dashstyle="solid"/>
            </v:line>
            <v:shape style="position:absolute;left:4197;top:3612;width:190;height:1299" coordorigin="4198,3612" coordsize="190,1299" path="m4241,3655l4198,3655,4198,4910,4241,4910,4241,3655m4387,3612l4344,3612,4344,3626,4298,3626,4298,3641,4241,3641,4241,4910,4298,4910,4298,4910,4344,4910,4344,4910,4387,4910,4387,3612e" filled="true" fillcolor="#008000" stroked="false">
              <v:path arrowok="t"/>
              <v:fill type="solid"/>
            </v:shape>
            <v:line style="position:absolute" from="4416,3581" to="4416,4910" stroked="true" strokeweight="2.88pt" strokecolor="#008000">
              <v:stroke dashstyle="solid"/>
            </v:line>
            <v:shape style="position:absolute;left:4444;top:3523;width:89;height:1388" coordorigin="4445,3523" coordsize="89,1388" path="m4488,3538l4445,3538,4445,4910,4488,4910,4488,3538m4534,3523l4488,3523,4488,4910,4534,4910,4534,3523e" filled="true" fillcolor="#008000" stroked="false">
              <v:path arrowok="t"/>
              <v:fill type="solid"/>
            </v:shape>
            <v:line style="position:absolute" from="4562,3480" to="4562,4910" stroked="true" strokeweight="2.88pt" strokecolor="#008000">
              <v:stroke dashstyle="solid"/>
            </v:line>
            <v:shape style="position:absolute;left:4612;top:3391;width:44;height:1520" coordorigin="4613,3391" coordsize="44,1520" path="m4613,3437l4613,4910m4656,3391l4656,4910e" filled="false" stroked="true" strokeweight="2.16pt" strokecolor="#008000">
              <v:path arrowok="t"/>
              <v:stroke dashstyle="solid"/>
            </v:shape>
            <v:line style="position:absolute" from="4708,3362" to="4708,4910" stroked="true" strokeweight="3pt" strokecolor="#008000">
              <v:stroke dashstyle="solid"/>
            </v:line>
            <v:shape style="position:absolute;left:4759;top:3290;width:44;height:1620" coordorigin="4759,3290" coordsize="44,1620" path="m4759,3334l4759,4910m4802,3290l4802,4910e" filled="false" stroked="true" strokeweight="2.16pt" strokecolor="#008000">
              <v:path arrowok="t"/>
              <v:stroke dashstyle="solid"/>
            </v:shape>
            <v:line style="position:absolute" from="4854,3247" to="4854,4910" stroked="true" strokeweight="3pt" strokecolor="#008000">
              <v:stroke dashstyle="solid"/>
            </v:line>
            <v:shape style="position:absolute;left:4905;top:3172;width:44;height:1738" coordorigin="4906,3173" coordsize="44,1738" path="m4906,3216l4906,4910m4949,3173l4949,4910e" filled="false" stroked="true" strokeweight="2.16pt" strokecolor="#008000">
              <v:path arrowok="t"/>
              <v:stroke dashstyle="solid"/>
            </v:shape>
            <v:line style="position:absolute" from="4999,3115" to="4999,4910" stroked="true" strokeweight="2.88pt" strokecolor="#008000">
              <v:stroke dashstyle="solid"/>
            </v:line>
            <v:shape style="position:absolute;left:5028;top:2836;width:2465;height:2074" coordorigin="5028,2837" coordsize="2465,2074" path="m5117,3086l5074,3086,5028,3086,5028,4910,5074,4910,5117,4910,5117,3086m6036,2998l5990,2998,5990,2983,5947,2983,5890,2983,5846,2983,5846,2983,5801,2983,5801,2969,5743,2969,5743,2983,5700,2983,5700,2969,5657,2969,5657,2969,5597,2969,5597,2954,5554,2954,5554,2954,5510,2954,5510,2969,5453,2969,5407,2969,5407,2983,5364,2983,5364,2998,5306,2998,5306,3041,5263,3041,5218,3041,5218,3058,5160,3058,5117,3058,5117,4910,5160,4910,5218,4910,5263,4910,5306,4910,5364,4910,5364,4910,5407,4910,5407,4910,5453,4910,5510,4910,5510,4910,5554,4910,5554,4910,5597,4910,5597,4910,5657,4910,5657,4910,5700,4910,5700,4910,5743,4910,5743,4910,5801,4910,5801,4910,5846,4910,5846,4910,5890,4910,5947,4910,5990,4910,6036,4910,6036,2998m7493,2837l7435,2837,7435,2851,7392,2851,7349,2851,7349,2868,7289,2868,7289,2882,7246,2882,7246,2926,7202,2926,7159,2926,7159,2940,7099,2940,7099,2969,7056,2969,7056,2969,7013,2969,7013,2983,6955,2983,6955,2998,6910,2998,6910,3026,6866,3026,6866,3041,6809,3041,6766,3041,6766,3026,6720,3026,6720,3012,6662,3012,6619,3012,6619,3012,6576,3012,6576,3012,6516,3012,6473,3012,6473,2998,6430,2998,6370,2998,6370,2983,6326,2983,6326,2983,6283,2983,6283,2969,6226,2969,6226,2954,6180,2954,6180,2969,6137,2969,6137,2983,6094,2983,6094,2998,6036,2998,6036,4910,6094,4910,6094,4910,6137,4910,6137,4910,6180,4910,6180,4910,6226,4910,6226,4910,6283,4910,6283,4910,6326,4910,6326,4910,6370,4910,6430,4910,6473,4910,6516,4910,6576,4910,6576,4910,6619,4910,6619,4910,6662,4910,6720,4910,6720,4910,6766,4910,6766,4910,6809,4910,6866,4910,6866,4910,6910,4910,6910,4910,6955,4910,7013,4910,7013,4910,7056,4910,7056,4910,7099,4910,7099,4910,7159,4910,7159,4910,7202,4910,7246,4910,7289,4910,7349,4910,7349,4910,7392,4910,7435,4910,7493,4910,7493,2837e" filled="true" fillcolor="#008000" stroked="false">
              <v:path arrowok="t"/>
              <v:fill type="solid"/>
            </v:shape>
            <v:line style="position:absolute" from="7516,2808" to="7516,4910" stroked="true" strokeweight="2.280pt" strokecolor="#008000">
              <v:stroke dashstyle="solid"/>
            </v:line>
            <v:line style="position:absolute" from="7560,2779" to="7560,4910" stroked="true" strokeweight="2.16pt" strokecolor="#008000">
              <v:stroke dashstyle="solid"/>
            </v:line>
            <v:line style="position:absolute" from="7610,2750" to="7610,4910" stroked="true" strokeweight="2.88pt" strokecolor="#008000">
              <v:stroke dashstyle="solid"/>
            </v:line>
            <v:line style="position:absolute" from="7661,2707" to="7661,4910" stroked="true" strokeweight="2.16pt" strokecolor="#008000">
              <v:stroke dashstyle="solid"/>
            </v:line>
            <v:line style="position:absolute" from="7705,2647" to="7705,4910" stroked="true" strokeweight="2.280pt" strokecolor="#008000">
              <v:stroke dashstyle="solid"/>
            </v:line>
            <v:line style="position:absolute" from="7757,2575" to="7757,4910" stroked="true" strokeweight="2.88pt" strokecolor="#008000">
              <v:stroke dashstyle="solid"/>
            </v:line>
            <v:line style="position:absolute" from="7807,2532" to="7807,4910" stroked="true" strokeweight="2.16pt" strokecolor="#008000">
              <v:stroke dashstyle="solid"/>
            </v:line>
            <v:shape style="position:absolute;left:2359;top:2400;width:5528;height:2568" coordorigin="2359,2400" coordsize="5528,2568" path="m7829,2400l7829,4910m7829,4910l7886,4910m7829,4661l7886,4661m7829,4414l7886,4414m7829,4152l7886,4152m7829,3902l7886,3902m7829,3655l7886,3655m7829,3406l7886,3406m7829,3158l7886,3158m7829,2897l7886,2897m7829,2647l7886,2647m7829,2400l7886,2400m2359,4910l7829,4910m2359,4968l2359,4910m3322,4968l3322,4910m4298,4968l4298,4910m5263,4968l5263,4910m6226,4968l6226,4910m7202,4968l7202,4910e" filled="false" stroked="true" strokeweight=".12pt" strokecolor="#000000">
              <v:path arrowok="t"/>
              <v:stroke dashstyle="solid"/>
            </v:shape>
            <w10:wrap type="none"/>
          </v:group>
        </w:pict>
      </w:r>
      <w:r>
        <w:rPr/>
        <w:pict>
          <v:group style="position:absolute;margin-left:120pt;margin-top:392.940002pt;width:252.8pt;height:135.450pt;mso-position-horizontal-relative:page;mso-position-vertical-relative:page;z-index:-254229504" coordorigin="2400,7859" coordsize="5056,2709">
            <v:shape style="position:absolute;left:2402;top:7860;width:5052;height:2693" coordorigin="2402,7860" coordsize="5052,2693" path="m7397,7860l7397,10553m7397,10553l7454,10553m7397,10217l7454,10217m7397,9883l7454,9883m7397,9547l7454,9550m7397,9214l7454,9214m7397,8866l7454,8866m7397,8530l7454,8530m7397,8196l7454,8196m7397,7860l7454,7862m2402,10553l7397,10553m2402,10553l2402,10493m3190,10553l3190,10493m3960,10553l3962,10493m4747,10553l4747,10493m5518,10553l5520,10493m6305,10553l6305,10493m7092,10553l7092,10493e" filled="false" stroked="true" strokeweight=".12pt" strokecolor="#000000">
              <v:path arrowok="t"/>
              <v:stroke dashstyle="solid"/>
            </v:shape>
            <v:shape style="position:absolute;left:2400;top:9446;width:471;height:116" coordorigin="2400,9446" coordsize="471,116" path="m2870,9475l2866,9446,2707,9475,2561,9504,2400,9533,2405,9562,2566,9533,2712,9504,2870,9475e" filled="true" fillcolor="#000080" stroked="false">
              <v:path arrowok="t"/>
              <v:fill type="solid"/>
            </v:shape>
            <v:line style="position:absolute" from="2868,9454" to="3031,9454" stroked="true" strokeweight="2.16pt" strokecolor="#000080">
              <v:stroke dashstyle="solid"/>
            </v:line>
            <v:line style="position:absolute" from="3029,9439" to="3192,9439" stroked="true" strokeweight="2.16pt" strokecolor="#000080">
              <v:stroke dashstyle="solid"/>
            </v:line>
            <v:shape style="position:absolute;left:3187;top:9388;width:149;height:58" coordorigin="3187,9389" coordsize="149,58" path="m3331,9389l3187,9418,3192,9446,3336,9418,3331,9389xe" filled="true" fillcolor="#000080" stroked="false">
              <v:path arrowok="t"/>
              <v:fill type="solid"/>
            </v:shape>
            <v:shape style="position:absolute;left:3333;top:9396;width:324;height:2" coordorigin="3334,9396" coordsize="324,0" path="m3334,9396l3497,9396m3494,9396l3658,9396e" filled="false" stroked="true" strokeweight="2.16pt" strokecolor="#000080">
              <v:path arrowok="t"/>
              <v:stroke dashstyle="solid"/>
            </v:shape>
            <v:shape style="position:absolute;left:3652;top:9304;width:312;height:113" coordorigin="3653,9305" coordsize="312,113" path="m3965,9331l3955,9305,3799,9361,3799,9360,3653,9389,3658,9418,3804,9389,3802,9377,3806,9389,3965,9331e" filled="true" fillcolor="#000080" stroked="false">
              <v:path arrowok="t"/>
              <v:fill type="solid"/>
            </v:shape>
            <v:line style="position:absolute" from="3960,9308" to="4123,9308" stroked="true" strokeweight="2.280pt" strokecolor="#000080">
              <v:stroke dashstyle="solid"/>
            </v:line>
            <v:line style="position:absolute" from="4121,9293" to="4284,9293" stroked="true" strokeweight="2.16pt" strokecolor="#000080">
              <v:stroke dashstyle="solid"/>
            </v:line>
            <v:shape style="position:absolute;left:4279;top:9213;width:310;height:87" coordorigin="4279,9214" coordsize="310,87" path="m4589,9242l4584,9214,4423,9242,4279,9271,4284,9300,4428,9271,4589,9242e" filled="true" fillcolor="#000080" stroked="false">
              <v:path arrowok="t"/>
              <v:fill type="solid"/>
            </v:shape>
            <v:line style="position:absolute" from="4586,9221" to="4750,9221" stroked="true" strokeweight="2.16pt" strokecolor="#000080">
              <v:stroke dashstyle="solid"/>
            </v:line>
            <v:shape style="position:absolute;left:4744;top:9038;width:776;height:190" coordorigin="4745,9038" coordsize="776,190" path="m5520,9067l5515,9038,5371,9067,5210,9098,5211,9105,5210,9101,5050,9144,5050,9142,4903,9170,4745,9199,4750,9228,4908,9199,5054,9170,5051,9148,5057,9170,5218,9127,5217,9127,5376,9096,5520,9067e" filled="true" fillcolor="#000080" stroked="false">
              <v:path arrowok="t"/>
              <v:fill type="solid"/>
            </v:shape>
            <v:line style="position:absolute" from="5518,9054" to="5678,9054" stroked="true" strokeweight="1.56pt" strokecolor="#000080">
              <v:stroke dashstyle="solid"/>
            </v:line>
            <v:line style="position:absolute" from="5678,9046" to="5842,9046" stroked="true" strokeweight="2.16pt" strokecolor="#000080">
              <v:stroke dashstyle="solid"/>
            </v:line>
            <v:line style="position:absolute" from="5839,9031" to="6002,9031" stroked="true" strokeweight="2.16pt" strokecolor="#000080">
              <v:stroke dashstyle="solid"/>
            </v:line>
            <v:line style="position:absolute" from="6000,9017" to="6146,9017" stroked="true" strokeweight="2.16pt" strokecolor="#000080">
              <v:stroke dashstyle="solid"/>
            </v:line>
            <v:line style="position:absolute" from="6144,9002" to="6307,9002" stroked="true" strokeweight="2.16pt" strokecolor="#000080">
              <v:stroke dashstyle="solid"/>
            </v:line>
            <v:line style="position:absolute" from="6305,8988" to="6468,8988" stroked="true" strokeweight="2.16pt" strokecolor="#000080">
              <v:stroke dashstyle="solid"/>
            </v:line>
            <v:line style="position:absolute" from="6466,8974" to="6612,8974" stroked="true" strokeweight="2.16pt" strokecolor="#000080">
              <v:stroke dashstyle="solid"/>
            </v:line>
            <v:shape style="position:absolute;left:6607;top:8923;width:166;height:58" coordorigin="6607,8923" coordsize="166,58" path="m6768,8923l6607,8952,6612,8981,6773,8952,6768,8923xe" filled="true" fillcolor="#000080" stroked="false">
              <v:path arrowok="t"/>
              <v:fill type="solid"/>
            </v:shape>
            <v:line style="position:absolute" from="6770,8930" to="6934,8930" stroked="true" strokeweight="2.16pt" strokecolor="#000080">
              <v:stroke dashstyle="solid"/>
            </v:line>
            <v:line style="position:absolute" from="6931,8916" to="7094,8916" stroked="true" strokeweight="2.16pt" strokecolor="#000080">
              <v:stroke dashstyle="solid"/>
            </v:line>
            <v:line style="position:absolute" from="7092,8909" to="7236,8909" stroked="true" strokeweight="1.44pt" strokecolor="#000080">
              <v:stroke dashstyle="solid"/>
            </v:line>
            <v:line style="position:absolute" from="7236,8902" to="7399,8902" stroked="true" strokeweight="2.16pt" strokecolor="#000080">
              <v:stroke dashstyle="solid"/>
            </v:line>
            <v:line style="position:absolute" from="2402,9926" to="2563,9926" stroked="true" strokeweight="1.44pt" strokecolor="#9a3365">
              <v:stroke dashstyle="solid"/>
            </v:line>
            <v:line style="position:absolute" from="2563,9919" to="2712,9919" stroked="true" strokeweight="2.16pt" strokecolor="#9a3365">
              <v:stroke dashstyle="solid"/>
            </v:line>
            <v:line style="position:absolute" from="2710,9912" to="2868,9912" stroked="true" strokeweight="1.44pt" strokecolor="#9a3365">
              <v:stroke dashstyle="solid"/>
            </v:line>
            <v:line style="position:absolute" from="2868,9905" to="3031,9905" stroked="true" strokeweight="2.16pt" strokecolor="#9a3365">
              <v:stroke dashstyle="solid"/>
            </v:line>
            <v:line style="position:absolute" from="3029,9890" to="3192,9890" stroked="true" strokeweight="2.16pt" strokecolor="#9a3365">
              <v:stroke dashstyle="solid"/>
            </v:line>
            <v:line style="position:absolute" from="3190,9876" to="3336,9876" stroked="true" strokeweight="2.16pt" strokecolor="#9a3365">
              <v:stroke dashstyle="solid"/>
            </v:line>
            <v:line style="position:absolute" from="3334,9869" to="3802,9869" stroked="true" strokeweight="1.44pt" strokecolor="#9a3365">
              <v:stroke dashstyle="solid"/>
            </v:line>
            <v:shape style="position:absolute;left:3796;top:9856;width:168;height:84" coordorigin="3797,9857" coordsize="168,84" path="m3806,9857l3797,9883,3955,9941,3965,9914,3806,9857xe" filled="true" fillcolor="#9a3365" stroked="false">
              <v:path arrowok="t"/>
              <v:fill type="solid"/>
            </v:shape>
            <v:line style="position:absolute" from="3960,9926" to="4282,9926" stroked="true" strokeweight="1.44pt" strokecolor="#9a3365">
              <v:stroke dashstyle="solid"/>
            </v:line>
            <v:line style="position:absolute" from="4282,9934" to="4428,9934" stroked="true" strokeweight="2.16pt" strokecolor="#9a3365">
              <v:stroke dashstyle="solid"/>
            </v:line>
            <v:line style="position:absolute" from="4426,9948" to="4589,9948" stroked="true" strokeweight="2.16pt" strokecolor="#9a3365">
              <v:stroke dashstyle="solid"/>
            </v:line>
            <v:line style="position:absolute" from="4586,9962" to="4750,9962" stroked="true" strokeweight="2.16pt" strokecolor="#9a3365">
              <v:stroke dashstyle="solid"/>
            </v:line>
            <v:line style="position:absolute" from="4747,9977" to="4908,9977" stroked="true" strokeweight="2.16pt" strokecolor="#9a3365">
              <v:stroke dashstyle="solid"/>
            </v:line>
            <v:line style="position:absolute" from="4906,9991" to="5054,9991" stroked="true" strokeweight="2.16pt" strokecolor="#9a3365">
              <v:stroke dashstyle="solid"/>
            </v:line>
            <v:line style="position:absolute" from="5052,10006" to="5215,10006" stroked="true" strokeweight="2.16pt" strokecolor="#9a3365">
              <v:stroke dashstyle="solid"/>
            </v:line>
            <v:line style="position:absolute" from="5213,10020" to="5376,10020" stroked="true" strokeweight="2.16pt" strokecolor="#9a3365">
              <v:stroke dashstyle="solid"/>
            </v:line>
            <v:line style="position:absolute" from="5374,10034" to="5520,10034" stroked="true" strokeweight="2.16pt" strokecolor="#9a3365">
              <v:stroke dashstyle="solid"/>
            </v:line>
            <v:line style="position:absolute" from="5518,10049" to="5681,10049" stroked="true" strokeweight="2.16pt" strokecolor="#9a3365">
              <v:stroke dashstyle="solid"/>
            </v:line>
            <v:line style="position:absolute" from="5678,10064" to="5842,10064" stroked="true" strokeweight="2.280pt" strokecolor="#9a3365">
              <v:stroke dashstyle="solid"/>
            </v:line>
            <v:line style="position:absolute" from="5839,10073" to="6000,10073" stroked="true" strokeweight="1.44pt" strokecolor="#9a3365">
              <v:stroke dashstyle="solid"/>
            </v:line>
            <v:line style="position:absolute" from="6000,10079" to="6146,10079" stroked="true" strokeweight="2.04pt" strokecolor="#9a3365">
              <v:stroke dashstyle="solid"/>
            </v:line>
            <v:line style="position:absolute" from="6144,10093" to="6307,10093" stroked="true" strokeweight="2.280pt" strokecolor="#9a3365">
              <v:stroke dashstyle="solid"/>
            </v:line>
            <v:line style="position:absolute" from="6305,10108" to="6468,10108" stroked="true" strokeweight="2.04pt" strokecolor="#9a3365">
              <v:stroke dashstyle="solid"/>
            </v:line>
            <v:line style="position:absolute" from="6466,10122" to="6612,10122" stroked="true" strokeweight="2.280pt" strokecolor="#9a3365">
              <v:stroke dashstyle="solid"/>
            </v:line>
            <v:line style="position:absolute" from="6610,10138" to="6773,10138" stroked="true" strokeweight="2.16pt" strokecolor="#9a3365">
              <v:stroke dashstyle="solid"/>
            </v:line>
            <v:line style="position:absolute" from="6770,10152" to="6934,10152" stroked="true" strokeweight="2.16pt" strokecolor="#9a3365">
              <v:stroke dashstyle="solid"/>
            </v:line>
            <v:shape style="position:absolute;left:6928;top:10144;width:166;height:58" coordorigin="6929,10145" coordsize="166,58" path="m6934,10145l6929,10174,7090,10202,7094,10174,6934,10145xe" filled="true" fillcolor="#9a3365" stroked="false">
              <v:path arrowok="t"/>
              <v:fill type="solid"/>
            </v:shape>
            <v:line style="position:absolute" from="7092,10195" to="7238,10195" stroked="true" strokeweight="2.16pt" strokecolor="#9a3365">
              <v:stroke dashstyle="solid"/>
            </v:line>
            <v:line style="position:absolute" from="7236,10210" to="7399,10210" stroked="true" strokeweight="2.16pt" strokecolor="#9a3365">
              <v:stroke dashstyle="solid"/>
            </v:line>
            <v:line style="position:absolute" from="2402,10166" to="2566,10166" stroked="true" strokeweight="2.16pt" strokecolor="#008000">
              <v:stroke dashstyle="solid"/>
            </v:line>
            <v:line style="position:absolute" from="2563,10181" to="2712,10181" stroked="true" strokeweight="2.16pt" strokecolor="#008000">
              <v:stroke dashstyle="solid"/>
            </v:line>
            <v:line style="position:absolute" from="2710,10195" to="2870,10195" stroked="true" strokeweight="2.16pt" strokecolor="#008000">
              <v:stroke dashstyle="solid"/>
            </v:line>
            <v:line style="position:absolute" from="2868,10210" to="3031,10210" stroked="true" strokeweight="2.16pt" strokecolor="#008000">
              <v:stroke dashstyle="solid"/>
            </v:line>
            <v:line style="position:absolute" from="3029,10224" to="3192,10224" stroked="true" strokeweight="2.16pt" strokecolor="#008000">
              <v:stroke dashstyle="solid"/>
            </v:line>
            <v:shape style="position:absolute;left:3187;top:10219;width:152;height:70" coordorigin="3187,10219" coordsize="152,70" path="m3194,10219l3187,10246,3331,10289,3338,10262,3194,10219xe" filled="true" fillcolor="#008000" stroked="false">
              <v:path arrowok="t"/>
              <v:fill type="solid"/>
            </v:shape>
            <v:line style="position:absolute" from="3334,10282" to="3497,10282" stroked="true" strokeweight="2.16pt" strokecolor="#008000">
              <v:stroke dashstyle="solid"/>
            </v:line>
            <v:shape style="position:absolute;left:3494;top:10290;width:308;height:2" coordorigin="3494,10290" coordsize="308,0" path="m3494,10290l3655,10290m3655,10290l3802,10290e" filled="false" stroked="true" strokeweight="1.56pt" strokecolor="#008000">
              <v:path arrowok="t"/>
              <v:stroke dashstyle="solid"/>
            </v:shape>
            <v:line style="position:absolute" from="3802,10297" to="3962,10297" stroked="true" strokeweight="2.280pt" strokecolor="#008000">
              <v:stroke dashstyle="solid"/>
            </v:line>
            <v:line style="position:absolute" from="3960,10312" to="4123,10312" stroked="true" strokeweight="2.04pt" strokecolor="#008000">
              <v:stroke dashstyle="solid"/>
            </v:line>
            <v:shape style="position:absolute;left:4120;top:10318;width:466;height:2" coordorigin="4121,10319" coordsize="466,0" path="m4121,10319l4282,10319m4282,10319l4426,10319m4426,10319l4586,10319e" filled="false" stroked="true" strokeweight="1.56pt" strokecolor="#008000">
              <v:path arrowok="t"/>
              <v:stroke dashstyle="solid"/>
            </v:shape>
            <v:line style="position:absolute" from="4586,10326" to="4750,10326" stroked="true" strokeweight="2.280pt" strokecolor="#008000">
              <v:stroke dashstyle="solid"/>
            </v:line>
            <v:line style="position:absolute" from="4747,10334" to="4906,10334" stroked="true" strokeweight="1.44pt" strokecolor="#008000">
              <v:stroke dashstyle="solid"/>
            </v:line>
            <v:line style="position:absolute" from="4906,10342" to="5054,10342" stroked="true" strokeweight="2.16pt" strokecolor="#008000">
              <v:stroke dashstyle="solid"/>
            </v:line>
            <v:line style="position:absolute" from="5052,10349" to="5518,10349" stroked="true" strokeweight="1.44pt" strokecolor="#008000">
              <v:stroke dashstyle="solid"/>
            </v:line>
            <v:line style="position:absolute" from="5518,10342" to="5681,10342" stroked="true" strokeweight="2.16pt" strokecolor="#008000">
              <v:stroke dashstyle="solid"/>
            </v:line>
            <v:line style="position:absolute" from="5678,10334" to="5839,10334" stroked="true" strokeweight="1.44pt" strokecolor="#008000">
              <v:stroke dashstyle="solid"/>
            </v:line>
            <v:line style="position:absolute" from="5839,10326" to="6002,10326" stroked="true" strokeweight="2.280pt" strokecolor="#008000">
              <v:stroke dashstyle="solid"/>
            </v:line>
            <v:shape style="position:absolute;left:6000;top:10318;width:1397;height:2" coordorigin="6000,10319" coordsize="1397,0" path="m6000,10319l6144,10319m6144,10319l6305,10319m6305,10319l6466,10319m6466,10319l6610,10319m6610,10319l6770,10319m6770,10319l6931,10319m6931,10319l7092,10319m7092,10319l7236,10319m7236,10319l7397,10319e" filled="false" stroked="true" strokeweight="1.56pt" strokecolor="#008000">
              <v:path arrowok="t"/>
              <v:stroke dashstyle="solid"/>
            </v:shape>
            <v:line style="position:absolute" from="2402,10553" to="3190,10553" stroked="true" strokeweight="1.44pt" strokecolor="#00ffff">
              <v:stroke dashstyle="solid"/>
            </v:line>
            <v:shape style="position:absolute;left:3187;top:10507;width:149;height:60" coordorigin="3187,10507" coordsize="149,60" path="m3331,10507l3187,10538,3192,10567,3336,10536,3331,10507xe" filled="true" fillcolor="#00ffff" stroked="false">
              <v:path arrowok="t"/>
              <v:fill type="solid"/>
            </v:shape>
            <v:line style="position:absolute" from="3334,10514" to="3497,10514" stroked="true" strokeweight="2.16pt" strokecolor="#00ffff">
              <v:stroke dashstyle="solid"/>
            </v:line>
            <v:shape style="position:absolute;left:3494;top:10508;width:932;height:2" coordorigin="3494,10508" coordsize="932,0" path="m3494,10508l3655,10508m3655,10508l3802,10508m3802,10508l3960,10508m3960,10508l4121,10508m4121,10508l4282,10508m4282,10508l4426,10508e" filled="false" stroked="true" strokeweight="1.56pt" strokecolor="#00ffff">
              <v:path arrowok="t"/>
              <v:stroke dashstyle="solid"/>
            </v:shape>
            <v:line style="position:absolute" from="4426,10500" to="4589,10500" stroked="true" strokeweight="2.16pt" strokecolor="#00ffff">
              <v:stroke dashstyle="solid"/>
            </v:line>
            <v:shape style="position:absolute;left:4586;top:10494;width:932;height:2" coordorigin="4586,10494" coordsize="932,0" path="m4586,10494l4747,10494m4747,10494l4906,10494m4906,10494l5052,10494m5052,10494l5213,10494m5213,10494l5374,10494m5374,10494l5518,10494e" filled="false" stroked="true" strokeweight="1.56pt" strokecolor="#00ffff">
              <v:path arrowok="t"/>
              <v:stroke dashstyle="solid"/>
            </v:shape>
            <v:line style="position:absolute" from="5518,10486" to="5681,10486" stroked="true" strokeweight="2.16pt" strokecolor="#00ffff">
              <v:stroke dashstyle="solid"/>
            </v:line>
            <v:shape style="position:absolute;left:5678;top:10479;width:322;height:2" coordorigin="5678,10480" coordsize="322,0" path="m5678,10480l5839,10480m5839,10480l6000,10480e" filled="false" stroked="true" strokeweight="1.56pt" strokecolor="#00ffff">
              <v:path arrowok="t"/>
              <v:stroke dashstyle="solid"/>
            </v:shape>
            <v:line style="position:absolute" from="6000,10471" to="6146,10471" stroked="true" strokeweight="2.16pt" strokecolor="#00ffff">
              <v:stroke dashstyle="solid"/>
            </v:line>
            <v:line style="position:absolute" from="6144,10457" to="6307,10457" stroked="true" strokeweight="2.16pt" strokecolor="#00ffff">
              <v:stroke dashstyle="solid"/>
            </v:line>
            <v:line style="position:absolute" from="6305,10450" to="6466,10450" stroked="true" strokeweight="1.44pt" strokecolor="#00ffff">
              <v:stroke dashstyle="solid"/>
            </v:line>
            <v:line style="position:absolute" from="6466,10442" to="6612,10442" stroked="true" strokeweight="2.16pt" strokecolor="#00ffff">
              <v:stroke dashstyle="solid"/>
            </v:line>
            <v:line style="position:absolute" from="6610,10435" to="6770,10435" stroked="true" strokeweight="1.44pt" strokecolor="#00ffff">
              <v:stroke dashstyle="solid"/>
            </v:line>
            <v:line style="position:absolute" from="6770,10428" to="6934,10428" stroked="true" strokeweight="2.16pt" strokecolor="#00ffff">
              <v:stroke dashstyle="solid"/>
            </v:line>
            <v:line style="position:absolute" from="6931,10414" to="7094,10414" stroked="true" strokeweight="2.16pt" strokecolor="#00ffff">
              <v:stroke dashstyle="solid"/>
            </v:line>
            <v:line style="position:absolute" from="7092,10399" to="7238,10399" stroked="true" strokeweight="2.16pt" strokecolor="#00ffff">
              <v:stroke dashstyle="solid"/>
            </v:line>
            <v:line style="position:absolute" from="7236,10392" to="7397,10392" stroked="true" strokeweight="1.44pt" strokecolor="#00ffff">
              <v:stroke dashstyle="solid"/>
            </v:line>
            <v:shape style="position:absolute;left:2400;top:8500;width:166;height:58" coordorigin="2400,8501" coordsize="166,58" path="m2561,8501l2400,8530,2405,8558,2566,8530,2561,8501xe" filled="true" fillcolor="#ff0000" stroked="false">
              <v:path arrowok="t"/>
              <v:fill type="solid"/>
            </v:shape>
            <v:line style="position:absolute" from="2563,8508" to="2712,8508" stroked="true" strokeweight="2.16pt" strokecolor="#ff0000">
              <v:stroke dashstyle="solid"/>
            </v:line>
            <v:shape style="position:absolute;left:2707;top:8457;width:164;height:58" coordorigin="2707,8458" coordsize="164,58" path="m2866,8458l2707,8486,2712,8515,2870,8486,2866,8458xe" filled="true" fillcolor="#ff0000" stroked="false">
              <v:path arrowok="t"/>
              <v:fill type="solid"/>
            </v:shape>
            <v:line style="position:absolute" from="2868,8465" to="3031,8465" stroked="true" strokeweight="2.16pt" strokecolor="#ff0000">
              <v:stroke dashstyle="solid"/>
            </v:line>
            <v:line style="position:absolute" from="3029,8450" to="3192,8450" stroked="true" strokeweight="2.16pt" strokecolor="#ff0000">
              <v:stroke dashstyle="solid"/>
            </v:line>
            <v:line style="position:absolute" from="3190,8436" to="3336,8436" stroked="true" strokeweight="2.16pt" strokecolor="#ff0000">
              <v:stroke dashstyle="solid"/>
            </v:line>
            <v:line style="position:absolute" from="3334,8422" to="3497,8422" stroked="true" strokeweight="2.16pt" strokecolor="#ff0000">
              <v:stroke dashstyle="solid"/>
            </v:line>
            <v:line style="position:absolute" from="3494,8414" to="3655,8414" stroked="true" strokeweight="1.44pt" strokecolor="#ff0000">
              <v:stroke dashstyle="solid"/>
            </v:line>
            <v:line style="position:absolute" from="3655,8406" to="3804,8406" stroked="true" strokeweight="2.280pt" strokecolor="#ff0000">
              <v:stroke dashstyle="solid"/>
            </v:line>
            <v:line style="position:absolute" from="3802,8399" to="3960,8399" stroked="true" strokeweight="1.56pt" strokecolor="#ff0000">
              <v:stroke dashstyle="solid"/>
            </v:line>
            <v:line style="position:absolute" from="3960,8392" to="4123,8392" stroked="true" strokeweight="2.04pt" strokecolor="#ff0000">
              <v:stroke dashstyle="solid"/>
            </v:line>
            <v:line style="position:absolute" from="4121,8386" to="4282,8386" stroked="true" strokeweight="1.44pt" strokecolor="#ff0000">
              <v:stroke dashstyle="solid"/>
            </v:line>
            <v:line style="position:absolute" from="4282,8377" to="4428,8377" stroked="true" strokeweight="2.280pt" strokecolor="#ff0000">
              <v:stroke dashstyle="solid"/>
            </v:line>
            <v:line style="position:absolute" from="4426,8363" to="4589,8363" stroked="true" strokeweight="2.04pt" strokecolor="#ff0000">
              <v:stroke dashstyle="solid"/>
            </v:line>
            <v:line style="position:absolute" from="4586,8357" to="4747,8357" stroked="true" strokeweight="1.44pt" strokecolor="#ff0000">
              <v:stroke dashstyle="solid"/>
            </v:line>
            <v:line style="position:absolute" from="4747,8348" to="4908,8348" stroked="true" strokeweight="2.280pt" strokecolor="#ff0000">
              <v:stroke dashstyle="solid"/>
            </v:line>
            <v:shape style="position:absolute;left:4905;top:8318;width:310;height:15" coordorigin="4906,8318" coordsize="310,15" path="m4906,8333l5054,8333m5052,8318l5215,8318e" filled="false" stroked="true" strokeweight="2.16pt" strokecolor="#ff0000">
              <v:path arrowok="t"/>
              <v:stroke dashstyle="solid"/>
            </v:shape>
            <v:line style="position:absolute" from="5213,8304" to="5376,8304" stroked="true" strokeweight="2.16pt" strokecolor="#ff0000">
              <v:stroke dashstyle="solid"/>
            </v:line>
            <v:line style="position:absolute" from="5374,8290" to="5520,8290" stroked="true" strokeweight="2.16pt" strokecolor="#ff0000">
              <v:stroke dashstyle="solid"/>
            </v:line>
            <v:line style="position:absolute" from="5518,8275" to="5681,8275" stroked="true" strokeweight="2.16pt" strokecolor="#ff0000">
              <v:stroke dashstyle="solid"/>
            </v:line>
            <v:line style="position:absolute" from="5678,8261" to="5842,8261" stroked="true" strokeweight="2.16pt" strokecolor="#ff0000">
              <v:stroke dashstyle="solid"/>
            </v:line>
            <v:line style="position:absolute" from="5839,8246" to="6002,8246" stroked="true" strokeweight="2.16pt" strokecolor="#ff0000">
              <v:stroke dashstyle="solid"/>
            </v:line>
            <v:line style="position:absolute" from="6000,8232" to="6146,8232" stroked="true" strokeweight="2.16pt" strokecolor="#ff0000">
              <v:stroke dashstyle="solid"/>
            </v:line>
            <v:line style="position:absolute" from="6144,8218" to="6307,8218" stroked="true" strokeweight="2.16pt" strokecolor="#ff0000">
              <v:stroke dashstyle="solid"/>
            </v:line>
            <v:line style="position:absolute" from="6305,8210" to="6466,8210" stroked="true" strokeweight="1.44pt" strokecolor="#ff0000">
              <v:stroke dashstyle="solid"/>
            </v:line>
            <v:line style="position:absolute" from="6466,8203" to="6612,8203" stroked="true" strokeweight="2.16pt" strokecolor="#ff0000">
              <v:stroke dashstyle="solid"/>
            </v:line>
            <v:line style="position:absolute" from="6610,8189" to="6773,8189" stroked="true" strokeweight="2.16pt" strokecolor="#ff0000">
              <v:stroke dashstyle="solid"/>
            </v:line>
            <v:line style="position:absolute" from="6770,8182" to="7092,8182" stroked="true" strokeweight="1.44pt" strokecolor="#ff0000">
              <v:stroke dashstyle="solid"/>
            </v:line>
            <v:line style="position:absolute" from="7092,8174" to="7238,8174" stroked="true" strokeweight="2.16pt" strokecolor="#ff0000">
              <v:stroke dashstyle="solid"/>
            </v:line>
            <v:line style="position:absolute" from="7236,8167" to="7397,8167" stroked="true" strokeweight="1.44pt" strokecolor="#ff0000">
              <v:stroke dashstyle="solid"/>
            </v:line>
            <w10:wrap type="none"/>
          </v:group>
        </w:pict>
      </w:r>
    </w:p>
    <w:tbl>
      <w:tblPr>
        <w:tblW w:w="0" w:type="auto"/>
        <w:jc w:val="left"/>
        <w:tblInd w:w="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2"/>
        <w:gridCol w:w="651"/>
        <w:gridCol w:w="4618"/>
      </w:tblGrid>
      <w:tr>
        <w:trPr>
          <w:trHeight w:val="268" w:hRule="atLeast"/>
        </w:trPr>
        <w:tc>
          <w:tcPr>
            <w:tcW w:w="82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7" w:lineRule="exact" w:before="1"/>
              <w:ind w:left="3675" w:right="3664"/>
              <w:jc w:val="center"/>
              <w:rPr>
                <w:b/>
                <w:sz w:val="23"/>
              </w:rPr>
            </w:pPr>
            <w:r>
              <w:rPr>
                <w:b/>
                <w:sz w:val="23"/>
              </w:rPr>
              <w:t>Figure 5:</w:t>
            </w:r>
          </w:p>
        </w:tc>
      </w:tr>
      <w:tr>
        <w:trPr>
          <w:trHeight w:val="488" w:hRule="atLeast"/>
        </w:trPr>
        <w:tc>
          <w:tcPr>
            <w:tcW w:w="3022" w:type="dxa"/>
            <w:tcBorders>
              <w:top w:val="single" w:sz="4" w:space="0" w:color="000000"/>
              <w:left w:val="single" w:sz="4" w:space="0" w:color="000000"/>
            </w:tcBorders>
          </w:tcPr>
          <w:p>
            <w:pPr>
              <w:pStyle w:val="TableParagraph"/>
              <w:spacing w:before="104"/>
              <w:ind w:left="227"/>
              <w:rPr>
                <w:b/>
                <w:sz w:val="23"/>
              </w:rPr>
            </w:pPr>
            <w:r>
              <w:rPr>
                <w:b/>
                <w:sz w:val="23"/>
              </w:rPr>
              <w:t>Secured </w:t>
            </w:r>
            <w:r>
              <w:rPr>
                <w:b/>
                <w:spacing w:val="-4"/>
                <w:sz w:val="23"/>
              </w:rPr>
              <w:t>debt </w:t>
            </w:r>
            <w:r>
              <w:rPr>
                <w:b/>
                <w:spacing w:val="-5"/>
                <w:sz w:val="23"/>
              </w:rPr>
              <w:t>and </w:t>
            </w:r>
            <w:r>
              <w:rPr>
                <w:b/>
                <w:spacing w:val="-11"/>
                <w:sz w:val="23"/>
              </w:rPr>
              <w:t>borrowing</w:t>
            </w:r>
          </w:p>
        </w:tc>
        <w:tc>
          <w:tcPr>
            <w:tcW w:w="651" w:type="dxa"/>
            <w:tcBorders>
              <w:top w:val="single" w:sz="4" w:space="0" w:color="000000"/>
            </w:tcBorders>
          </w:tcPr>
          <w:p>
            <w:pPr>
              <w:pStyle w:val="TableParagraph"/>
              <w:rPr>
                <w:sz w:val="18"/>
              </w:rPr>
            </w:pPr>
          </w:p>
        </w:tc>
        <w:tc>
          <w:tcPr>
            <w:tcW w:w="4618" w:type="dxa"/>
            <w:tcBorders>
              <w:top w:val="single" w:sz="4" w:space="0" w:color="000000"/>
              <w:right w:val="single" w:sz="4" w:space="0" w:color="000000"/>
            </w:tcBorders>
          </w:tcPr>
          <w:p>
            <w:pPr>
              <w:pStyle w:val="TableParagraph"/>
              <w:rPr>
                <w:sz w:val="18"/>
              </w:rPr>
            </w:pPr>
          </w:p>
        </w:tc>
      </w:tr>
      <w:tr>
        <w:trPr>
          <w:trHeight w:val="457" w:hRule="atLeast"/>
        </w:trPr>
        <w:tc>
          <w:tcPr>
            <w:tcW w:w="3022" w:type="dxa"/>
            <w:tcBorders>
              <w:left w:val="single" w:sz="4" w:space="0" w:color="000000"/>
            </w:tcBorders>
          </w:tcPr>
          <w:p>
            <w:pPr>
              <w:pStyle w:val="TableParagraph"/>
              <w:rPr>
                <w:sz w:val="18"/>
              </w:rPr>
            </w:pPr>
          </w:p>
        </w:tc>
        <w:tc>
          <w:tcPr>
            <w:tcW w:w="651" w:type="dxa"/>
          </w:tcPr>
          <w:p>
            <w:pPr>
              <w:pStyle w:val="TableParagraph"/>
              <w:rPr>
                <w:sz w:val="18"/>
              </w:rPr>
            </w:pPr>
          </w:p>
        </w:tc>
        <w:tc>
          <w:tcPr>
            <w:tcW w:w="4618" w:type="dxa"/>
            <w:tcBorders>
              <w:right w:val="single" w:sz="4" w:space="0" w:color="000000"/>
            </w:tcBorders>
          </w:tcPr>
          <w:p>
            <w:pPr>
              <w:pStyle w:val="TableParagraph"/>
              <w:spacing w:before="111"/>
              <w:ind w:left="162"/>
              <w:rPr>
                <w:b/>
                <w:sz w:val="19"/>
              </w:rPr>
            </w:pPr>
            <w:r>
              <w:rPr>
                <w:b/>
                <w:sz w:val="19"/>
              </w:rPr>
              <w:t>Per cent of annual post-tax income</w:t>
            </w:r>
          </w:p>
        </w:tc>
      </w:tr>
      <w:tr>
        <w:trPr>
          <w:trHeight w:val="357" w:hRule="atLeast"/>
        </w:trPr>
        <w:tc>
          <w:tcPr>
            <w:tcW w:w="3022" w:type="dxa"/>
            <w:tcBorders>
              <w:left w:val="single" w:sz="4" w:space="0" w:color="000000"/>
            </w:tcBorders>
          </w:tcPr>
          <w:p>
            <w:pPr>
              <w:pStyle w:val="TableParagraph"/>
              <w:rPr>
                <w:sz w:val="18"/>
              </w:rPr>
            </w:pPr>
          </w:p>
        </w:tc>
        <w:tc>
          <w:tcPr>
            <w:tcW w:w="651" w:type="dxa"/>
          </w:tcPr>
          <w:p>
            <w:pPr>
              <w:pStyle w:val="TableParagraph"/>
              <w:rPr>
                <w:sz w:val="18"/>
              </w:rPr>
            </w:pPr>
          </w:p>
        </w:tc>
        <w:tc>
          <w:tcPr>
            <w:tcW w:w="4618" w:type="dxa"/>
            <w:tcBorders>
              <w:right w:val="single" w:sz="4" w:space="0" w:color="000000"/>
            </w:tcBorders>
          </w:tcPr>
          <w:p>
            <w:pPr>
              <w:pStyle w:val="TableParagraph"/>
              <w:spacing w:line="218" w:lineRule="exact" w:before="119"/>
              <w:ind w:left="2323" w:right="1964"/>
              <w:jc w:val="center"/>
              <w:rPr>
                <w:b/>
                <w:sz w:val="19"/>
              </w:rPr>
            </w:pPr>
            <w:r>
              <w:rPr>
                <w:b/>
                <w:sz w:val="19"/>
              </w:rPr>
              <w:t>100</w:t>
            </w:r>
          </w:p>
        </w:tc>
      </w:tr>
      <w:tr>
        <w:trPr>
          <w:trHeight w:val="248" w:hRule="atLeast"/>
        </w:trPr>
        <w:tc>
          <w:tcPr>
            <w:tcW w:w="3022" w:type="dxa"/>
            <w:tcBorders>
              <w:left w:val="single" w:sz="4" w:space="0" w:color="000000"/>
            </w:tcBorders>
          </w:tcPr>
          <w:p>
            <w:pPr>
              <w:pStyle w:val="TableParagraph"/>
              <w:rPr>
                <w:sz w:val="18"/>
              </w:rPr>
            </w:pPr>
          </w:p>
        </w:tc>
        <w:tc>
          <w:tcPr>
            <w:tcW w:w="651" w:type="dxa"/>
          </w:tcPr>
          <w:p>
            <w:pPr>
              <w:pStyle w:val="TableParagraph"/>
              <w:rPr>
                <w:sz w:val="18"/>
              </w:rPr>
            </w:pPr>
          </w:p>
        </w:tc>
        <w:tc>
          <w:tcPr>
            <w:tcW w:w="4618" w:type="dxa"/>
            <w:tcBorders>
              <w:right w:val="single" w:sz="4" w:space="0" w:color="000000"/>
            </w:tcBorders>
          </w:tcPr>
          <w:p>
            <w:pPr>
              <w:pStyle w:val="TableParagraph"/>
              <w:spacing w:line="217" w:lineRule="exact" w:before="11"/>
              <w:ind w:left="2230" w:right="1964"/>
              <w:jc w:val="center"/>
              <w:rPr>
                <w:b/>
                <w:sz w:val="19"/>
              </w:rPr>
            </w:pPr>
            <w:r>
              <w:rPr>
                <w:b/>
                <w:sz w:val="19"/>
              </w:rPr>
              <w:t>90</w:t>
            </w:r>
          </w:p>
        </w:tc>
      </w:tr>
      <w:tr>
        <w:trPr>
          <w:trHeight w:val="255" w:hRule="atLeast"/>
        </w:trPr>
        <w:tc>
          <w:tcPr>
            <w:tcW w:w="3022" w:type="dxa"/>
            <w:tcBorders>
              <w:left w:val="single" w:sz="4" w:space="0" w:color="000000"/>
            </w:tcBorders>
          </w:tcPr>
          <w:p>
            <w:pPr>
              <w:pStyle w:val="TableParagraph"/>
              <w:rPr>
                <w:sz w:val="18"/>
              </w:rPr>
            </w:pPr>
          </w:p>
        </w:tc>
        <w:tc>
          <w:tcPr>
            <w:tcW w:w="651" w:type="dxa"/>
          </w:tcPr>
          <w:p>
            <w:pPr>
              <w:pStyle w:val="TableParagraph"/>
              <w:rPr>
                <w:sz w:val="18"/>
              </w:rPr>
            </w:pPr>
          </w:p>
        </w:tc>
        <w:tc>
          <w:tcPr>
            <w:tcW w:w="4618" w:type="dxa"/>
            <w:tcBorders>
              <w:right w:val="single" w:sz="4" w:space="0" w:color="000000"/>
            </w:tcBorders>
          </w:tcPr>
          <w:p>
            <w:pPr>
              <w:pStyle w:val="TableParagraph"/>
              <w:spacing w:before="10"/>
              <w:ind w:left="2230" w:right="1964"/>
              <w:jc w:val="center"/>
              <w:rPr>
                <w:b/>
                <w:sz w:val="19"/>
              </w:rPr>
            </w:pPr>
            <w:r>
              <w:rPr>
                <w:b/>
                <w:sz w:val="19"/>
              </w:rPr>
              <w:t>80</w:t>
            </w:r>
          </w:p>
        </w:tc>
      </w:tr>
      <w:tr>
        <w:trPr>
          <w:trHeight w:val="255" w:hRule="atLeast"/>
        </w:trPr>
        <w:tc>
          <w:tcPr>
            <w:tcW w:w="3022" w:type="dxa"/>
            <w:tcBorders>
              <w:left w:val="single" w:sz="4" w:space="0" w:color="000000"/>
            </w:tcBorders>
          </w:tcPr>
          <w:p>
            <w:pPr>
              <w:pStyle w:val="TableParagraph"/>
              <w:rPr>
                <w:sz w:val="18"/>
              </w:rPr>
            </w:pPr>
          </w:p>
        </w:tc>
        <w:tc>
          <w:tcPr>
            <w:tcW w:w="651" w:type="dxa"/>
          </w:tcPr>
          <w:p>
            <w:pPr>
              <w:pStyle w:val="TableParagraph"/>
              <w:rPr>
                <w:sz w:val="18"/>
              </w:rPr>
            </w:pPr>
          </w:p>
        </w:tc>
        <w:tc>
          <w:tcPr>
            <w:tcW w:w="4618" w:type="dxa"/>
            <w:tcBorders>
              <w:right w:val="single" w:sz="4" w:space="0" w:color="000000"/>
            </w:tcBorders>
          </w:tcPr>
          <w:p>
            <w:pPr>
              <w:pStyle w:val="TableParagraph"/>
              <w:spacing w:line="217" w:lineRule="exact" w:before="18"/>
              <w:ind w:left="2230" w:right="1964"/>
              <w:jc w:val="center"/>
              <w:rPr>
                <w:b/>
                <w:sz w:val="19"/>
              </w:rPr>
            </w:pPr>
            <w:r>
              <w:rPr>
                <w:b/>
                <w:sz w:val="19"/>
              </w:rPr>
              <w:t>70</w:t>
            </w:r>
          </w:p>
        </w:tc>
      </w:tr>
      <w:tr>
        <w:trPr>
          <w:trHeight w:val="247" w:hRule="atLeast"/>
        </w:trPr>
        <w:tc>
          <w:tcPr>
            <w:tcW w:w="3022" w:type="dxa"/>
            <w:tcBorders>
              <w:left w:val="single" w:sz="4" w:space="0" w:color="000000"/>
            </w:tcBorders>
          </w:tcPr>
          <w:p>
            <w:pPr>
              <w:pStyle w:val="TableParagraph"/>
              <w:rPr>
                <w:sz w:val="18"/>
              </w:rPr>
            </w:pPr>
          </w:p>
        </w:tc>
        <w:tc>
          <w:tcPr>
            <w:tcW w:w="651" w:type="dxa"/>
          </w:tcPr>
          <w:p>
            <w:pPr>
              <w:pStyle w:val="TableParagraph"/>
              <w:rPr>
                <w:sz w:val="18"/>
              </w:rPr>
            </w:pPr>
          </w:p>
        </w:tc>
        <w:tc>
          <w:tcPr>
            <w:tcW w:w="4618" w:type="dxa"/>
            <w:tcBorders>
              <w:right w:val="single" w:sz="4" w:space="0" w:color="000000"/>
            </w:tcBorders>
          </w:tcPr>
          <w:p>
            <w:pPr>
              <w:pStyle w:val="TableParagraph"/>
              <w:spacing w:line="217" w:lineRule="exact" w:before="10"/>
              <w:ind w:left="2230" w:right="1964"/>
              <w:jc w:val="center"/>
              <w:rPr>
                <w:b/>
                <w:sz w:val="19"/>
              </w:rPr>
            </w:pPr>
            <w:r>
              <w:rPr>
                <w:b/>
                <w:sz w:val="19"/>
              </w:rPr>
              <w:t>60</w:t>
            </w:r>
          </w:p>
        </w:tc>
      </w:tr>
      <w:tr>
        <w:trPr>
          <w:trHeight w:val="248" w:hRule="atLeast"/>
        </w:trPr>
        <w:tc>
          <w:tcPr>
            <w:tcW w:w="3022" w:type="dxa"/>
            <w:tcBorders>
              <w:left w:val="single" w:sz="4" w:space="0" w:color="000000"/>
            </w:tcBorders>
          </w:tcPr>
          <w:p>
            <w:pPr>
              <w:pStyle w:val="TableParagraph"/>
              <w:rPr>
                <w:sz w:val="18"/>
              </w:rPr>
            </w:pPr>
          </w:p>
        </w:tc>
        <w:tc>
          <w:tcPr>
            <w:tcW w:w="651" w:type="dxa"/>
          </w:tcPr>
          <w:p>
            <w:pPr>
              <w:pStyle w:val="TableParagraph"/>
              <w:rPr>
                <w:sz w:val="18"/>
              </w:rPr>
            </w:pPr>
          </w:p>
        </w:tc>
        <w:tc>
          <w:tcPr>
            <w:tcW w:w="4618" w:type="dxa"/>
            <w:tcBorders>
              <w:right w:val="single" w:sz="4" w:space="0" w:color="000000"/>
            </w:tcBorders>
          </w:tcPr>
          <w:p>
            <w:pPr>
              <w:pStyle w:val="TableParagraph"/>
              <w:spacing w:line="218" w:lineRule="exact" w:before="10"/>
              <w:ind w:left="2230" w:right="1964"/>
              <w:jc w:val="center"/>
              <w:rPr>
                <w:b/>
                <w:sz w:val="19"/>
              </w:rPr>
            </w:pPr>
            <w:r>
              <w:rPr>
                <w:b/>
                <w:sz w:val="19"/>
              </w:rPr>
              <w:t>50</w:t>
            </w:r>
          </w:p>
        </w:tc>
      </w:tr>
      <w:tr>
        <w:trPr>
          <w:trHeight w:val="248" w:hRule="atLeast"/>
        </w:trPr>
        <w:tc>
          <w:tcPr>
            <w:tcW w:w="3022" w:type="dxa"/>
            <w:tcBorders>
              <w:left w:val="single" w:sz="4" w:space="0" w:color="000000"/>
            </w:tcBorders>
          </w:tcPr>
          <w:p>
            <w:pPr>
              <w:pStyle w:val="TableParagraph"/>
              <w:rPr>
                <w:sz w:val="18"/>
              </w:rPr>
            </w:pPr>
          </w:p>
        </w:tc>
        <w:tc>
          <w:tcPr>
            <w:tcW w:w="651" w:type="dxa"/>
          </w:tcPr>
          <w:p>
            <w:pPr>
              <w:pStyle w:val="TableParagraph"/>
              <w:rPr>
                <w:sz w:val="18"/>
              </w:rPr>
            </w:pPr>
          </w:p>
        </w:tc>
        <w:tc>
          <w:tcPr>
            <w:tcW w:w="4618" w:type="dxa"/>
            <w:tcBorders>
              <w:right w:val="single" w:sz="4" w:space="0" w:color="000000"/>
            </w:tcBorders>
          </w:tcPr>
          <w:p>
            <w:pPr>
              <w:pStyle w:val="TableParagraph"/>
              <w:spacing w:line="217" w:lineRule="exact" w:before="11"/>
              <w:ind w:left="2230" w:right="1964"/>
              <w:jc w:val="center"/>
              <w:rPr>
                <w:b/>
                <w:sz w:val="19"/>
              </w:rPr>
            </w:pPr>
            <w:r>
              <w:rPr>
                <w:b/>
                <w:sz w:val="19"/>
              </w:rPr>
              <w:t>40</w:t>
            </w:r>
          </w:p>
        </w:tc>
      </w:tr>
      <w:tr>
        <w:trPr>
          <w:trHeight w:val="254" w:hRule="atLeast"/>
        </w:trPr>
        <w:tc>
          <w:tcPr>
            <w:tcW w:w="3022" w:type="dxa"/>
            <w:tcBorders>
              <w:left w:val="single" w:sz="4" w:space="0" w:color="000000"/>
            </w:tcBorders>
          </w:tcPr>
          <w:p>
            <w:pPr>
              <w:pStyle w:val="TableParagraph"/>
              <w:rPr>
                <w:sz w:val="18"/>
              </w:rPr>
            </w:pPr>
          </w:p>
        </w:tc>
        <w:tc>
          <w:tcPr>
            <w:tcW w:w="651" w:type="dxa"/>
          </w:tcPr>
          <w:p>
            <w:pPr>
              <w:pStyle w:val="TableParagraph"/>
              <w:rPr>
                <w:sz w:val="18"/>
              </w:rPr>
            </w:pPr>
          </w:p>
        </w:tc>
        <w:tc>
          <w:tcPr>
            <w:tcW w:w="4618" w:type="dxa"/>
            <w:tcBorders>
              <w:right w:val="single" w:sz="4" w:space="0" w:color="000000"/>
            </w:tcBorders>
          </w:tcPr>
          <w:p>
            <w:pPr>
              <w:pStyle w:val="TableParagraph"/>
              <w:spacing w:before="10"/>
              <w:ind w:left="2230" w:right="1964"/>
              <w:jc w:val="center"/>
              <w:rPr>
                <w:b/>
                <w:sz w:val="19"/>
              </w:rPr>
            </w:pPr>
            <w:r>
              <w:rPr>
                <w:b/>
                <w:sz w:val="19"/>
              </w:rPr>
              <w:t>30</w:t>
            </w:r>
          </w:p>
        </w:tc>
      </w:tr>
      <w:tr>
        <w:trPr>
          <w:trHeight w:val="255" w:hRule="atLeast"/>
        </w:trPr>
        <w:tc>
          <w:tcPr>
            <w:tcW w:w="3022" w:type="dxa"/>
            <w:tcBorders>
              <w:left w:val="single" w:sz="4" w:space="0" w:color="000000"/>
            </w:tcBorders>
          </w:tcPr>
          <w:p>
            <w:pPr>
              <w:pStyle w:val="TableParagraph"/>
              <w:rPr>
                <w:sz w:val="18"/>
              </w:rPr>
            </w:pPr>
          </w:p>
        </w:tc>
        <w:tc>
          <w:tcPr>
            <w:tcW w:w="651" w:type="dxa"/>
          </w:tcPr>
          <w:p>
            <w:pPr>
              <w:pStyle w:val="TableParagraph"/>
              <w:rPr>
                <w:sz w:val="18"/>
              </w:rPr>
            </w:pPr>
          </w:p>
        </w:tc>
        <w:tc>
          <w:tcPr>
            <w:tcW w:w="4618" w:type="dxa"/>
            <w:tcBorders>
              <w:right w:val="single" w:sz="4" w:space="0" w:color="000000"/>
            </w:tcBorders>
          </w:tcPr>
          <w:p>
            <w:pPr>
              <w:pStyle w:val="TableParagraph"/>
              <w:spacing w:line="218" w:lineRule="exact" w:before="17"/>
              <w:ind w:left="2230" w:right="1964"/>
              <w:jc w:val="center"/>
              <w:rPr>
                <w:b/>
                <w:sz w:val="19"/>
              </w:rPr>
            </w:pPr>
            <w:r>
              <w:rPr>
                <w:b/>
                <w:sz w:val="19"/>
              </w:rPr>
              <w:t>20</w:t>
            </w:r>
          </w:p>
        </w:tc>
      </w:tr>
      <w:tr>
        <w:trPr>
          <w:trHeight w:val="248" w:hRule="atLeast"/>
        </w:trPr>
        <w:tc>
          <w:tcPr>
            <w:tcW w:w="3022" w:type="dxa"/>
            <w:tcBorders>
              <w:left w:val="single" w:sz="4" w:space="0" w:color="000000"/>
            </w:tcBorders>
          </w:tcPr>
          <w:p>
            <w:pPr>
              <w:pStyle w:val="TableParagraph"/>
              <w:rPr>
                <w:sz w:val="18"/>
              </w:rPr>
            </w:pPr>
          </w:p>
        </w:tc>
        <w:tc>
          <w:tcPr>
            <w:tcW w:w="651" w:type="dxa"/>
          </w:tcPr>
          <w:p>
            <w:pPr>
              <w:pStyle w:val="TableParagraph"/>
              <w:rPr>
                <w:sz w:val="18"/>
              </w:rPr>
            </w:pPr>
          </w:p>
        </w:tc>
        <w:tc>
          <w:tcPr>
            <w:tcW w:w="4618" w:type="dxa"/>
            <w:tcBorders>
              <w:right w:val="single" w:sz="4" w:space="0" w:color="000000"/>
            </w:tcBorders>
          </w:tcPr>
          <w:p>
            <w:pPr>
              <w:pStyle w:val="TableParagraph"/>
              <w:spacing w:line="217" w:lineRule="exact" w:before="11"/>
              <w:ind w:left="2230" w:right="1964"/>
              <w:jc w:val="center"/>
              <w:rPr>
                <w:b/>
                <w:sz w:val="19"/>
              </w:rPr>
            </w:pPr>
            <w:r>
              <w:rPr>
                <w:b/>
                <w:sz w:val="19"/>
              </w:rPr>
              <w:t>10</w:t>
            </w:r>
          </w:p>
        </w:tc>
      </w:tr>
      <w:tr>
        <w:trPr>
          <w:trHeight w:val="262" w:hRule="atLeast"/>
        </w:trPr>
        <w:tc>
          <w:tcPr>
            <w:tcW w:w="3022" w:type="dxa"/>
            <w:tcBorders>
              <w:left w:val="single" w:sz="4" w:space="0" w:color="000000"/>
            </w:tcBorders>
          </w:tcPr>
          <w:p>
            <w:pPr>
              <w:pStyle w:val="TableParagraph"/>
              <w:rPr>
                <w:sz w:val="18"/>
              </w:rPr>
            </w:pPr>
          </w:p>
        </w:tc>
        <w:tc>
          <w:tcPr>
            <w:tcW w:w="651" w:type="dxa"/>
          </w:tcPr>
          <w:p>
            <w:pPr>
              <w:pStyle w:val="TableParagraph"/>
              <w:rPr>
                <w:sz w:val="18"/>
              </w:rPr>
            </w:pPr>
          </w:p>
        </w:tc>
        <w:tc>
          <w:tcPr>
            <w:tcW w:w="4618" w:type="dxa"/>
            <w:tcBorders>
              <w:right w:val="single" w:sz="4" w:space="0" w:color="000000"/>
            </w:tcBorders>
          </w:tcPr>
          <w:p>
            <w:pPr>
              <w:pStyle w:val="TableParagraph"/>
              <w:spacing w:before="10"/>
              <w:ind w:left="155"/>
              <w:jc w:val="center"/>
              <w:rPr>
                <w:b/>
                <w:sz w:val="19"/>
              </w:rPr>
            </w:pPr>
            <w:r>
              <w:rPr>
                <w:b/>
                <w:w w:val="99"/>
                <w:sz w:val="19"/>
              </w:rPr>
              <w:t>0</w:t>
            </w:r>
          </w:p>
        </w:tc>
      </w:tr>
      <w:tr>
        <w:trPr>
          <w:trHeight w:val="390" w:hRule="atLeast"/>
        </w:trPr>
        <w:tc>
          <w:tcPr>
            <w:tcW w:w="3022" w:type="dxa"/>
            <w:tcBorders>
              <w:left w:val="single" w:sz="4" w:space="0" w:color="000000"/>
              <w:bottom w:val="single" w:sz="4" w:space="0" w:color="000000"/>
            </w:tcBorders>
          </w:tcPr>
          <w:p>
            <w:pPr>
              <w:pStyle w:val="TableParagraph"/>
              <w:tabs>
                <w:tab w:pos="1175" w:val="left" w:leader="none"/>
                <w:tab w:pos="2138" w:val="left" w:leader="none"/>
              </w:tabs>
              <w:spacing w:before="26"/>
              <w:ind w:left="213"/>
              <w:rPr>
                <w:b/>
                <w:sz w:val="19"/>
              </w:rPr>
            </w:pPr>
            <w:r>
              <w:rPr>
                <w:b/>
                <w:spacing w:val="5"/>
                <w:sz w:val="19"/>
              </w:rPr>
              <w:t>1975</w:t>
              <w:tab/>
              <w:t>1980</w:t>
              <w:tab/>
            </w:r>
            <w:r>
              <w:rPr>
                <w:b/>
                <w:spacing w:val="7"/>
                <w:sz w:val="19"/>
              </w:rPr>
              <w:t>1985</w:t>
            </w:r>
          </w:p>
        </w:tc>
        <w:tc>
          <w:tcPr>
            <w:tcW w:w="651" w:type="dxa"/>
            <w:tcBorders>
              <w:bottom w:val="single" w:sz="4" w:space="0" w:color="000000"/>
            </w:tcBorders>
          </w:tcPr>
          <w:p>
            <w:pPr>
              <w:pStyle w:val="TableParagraph"/>
              <w:spacing w:before="26"/>
              <w:ind w:left="100"/>
              <w:rPr>
                <w:b/>
                <w:sz w:val="19"/>
              </w:rPr>
            </w:pPr>
            <w:r>
              <w:rPr>
                <w:b/>
                <w:sz w:val="19"/>
              </w:rPr>
              <w:t>1990</w:t>
            </w:r>
          </w:p>
        </w:tc>
        <w:tc>
          <w:tcPr>
            <w:tcW w:w="4618" w:type="dxa"/>
            <w:tcBorders>
              <w:bottom w:val="single" w:sz="4" w:space="0" w:color="000000"/>
              <w:right w:val="single" w:sz="4" w:space="0" w:color="000000"/>
            </w:tcBorders>
          </w:tcPr>
          <w:p>
            <w:pPr>
              <w:pStyle w:val="TableParagraph"/>
              <w:tabs>
                <w:tab w:pos="1388" w:val="left" w:leader="none"/>
              </w:tabs>
              <w:spacing w:before="26"/>
              <w:ind w:left="411"/>
              <w:rPr>
                <w:b/>
                <w:sz w:val="19"/>
              </w:rPr>
            </w:pPr>
            <w:r>
              <w:rPr>
                <w:b/>
                <w:spacing w:val="4"/>
                <w:sz w:val="19"/>
              </w:rPr>
              <w:t>1995</w:t>
              <w:tab/>
            </w:r>
            <w:r>
              <w:rPr>
                <w:b/>
                <w:spacing w:val="7"/>
                <w:sz w:val="19"/>
              </w:rPr>
              <w:t>2000</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5"/>
        </w:rPr>
      </w:pPr>
    </w:p>
    <w:tbl>
      <w:tblPr>
        <w:tblW w:w="0" w:type="auto"/>
        <w:jc w:val="left"/>
        <w:tblInd w:w="9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72"/>
      </w:tblGrid>
      <w:tr>
        <w:trPr>
          <w:trHeight w:val="268" w:hRule="atLeast"/>
        </w:trPr>
        <w:tc>
          <w:tcPr>
            <w:tcW w:w="8272" w:type="dxa"/>
          </w:tcPr>
          <w:p>
            <w:pPr>
              <w:pStyle w:val="TableParagraph"/>
              <w:spacing w:line="242" w:lineRule="exact" w:before="6"/>
              <w:ind w:left="3661" w:right="3621"/>
              <w:jc w:val="center"/>
              <w:rPr>
                <w:b/>
                <w:sz w:val="24"/>
              </w:rPr>
            </w:pPr>
            <w:r>
              <w:rPr>
                <w:b/>
                <w:sz w:val="24"/>
              </w:rPr>
              <w:t>Figure 6:</w:t>
            </w:r>
          </w:p>
        </w:tc>
      </w:tr>
      <w:tr>
        <w:trPr>
          <w:trHeight w:val="4012" w:hRule="atLeast"/>
        </w:trPr>
        <w:tc>
          <w:tcPr>
            <w:tcW w:w="8272" w:type="dxa"/>
          </w:tcPr>
          <w:p>
            <w:pPr>
              <w:pStyle w:val="TableParagraph"/>
              <w:spacing w:before="109"/>
              <w:ind w:left="227"/>
              <w:rPr>
                <w:b/>
                <w:sz w:val="24"/>
              </w:rPr>
            </w:pPr>
            <w:r>
              <w:rPr>
                <w:b/>
                <w:sz w:val="24"/>
              </w:rPr>
              <w:t>Home ownership rates</w:t>
            </w:r>
          </w:p>
          <w:p>
            <w:pPr>
              <w:pStyle w:val="TableParagraph"/>
              <w:spacing w:before="56"/>
              <w:ind w:left="3184"/>
              <w:rPr>
                <w:b/>
                <w:sz w:val="18"/>
              </w:rPr>
            </w:pPr>
            <w:r>
              <w:rPr>
                <w:b/>
                <w:sz w:val="18"/>
              </w:rPr>
              <w:t>Dwellings per person of working age</w:t>
            </w:r>
          </w:p>
          <w:p>
            <w:pPr>
              <w:pStyle w:val="TableParagraph"/>
              <w:spacing w:before="40"/>
              <w:ind w:left="5572"/>
              <w:rPr>
                <w:b/>
                <w:sz w:val="18"/>
              </w:rPr>
            </w:pPr>
            <w:r>
              <w:rPr>
                <w:b/>
                <w:sz w:val="18"/>
              </w:rPr>
              <w:t>0.8</w:t>
            </w:r>
          </w:p>
          <w:p>
            <w:pPr>
              <w:pStyle w:val="TableParagraph"/>
              <w:tabs>
                <w:tab w:pos="5800" w:val="right" w:leader="none"/>
              </w:tabs>
              <w:spacing w:before="54"/>
              <w:ind w:left="1406"/>
              <w:rPr>
                <w:b/>
                <w:sz w:val="18"/>
              </w:rPr>
            </w:pPr>
            <w:r>
              <w:rPr>
                <w:b/>
                <w:color w:val="FF0000"/>
                <w:sz w:val="16"/>
              </w:rPr>
              <w:t>Total dwellings</w:t>
              <w:tab/>
            </w:r>
            <w:r>
              <w:rPr>
                <w:b/>
                <w:position w:val="-8"/>
                <w:sz w:val="18"/>
              </w:rPr>
              <w:t>0.7</w:t>
            </w:r>
          </w:p>
          <w:p>
            <w:pPr>
              <w:pStyle w:val="TableParagraph"/>
              <w:spacing w:before="131"/>
              <w:ind w:left="5572"/>
              <w:rPr>
                <w:b/>
                <w:sz w:val="18"/>
              </w:rPr>
            </w:pPr>
            <w:r>
              <w:rPr>
                <w:b/>
                <w:sz w:val="18"/>
              </w:rPr>
              <w:t>0.6</w:t>
            </w:r>
          </w:p>
          <w:p>
            <w:pPr>
              <w:pStyle w:val="TableParagraph"/>
              <w:spacing w:before="126"/>
              <w:ind w:left="5572"/>
              <w:rPr>
                <w:b/>
                <w:sz w:val="18"/>
              </w:rPr>
            </w:pPr>
            <w:r>
              <w:rPr>
                <w:b/>
                <w:sz w:val="18"/>
              </w:rPr>
              <w:t>0.5</w:t>
            </w:r>
          </w:p>
          <w:p>
            <w:pPr>
              <w:pStyle w:val="TableParagraph"/>
              <w:spacing w:line="158" w:lineRule="exact" w:before="11"/>
              <w:ind w:left="1423"/>
              <w:rPr>
                <w:b/>
                <w:sz w:val="16"/>
              </w:rPr>
            </w:pPr>
            <w:r>
              <w:rPr>
                <w:b/>
                <w:color w:val="000080"/>
                <w:sz w:val="16"/>
              </w:rPr>
              <w:t>Owner occupied</w:t>
            </w:r>
          </w:p>
          <w:p>
            <w:pPr>
              <w:pStyle w:val="TableParagraph"/>
              <w:spacing w:line="181" w:lineRule="exact"/>
              <w:ind w:left="5572"/>
              <w:rPr>
                <w:b/>
                <w:sz w:val="18"/>
              </w:rPr>
            </w:pPr>
            <w:r>
              <w:rPr>
                <w:b/>
                <w:sz w:val="18"/>
              </w:rPr>
              <w:t>0.4</w:t>
            </w:r>
          </w:p>
          <w:p>
            <w:pPr>
              <w:pStyle w:val="TableParagraph"/>
              <w:tabs>
                <w:tab w:pos="5800" w:val="right" w:leader="none"/>
              </w:tabs>
              <w:spacing w:before="126"/>
              <w:ind w:left="2690"/>
              <w:rPr>
                <w:b/>
                <w:sz w:val="18"/>
              </w:rPr>
            </w:pPr>
            <w:r>
              <w:rPr>
                <w:b/>
                <w:color w:val="800080"/>
                <w:sz w:val="16"/>
              </w:rPr>
              <w:t>Rented from</w:t>
            </w:r>
            <w:r>
              <w:rPr>
                <w:b/>
                <w:color w:val="800080"/>
                <w:spacing w:val="-4"/>
                <w:sz w:val="16"/>
              </w:rPr>
              <w:t> </w:t>
            </w:r>
            <w:r>
              <w:rPr>
                <w:b/>
                <w:color w:val="800080"/>
                <w:sz w:val="16"/>
              </w:rPr>
              <w:t>local</w:t>
              <w:tab/>
            </w:r>
            <w:r>
              <w:rPr>
                <w:b/>
                <w:position w:val="7"/>
                <w:sz w:val="18"/>
              </w:rPr>
              <w:t>0.3</w:t>
            </w:r>
          </w:p>
          <w:p>
            <w:pPr>
              <w:pStyle w:val="TableParagraph"/>
              <w:tabs>
                <w:tab w:pos="5800" w:val="right" w:leader="none"/>
              </w:tabs>
              <w:spacing w:before="18"/>
              <w:ind w:left="3199"/>
              <w:rPr>
                <w:b/>
                <w:sz w:val="18"/>
              </w:rPr>
            </w:pPr>
            <w:r>
              <w:rPr>
                <w:b/>
                <w:color w:val="800080"/>
                <w:sz w:val="16"/>
              </w:rPr>
              <w:t>authorities</w:t>
              <w:tab/>
            </w:r>
            <w:r>
              <w:rPr>
                <w:b/>
                <w:position w:val="-5"/>
                <w:sz w:val="18"/>
              </w:rPr>
              <w:t>0.2</w:t>
            </w:r>
          </w:p>
          <w:p>
            <w:pPr>
              <w:pStyle w:val="TableParagraph"/>
              <w:tabs>
                <w:tab w:pos="5800" w:val="right" w:leader="none"/>
              </w:tabs>
              <w:spacing w:line="211" w:lineRule="auto" w:before="49"/>
              <w:ind w:left="1670"/>
              <w:rPr>
                <w:b/>
                <w:sz w:val="18"/>
              </w:rPr>
            </w:pPr>
            <w:r>
              <w:rPr>
                <w:b/>
                <w:color w:val="008000"/>
                <w:sz w:val="16"/>
              </w:rPr>
              <w:t>Private rents</w:t>
              <w:tab/>
            </w:r>
            <w:r>
              <w:rPr>
                <w:b/>
                <w:position w:val="-10"/>
                <w:sz w:val="18"/>
              </w:rPr>
              <w:t>0.1</w:t>
            </w:r>
          </w:p>
          <w:p>
            <w:pPr>
              <w:pStyle w:val="TableParagraph"/>
              <w:spacing w:line="155" w:lineRule="exact"/>
              <w:ind w:left="302"/>
              <w:rPr>
                <w:b/>
                <w:sz w:val="16"/>
              </w:rPr>
            </w:pPr>
            <w:r>
              <w:rPr>
                <w:b/>
                <w:color w:val="00FFFF"/>
                <w:sz w:val="16"/>
              </w:rPr>
              <w:t>Housing association</w:t>
            </w:r>
          </w:p>
          <w:p>
            <w:pPr>
              <w:pStyle w:val="TableParagraph"/>
              <w:spacing w:line="194" w:lineRule="exact"/>
              <w:ind w:left="5572"/>
              <w:rPr>
                <w:b/>
                <w:sz w:val="18"/>
              </w:rPr>
            </w:pPr>
            <w:r>
              <w:rPr>
                <w:b/>
                <w:sz w:val="18"/>
              </w:rPr>
              <w:t>0.0</w:t>
            </w:r>
          </w:p>
          <w:p>
            <w:pPr>
              <w:pStyle w:val="TableParagraph"/>
              <w:tabs>
                <w:tab w:pos="1014" w:val="left" w:leader="none"/>
                <w:tab w:pos="1785" w:val="left" w:leader="none"/>
                <w:tab w:pos="2572" w:val="left" w:leader="none"/>
                <w:tab w:pos="3342" w:val="left" w:leader="none"/>
                <w:tab w:pos="4130" w:val="left" w:leader="none"/>
                <w:tab w:pos="4917" w:val="left" w:leader="none"/>
              </w:tabs>
              <w:spacing w:before="69"/>
              <w:ind w:left="227"/>
              <w:rPr>
                <w:b/>
                <w:sz w:val="18"/>
              </w:rPr>
            </w:pPr>
            <w:r>
              <w:rPr>
                <w:b/>
                <w:sz w:val="18"/>
              </w:rPr>
              <w:t>1970</w:t>
              <w:tab/>
              <w:t>1975</w:t>
              <w:tab/>
              <w:t>1980</w:t>
              <w:tab/>
              <w:t>1985</w:t>
              <w:tab/>
              <w:t>1990</w:t>
              <w:tab/>
              <w:t>1995</w:t>
              <w:tab/>
              <w:t>2000</w:t>
            </w:r>
          </w:p>
        </w:tc>
      </w:tr>
      <w:tr>
        <w:trPr>
          <w:trHeight w:val="175" w:hRule="atLeast"/>
        </w:trPr>
        <w:tc>
          <w:tcPr>
            <w:tcW w:w="8272" w:type="dxa"/>
            <w:tcBorders>
              <w:bottom w:val="single" w:sz="6" w:space="0" w:color="000000"/>
            </w:tcBorders>
          </w:tcPr>
          <w:p>
            <w:pPr>
              <w:pStyle w:val="TableParagraph"/>
              <w:spacing w:line="156" w:lineRule="exact"/>
              <w:ind w:left="103"/>
              <w:rPr>
                <w:sz w:val="16"/>
              </w:rPr>
            </w:pPr>
            <w:r>
              <w:rPr>
                <w:sz w:val="16"/>
              </w:rPr>
              <w:t>Source: Bank of England</w:t>
            </w:r>
          </w:p>
        </w:tc>
      </w:tr>
    </w:tbl>
    <w:p>
      <w:pPr>
        <w:spacing w:after="0" w:line="156" w:lineRule="exact"/>
        <w:rPr>
          <w:sz w:val="16"/>
        </w:rPr>
        <w:sectPr>
          <w:pgSz w:w="12240" w:h="15840"/>
          <w:pgMar w:header="209" w:footer="0" w:top="840" w:bottom="280" w:left="1000" w:right="1220"/>
        </w:sectPr>
      </w:pPr>
    </w:p>
    <w:p>
      <w:pPr>
        <w:pStyle w:val="BodyText"/>
        <w:spacing w:before="7"/>
        <w:rPr>
          <w:sz w:val="7"/>
        </w:rPr>
      </w:pPr>
      <w:r>
        <w:rPr/>
        <w:pict>
          <v:shape style="position:absolute;margin-left:399.9599pt;margin-top:357.724976pt;width:30.5pt;height:11.05pt;mso-position-horizontal-relative:page;mso-position-vertical-relative:page;z-index:-254228480" type="#_x0000_t202" filled="false" stroked="false">
            <v:textbox inset="0,0,0,0">
              <w:txbxContent>
                <w:p>
                  <w:pPr>
                    <w:spacing w:line="221" w:lineRule="exact" w:before="0"/>
                    <w:ind w:left="0" w:right="0" w:firstLine="0"/>
                    <w:jc w:val="left"/>
                    <w:rPr>
                      <w:b/>
                      <w:sz w:val="20"/>
                    </w:rPr>
                  </w:pPr>
                  <w:r>
                    <w:rPr>
                      <w:b/>
                      <w:w w:val="95"/>
                      <w:sz w:val="20"/>
                    </w:rPr>
                    <w:t>income</w:t>
                  </w:r>
                </w:p>
              </w:txbxContent>
            </v:textbox>
            <w10:wrap type="none"/>
          </v:shape>
        </w:pict>
      </w:r>
      <w:r>
        <w:rPr/>
        <w:pict>
          <v:group style="position:absolute;margin-left:125.626503pt;margin-top:94.379997pt;width:281.2pt;height:124.15pt;mso-position-horizontal-relative:page;mso-position-vertical-relative:page;z-index:-254227456" coordorigin="2513,1888" coordsize="5624,2483">
            <v:shape style="position:absolute;left:2534;top:1888;width:5602;height:2482" coordorigin="2534,1889" coordsize="5602,2482" path="m8078,1889l8078,4313m8078,4313l8136,4313m8078,3830l8136,3830m8078,3350l8136,3350m8078,2854l8136,2854m8078,2371l8136,2371m8078,1889l8136,1889m2534,4313l8078,4313m2534,4370l2534,4313m3146,4370l3146,4313m3761,4370l3761,4313m4387,4370l4387,4313m4999,4370l4999,4313m5614,4370l5614,4313m6226,4370l6226,4313m6852,4370l6852,4313m7464,4370l7464,4313m8078,4370l8078,4313e" filled="false" stroked="true" strokeweight=".12pt" strokecolor="#000000">
              <v:path arrowok="t"/>
              <v:stroke dashstyle="solid"/>
            </v:shape>
            <v:line style="position:absolute" from="2534,3130" to="2606,3029" stroked="true" strokeweight="2.187pt" strokecolor="#000080">
              <v:stroke dashstyle="solid"/>
            </v:line>
            <v:line style="position:absolute" from="2606,3029" to="2695,3000" stroked="true" strokeweight="2.187pt" strokecolor="#000080">
              <v:stroke dashstyle="solid"/>
            </v:line>
            <v:line style="position:absolute" from="2695,3000" to="2767,2897" stroked="true" strokeweight="2.187pt" strokecolor="#000080">
              <v:stroke dashstyle="solid"/>
            </v:line>
            <v:shape style="position:absolute;left:2767;top:2313;width:5076;height:1416" coordorigin="2767,2314" coordsize="5076,1416" path="m2767,2897l2842,3276m2842,3276l2914,3451m2914,3451l3002,3626m3002,3626l3074,3730m3074,3730l3146,3626m3146,3626l3235,3365m3235,3365l3307,3365m3307,3365l3382,3612m3382,3612l3454,3655m3454,3655l3540,3494m3540,3494l3614,3437m3614,3437l3686,3175m3686,3175l3761,3334m3761,3334l3847,3262m3847,3262l3919,3262m3919,3262l3994,3086m3994,3086l4080,3365m4080,3365l4154,3233m4154,3233l4226,3000m4226,3000l4301,3000m4301,3000l4387,2983m4387,2983l4459,3043m4459,3043l4534,3175m4534,3175l4620,3072m4620,3072l4694,2926m4694,2926l4766,2750m4766,2750l4838,2750m4838,2750l4927,3072m4927,3072l4999,2794m4999,2794l5074,2839m5074,2839l5146,2678m5146,2678l5232,2707m5232,2707l5306,3014m5306,3014l5378,2882m5378,2882l5467,3115m5467,3115l5539,3175m5539,3175l5614,3247m5614,3247l5686,3290m5686,3290l5772,3480m5772,3480l5846,3365m5846,3365l5918,3247m5918,3247l6007,3290m6007,3290l6079,3130m6079,3130l6151,3190m6151,3190l6226,3014m6226,3014l6312,2940m6312,2940l6386,3014m6386,3014l6458,2969m6458,2969l6530,2940m6530,2940l6619,2825m6619,2825l6691,2750m6691,2750l6766,2707m6766,2707l6852,2839m6852,2839l6926,2765m6926,2765l6998,2722m6998,2722l7070,2722m7070,2722l7159,2765m7159,2765l7231,2664m7231,2664l7306,2618m7306,2618l7392,2664m7392,2664l7464,2650m7464,2650l7538,2707m7538,2707l7610,2650m7610,2650l7699,2503m7699,2503l7771,2342m7771,2342l7843,2314e" filled="false" stroked="true" strokeweight="2.187pt" strokecolor="#000080">
              <v:path arrowok="t"/>
              <v:stroke dashstyle="solid"/>
            </v:shape>
            <v:line style="position:absolute" from="7843,2314" to="7918,2518" stroked="true" strokeweight="2.187pt" strokecolor="#000080">
              <v:stroke dashstyle="solid"/>
            </v:line>
            <v:line style="position:absolute" from="7918,2518" to="8004,2371" stroked="true" strokeweight="2.187pt" strokecolor="#000080">
              <v:stroke dashstyle="solid"/>
            </v:line>
            <v:line style="position:absolute" from="8004,2371" to="8078,2239" stroked="true" strokeweight="2.187pt" strokecolor="#000080">
              <v:stroke dashstyle="solid"/>
            </v:line>
            <v:line style="position:absolute" from="2534,3350" to="2606,3350" stroked="true" strokeweight=".729pt" strokecolor="#000000">
              <v:stroke dashstyle="solid"/>
            </v:line>
            <v:line style="position:absolute" from="2606,3350" to="2695,3350" stroked="true" strokeweight=".729pt" strokecolor="#000000">
              <v:stroke dashstyle="solid"/>
            </v:line>
            <v:line style="position:absolute" from="2695,3350" to="8004,3350" stroked="true" strokeweight=".729pt" strokecolor="#000000">
              <v:stroke dashstyle="solid"/>
            </v:line>
            <v:line style="position:absolute" from="8004,3350" to="8078,3350" stroked="true" strokeweight=".729pt" strokecolor="#000000">
              <v:stroke dashstyle="solid"/>
            </v:line>
            <w10:wrap type="none"/>
          </v:group>
        </w:pict>
      </w:r>
      <w:r>
        <w:rPr/>
        <w:pict>
          <v:group style="position:absolute;margin-left:115.019997pt;margin-top:358.440002pt;width:322.5pt;height:144.3pt;mso-position-horizontal-relative:page;mso-position-vertical-relative:page;z-index:-254226432" coordorigin="2300,7169" coordsize="6450,2886">
            <v:shape style="position:absolute;left:2301;top:7653;width:5115;height:2400" coordorigin="2302,7654" coordsize="5115,2400" path="m7358,7654l7358,10051m7358,10051l7416,10054m7358,9746l7416,9749m7358,9456l7416,9458m7358,9151l7416,9151m7358,8861l7416,8861m7358,8556l7416,8556m7358,8251l7416,8251m7358,7958l7416,7961m7358,7654l7416,7656m2302,8861l7358,8861m2782,8861l2782,8818m3730,8861l3730,8818m4678,8861l4678,8818e" filled="false" stroked="true" strokeweight=".12pt" strokecolor="#000000">
              <v:path arrowok="t"/>
              <v:stroke dashstyle="solid"/>
            </v:shape>
            <v:line style="position:absolute" from="5624,8816" to="5624,8862" stroked="true" strokeweight=".24pt" strokecolor="#000000">
              <v:stroke dashstyle="solid"/>
            </v:line>
            <v:shape style="position:absolute;left:2301;top:8817;width:4738;height:101" coordorigin="2302,8818" coordsize="4738,101" path="m6571,8861l6571,8818m2302,8918l2302,8861m3250,8918l3250,8861m4195,8918l4198,8861m5143,8918l5143,8861m6089,8918l6091,8861m7037,8918l7039,8861e" filled="false" stroked="true" strokeweight=".12pt" strokecolor="#000000">
              <v:path arrowok="t"/>
              <v:stroke dashstyle="solid"/>
            </v:shape>
            <v:shape style="position:absolute;left:2452;top:8376;width:1913;height:593" coordorigin="2453,8376" coordsize="1913,593" path="m4366,8520l4044,8376,4035,8396,4030,8376,3725,8462,3732,8486,3720,8462,3398,8638,3408,8657,3396,8640,3075,8872,2787,8927,2474,8741,2453,8777,2772,8966,2783,8948,2786,8969,3091,8911,3088,8891,3098,8906,3417,8676,3418,8676,3737,8502,3737,8503,4036,8418,4349,8558,4366,8520e" filled="true" fillcolor="#000080" stroked="false">
              <v:path arrowok="t"/>
              <v:fill type="solid"/>
            </v:shape>
            <v:line style="position:absolute" from="4356,8548" to="4680,8548" stroked="true" strokeweight="3pt" strokecolor="#000080">
              <v:stroke dashstyle="solid"/>
            </v:line>
            <v:shape style="position:absolute;left:4675;top:8476;width:629;height:101" coordorigin="4675,8477" coordsize="629,101" path="m5304,8506l4985,8477,4983,8495,4980,8479,4675,8537,4682,8578,4985,8520,5299,8549,5304,8506e" filled="true" fillcolor="#000080" stroked="false">
              <v:path arrowok="t"/>
              <v:fill type="solid"/>
            </v:shape>
            <v:line style="position:absolute" from="5302,8533" to="5626,8533" stroked="true" strokeweight="2.76pt" strokecolor="#000080">
              <v:stroke dashstyle="solid"/>
            </v:line>
            <v:shape style="position:absolute;left:5608;top:8524;width:1592;height:387" coordorigin="5609,8525" coordsize="1592,387" path="m7200,8868l6878,8839,6574,8810,6571,8832,6569,8810,6249,8853,5941,8826,5640,8525,5609,8556,5916,8863,5930,8849,5928,8868,6247,8897,6250,8875,6252,8897,6572,8854,6874,8882,7195,8911,7200,8868e" filled="true" fillcolor="#000080" stroked="false">
              <v:path arrowok="t"/>
              <v:fill type="solid"/>
            </v:shape>
            <v:line style="position:absolute" from="2462,7916" to="2782,7916" stroked="true" strokeweight="2.280pt" strokecolor="#ff00ff">
              <v:stroke dashstyle="solid"/>
            </v:line>
            <v:shape style="position:absolute;left:2772;top:7896;width:2218;height:449" coordorigin="2772,7896" coordsize="2218,449" path="m4990,8170l4978,8129,4673,8215,4361,8301,4044,8129,3739,7999,3729,8024,3732,7997,3410,7966,3408,7988,3403,7968,3091,8040,2791,7896,2772,7934,3077,8081,3086,8062,3091,8083,3411,8009,3723,8040,3722,8040,4027,8170,4028,8169,4346,8342,4357,8322,4363,8345,4685,8256,4990,8170e" filled="true" fillcolor="#ff00ff" stroked="false">
              <v:path arrowok="t"/>
              <v:fill type="solid"/>
            </v:shape>
            <v:line style="position:absolute" from="4982,8155" to="5304,8155" stroked="true" strokeweight="2.88pt" strokecolor="#ff00ff">
              <v:stroke dashstyle="solid"/>
            </v:line>
            <v:shape style="position:absolute;left:5299;top:8097;width:960;height:291" coordorigin="5299,8098" coordsize="960,291" path="m6259,8256l6242,8215,5935,8342,5638,8102,5623,8121,5621,8098,5299,8141,5304,8184,5618,8142,5918,8383,5931,8367,5940,8388,6259,8256e" filled="true" fillcolor="#ff00ff" stroked="false">
              <v:path arrowok="t"/>
              <v:fill type="solid"/>
            </v:shape>
            <v:line style="position:absolute" from="6250,8228" to="6574,8228" stroked="true" strokeweight="2.76pt" strokecolor="#ff00ff">
              <v:stroke dashstyle="solid"/>
            </v:line>
            <v:shape style="position:absolute;left:6568;top:7987;width:641;height:257" coordorigin="6569,7987" coordsize="641,257" path="m7210,8023l7188,7987,6874,8170,6874,8170,6569,8201,6574,8244,6878,8213,6876,8190,6888,8210,7210,8023e" filled="true" fillcolor="#ff00ff" stroked="false">
              <v:path arrowok="t"/>
              <v:fill type="solid"/>
            </v:shape>
            <v:shape style="position:absolute;left:2452;top:9076;width:1594;height:836" coordorigin="2453,9077" coordsize="1594,836" path="m4046,9110l4022,9077,3718,9295,3718,9296,3399,9496,3398,9494,3077,9670,3089,9694,3074,9672,2781,9868,2474,9686,2453,9722,2772,9912,2782,9895,2794,9912,3098,9708,3098,9707,3418,9533,3406,9509,3420,9533,3742,9331,3733,9316,3742,9329,4046,9110e" filled="true" fillcolor="#00ff00" stroked="false">
              <v:path arrowok="t"/>
              <v:fill type="solid"/>
            </v:shape>
            <v:line style="position:absolute" from="4034,9086" to="4358,9086" stroked="true" strokeweight="2.88pt" strokecolor="#00ff00">
              <v:stroke dashstyle="solid"/>
            </v:line>
            <v:shape style="position:absolute;left:4351;top:9060;width:634;height:156" coordorigin="4351,9060" coordsize="634,156" path="m4985,9173l4680,9144,4680,9145,4363,9060,4351,9101,4673,9187,4677,9174,4675,9187,4980,9216,4985,9173e" filled="true" fillcolor="#00ff00" stroked="false">
              <v:path arrowok="t"/>
              <v:fill type="solid"/>
            </v:shape>
            <v:line style="position:absolute" from="4982,9202" to="5304,9202" stroked="true" strokeweight="2.88pt" strokecolor="#00ff00">
              <v:stroke dashstyle="solid"/>
            </v:line>
            <v:shape style="position:absolute;left:5296;top:9189;width:963;height:315" coordorigin="5297,9190" coordsize="963,315" path="m6259,9466l5940,9307,5930,9326,5933,9305,5626,9262,5625,9263,5306,9190,5297,9230,5618,9305,5623,9285,5621,9305,5925,9348,6240,9504,6259,9466e" filled="true" fillcolor="#00ff00" stroked="false">
              <v:path arrowok="t"/>
              <v:fill type="solid"/>
            </v:shape>
            <v:line style="position:absolute" from="6250,9478" to="6574,9478" stroked="true" strokeweight="2.88pt" strokecolor="#00ff00">
              <v:stroke dashstyle="solid"/>
            </v:line>
            <v:shape style="position:absolute;left:6568;top:9451;width:641;height:315" coordorigin="6569,9451" coordsize="641,315" path="m7210,9730l6888,9514,6878,9529,6881,9511,6576,9451,6569,9492,6865,9550,7186,9766,7210,9730e" filled="true" fillcolor="#00ff00" stroked="false">
              <v:path arrowok="t"/>
              <v:fill type="solid"/>
            </v:shape>
            <v:shape style="position:absolute;left:7416;top:7452;width:598;height:449" coordorigin="7416,7452" coordsize="598,449" path="m7999,7452l7416,7858,7430,7901,8014,7495,7999,7452xe" filled="true" fillcolor="#ff00ff" stroked="false">
              <v:path arrowok="t"/>
              <v:fill type="solid"/>
            </v:shape>
            <v:rect style="position:absolute;left:7999;top:7190;width:716;height:420" filled="true" fillcolor="#ffffff" stroked="false">
              <v:fill type="solid"/>
            </v:rect>
            <v:rect style="position:absolute;left:7999;top:7190;width:716;height:420" filled="false" stroked="true" strokeweight="2.16pt" strokecolor="#ff00ff">
              <v:stroke dashstyle="solid"/>
            </v:rect>
            <v:shape style="position:absolute;left:7430;top:8409;width:598;height:466" coordorigin="7430,8410" coordsize="598,466" path="m8014,8410l7430,8832,7445,8875,8028,8453,8014,8410xe" filled="true" fillcolor="#000080" stroked="false">
              <v:path arrowok="t"/>
              <v:fill type="solid"/>
            </v:shape>
            <v:rect style="position:absolute;left:8013;top:8148;width:701;height:437" filled="false" stroked="true" strokeweight="2.16pt" strokecolor="#000080">
              <v:stroke dashstyle="solid"/>
            </v:rect>
            <v:shape style="position:absolute;left:7315;top:9283;width:656;height:449" coordorigin="7315,9283" coordsize="656,449" path="m7956,9283l7315,9689,7330,9732,7970,9326,7956,9283xe" filled="true" fillcolor="#00ff00" stroked="false">
              <v:path arrowok="t"/>
              <v:fill type="solid"/>
            </v:shape>
            <v:rect style="position:absolute;left:7956;top:9021;width:773;height:420" filled="false" stroked="true" strokeweight="2.16pt" strokecolor="#00ff00">
              <v:stroke dashstyle="solid"/>
            </v:rect>
            <w10:wrap type="none"/>
          </v:group>
        </w:pict>
      </w:r>
    </w:p>
    <w:tbl>
      <w:tblPr>
        <w:tblW w:w="0" w:type="auto"/>
        <w:jc w:val="left"/>
        <w:tblInd w:w="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64"/>
        <w:gridCol w:w="3728"/>
      </w:tblGrid>
      <w:tr>
        <w:trPr>
          <w:trHeight w:val="268" w:hRule="atLeast"/>
        </w:trPr>
        <w:tc>
          <w:tcPr>
            <w:tcW w:w="82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before="1"/>
              <w:ind w:left="3618" w:right="3608"/>
              <w:jc w:val="center"/>
              <w:rPr>
                <w:b/>
                <w:sz w:val="23"/>
              </w:rPr>
            </w:pPr>
            <w:r>
              <w:rPr>
                <w:b/>
                <w:sz w:val="23"/>
              </w:rPr>
              <w:t>Figure 7:</w:t>
            </w:r>
          </w:p>
        </w:tc>
      </w:tr>
      <w:tr>
        <w:trPr>
          <w:trHeight w:val="342" w:hRule="atLeast"/>
        </w:trPr>
        <w:tc>
          <w:tcPr>
            <w:tcW w:w="4564" w:type="dxa"/>
            <w:tcBorders>
              <w:top w:val="single" w:sz="4" w:space="0" w:color="000000"/>
              <w:left w:val="single" w:sz="4" w:space="0" w:color="000000"/>
            </w:tcBorders>
          </w:tcPr>
          <w:p>
            <w:pPr>
              <w:pStyle w:val="TableParagraph"/>
              <w:spacing w:line="218" w:lineRule="exact" w:before="104"/>
              <w:ind w:left="227"/>
              <w:rPr>
                <w:b/>
                <w:sz w:val="23"/>
              </w:rPr>
            </w:pPr>
            <w:r>
              <w:rPr>
                <w:b/>
                <w:sz w:val="23"/>
              </w:rPr>
              <w:t>Terms of trade (goods)</w:t>
            </w:r>
          </w:p>
        </w:tc>
        <w:tc>
          <w:tcPr>
            <w:tcW w:w="3728" w:type="dxa"/>
            <w:tcBorders>
              <w:top w:val="single" w:sz="4" w:space="0" w:color="000000"/>
              <w:right w:val="single" w:sz="4" w:space="0" w:color="000000"/>
            </w:tcBorders>
          </w:tcPr>
          <w:p>
            <w:pPr>
              <w:pStyle w:val="TableParagraph"/>
              <w:rPr>
                <w:sz w:val="18"/>
              </w:rPr>
            </w:pPr>
          </w:p>
        </w:tc>
      </w:tr>
      <w:tr>
        <w:trPr>
          <w:trHeight w:val="202" w:hRule="atLeast"/>
        </w:trPr>
        <w:tc>
          <w:tcPr>
            <w:tcW w:w="4564" w:type="dxa"/>
            <w:tcBorders>
              <w:left w:val="single" w:sz="4" w:space="0" w:color="000000"/>
            </w:tcBorders>
          </w:tcPr>
          <w:p>
            <w:pPr>
              <w:pStyle w:val="TableParagraph"/>
              <w:rPr>
                <w:sz w:val="14"/>
              </w:rPr>
            </w:pPr>
          </w:p>
        </w:tc>
        <w:tc>
          <w:tcPr>
            <w:tcW w:w="3728" w:type="dxa"/>
            <w:tcBorders>
              <w:right w:val="single" w:sz="4" w:space="0" w:color="000000"/>
            </w:tcBorders>
          </w:tcPr>
          <w:p>
            <w:pPr>
              <w:pStyle w:val="TableParagraph"/>
              <w:spacing w:line="183" w:lineRule="exact"/>
              <w:ind w:right="1663"/>
              <w:jc w:val="right"/>
              <w:rPr>
                <w:b/>
                <w:sz w:val="19"/>
              </w:rPr>
            </w:pPr>
            <w:r>
              <w:rPr>
                <w:b/>
                <w:sz w:val="19"/>
              </w:rPr>
              <w:t>Index (1995=100)</w:t>
            </w:r>
          </w:p>
        </w:tc>
      </w:tr>
      <w:tr>
        <w:trPr>
          <w:trHeight w:val="364" w:hRule="atLeast"/>
        </w:trPr>
        <w:tc>
          <w:tcPr>
            <w:tcW w:w="4564" w:type="dxa"/>
            <w:tcBorders>
              <w:left w:val="single" w:sz="4" w:space="0" w:color="000000"/>
            </w:tcBorders>
          </w:tcPr>
          <w:p>
            <w:pPr>
              <w:pStyle w:val="TableParagraph"/>
              <w:rPr>
                <w:sz w:val="18"/>
              </w:rPr>
            </w:pPr>
          </w:p>
        </w:tc>
        <w:tc>
          <w:tcPr>
            <w:tcW w:w="3728" w:type="dxa"/>
            <w:tcBorders>
              <w:right w:val="single" w:sz="4" w:space="0" w:color="000000"/>
            </w:tcBorders>
          </w:tcPr>
          <w:p>
            <w:pPr>
              <w:pStyle w:val="TableParagraph"/>
              <w:spacing w:before="11"/>
              <w:ind w:right="1718"/>
              <w:jc w:val="right"/>
              <w:rPr>
                <w:b/>
                <w:sz w:val="19"/>
              </w:rPr>
            </w:pPr>
            <w:r>
              <w:rPr>
                <w:b/>
                <w:w w:val="95"/>
                <w:sz w:val="19"/>
              </w:rPr>
              <w:t>115</w:t>
            </w:r>
          </w:p>
        </w:tc>
      </w:tr>
      <w:tr>
        <w:trPr>
          <w:trHeight w:val="340" w:hRule="atLeast"/>
        </w:trPr>
        <w:tc>
          <w:tcPr>
            <w:tcW w:w="4564" w:type="dxa"/>
            <w:tcBorders>
              <w:left w:val="single" w:sz="4" w:space="0" w:color="000000"/>
            </w:tcBorders>
          </w:tcPr>
          <w:p>
            <w:pPr>
              <w:pStyle w:val="TableParagraph"/>
              <w:rPr>
                <w:sz w:val="18"/>
              </w:rPr>
            </w:pPr>
          </w:p>
        </w:tc>
        <w:tc>
          <w:tcPr>
            <w:tcW w:w="3728" w:type="dxa"/>
            <w:tcBorders>
              <w:right w:val="single" w:sz="4" w:space="0" w:color="000000"/>
            </w:tcBorders>
          </w:tcPr>
          <w:p>
            <w:pPr>
              <w:pStyle w:val="TableParagraph"/>
              <w:spacing w:line="194" w:lineRule="exact" w:before="126"/>
              <w:ind w:right="1718"/>
              <w:jc w:val="right"/>
              <w:rPr>
                <w:b/>
                <w:sz w:val="19"/>
              </w:rPr>
            </w:pPr>
            <w:r>
              <w:rPr>
                <w:b/>
                <w:w w:val="95"/>
                <w:sz w:val="19"/>
              </w:rPr>
              <w:t>110</w:t>
            </w:r>
          </w:p>
        </w:tc>
      </w:tr>
      <w:tr>
        <w:trPr>
          <w:trHeight w:val="241" w:hRule="atLeast"/>
        </w:trPr>
        <w:tc>
          <w:tcPr>
            <w:tcW w:w="4564" w:type="dxa"/>
            <w:tcBorders>
              <w:left w:val="single" w:sz="4" w:space="0" w:color="000000"/>
            </w:tcBorders>
          </w:tcPr>
          <w:p>
            <w:pPr>
              <w:pStyle w:val="TableParagraph"/>
              <w:spacing w:line="206" w:lineRule="exact"/>
              <w:ind w:left="1146"/>
              <w:rPr>
                <w:sz w:val="19"/>
              </w:rPr>
            </w:pPr>
            <w:r>
              <w:rPr>
                <w:sz w:val="19"/>
              </w:rPr>
              <w:t>Goods terms of trade</w:t>
            </w:r>
          </w:p>
        </w:tc>
        <w:tc>
          <w:tcPr>
            <w:tcW w:w="3728" w:type="dxa"/>
            <w:tcBorders>
              <w:right w:val="single" w:sz="4" w:space="0" w:color="000000"/>
            </w:tcBorders>
          </w:tcPr>
          <w:p>
            <w:pPr>
              <w:pStyle w:val="TableParagraph"/>
              <w:rPr>
                <w:sz w:val="16"/>
              </w:rPr>
            </w:pPr>
          </w:p>
        </w:tc>
      </w:tr>
      <w:tr>
        <w:trPr>
          <w:trHeight w:val="388" w:hRule="atLeast"/>
        </w:trPr>
        <w:tc>
          <w:tcPr>
            <w:tcW w:w="4564" w:type="dxa"/>
            <w:tcBorders>
              <w:left w:val="single" w:sz="4" w:space="0" w:color="000000"/>
            </w:tcBorders>
          </w:tcPr>
          <w:p>
            <w:pPr>
              <w:pStyle w:val="TableParagraph"/>
              <w:rPr>
                <w:sz w:val="18"/>
              </w:rPr>
            </w:pPr>
          </w:p>
        </w:tc>
        <w:tc>
          <w:tcPr>
            <w:tcW w:w="3728" w:type="dxa"/>
            <w:tcBorders>
              <w:right w:val="single" w:sz="4" w:space="0" w:color="000000"/>
            </w:tcBorders>
          </w:tcPr>
          <w:p>
            <w:pPr>
              <w:pStyle w:val="TableParagraph"/>
              <w:spacing w:before="27"/>
              <w:ind w:right="1718"/>
              <w:jc w:val="right"/>
              <w:rPr>
                <w:b/>
                <w:sz w:val="19"/>
              </w:rPr>
            </w:pPr>
            <w:r>
              <w:rPr>
                <w:b/>
                <w:w w:val="95"/>
                <w:sz w:val="19"/>
              </w:rPr>
              <w:t>105</w:t>
            </w:r>
          </w:p>
        </w:tc>
      </w:tr>
      <w:tr>
        <w:trPr>
          <w:trHeight w:val="489" w:hRule="atLeast"/>
        </w:trPr>
        <w:tc>
          <w:tcPr>
            <w:tcW w:w="4564" w:type="dxa"/>
            <w:tcBorders>
              <w:left w:val="single" w:sz="4" w:space="0" w:color="000000"/>
            </w:tcBorders>
          </w:tcPr>
          <w:p>
            <w:pPr>
              <w:pStyle w:val="TableParagraph"/>
              <w:rPr>
                <w:sz w:val="18"/>
              </w:rPr>
            </w:pPr>
          </w:p>
        </w:tc>
        <w:tc>
          <w:tcPr>
            <w:tcW w:w="3728" w:type="dxa"/>
            <w:tcBorders>
              <w:right w:val="single" w:sz="4" w:space="0" w:color="000000"/>
            </w:tcBorders>
          </w:tcPr>
          <w:p>
            <w:pPr>
              <w:pStyle w:val="TableParagraph"/>
              <w:spacing w:before="135"/>
              <w:ind w:right="1718"/>
              <w:jc w:val="right"/>
              <w:rPr>
                <w:b/>
                <w:sz w:val="19"/>
              </w:rPr>
            </w:pPr>
            <w:r>
              <w:rPr>
                <w:b/>
                <w:w w:val="95"/>
                <w:sz w:val="19"/>
              </w:rPr>
              <w:t>100</w:t>
            </w:r>
          </w:p>
        </w:tc>
      </w:tr>
      <w:tr>
        <w:trPr>
          <w:trHeight w:val="481" w:hRule="atLeast"/>
        </w:trPr>
        <w:tc>
          <w:tcPr>
            <w:tcW w:w="4564" w:type="dxa"/>
            <w:tcBorders>
              <w:left w:val="single" w:sz="4" w:space="0" w:color="000000"/>
            </w:tcBorders>
          </w:tcPr>
          <w:p>
            <w:pPr>
              <w:pStyle w:val="TableParagraph"/>
              <w:rPr>
                <w:sz w:val="18"/>
              </w:rPr>
            </w:pPr>
          </w:p>
        </w:tc>
        <w:tc>
          <w:tcPr>
            <w:tcW w:w="3728" w:type="dxa"/>
            <w:tcBorders>
              <w:right w:val="single" w:sz="4" w:space="0" w:color="000000"/>
            </w:tcBorders>
          </w:tcPr>
          <w:p>
            <w:pPr>
              <w:pStyle w:val="TableParagraph"/>
              <w:spacing w:before="128"/>
              <w:ind w:left="1681" w:right="1811"/>
              <w:jc w:val="center"/>
              <w:rPr>
                <w:b/>
                <w:sz w:val="19"/>
              </w:rPr>
            </w:pPr>
            <w:r>
              <w:rPr>
                <w:b/>
                <w:sz w:val="19"/>
              </w:rPr>
              <w:t>95</w:t>
            </w:r>
          </w:p>
        </w:tc>
      </w:tr>
      <w:tr>
        <w:trPr>
          <w:trHeight w:val="379" w:hRule="atLeast"/>
        </w:trPr>
        <w:tc>
          <w:tcPr>
            <w:tcW w:w="4564" w:type="dxa"/>
            <w:tcBorders>
              <w:left w:val="single" w:sz="4" w:space="0" w:color="000000"/>
            </w:tcBorders>
          </w:tcPr>
          <w:p>
            <w:pPr>
              <w:pStyle w:val="TableParagraph"/>
              <w:rPr>
                <w:sz w:val="18"/>
              </w:rPr>
            </w:pPr>
          </w:p>
        </w:tc>
        <w:tc>
          <w:tcPr>
            <w:tcW w:w="3728" w:type="dxa"/>
            <w:tcBorders>
              <w:right w:val="single" w:sz="4" w:space="0" w:color="000000"/>
            </w:tcBorders>
          </w:tcPr>
          <w:p>
            <w:pPr>
              <w:pStyle w:val="TableParagraph"/>
              <w:spacing w:before="126"/>
              <w:ind w:left="1681" w:right="1811"/>
              <w:jc w:val="center"/>
              <w:rPr>
                <w:b/>
                <w:sz w:val="19"/>
              </w:rPr>
            </w:pPr>
            <w:r>
              <w:rPr>
                <w:b/>
                <w:sz w:val="19"/>
              </w:rPr>
              <w:t>90</w:t>
            </w:r>
          </w:p>
        </w:tc>
      </w:tr>
      <w:tr>
        <w:trPr>
          <w:trHeight w:val="522" w:hRule="atLeast"/>
        </w:trPr>
        <w:tc>
          <w:tcPr>
            <w:tcW w:w="4564" w:type="dxa"/>
            <w:tcBorders>
              <w:left w:val="single" w:sz="4" w:space="0" w:color="000000"/>
              <w:bottom w:val="single" w:sz="4" w:space="0" w:color="000000"/>
            </w:tcBorders>
          </w:tcPr>
          <w:p>
            <w:pPr>
              <w:pStyle w:val="TableParagraph"/>
              <w:tabs>
                <w:tab w:pos="971" w:val="left" w:leader="none"/>
                <w:tab w:pos="1586" w:val="left" w:leader="none"/>
                <w:tab w:pos="2212" w:val="left" w:leader="none"/>
                <w:tab w:pos="2824" w:val="left" w:leader="none"/>
                <w:tab w:pos="3436" w:val="left" w:leader="none"/>
                <w:tab w:pos="4050" w:val="left" w:leader="none"/>
              </w:tabs>
              <w:spacing w:before="26"/>
              <w:ind w:left="359"/>
              <w:rPr>
                <w:b/>
                <w:sz w:val="19"/>
              </w:rPr>
            </w:pPr>
            <w:r>
              <w:rPr>
                <w:b/>
                <w:spacing w:val="5"/>
                <w:sz w:val="19"/>
              </w:rPr>
              <w:t>1985</w:t>
              <w:tab/>
              <w:t>1987</w:t>
              <w:tab/>
            </w:r>
            <w:r>
              <w:rPr>
                <w:b/>
                <w:spacing w:val="4"/>
                <w:sz w:val="19"/>
              </w:rPr>
              <w:t>1989</w:t>
              <w:tab/>
            </w:r>
            <w:r>
              <w:rPr>
                <w:b/>
                <w:spacing w:val="5"/>
                <w:sz w:val="19"/>
              </w:rPr>
              <w:t>1991</w:t>
              <w:tab/>
              <w:t>1993</w:t>
              <w:tab/>
              <w:t>1995</w:t>
              <w:tab/>
            </w:r>
            <w:r>
              <w:rPr>
                <w:b/>
                <w:spacing w:val="4"/>
                <w:sz w:val="19"/>
              </w:rPr>
              <w:t>1997</w:t>
            </w:r>
          </w:p>
        </w:tc>
        <w:tc>
          <w:tcPr>
            <w:tcW w:w="3728" w:type="dxa"/>
            <w:tcBorders>
              <w:bottom w:val="single" w:sz="4" w:space="0" w:color="000000"/>
              <w:right w:val="single" w:sz="4" w:space="0" w:color="000000"/>
            </w:tcBorders>
          </w:tcPr>
          <w:p>
            <w:pPr>
              <w:pStyle w:val="TableParagraph"/>
              <w:tabs>
                <w:tab w:pos="730" w:val="left" w:leader="none"/>
                <w:tab w:pos="1344" w:val="left" w:leader="none"/>
              </w:tabs>
              <w:spacing w:before="26"/>
              <w:ind w:left="118"/>
              <w:rPr>
                <w:b/>
                <w:sz w:val="19"/>
              </w:rPr>
            </w:pPr>
            <w:r>
              <w:rPr>
                <w:b/>
                <w:spacing w:val="5"/>
                <w:sz w:val="19"/>
              </w:rPr>
              <w:t>1999</w:t>
              <w:tab/>
              <w:t>2001</w:t>
              <w:tab/>
            </w:r>
            <w:r>
              <w:rPr>
                <w:b/>
                <w:spacing w:val="4"/>
                <w:sz w:val="19"/>
              </w:rPr>
              <w:t>2003</w:t>
            </w:r>
          </w:p>
        </w:tc>
      </w:tr>
      <w:tr>
        <w:trPr>
          <w:trHeight w:val="179" w:hRule="atLeast"/>
        </w:trPr>
        <w:tc>
          <w:tcPr>
            <w:tcW w:w="8292" w:type="dxa"/>
            <w:gridSpan w:val="2"/>
            <w:tcBorders>
              <w:top w:val="single" w:sz="4" w:space="0" w:color="000000"/>
              <w:left w:val="single" w:sz="4" w:space="0" w:color="000000"/>
              <w:bottom w:val="single" w:sz="4" w:space="0" w:color="000000"/>
              <w:right w:val="single" w:sz="4" w:space="0" w:color="000000"/>
            </w:tcBorders>
          </w:tcPr>
          <w:p>
            <w:pPr>
              <w:pStyle w:val="TableParagraph"/>
              <w:spacing w:line="160" w:lineRule="exact"/>
              <w:ind w:left="105"/>
              <w:rPr>
                <w:sz w:val="15"/>
              </w:rPr>
            </w:pPr>
            <w:r>
              <w:rPr>
                <w:w w:val="105"/>
                <w:sz w:val="15"/>
              </w:rPr>
              <w:t>Source: ONS</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5"/>
        </w:rPr>
      </w:pPr>
    </w:p>
    <w:tbl>
      <w:tblPr>
        <w:tblW w:w="0" w:type="auto"/>
        <w:jc w:val="left"/>
        <w:tblInd w:w="9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0"/>
      </w:tblGrid>
      <w:tr>
        <w:trPr>
          <w:trHeight w:val="266" w:hRule="atLeast"/>
        </w:trPr>
        <w:tc>
          <w:tcPr>
            <w:tcW w:w="8280" w:type="dxa"/>
          </w:tcPr>
          <w:p>
            <w:pPr>
              <w:pStyle w:val="TableParagraph"/>
              <w:spacing w:line="240" w:lineRule="exact" w:before="6"/>
              <w:ind w:left="3663" w:right="3626"/>
              <w:jc w:val="center"/>
              <w:rPr>
                <w:b/>
                <w:sz w:val="24"/>
              </w:rPr>
            </w:pPr>
            <w:r>
              <w:rPr>
                <w:b/>
                <w:sz w:val="24"/>
              </w:rPr>
              <w:t>Figure 8:</w:t>
            </w:r>
          </w:p>
        </w:tc>
      </w:tr>
      <w:tr>
        <w:trPr>
          <w:trHeight w:val="3911" w:hRule="atLeast"/>
        </w:trPr>
        <w:tc>
          <w:tcPr>
            <w:tcW w:w="8280" w:type="dxa"/>
          </w:tcPr>
          <w:p>
            <w:pPr>
              <w:pStyle w:val="TableParagraph"/>
              <w:tabs>
                <w:tab w:pos="5445" w:val="left" w:leader="none"/>
              </w:tabs>
              <w:spacing w:line="189" w:lineRule="auto" w:before="115"/>
              <w:ind w:left="227"/>
              <w:rPr>
                <w:b/>
                <w:sz w:val="20"/>
              </w:rPr>
            </w:pPr>
            <w:r>
              <w:rPr>
                <w:b/>
                <w:sz w:val="24"/>
              </w:rPr>
              <w:t>Hous</w:t>
            </w:r>
            <w:r>
              <w:rPr>
                <w:b/>
                <w:spacing w:val="-1"/>
                <w:sz w:val="24"/>
              </w:rPr>
              <w:t>e</w:t>
            </w:r>
            <w:r>
              <w:rPr>
                <w:b/>
                <w:sz w:val="24"/>
              </w:rPr>
              <w:t>hold</w:t>
            </w:r>
            <w:r>
              <w:rPr>
                <w:b/>
                <w:spacing w:val="-2"/>
                <w:sz w:val="24"/>
              </w:rPr>
              <w:t> </w:t>
            </w:r>
            <w:r>
              <w:rPr>
                <w:b/>
                <w:sz w:val="24"/>
              </w:rPr>
              <w:t>bo</w:t>
            </w:r>
            <w:r>
              <w:rPr>
                <w:b/>
                <w:spacing w:val="-1"/>
                <w:sz w:val="24"/>
              </w:rPr>
              <w:t>rr</w:t>
            </w:r>
            <w:r>
              <w:rPr>
                <w:b/>
                <w:sz w:val="24"/>
              </w:rPr>
              <w:t>owing, a</w:t>
            </w:r>
            <w:r>
              <w:rPr>
                <w:b/>
                <w:spacing w:val="-1"/>
                <w:sz w:val="24"/>
              </w:rPr>
              <w:t>c</w:t>
            </w:r>
            <w:r>
              <w:rPr>
                <w:b/>
                <w:spacing w:val="-2"/>
                <w:sz w:val="24"/>
              </w:rPr>
              <w:t>q</w:t>
            </w:r>
            <w:r>
              <w:rPr>
                <w:b/>
                <w:sz w:val="24"/>
              </w:rPr>
              <w:t>uis</w:t>
            </w:r>
            <w:r>
              <w:rPr>
                <w:b/>
                <w:spacing w:val="-54"/>
                <w:sz w:val="24"/>
              </w:rPr>
              <w:t>i</w:t>
            </w:r>
            <w:r>
              <w:rPr>
                <w:spacing w:val="-1"/>
                <w:w w:val="100"/>
                <w:position w:val="-9"/>
                <w:sz w:val="16"/>
              </w:rPr>
              <w:t>(</w:t>
            </w:r>
            <w:r>
              <w:rPr>
                <w:spacing w:val="-71"/>
                <w:w w:val="100"/>
                <w:position w:val="-9"/>
                <w:sz w:val="16"/>
              </w:rPr>
              <w:t>a</w:t>
            </w:r>
            <w:r>
              <w:rPr>
                <w:b/>
                <w:spacing w:val="-10"/>
                <w:sz w:val="24"/>
              </w:rPr>
              <w:t>t</w:t>
            </w:r>
            <w:r>
              <w:rPr>
                <w:spacing w:val="-46"/>
                <w:w w:val="100"/>
                <w:position w:val="-9"/>
                <w:sz w:val="16"/>
              </w:rPr>
              <w:t>)</w:t>
            </w:r>
            <w:r>
              <w:rPr>
                <w:b/>
                <w:sz w:val="24"/>
              </w:rPr>
              <w:t>ion </w:t>
            </w:r>
            <w:r>
              <w:rPr>
                <w:b/>
                <w:spacing w:val="-3"/>
                <w:sz w:val="24"/>
              </w:rPr>
              <w:t>o</w:t>
            </w:r>
            <w:r>
              <w:rPr>
                <w:b/>
                <w:sz w:val="24"/>
              </w:rPr>
              <w:t>f</w:t>
            </w:r>
            <w:r>
              <w:rPr>
                <w:b/>
                <w:spacing w:val="-1"/>
                <w:sz w:val="24"/>
              </w:rPr>
              <w:t> </w:t>
            </w:r>
            <w:r>
              <w:rPr>
                <w:b/>
                <w:sz w:val="24"/>
              </w:rPr>
              <w:t>fin</w:t>
            </w:r>
            <w:r>
              <w:rPr>
                <w:b/>
                <w:spacing w:val="-3"/>
                <w:sz w:val="24"/>
              </w:rPr>
              <w:t>a</w:t>
            </w:r>
            <w:r>
              <w:rPr>
                <w:b/>
                <w:sz w:val="24"/>
              </w:rPr>
              <w:t>n</w:t>
            </w:r>
            <w:r>
              <w:rPr>
                <w:b/>
                <w:spacing w:val="-1"/>
                <w:sz w:val="24"/>
              </w:rPr>
              <w:t>c</w:t>
            </w:r>
            <w:r>
              <w:rPr>
                <w:b/>
                <w:sz w:val="24"/>
              </w:rPr>
              <w:t>ial</w:t>
              <w:tab/>
            </w:r>
            <w:r>
              <w:rPr>
                <w:b/>
                <w:w w:val="99"/>
                <w:position w:val="6"/>
                <w:sz w:val="20"/>
              </w:rPr>
              <w:t>%</w:t>
            </w:r>
            <w:r>
              <w:rPr>
                <w:b/>
                <w:spacing w:val="1"/>
                <w:position w:val="6"/>
                <w:sz w:val="20"/>
              </w:rPr>
              <w:t> </w:t>
            </w:r>
            <w:r>
              <w:rPr>
                <w:b/>
                <w:w w:val="99"/>
                <w:position w:val="6"/>
                <w:sz w:val="20"/>
              </w:rPr>
              <w:t>of</w:t>
            </w:r>
            <w:r>
              <w:rPr>
                <w:b/>
                <w:spacing w:val="1"/>
                <w:position w:val="6"/>
                <w:sz w:val="20"/>
              </w:rPr>
              <w:t> </w:t>
            </w:r>
            <w:r>
              <w:rPr>
                <w:b/>
                <w:spacing w:val="-1"/>
                <w:w w:val="99"/>
                <w:position w:val="6"/>
                <w:sz w:val="20"/>
              </w:rPr>
              <w:t>p</w:t>
            </w:r>
            <w:r>
              <w:rPr>
                <w:b/>
                <w:spacing w:val="1"/>
                <w:w w:val="99"/>
                <w:position w:val="6"/>
                <w:sz w:val="20"/>
              </w:rPr>
              <w:t>o</w:t>
            </w:r>
            <w:r>
              <w:rPr>
                <w:b/>
                <w:spacing w:val="-1"/>
                <w:w w:val="99"/>
                <w:position w:val="6"/>
                <w:sz w:val="20"/>
              </w:rPr>
              <w:t>s</w:t>
            </w:r>
            <w:r>
              <w:rPr>
                <w:b/>
                <w:w w:val="99"/>
                <w:position w:val="6"/>
                <w:sz w:val="20"/>
              </w:rPr>
              <w:t>t-tax</w:t>
            </w:r>
          </w:p>
          <w:p>
            <w:pPr>
              <w:pStyle w:val="TableParagraph"/>
              <w:tabs>
                <w:tab w:pos="6522" w:val="right" w:leader="none"/>
              </w:tabs>
              <w:spacing w:line="287" w:lineRule="exact"/>
              <w:ind w:left="227"/>
              <w:rPr>
                <w:rFonts w:ascii="Lucida Sans Unicode"/>
                <w:sz w:val="16"/>
              </w:rPr>
            </w:pPr>
            <w:r>
              <w:rPr>
                <w:b/>
                <w:position w:val="2"/>
                <w:sz w:val="24"/>
              </w:rPr>
              <w:t>assets and net</w:t>
            </w:r>
            <w:r>
              <w:rPr>
                <w:b/>
                <w:spacing w:val="-6"/>
                <w:position w:val="2"/>
                <w:sz w:val="24"/>
              </w:rPr>
              <w:t> </w:t>
            </w:r>
            <w:r>
              <w:rPr>
                <w:b/>
                <w:position w:val="2"/>
                <w:sz w:val="24"/>
              </w:rPr>
              <w:t>sectoral</w:t>
            </w:r>
            <w:r>
              <w:rPr>
                <w:b/>
                <w:spacing w:val="-1"/>
                <w:position w:val="2"/>
                <w:sz w:val="24"/>
              </w:rPr>
              <w:t> </w:t>
            </w:r>
            <w:r>
              <w:rPr>
                <w:b/>
                <w:position w:val="2"/>
                <w:sz w:val="24"/>
              </w:rPr>
              <w:t>balance</w:t>
              <w:tab/>
            </w:r>
            <w:r>
              <w:rPr>
                <w:rFonts w:ascii="Lucida Sans Unicode"/>
                <w:color w:val="FF00FF"/>
                <w:spacing w:val="-3"/>
                <w:sz w:val="16"/>
              </w:rPr>
              <w:t>15.8</w:t>
            </w:r>
          </w:p>
          <w:p>
            <w:pPr>
              <w:pStyle w:val="TableParagraph"/>
              <w:spacing w:before="20"/>
              <w:ind w:left="5531"/>
              <w:rPr>
                <w:b/>
                <w:sz w:val="18"/>
              </w:rPr>
            </w:pPr>
            <w:r>
              <w:rPr>
                <w:b/>
                <w:sz w:val="18"/>
              </w:rPr>
              <w:t>20</w:t>
            </w:r>
          </w:p>
          <w:p>
            <w:pPr>
              <w:pStyle w:val="TableParagraph"/>
              <w:tabs>
                <w:tab w:pos="5714" w:val="right" w:leader="none"/>
              </w:tabs>
              <w:spacing w:before="69"/>
              <w:ind w:left="2385"/>
              <w:rPr>
                <w:b/>
                <w:sz w:val="18"/>
              </w:rPr>
            </w:pPr>
            <w:r>
              <w:rPr>
                <w:b/>
                <w:color w:val="FF00FF"/>
                <w:sz w:val="16"/>
              </w:rPr>
              <w:t>Acquisition of</w:t>
            </w:r>
            <w:r>
              <w:rPr>
                <w:b/>
                <w:color w:val="FF00FF"/>
                <w:spacing w:val="-4"/>
                <w:sz w:val="16"/>
              </w:rPr>
              <w:t> </w:t>
            </w:r>
            <w:r>
              <w:rPr>
                <w:b/>
                <w:color w:val="FF00FF"/>
                <w:sz w:val="16"/>
              </w:rPr>
              <w:t>financial</w:t>
            </w:r>
            <w:r>
              <w:rPr>
                <w:b/>
                <w:color w:val="FF00FF"/>
                <w:spacing w:val="-1"/>
                <w:sz w:val="16"/>
              </w:rPr>
              <w:t> </w:t>
            </w:r>
            <w:r>
              <w:rPr>
                <w:b/>
                <w:color w:val="FF00FF"/>
                <w:sz w:val="16"/>
              </w:rPr>
              <w:t>assets</w:t>
              <w:tab/>
            </w:r>
            <w:r>
              <w:rPr>
                <w:b/>
                <w:position w:val="-4"/>
                <w:sz w:val="18"/>
              </w:rPr>
              <w:t>15</w:t>
            </w:r>
          </w:p>
          <w:p>
            <w:pPr>
              <w:pStyle w:val="TableParagraph"/>
              <w:tabs>
                <w:tab w:pos="6258" w:val="left" w:leader="none"/>
              </w:tabs>
              <w:spacing w:line="320" w:lineRule="exact" w:before="85"/>
              <w:ind w:left="5531"/>
              <w:rPr>
                <w:rFonts w:ascii="Lucida Sans Unicode"/>
                <w:sz w:val="16"/>
              </w:rPr>
            </w:pPr>
            <w:r>
              <w:rPr>
                <w:b/>
                <w:position w:val="10"/>
                <w:sz w:val="18"/>
              </w:rPr>
              <w:t>10</w:t>
              <w:tab/>
            </w:r>
            <w:r>
              <w:rPr>
                <w:rFonts w:ascii="Lucida Sans Unicode"/>
                <w:color w:val="000080"/>
                <w:sz w:val="16"/>
              </w:rPr>
              <w:t>1.2</w:t>
            </w:r>
          </w:p>
          <w:p>
            <w:pPr>
              <w:pStyle w:val="TableParagraph"/>
              <w:spacing w:line="189" w:lineRule="exact"/>
              <w:ind w:left="5531"/>
              <w:rPr>
                <w:b/>
                <w:sz w:val="18"/>
              </w:rPr>
            </w:pPr>
            <w:r>
              <w:rPr>
                <w:b/>
                <w:sz w:val="18"/>
              </w:rPr>
              <w:t>5</w:t>
            </w:r>
          </w:p>
          <w:p>
            <w:pPr>
              <w:pStyle w:val="TableParagraph"/>
              <w:tabs>
                <w:tab w:pos="5531" w:val="left" w:leader="none"/>
              </w:tabs>
              <w:spacing w:line="299" w:lineRule="exact" w:before="100"/>
              <w:ind w:left="2428"/>
              <w:rPr>
                <w:b/>
                <w:sz w:val="18"/>
              </w:rPr>
            </w:pPr>
            <w:r>
              <w:rPr>
                <w:b/>
                <w:color w:val="000080"/>
                <w:sz w:val="16"/>
              </w:rPr>
              <w:t>Net acquisition of</w:t>
            </w:r>
            <w:r>
              <w:rPr>
                <w:b/>
                <w:color w:val="000080"/>
                <w:spacing w:val="-7"/>
                <w:sz w:val="16"/>
              </w:rPr>
              <w:t> </w:t>
            </w:r>
            <w:r>
              <w:rPr>
                <w:b/>
                <w:color w:val="000080"/>
                <w:sz w:val="16"/>
              </w:rPr>
              <w:t>financial</w:t>
            </w:r>
            <w:r>
              <w:rPr>
                <w:b/>
                <w:color w:val="000080"/>
                <w:spacing w:val="-2"/>
                <w:sz w:val="16"/>
              </w:rPr>
              <w:t> </w:t>
            </w:r>
            <w:r>
              <w:rPr>
                <w:b/>
                <w:color w:val="000080"/>
                <w:sz w:val="16"/>
              </w:rPr>
              <w:t>assets</w:t>
              <w:tab/>
            </w:r>
            <w:r>
              <w:rPr>
                <w:b/>
                <w:position w:val="11"/>
                <w:sz w:val="18"/>
              </w:rPr>
              <w:t>0</w:t>
            </w:r>
          </w:p>
          <w:p>
            <w:pPr>
              <w:pStyle w:val="TableParagraph"/>
              <w:tabs>
                <w:tab w:pos="6160" w:val="left" w:leader="none"/>
              </w:tabs>
              <w:spacing w:line="300" w:lineRule="exact"/>
              <w:ind w:left="5531"/>
              <w:rPr>
                <w:sz w:val="16"/>
              </w:rPr>
            </w:pPr>
            <w:r>
              <w:rPr>
                <w:b/>
                <w:position w:val="8"/>
                <w:sz w:val="18"/>
              </w:rPr>
              <w:t>-5</w:t>
              <w:tab/>
            </w:r>
            <w:r>
              <w:rPr>
                <w:rFonts w:ascii="Lucida Sans Unicode"/>
                <w:color w:val="00FF00"/>
                <w:sz w:val="16"/>
              </w:rPr>
              <w:t>-</w:t>
            </w:r>
            <w:r>
              <w:rPr>
                <w:color w:val="00FF00"/>
                <w:position w:val="1"/>
                <w:sz w:val="16"/>
              </w:rPr>
              <w:t>14.6</w:t>
            </w:r>
          </w:p>
          <w:p>
            <w:pPr>
              <w:pStyle w:val="TableParagraph"/>
              <w:spacing w:line="203" w:lineRule="exact"/>
              <w:ind w:left="5531"/>
              <w:rPr>
                <w:b/>
                <w:sz w:val="18"/>
              </w:rPr>
            </w:pPr>
            <w:r>
              <w:rPr>
                <w:b/>
                <w:sz w:val="18"/>
              </w:rPr>
              <w:t>-10</w:t>
            </w:r>
          </w:p>
          <w:p>
            <w:pPr>
              <w:pStyle w:val="TableParagraph"/>
              <w:tabs>
                <w:tab w:pos="5531" w:val="left" w:leader="none"/>
              </w:tabs>
              <w:spacing w:before="9"/>
              <w:ind w:left="1948"/>
              <w:rPr>
                <w:b/>
                <w:sz w:val="18"/>
              </w:rPr>
            </w:pPr>
            <w:r>
              <w:rPr>
                <w:b/>
                <w:color w:val="00FF00"/>
                <w:sz w:val="16"/>
              </w:rPr>
              <w:t>Acquisition of</w:t>
            </w:r>
            <w:r>
              <w:rPr>
                <w:b/>
                <w:color w:val="00FF00"/>
                <w:spacing w:val="-6"/>
                <w:sz w:val="16"/>
              </w:rPr>
              <w:t> </w:t>
            </w:r>
            <w:r>
              <w:rPr>
                <w:b/>
                <w:color w:val="00FF00"/>
                <w:sz w:val="16"/>
              </w:rPr>
              <w:t>financial</w:t>
            </w:r>
            <w:r>
              <w:rPr>
                <w:b/>
                <w:color w:val="00FF00"/>
                <w:spacing w:val="-2"/>
                <w:sz w:val="16"/>
              </w:rPr>
              <w:t> </w:t>
            </w:r>
            <w:r>
              <w:rPr>
                <w:b/>
                <w:color w:val="00FF00"/>
                <w:sz w:val="16"/>
              </w:rPr>
              <w:t>liabilities</w:t>
              <w:tab/>
            </w:r>
            <w:r>
              <w:rPr>
                <w:b/>
                <w:position w:val="-8"/>
                <w:sz w:val="18"/>
              </w:rPr>
              <w:t>-15</w:t>
            </w:r>
          </w:p>
          <w:p>
            <w:pPr>
              <w:pStyle w:val="TableParagraph"/>
              <w:spacing w:before="101"/>
              <w:ind w:left="5531"/>
              <w:rPr>
                <w:b/>
                <w:sz w:val="18"/>
              </w:rPr>
            </w:pPr>
            <w:r>
              <w:rPr>
                <w:b/>
                <w:sz w:val="18"/>
              </w:rPr>
              <w:t>-20</w:t>
            </w:r>
          </w:p>
          <w:p>
            <w:pPr>
              <w:pStyle w:val="TableParagraph"/>
              <w:tabs>
                <w:tab w:pos="1262" w:val="left" w:leader="none"/>
                <w:tab w:pos="2210" w:val="left" w:leader="none"/>
                <w:tab w:pos="3158" w:val="left" w:leader="none"/>
                <w:tab w:pos="4106" w:val="left" w:leader="none"/>
                <w:tab w:pos="5051" w:val="left" w:leader="none"/>
              </w:tabs>
              <w:spacing w:before="69"/>
              <w:ind w:left="316"/>
              <w:rPr>
                <w:b/>
                <w:sz w:val="18"/>
              </w:rPr>
            </w:pPr>
            <w:r>
              <w:rPr>
                <w:b/>
                <w:sz w:val="18"/>
              </w:rPr>
              <w:t>1987</w:t>
              <w:tab/>
              <w:t>1990</w:t>
              <w:tab/>
              <w:t>1993</w:t>
              <w:tab/>
              <w:t>1996</w:t>
              <w:tab/>
              <w:t>1999</w:t>
              <w:tab/>
              <w:t>2002</w:t>
            </w:r>
          </w:p>
        </w:tc>
      </w:tr>
      <w:tr>
        <w:trPr>
          <w:trHeight w:val="357" w:hRule="atLeast"/>
        </w:trPr>
        <w:tc>
          <w:tcPr>
            <w:tcW w:w="8280" w:type="dxa"/>
          </w:tcPr>
          <w:p>
            <w:pPr>
              <w:pStyle w:val="TableParagraph"/>
              <w:spacing w:line="180" w:lineRule="exact"/>
              <w:ind w:left="105"/>
              <w:rPr>
                <w:sz w:val="16"/>
              </w:rPr>
            </w:pPr>
            <w:r>
              <w:rPr>
                <w:sz w:val="16"/>
              </w:rPr>
              <w:t>Source: ONS</w:t>
            </w:r>
          </w:p>
          <w:p>
            <w:pPr>
              <w:pStyle w:val="TableParagraph"/>
              <w:spacing w:line="157" w:lineRule="exact"/>
              <w:ind w:left="105"/>
              <w:rPr>
                <w:sz w:val="16"/>
              </w:rPr>
            </w:pPr>
            <w:r>
              <w:rPr>
                <w:sz w:val="16"/>
              </w:rPr>
              <w:t>(a) Figure reports annual averages. Numbers in boxes report Q1 2003 data.</w:t>
            </w:r>
          </w:p>
        </w:tc>
      </w:tr>
    </w:tbl>
    <w:p>
      <w:pPr>
        <w:spacing w:after="0" w:line="157" w:lineRule="exact"/>
        <w:rPr>
          <w:sz w:val="16"/>
        </w:rPr>
        <w:sectPr>
          <w:pgSz w:w="12240" w:h="15840"/>
          <w:pgMar w:header="209" w:footer="0" w:top="840" w:bottom="280" w:left="1000" w:right="1220"/>
        </w:sectPr>
      </w:pPr>
    </w:p>
    <w:p>
      <w:pPr>
        <w:pStyle w:val="BodyText"/>
        <w:spacing w:before="7"/>
        <w:rPr>
          <w:sz w:val="7"/>
        </w:rPr>
      </w:pPr>
      <w:r>
        <w:rPr/>
        <w:pict>
          <v:group style="position:absolute;margin-left:114pt;margin-top:119.82pt;width:297.8pt;height:127pt;mso-position-horizontal-relative:page;mso-position-vertical-relative:page;z-index:-254225408" coordorigin="2280,2396" coordsize="5956,2540">
            <v:shape style="position:absolute;left:2287;top:2397;width:5948;height:2537" coordorigin="2287,2398" coordsize="5948,2537" path="m8174,2398l8177,4932m8174,4932l8234,4934m8174,4656l8234,4656m8174,4366l8234,4366m8174,4087l8234,4090m8174,3811l8234,3811m8174,3521l8234,3521m8174,3242l8234,3245m8174,2966l8234,2966m8174,2674l8234,2676m8174,2398l8234,2398m2287,4932l8174,4934e" filled="false" stroked="true" strokeweight=".12pt" strokecolor="#000000">
              <v:path arrowok="t"/>
              <v:stroke dashstyle="solid"/>
            </v:shape>
            <v:shape style="position:absolute;left:2650;top:4887;width:1474;height:46" coordorigin="2651,4888" coordsize="1474,46" path="m2651,4888l2651,4933m3395,4888l3395,4933m4124,4888l4124,4933e" filled="false" stroked="true" strokeweight=".24pt" strokecolor="#000000">
              <v:path arrowok="t"/>
              <v:stroke dashstyle="solid"/>
            </v:shape>
            <v:line style="position:absolute" from="4867,4932" to="4867,4889" stroked="true" strokeweight=".12pt" strokecolor="#000000">
              <v:stroke dashstyle="solid"/>
            </v:line>
            <v:line style="position:absolute" from="5596,4888" to="5596,4933" stroked="true" strokeweight=".24pt" strokecolor="#000000">
              <v:stroke dashstyle="solid"/>
            </v:line>
            <v:shape style="position:absolute;left:2287;top:4874;width:5890;height:58" coordorigin="2287,4874" coordsize="5890,58" path="m6338,4932l6338,4889m7068,4932l7068,4889m7812,4932l7812,4889m2287,4932l2287,4874m3029,4932l3031,4874m3758,4932l3758,4874m4502,4932l4502,4874m5230,4932l5232,4874m5974,4932l5976,4874m6703,4932l6706,4874m7447,4932l7447,4874m8174,4932l8177,4874e" filled="false" stroked="true" strokeweight=".12pt" strokecolor="#000000">
              <v:path arrowok="t"/>
              <v:stroke dashstyle="solid"/>
            </v:shape>
            <v:line style="position:absolute" from="2287,3010" to="2374,3067" stroked="true" strokeweight=".72pt" strokecolor="#000080">
              <v:stroke dashstyle="solid"/>
            </v:line>
            <v:line style="position:absolute" from="2366,3068" to="2482,3068" stroked="true" strokeweight=".84pt" strokecolor="#000080">
              <v:stroke dashstyle="solid"/>
            </v:line>
            <v:shape style="position:absolute;left:2474;top:2558;width:2480;height:538" coordorigin="2474,2558" coordsize="2480,538" path="m2474,3067l2563,2878m2563,2878l2650,2966m2650,2966l2753,2995m2753,2995l2842,2995m2842,2995l2928,2966m2928,2966l3029,3096m3029,3096l3118,3067m3118,3067l3204,3010m3204,3010l3293,2938m3293,2938l3394,2909m3394,2909l3482,2863m3482,2863l3569,2705m3569,2705l3672,2688m3672,2688l3758,2777m3758,2777l3847,2719m3847,2719l3948,2719m3948,2719l4034,2645m4034,2645l4123,2602m4123,2602l4226,2587m4226,2587l4313,2558m4313,2558l4399,2630m4399,2630l4502,2645m4502,2645l4589,2688m4589,2688l4678,2734m4678,2734l4764,2820m4764,2820l4867,2748m4867,2748l4954,2688e" filled="false" stroked="true" strokeweight=".72pt" strokecolor="#000080">
              <v:path arrowok="t"/>
              <v:stroke dashstyle="solid"/>
            </v:shape>
            <v:line style="position:absolute" from="4946,2689" to="5050,2689" stroked="true" strokeweight=".84pt" strokecolor="#000080">
              <v:stroke dashstyle="solid"/>
            </v:line>
            <v:line style="position:absolute" from="5042,2688" to="5143,2674" stroked="true" strokeweight=".72pt" strokecolor="#000080">
              <v:stroke dashstyle="solid"/>
            </v:line>
            <v:shape style="position:absolute;left:5136;top:2674;width:190;height:2" coordorigin="5136,2675" coordsize="190,0" path="m5136,2675l5237,2675m5222,2675l5326,2675e" filled="false" stroked="true" strokeweight=".84pt" strokecolor="#000080">
              <v:path arrowok="t"/>
              <v:stroke dashstyle="solid"/>
            </v:shape>
            <v:shape style="position:absolute;left:5318;top:2673;width:2856;height:598" coordorigin="5318,2674" coordsize="2856,598" path="m5318,2674l5422,2705m5422,2705l5594,2762m5594,2762l5698,2777m5698,2777l5784,2791m5784,2791l5873,2820m5873,2820l5974,2892m5974,2892l6062,2966m6062,2966l6149,3053m6149,3053l6238,3038m6238,3038l6338,3142m6338,3142l6427,3127m6427,3127l6514,2995m6514,2995l6614,3096m6614,3096l6703,3142m6703,3142l6790,3170m6790,3170l6893,3142m6893,3142l6982,3271m6982,3271l7068,3242m7068,3242l7169,3214m7169,3214l7258,3199m7258,3199l7344,3170m7344,3170l7447,3096m7447,3096l7534,3082m7534,3082l7622,2952m7622,2952l7709,3010m7812,3010l7898,2952m7898,2952l7987,2820m7987,2820l8088,2863m8088,2863l8174,2849e" filled="false" stroked="true" strokeweight=".72pt" strokecolor="#000080">
              <v:path arrowok="t"/>
              <v:stroke dashstyle="solid"/>
            </v:shape>
            <v:shape style="position:absolute;left:2287;top:2908;width:5830;height:15" coordorigin="2287,2909" coordsize="5830,15" path="m2316,2909l2287,2909,2287,2923,2316,2923,2316,2909m2402,2909l2374,2909,2374,2923,2402,2923,2402,2909m2506,2909l2462,2909,2462,2923,2506,2923,2506,2909m2592,2909l2563,2909,2563,2923,2592,2923,2592,2909m2681,2909l2650,2909,2650,2923,2681,2923,2681,2909m2782,2909l2738,2909,2738,2923,2782,2923,2782,2909m2870,2909l2842,2909,2842,2923,2870,2923,2870,2909m2957,2909l2928,2909,2928,2923,2957,2923,2957,2909m3058,2909l3017,2909,3017,2923,3058,2923,3058,2909m3146,2909l3118,2909,3118,2923,3146,2923,3146,2909m3233,2909l3204,2909,3204,2923,3233,2923,3233,2909m3322,2909l3293,2909,3293,2923,3322,2923,3322,2909m3425,2909l3379,2909,3379,2923,3425,2923,3425,2909m3511,2909l3482,2909,3482,2923,3511,2923,3511,2909m3598,2909l3569,2909,3569,2923,3598,2923,3598,2909m3701,2909l3658,2909,3658,2923,3701,2923,3701,2909m3787,2909l3758,2909,3758,2923,3787,2923,3787,2909m3876,2909l3847,2909,3847,2923,3876,2923,3876,2909m3977,2909l3934,2909,3934,2923,3977,2923,3977,2909m4066,2909l4037,2909,4037,2923,4066,2923,4066,2909m4152,2909l4123,2909,4123,2923,4152,2923,4152,2909m4255,2909l4210,2909,4210,2923,4255,2923,4255,2909m4342,2909l4313,2909,4313,2923,4342,2923,4342,2909m4430,2909l4399,2909,4399,2923,4430,2923,4430,2909m4531,2909l4488,2909,4488,2923,4531,2923,4531,2909m4618,2909l4589,2909,4589,2923,4618,2923,4618,2909m4706,2909l4678,2909,4678,2923,4706,2923,4706,2909m4793,2909l4764,2909,4764,2923,4793,2923,4793,2909m4896,2909l4853,2909,4853,2923,4896,2923,4896,2909m4985,2909l4954,2909,4954,2923,4985,2923,4985,2909m5071,2909l5042,2909,5042,2923,5071,2923,5071,2909m5172,2909l5129,2909,5129,2923,5172,2923,5172,2909m5261,2909l5230,2909,5230,2923,5261,2923,5261,2909m5347,2909l5318,2909,5318,2923,5347,2923,5347,2909m5450,2909l5405,2909,5405,2923,5450,2923,5450,2909m5537,2909l5508,2909,5508,2923,5537,2923,5537,2909m5626,2909l5597,2909,5597,2923,5626,2923,5626,2909m5726,2909l5683,2909,5683,2923,5726,2923,5726,2909m5815,2909l5784,2909,5784,2923,5815,2923,5815,2909m5902,2909l5873,2909,5873,2923,5902,2923,5902,2909m6005,2909l5959,2909,5959,2923,6005,2923,6005,2909m6091,2909l6062,2909,6062,2923,6091,2923,6091,2909m6178,2909l6149,2909,6149,2923,6178,2923,6178,2909m6266,2909l6238,2909,6238,2923,6266,2923,6266,2909m6367,2909l6324,2909,6324,2923,6367,2923,6367,2909m6456,2909l6427,2909,6427,2923,6456,2923,6456,2909m6542,2909l6514,2909,6514,2923,6542,2923,6542,2909m6646,2909l6602,2909,6602,2923,6646,2923,6646,2909m6732,2909l6703,2909,6703,2923,6732,2923,6732,2909m6821,2909l6790,2909,6790,2923,6821,2923,6821,2909m6922,2909l6878,2909,6878,2923,6922,2923,6922,2909m7010,2909l6982,2909,6982,2923,7010,2923,7010,2909m7097,2909l7068,2909,7068,2923,7097,2923,7097,2909m7198,2909l7157,2909,7157,2923,7198,2923,7198,2909m7286,2909l7258,2909,7258,2923,7286,2923,7286,2909m7373,2909l7344,2909,7344,2923,7373,2923,7373,2909m7476,2909l7433,2909,7433,2923,7476,2923,7476,2909m7565,2909l7534,2909,7534,2923,7565,2923,7565,2909m7651,2909l7622,2909,7622,2923,7651,2923,7651,2909m7738,2909l7709,2909,7709,2923,7738,2923,7738,2909m7841,2909l7798,2909,7798,2923,7841,2923,7841,2909m7927,2909l7898,2909,7898,2923,7927,2923,7927,2909m8016,2909l7987,2909,7987,2923,8016,2923,8016,2909m8117,2909l8074,2909,8074,2923,8117,2923,8117,2909e" filled="true" fillcolor="#000080" stroked="false">
              <v:path arrowok="t"/>
              <v:fill type="solid"/>
            </v:shape>
            <v:shape style="position:absolute;left:2287;top:3708;width:2943;height:483" coordorigin="2287,3708" coordsize="2943,483" path="m2287,3869l2374,3958m2374,3958l2474,3972m2474,3972l2563,3754m2563,3754l2650,3840m2650,3840l2753,3826m2753,3826l2842,3782m2842,3782l2928,3725m2928,3725l3029,3869m3029,3869l3118,3854m3118,3854l3204,3826m3204,3826l3293,3797m3293,3797l3394,3797m3394,3797l3482,3840m3482,3840l3569,3708m3569,3708l3672,3739m3672,3739l3758,3869m3758,3869l3847,3826m3847,3826l3948,3854m3948,3854l4034,3826m4034,3826l4123,3854m4123,3854l4226,3869m4226,3869l4313,3883m4313,3883l4399,3972m4399,3972l4502,4015m4502,4015l4589,4073m4589,4073l4678,4116m4678,4116l4764,4190m4764,4190l4867,4145m4867,4145l4954,4133m4954,4133l5143,4133m5143,4133l5230,4145e" filled="false" stroked="true" strokeweight=".72pt" strokecolor="#008000">
              <v:path arrowok="t"/>
              <v:stroke dashstyle="solid"/>
            </v:shape>
            <v:line style="position:absolute" from="5222,4146" to="5326,4146" stroked="true" strokeweight=".84pt" strokecolor="#008000">
              <v:stroke dashstyle="solid"/>
            </v:line>
            <v:shape style="position:absolute;left:5318;top:3868;width:2856;height:512" coordorigin="5318,3869" coordsize="2856,512" path="m5318,4145l5422,4176m5422,4176l5508,4176m5508,4176l5594,4190m5594,4190l5698,4190m5698,4190l5784,4205m5784,4205l5873,4234m5873,4234l5974,4262m5974,4262l6062,4291m6062,4291l6149,4320m6149,4320l6238,4306m6238,4306l6338,4366m6338,4366l6427,4337m6427,4337l6514,4248m6514,4248l6614,4306m6703,4306l6790,4337m6790,4337l6893,4291m6893,4291l6982,4380m6982,4380l7068,4349m7068,4349l7169,4337m7258,4337l7344,4291m7344,4291l7447,4219m7447,4219l7534,4205m7534,4205l7622,4102m7622,4102l7709,4145m7709,4145l7812,4116m7812,4116l7898,4030m7898,4030l7987,3869m7987,3869l8088,3898m8088,3898l8174,3869e" filled="false" stroked="true" strokeweight=".72pt" strokecolor="#008000">
              <v:path arrowok="t"/>
              <v:stroke dashstyle="solid"/>
            </v:shape>
            <v:shape style="position:absolute;left:2287;top:4058;width:5830;height:15" coordorigin="2287,4058" coordsize="5830,15" path="m2316,4058l2287,4058,2287,4073,2316,4073,2316,4058m2402,4058l2374,4058,2374,4073,2402,4073,2402,4058m2506,4058l2462,4058,2462,4073,2506,4073,2506,4058m2592,4058l2563,4058,2563,4073,2592,4073,2592,4058m2681,4058l2650,4058,2650,4073,2681,4073,2681,4058m2782,4058l2738,4058,2738,4073,2782,4073,2782,4058m2870,4058l2842,4058,2842,4073,2870,4073,2870,4058m2957,4058l2928,4058,2928,4073,2957,4073,2957,4058m3058,4058l3017,4058,3017,4073,3058,4073,3058,4058m3146,4058l3118,4058,3118,4073,3146,4073,3146,4058m3233,4058l3204,4058,3204,4073,3233,4073,3233,4058m3322,4058l3293,4058,3293,4073,3322,4073,3322,4058m3425,4058l3379,4058,3379,4073,3425,4073,3425,4058m3511,4058l3482,4058,3482,4073,3511,4073,3511,4058m3598,4058l3569,4058,3569,4073,3598,4073,3598,4058m3701,4058l3658,4058,3658,4073,3701,4073,3701,4058m3787,4058l3758,4058,3758,4073,3787,4073,3787,4058m3876,4058l3847,4058,3847,4073,3876,4073,3876,4058m3977,4058l3934,4058,3934,4073,3977,4073,3977,4058m4066,4058l4037,4058,4037,4073,4066,4073,4066,4058m4152,4058l4123,4058,4123,4073,4152,4073,4152,4058m4255,4058l4210,4058,4210,4073,4255,4073,4255,4058m4342,4058l4313,4058,4313,4073,4342,4073,4342,4058m4430,4058l4399,4058,4399,4073,4430,4073,4430,4058m4531,4058l4488,4058,4488,4073,4531,4073,4531,4058m4618,4058l4589,4058,4589,4073,4618,4073,4618,4058m4706,4058l4678,4058,4678,4073,4706,4073,4706,4058m4793,4058l4764,4058,4764,4073,4793,4073,4793,4058m4896,4058l4853,4058,4853,4073,4896,4073,4896,4058m4985,4058l4954,4058,4954,4073,4985,4073,4985,4058m5071,4058l5042,4058,5042,4073,5071,4073,5071,4058m5172,4058l5129,4058,5129,4073,5172,4073,5172,4058m5261,4058l5230,4058,5230,4073,5261,4073,5261,4058m5347,4058l5318,4058,5318,4073,5347,4073,5347,4058m5450,4058l5405,4058,5405,4073,5450,4073,5450,4058m5537,4058l5508,4058,5508,4073,5537,4073,5537,4058m5626,4058l5597,4058,5597,4073,5626,4073,5626,4058m5726,4058l5683,4058,5683,4073,5726,4073,5726,4058m5815,4058l5784,4058,5784,4073,5815,4073,5815,4058m5902,4058l5873,4058,5873,4073,5902,4073,5902,4058m6005,4058l5959,4058,5959,4073,6005,4073,6005,4058m6091,4058l6062,4058,6062,4073,6091,4073,6091,4058m6178,4058l6149,4058,6149,4073,6178,4073,6178,4058m6266,4058l6238,4058,6238,4073,6266,4073,6266,4058m6367,4058l6324,4058,6324,4073,6367,4073,6367,4058m6456,4058l6427,4058,6427,4073,6456,4073,6456,4058m6542,4058l6514,4058,6514,4073,6542,4073,6542,4058m6646,4058l6602,4058,6602,4073,6646,4073,6646,4058m6732,4058l6703,4058,6703,4073,6732,4073,6732,4058m6821,4058l6790,4058,6790,4073,6821,4073,6821,4058m6922,4058l6878,4058,6878,4073,6922,4073,6922,4058m7010,4058l6982,4058,6982,4073,7010,4073,7010,4058m7097,4058l7068,4058,7068,4073,7097,4073,7097,4058m7198,4058l7157,4058,7157,4073,7198,4073,7198,4058m7286,4058l7258,4058,7258,4073,7286,4073,7286,4058m7373,4058l7344,4058,7344,4073,7373,4073,7373,4058m7476,4058l7433,4058,7433,4073,7476,4073,7476,4058m7565,4058l7534,4058,7534,4073,7565,4073,7565,4058m7651,4058l7622,4058,7622,4073,7651,4073,7651,4058m7738,4058l7709,4058,7709,4073,7738,4073,7738,4058m7841,4058l7798,4058,7798,4073,7841,4073,7841,4058m7927,4058l7898,4058,7898,4073,7927,4073,7927,4058m8016,4058l7987,4058,7987,4073,8016,4073,8016,4058m8117,4058l8074,4058,8074,4073,8117,4073,8117,4058e" filled="true" fillcolor="#008000" stroked="false">
              <v:path arrowok="t"/>
              <v:fill type="solid"/>
            </v:shape>
            <w10:wrap type="none"/>
          </v:group>
        </w:pict>
      </w:r>
      <w:r>
        <w:rPr/>
        <w:pict>
          <v:group style="position:absolute;margin-left:113.995003pt;margin-top:391.619995pt;width:298pt;height:127.2pt;mso-position-horizontal-relative:page;mso-position-vertical-relative:page;z-index:-254224384" coordorigin="2280,7832" coordsize="5960,2544">
            <v:shape style="position:absolute;left:2287;top:7833;width:5952;height:2542" coordorigin="2287,7834" coordsize="5952,2542" path="m8182,7834l8182,10375m8182,10375l8239,10375m8182,9864l8239,9864m8182,9353l8239,9353m8182,8856l8239,8856m8182,8345l8239,8345m8182,7834l8239,7834m2287,10375l8182,10375m2652,10375l2652,10330m3396,10375l3396,10330m4126,10375l4126,10330m4870,10375l4870,10330m5599,10375l5599,10330m6343,10375l6343,10330m7073,10375l7073,10330m7817,10375l7817,10330m2287,10375l2287,10315m3031,10375l3031,10315m3761,10375l3761,10315m4505,10375l4505,10315m5234,10375l5234,10315m5978,10375l5978,10315m6708,10375l6708,10315m7452,10375l7452,10315m8182,10375l8182,10315e" filled="false" stroked="true" strokeweight=".12pt" strokecolor="#000000">
              <v:path arrowok="t"/>
              <v:stroke dashstyle="solid"/>
            </v:shape>
            <v:line style="position:absolute" from="2287,8652" to="2374,8623" stroked="true" strokeweight=".73pt" strokecolor="#000080">
              <v:stroke dashstyle="solid"/>
            </v:line>
            <v:shape style="position:absolute;left:2373;top:8388;width:5722;height:1563" coordorigin="2374,8388" coordsize="5722,1563" path="m2374,8623l2477,8652m2477,8652l2563,8666m2563,8666l2652,8606m2652,8606l2753,8506m2753,8506l2842,8448m2842,8448l2928,8417m2928,8417l3031,8388m3031,8388l3118,8388m3118,8388l3206,8462m3206,8462l3293,8549m3293,8549l3396,8623m3396,8623l3482,8710m3482,8710l3571,8813m3571,8813l3672,8914m3672,8914l3761,8957m3761,8957l3847,8988m3847,8988l3950,9060m3950,9060l4037,9149m4037,9149l4126,9221m4126,9221l4226,9278m4226,9278l4315,9410m4315,9410l4402,9514m4402,9514l4505,9514m4505,9514l4591,9499m4591,9499l4680,9557m4680,9557l4766,9614m4766,9614l4870,9643m4870,9643l4956,9674m4956,9674l5045,9732m5045,9732l5146,9804m5146,9804l5234,9835m5234,9835l5321,9878m5321,9878l5424,9936m5424,9936l5510,9950m5510,9950l5599,9878m5599,9878l5700,9835m5700,9835l5789,9804m5789,9804l5875,9775m5875,9775l5978,9746m5978,9746l6065,9689m6065,9689l6154,9658m6154,9658l6240,9658m6240,9658l6343,9542m6343,9542l6430,9454m6430,9454l6518,9425m6518,9425l6622,9396m6622,9396l6708,9307m6708,9307l6794,9221m6794,9221l6898,9178m6898,9178l6986,9118m6986,9118l7073,9074m7073,9074l7176,9074m7176,9074l7262,9118m7262,9118l7351,9089m7351,9089l7452,9031m7452,9031l7541,8988m7541,8988l7627,8988m7627,8988l7716,8974m7716,8974l7817,8885m7817,8885l7906,8798m7906,8798l7992,8738m7992,8738l8095,8695e" filled="false" stroked="true" strokeweight=".73pt" strokecolor="#000080">
              <v:path arrowok="t"/>
              <v:stroke dashstyle="solid"/>
            </v:shape>
            <v:line style="position:absolute" from="8095,8695" to="8182,8666" stroked="true" strokeweight=".73pt" strokecolor="#000080">
              <v:stroke dashstyle="solid"/>
            </v:line>
            <w10:wrap type="none"/>
          </v:group>
        </w:pict>
      </w:r>
    </w:p>
    <w:tbl>
      <w:tblPr>
        <w:tblW w:w="0" w:type="auto"/>
        <w:jc w:val="left"/>
        <w:tblInd w:w="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5"/>
        <w:gridCol w:w="348"/>
        <w:gridCol w:w="473"/>
        <w:gridCol w:w="1486"/>
        <w:gridCol w:w="317"/>
        <w:gridCol w:w="203"/>
        <w:gridCol w:w="2432"/>
      </w:tblGrid>
      <w:tr>
        <w:trPr>
          <w:trHeight w:val="267" w:hRule="atLeast"/>
        </w:trPr>
        <w:tc>
          <w:tcPr>
            <w:tcW w:w="828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exact" w:before="7"/>
              <w:ind w:left="3663" w:right="3630"/>
              <w:jc w:val="center"/>
              <w:rPr>
                <w:b/>
                <w:sz w:val="24"/>
              </w:rPr>
            </w:pPr>
            <w:r>
              <w:rPr>
                <w:b/>
                <w:sz w:val="24"/>
              </w:rPr>
              <w:t>Figure 9:</w:t>
            </w:r>
          </w:p>
        </w:tc>
      </w:tr>
      <w:tr>
        <w:trPr>
          <w:trHeight w:val="670" w:hRule="atLeast"/>
        </w:trPr>
        <w:tc>
          <w:tcPr>
            <w:tcW w:w="3025" w:type="dxa"/>
            <w:tcBorders>
              <w:top w:val="single" w:sz="4" w:space="0" w:color="000000"/>
              <w:left w:val="single" w:sz="4" w:space="0" w:color="000000"/>
            </w:tcBorders>
          </w:tcPr>
          <w:p>
            <w:pPr>
              <w:pStyle w:val="TableParagraph"/>
              <w:spacing w:before="7"/>
              <w:rPr>
                <w:sz w:val="26"/>
              </w:rPr>
            </w:pPr>
          </w:p>
          <w:p>
            <w:pPr>
              <w:pStyle w:val="TableParagraph"/>
              <w:ind w:left="227"/>
              <w:rPr>
                <w:b/>
                <w:sz w:val="24"/>
              </w:rPr>
            </w:pPr>
            <w:r>
              <w:rPr>
                <w:b/>
                <w:sz w:val="24"/>
              </w:rPr>
              <w:t>Household sector capital</w:t>
            </w:r>
          </w:p>
        </w:tc>
        <w:tc>
          <w:tcPr>
            <w:tcW w:w="348" w:type="dxa"/>
            <w:tcBorders>
              <w:top w:val="single" w:sz="4" w:space="0" w:color="000000"/>
            </w:tcBorders>
          </w:tcPr>
          <w:p>
            <w:pPr>
              <w:pStyle w:val="TableParagraph"/>
              <w:rPr>
                <w:sz w:val="18"/>
              </w:rPr>
            </w:pPr>
          </w:p>
        </w:tc>
        <w:tc>
          <w:tcPr>
            <w:tcW w:w="473" w:type="dxa"/>
            <w:tcBorders>
              <w:top w:val="single" w:sz="4" w:space="0" w:color="000000"/>
            </w:tcBorders>
          </w:tcPr>
          <w:p>
            <w:pPr>
              <w:pStyle w:val="TableParagraph"/>
              <w:rPr>
                <w:sz w:val="22"/>
              </w:rPr>
            </w:pPr>
          </w:p>
          <w:p>
            <w:pPr>
              <w:pStyle w:val="TableParagraph"/>
              <w:ind w:left="37"/>
              <w:rPr>
                <w:b/>
                <w:sz w:val="16"/>
              </w:rPr>
            </w:pPr>
            <w:r>
              <w:rPr>
                <w:b/>
                <w:sz w:val="16"/>
              </w:rPr>
              <w:t>(a)(b)</w:t>
            </w:r>
          </w:p>
        </w:tc>
        <w:tc>
          <w:tcPr>
            <w:tcW w:w="1486" w:type="dxa"/>
            <w:vMerge w:val="restart"/>
            <w:tcBorders>
              <w:top w:val="single" w:sz="4" w:space="0" w:color="000000"/>
              <w:bottom w:val="single" w:sz="6"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7"/>
              <w:rPr>
                <w:sz w:val="25"/>
              </w:rPr>
            </w:pPr>
          </w:p>
          <w:p>
            <w:pPr>
              <w:pStyle w:val="TableParagraph"/>
              <w:ind w:right="90"/>
              <w:jc w:val="right"/>
              <w:rPr>
                <w:sz w:val="18"/>
              </w:rPr>
            </w:pPr>
            <w:r>
              <w:rPr>
                <w:sz w:val="18"/>
              </w:rPr>
              <w:t>Debt/total assets</w:t>
            </w:r>
          </w:p>
          <w:p>
            <w:pPr>
              <w:pStyle w:val="TableParagraph"/>
              <w:spacing w:before="27"/>
              <w:ind w:left="207"/>
              <w:rPr>
                <w:sz w:val="12"/>
              </w:rPr>
            </w:pPr>
            <w:r>
              <w:rPr>
                <w:sz w:val="12"/>
              </w:rPr>
              <w:t>(c)</w:t>
            </w: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spacing w:before="4"/>
              <w:rPr>
                <w:sz w:val="10"/>
              </w:rPr>
            </w:pPr>
          </w:p>
          <w:p>
            <w:pPr>
              <w:pStyle w:val="TableParagraph"/>
              <w:tabs>
                <w:tab w:pos="561" w:val="left" w:leader="none"/>
              </w:tabs>
              <w:ind w:right="39"/>
              <w:jc w:val="right"/>
              <w:rPr>
                <w:sz w:val="18"/>
              </w:rPr>
            </w:pPr>
            <w:r>
              <w:rPr>
                <w:sz w:val="18"/>
                <w:u w:val="single" w:color="008000"/>
              </w:rPr>
              <w:t> </w:t>
            </w:r>
            <w:r>
              <w:rPr>
                <w:spacing w:val="13"/>
                <w:sz w:val="18"/>
                <w:u w:val="single" w:color="008000"/>
              </w:rPr>
              <w:t> </w:t>
            </w:r>
            <w:r>
              <w:rPr>
                <w:sz w:val="18"/>
              </w:rPr>
              <w:tab/>
            </w:r>
            <w:r>
              <w:rPr>
                <w:sz w:val="18"/>
                <w:u w:val="single" w:color="008000"/>
              </w:rPr>
              <w:t> </w:t>
            </w:r>
            <w:r>
              <w:rPr>
                <w:spacing w:val="-2"/>
                <w:sz w:val="18"/>
                <w:u w:val="single" w:color="008000"/>
              </w:rPr>
              <w:t> </w:t>
            </w:r>
          </w:p>
          <w:p>
            <w:pPr>
              <w:pStyle w:val="TableParagraph"/>
              <w:rPr>
                <w:sz w:val="20"/>
              </w:rPr>
            </w:pPr>
          </w:p>
          <w:p>
            <w:pPr>
              <w:pStyle w:val="TableParagraph"/>
              <w:rPr>
                <w:sz w:val="20"/>
              </w:rPr>
            </w:pPr>
          </w:p>
          <w:p>
            <w:pPr>
              <w:pStyle w:val="TableParagraph"/>
              <w:spacing w:before="4"/>
              <w:rPr>
                <w:sz w:val="27"/>
              </w:rPr>
            </w:pPr>
          </w:p>
          <w:p>
            <w:pPr>
              <w:pStyle w:val="TableParagraph"/>
              <w:tabs>
                <w:tab w:pos="790" w:val="left" w:leader="none"/>
              </w:tabs>
              <w:ind w:left="61"/>
              <w:rPr>
                <w:b/>
                <w:sz w:val="18"/>
              </w:rPr>
            </w:pPr>
            <w:r>
              <w:rPr>
                <w:b/>
                <w:sz w:val="18"/>
              </w:rPr>
              <w:t>97</w:t>
              <w:tab/>
              <w:t>99</w:t>
            </w:r>
          </w:p>
        </w:tc>
        <w:tc>
          <w:tcPr>
            <w:tcW w:w="317" w:type="dxa"/>
            <w:tcBorders>
              <w:top w:val="single" w:sz="4" w:space="0" w:color="000000"/>
            </w:tcBorders>
          </w:tcPr>
          <w:p>
            <w:pPr>
              <w:pStyle w:val="TableParagraph"/>
              <w:rPr>
                <w:sz w:val="18"/>
              </w:rPr>
            </w:pPr>
          </w:p>
        </w:tc>
        <w:tc>
          <w:tcPr>
            <w:tcW w:w="203" w:type="dxa"/>
            <w:tcBorders>
              <w:top w:val="single" w:sz="4" w:space="0" w:color="000000"/>
            </w:tcBorders>
          </w:tcPr>
          <w:p>
            <w:pPr>
              <w:pStyle w:val="TableParagraph"/>
              <w:rPr>
                <w:sz w:val="18"/>
              </w:rPr>
            </w:pPr>
          </w:p>
        </w:tc>
        <w:tc>
          <w:tcPr>
            <w:tcW w:w="2432" w:type="dxa"/>
            <w:tcBorders>
              <w:top w:val="single" w:sz="4" w:space="0" w:color="000000"/>
              <w:right w:val="single" w:sz="4" w:space="0" w:color="000000"/>
            </w:tcBorders>
          </w:tcPr>
          <w:p>
            <w:pPr>
              <w:pStyle w:val="TableParagraph"/>
              <w:rPr>
                <w:sz w:val="18"/>
              </w:rPr>
            </w:pPr>
          </w:p>
        </w:tc>
      </w:tr>
      <w:tr>
        <w:trPr>
          <w:trHeight w:val="332" w:hRule="atLeast"/>
        </w:trPr>
        <w:tc>
          <w:tcPr>
            <w:tcW w:w="3025" w:type="dxa"/>
            <w:tcBorders>
              <w:left w:val="single" w:sz="4" w:space="0" w:color="000000"/>
            </w:tcBorders>
          </w:tcPr>
          <w:p>
            <w:pPr>
              <w:pStyle w:val="TableParagraph"/>
              <w:rPr>
                <w:sz w:val="18"/>
              </w:rPr>
            </w:pPr>
          </w:p>
        </w:tc>
        <w:tc>
          <w:tcPr>
            <w:tcW w:w="348" w:type="dxa"/>
          </w:tcPr>
          <w:p>
            <w:pPr>
              <w:pStyle w:val="TableParagraph"/>
              <w:rPr>
                <w:sz w:val="18"/>
              </w:rPr>
            </w:pPr>
          </w:p>
        </w:tc>
        <w:tc>
          <w:tcPr>
            <w:tcW w:w="473" w:type="dxa"/>
          </w:tcPr>
          <w:p>
            <w:pPr>
              <w:pStyle w:val="TableParagraph"/>
              <w:rPr>
                <w:sz w:val="18"/>
              </w:rPr>
            </w:pPr>
          </w:p>
        </w:tc>
        <w:tc>
          <w:tcPr>
            <w:tcW w:w="1486" w:type="dxa"/>
            <w:vMerge/>
            <w:tcBorders>
              <w:top w:val="nil"/>
              <w:bottom w:val="single" w:sz="6" w:space="0" w:color="000000"/>
            </w:tcBorders>
          </w:tcPr>
          <w:p>
            <w:pPr>
              <w:rPr>
                <w:sz w:val="2"/>
                <w:szCs w:val="2"/>
              </w:rPr>
            </w:pPr>
          </w:p>
        </w:tc>
        <w:tc>
          <w:tcPr>
            <w:tcW w:w="317" w:type="dxa"/>
          </w:tcPr>
          <w:p>
            <w:pPr>
              <w:pStyle w:val="TableParagraph"/>
              <w:rPr>
                <w:sz w:val="18"/>
              </w:rPr>
            </w:pPr>
          </w:p>
        </w:tc>
        <w:tc>
          <w:tcPr>
            <w:tcW w:w="203" w:type="dxa"/>
          </w:tcPr>
          <w:p>
            <w:pPr>
              <w:pStyle w:val="TableParagraph"/>
              <w:rPr>
                <w:sz w:val="18"/>
              </w:rPr>
            </w:pPr>
          </w:p>
        </w:tc>
        <w:tc>
          <w:tcPr>
            <w:tcW w:w="2432" w:type="dxa"/>
            <w:tcBorders>
              <w:right w:val="single" w:sz="4" w:space="0" w:color="000000"/>
            </w:tcBorders>
          </w:tcPr>
          <w:p>
            <w:pPr>
              <w:pStyle w:val="TableParagraph"/>
              <w:spacing w:before="80"/>
              <w:ind w:right="1784"/>
              <w:jc w:val="right"/>
              <w:rPr>
                <w:b/>
                <w:sz w:val="18"/>
              </w:rPr>
            </w:pPr>
            <w:r>
              <w:rPr>
                <w:b/>
                <w:sz w:val="18"/>
              </w:rPr>
              <w:t>Per cent</w:t>
            </w:r>
          </w:p>
        </w:tc>
      </w:tr>
      <w:tr>
        <w:trPr>
          <w:trHeight w:val="276" w:hRule="atLeast"/>
        </w:trPr>
        <w:tc>
          <w:tcPr>
            <w:tcW w:w="3025" w:type="dxa"/>
            <w:tcBorders>
              <w:left w:val="single" w:sz="4" w:space="0" w:color="000000"/>
            </w:tcBorders>
          </w:tcPr>
          <w:p>
            <w:pPr>
              <w:pStyle w:val="TableParagraph"/>
              <w:rPr>
                <w:sz w:val="18"/>
              </w:rPr>
            </w:pPr>
          </w:p>
        </w:tc>
        <w:tc>
          <w:tcPr>
            <w:tcW w:w="348" w:type="dxa"/>
          </w:tcPr>
          <w:p>
            <w:pPr>
              <w:pStyle w:val="TableParagraph"/>
              <w:rPr>
                <w:sz w:val="18"/>
              </w:rPr>
            </w:pPr>
          </w:p>
        </w:tc>
        <w:tc>
          <w:tcPr>
            <w:tcW w:w="473" w:type="dxa"/>
          </w:tcPr>
          <w:p>
            <w:pPr>
              <w:pStyle w:val="TableParagraph"/>
              <w:rPr>
                <w:sz w:val="18"/>
              </w:rPr>
            </w:pPr>
          </w:p>
        </w:tc>
        <w:tc>
          <w:tcPr>
            <w:tcW w:w="1486" w:type="dxa"/>
            <w:vMerge/>
            <w:tcBorders>
              <w:top w:val="nil"/>
              <w:bottom w:val="single" w:sz="6" w:space="0" w:color="000000"/>
            </w:tcBorders>
          </w:tcPr>
          <w:p>
            <w:pPr>
              <w:rPr>
                <w:sz w:val="2"/>
                <w:szCs w:val="2"/>
              </w:rPr>
            </w:pPr>
          </w:p>
        </w:tc>
        <w:tc>
          <w:tcPr>
            <w:tcW w:w="317" w:type="dxa"/>
          </w:tcPr>
          <w:p>
            <w:pPr>
              <w:pStyle w:val="TableParagraph"/>
              <w:rPr>
                <w:sz w:val="18"/>
              </w:rPr>
            </w:pPr>
          </w:p>
        </w:tc>
        <w:tc>
          <w:tcPr>
            <w:tcW w:w="203" w:type="dxa"/>
          </w:tcPr>
          <w:p>
            <w:pPr>
              <w:pStyle w:val="TableParagraph"/>
              <w:rPr>
                <w:sz w:val="18"/>
              </w:rPr>
            </w:pPr>
          </w:p>
        </w:tc>
        <w:tc>
          <w:tcPr>
            <w:tcW w:w="2432" w:type="dxa"/>
            <w:tcBorders>
              <w:right w:val="single" w:sz="4" w:space="0" w:color="000000"/>
            </w:tcBorders>
          </w:tcPr>
          <w:p>
            <w:pPr>
              <w:pStyle w:val="TableParagraph"/>
              <w:spacing w:before="37"/>
              <w:ind w:right="1739"/>
              <w:jc w:val="right"/>
              <w:rPr>
                <w:b/>
                <w:sz w:val="18"/>
              </w:rPr>
            </w:pPr>
            <w:r>
              <w:rPr>
                <w:b/>
                <w:sz w:val="18"/>
              </w:rPr>
              <w:t>20</w:t>
            </w:r>
          </w:p>
        </w:tc>
      </w:tr>
      <w:tr>
        <w:trPr>
          <w:trHeight w:val="269" w:hRule="atLeast"/>
        </w:trPr>
        <w:tc>
          <w:tcPr>
            <w:tcW w:w="3025" w:type="dxa"/>
            <w:tcBorders>
              <w:left w:val="single" w:sz="4" w:space="0" w:color="000000"/>
            </w:tcBorders>
          </w:tcPr>
          <w:p>
            <w:pPr>
              <w:pStyle w:val="TableParagraph"/>
              <w:rPr>
                <w:sz w:val="18"/>
              </w:rPr>
            </w:pPr>
          </w:p>
        </w:tc>
        <w:tc>
          <w:tcPr>
            <w:tcW w:w="348" w:type="dxa"/>
          </w:tcPr>
          <w:p>
            <w:pPr>
              <w:pStyle w:val="TableParagraph"/>
              <w:rPr>
                <w:sz w:val="18"/>
              </w:rPr>
            </w:pPr>
          </w:p>
        </w:tc>
        <w:tc>
          <w:tcPr>
            <w:tcW w:w="473" w:type="dxa"/>
          </w:tcPr>
          <w:p>
            <w:pPr>
              <w:pStyle w:val="TableParagraph"/>
              <w:rPr>
                <w:sz w:val="18"/>
              </w:rPr>
            </w:pPr>
          </w:p>
        </w:tc>
        <w:tc>
          <w:tcPr>
            <w:tcW w:w="1486" w:type="dxa"/>
            <w:vMerge/>
            <w:tcBorders>
              <w:top w:val="nil"/>
              <w:bottom w:val="single" w:sz="6" w:space="0" w:color="000000"/>
            </w:tcBorders>
          </w:tcPr>
          <w:p>
            <w:pPr>
              <w:rPr>
                <w:sz w:val="2"/>
                <w:szCs w:val="2"/>
              </w:rPr>
            </w:pPr>
          </w:p>
        </w:tc>
        <w:tc>
          <w:tcPr>
            <w:tcW w:w="317" w:type="dxa"/>
          </w:tcPr>
          <w:p>
            <w:pPr>
              <w:pStyle w:val="TableParagraph"/>
              <w:rPr>
                <w:sz w:val="18"/>
              </w:rPr>
            </w:pPr>
          </w:p>
        </w:tc>
        <w:tc>
          <w:tcPr>
            <w:tcW w:w="203" w:type="dxa"/>
          </w:tcPr>
          <w:p>
            <w:pPr>
              <w:pStyle w:val="TableParagraph"/>
              <w:rPr>
                <w:sz w:val="18"/>
              </w:rPr>
            </w:pPr>
          </w:p>
        </w:tc>
        <w:tc>
          <w:tcPr>
            <w:tcW w:w="2432" w:type="dxa"/>
            <w:tcBorders>
              <w:right w:val="single" w:sz="4" w:space="0" w:color="000000"/>
            </w:tcBorders>
          </w:tcPr>
          <w:p>
            <w:pPr>
              <w:pStyle w:val="TableParagraph"/>
              <w:spacing w:before="24"/>
              <w:ind w:right="1739"/>
              <w:jc w:val="right"/>
              <w:rPr>
                <w:b/>
                <w:sz w:val="18"/>
              </w:rPr>
            </w:pPr>
            <w:r>
              <w:rPr>
                <w:b/>
                <w:sz w:val="18"/>
              </w:rPr>
              <w:t>18</w:t>
            </w:r>
          </w:p>
        </w:tc>
      </w:tr>
      <w:tr>
        <w:trPr>
          <w:trHeight w:val="268" w:hRule="atLeast"/>
        </w:trPr>
        <w:tc>
          <w:tcPr>
            <w:tcW w:w="3025" w:type="dxa"/>
            <w:tcBorders>
              <w:left w:val="single" w:sz="4" w:space="0" w:color="000000"/>
            </w:tcBorders>
          </w:tcPr>
          <w:p>
            <w:pPr>
              <w:pStyle w:val="TableParagraph"/>
              <w:rPr>
                <w:sz w:val="18"/>
              </w:rPr>
            </w:pPr>
          </w:p>
        </w:tc>
        <w:tc>
          <w:tcPr>
            <w:tcW w:w="348" w:type="dxa"/>
          </w:tcPr>
          <w:p>
            <w:pPr>
              <w:pStyle w:val="TableParagraph"/>
              <w:rPr>
                <w:sz w:val="18"/>
              </w:rPr>
            </w:pPr>
          </w:p>
        </w:tc>
        <w:tc>
          <w:tcPr>
            <w:tcW w:w="473" w:type="dxa"/>
          </w:tcPr>
          <w:p>
            <w:pPr>
              <w:pStyle w:val="TableParagraph"/>
              <w:rPr>
                <w:sz w:val="18"/>
              </w:rPr>
            </w:pPr>
          </w:p>
        </w:tc>
        <w:tc>
          <w:tcPr>
            <w:tcW w:w="1486" w:type="dxa"/>
            <w:vMerge/>
            <w:tcBorders>
              <w:top w:val="nil"/>
              <w:bottom w:val="single" w:sz="6" w:space="0" w:color="000000"/>
            </w:tcBorders>
          </w:tcPr>
          <w:p>
            <w:pPr>
              <w:rPr>
                <w:sz w:val="2"/>
                <w:szCs w:val="2"/>
              </w:rPr>
            </w:pPr>
          </w:p>
        </w:tc>
        <w:tc>
          <w:tcPr>
            <w:tcW w:w="317" w:type="dxa"/>
          </w:tcPr>
          <w:p>
            <w:pPr>
              <w:pStyle w:val="TableParagraph"/>
              <w:rPr>
                <w:sz w:val="18"/>
              </w:rPr>
            </w:pPr>
          </w:p>
        </w:tc>
        <w:tc>
          <w:tcPr>
            <w:tcW w:w="203" w:type="dxa"/>
          </w:tcPr>
          <w:p>
            <w:pPr>
              <w:pStyle w:val="TableParagraph"/>
              <w:spacing w:before="69"/>
              <w:ind w:left="94"/>
              <w:rPr>
                <w:sz w:val="12"/>
              </w:rPr>
            </w:pPr>
            <w:r>
              <w:rPr>
                <w:sz w:val="12"/>
                <w:u w:val="single" w:color="000080"/>
              </w:rPr>
              <w:t> </w:t>
            </w:r>
            <w:r>
              <w:rPr>
                <w:spacing w:val="13"/>
                <w:sz w:val="12"/>
                <w:u w:val="single" w:color="000080"/>
              </w:rPr>
              <w:t> </w:t>
            </w:r>
          </w:p>
        </w:tc>
        <w:tc>
          <w:tcPr>
            <w:tcW w:w="2432" w:type="dxa"/>
            <w:tcBorders>
              <w:right w:val="single" w:sz="4" w:space="0" w:color="000000"/>
            </w:tcBorders>
          </w:tcPr>
          <w:p>
            <w:pPr>
              <w:pStyle w:val="TableParagraph"/>
              <w:spacing w:before="30"/>
              <w:ind w:right="1739"/>
              <w:jc w:val="right"/>
              <w:rPr>
                <w:b/>
                <w:sz w:val="18"/>
              </w:rPr>
            </w:pPr>
            <w:r>
              <w:rPr>
                <w:b/>
                <w:sz w:val="18"/>
              </w:rPr>
              <w:t>16</w:t>
            </w:r>
          </w:p>
        </w:tc>
      </w:tr>
      <w:tr>
        <w:trPr>
          <w:trHeight w:val="262" w:hRule="atLeast"/>
        </w:trPr>
        <w:tc>
          <w:tcPr>
            <w:tcW w:w="3025" w:type="dxa"/>
            <w:tcBorders>
              <w:left w:val="single" w:sz="4" w:space="0" w:color="000000"/>
            </w:tcBorders>
          </w:tcPr>
          <w:p>
            <w:pPr>
              <w:pStyle w:val="TableParagraph"/>
              <w:rPr>
                <w:sz w:val="18"/>
              </w:rPr>
            </w:pPr>
          </w:p>
        </w:tc>
        <w:tc>
          <w:tcPr>
            <w:tcW w:w="348" w:type="dxa"/>
          </w:tcPr>
          <w:p>
            <w:pPr>
              <w:pStyle w:val="TableParagraph"/>
              <w:rPr>
                <w:sz w:val="18"/>
              </w:rPr>
            </w:pPr>
          </w:p>
        </w:tc>
        <w:tc>
          <w:tcPr>
            <w:tcW w:w="473" w:type="dxa"/>
          </w:tcPr>
          <w:p>
            <w:pPr>
              <w:pStyle w:val="TableParagraph"/>
              <w:rPr>
                <w:sz w:val="18"/>
              </w:rPr>
            </w:pPr>
          </w:p>
        </w:tc>
        <w:tc>
          <w:tcPr>
            <w:tcW w:w="1486" w:type="dxa"/>
            <w:vMerge/>
            <w:tcBorders>
              <w:top w:val="nil"/>
              <w:bottom w:val="single" w:sz="6" w:space="0" w:color="000000"/>
            </w:tcBorders>
          </w:tcPr>
          <w:p>
            <w:pPr>
              <w:rPr>
                <w:sz w:val="2"/>
                <w:szCs w:val="2"/>
              </w:rPr>
            </w:pPr>
          </w:p>
        </w:tc>
        <w:tc>
          <w:tcPr>
            <w:tcW w:w="317" w:type="dxa"/>
          </w:tcPr>
          <w:p>
            <w:pPr>
              <w:pStyle w:val="TableParagraph"/>
              <w:rPr>
                <w:sz w:val="18"/>
              </w:rPr>
            </w:pPr>
          </w:p>
        </w:tc>
        <w:tc>
          <w:tcPr>
            <w:tcW w:w="203" w:type="dxa"/>
          </w:tcPr>
          <w:p>
            <w:pPr>
              <w:pStyle w:val="TableParagraph"/>
              <w:rPr>
                <w:sz w:val="18"/>
              </w:rPr>
            </w:pPr>
          </w:p>
        </w:tc>
        <w:tc>
          <w:tcPr>
            <w:tcW w:w="2432" w:type="dxa"/>
            <w:tcBorders>
              <w:right w:val="single" w:sz="4" w:space="0" w:color="000000"/>
            </w:tcBorders>
          </w:tcPr>
          <w:p>
            <w:pPr>
              <w:pStyle w:val="TableParagraph"/>
              <w:spacing w:before="23"/>
              <w:ind w:right="1739"/>
              <w:jc w:val="right"/>
              <w:rPr>
                <w:b/>
                <w:sz w:val="18"/>
              </w:rPr>
            </w:pPr>
            <w:r>
              <w:rPr>
                <w:b/>
                <w:sz w:val="18"/>
              </w:rPr>
              <w:t>14</w:t>
            </w:r>
          </w:p>
        </w:tc>
      </w:tr>
      <w:tr>
        <w:trPr>
          <w:trHeight w:val="269" w:hRule="atLeast"/>
        </w:trPr>
        <w:tc>
          <w:tcPr>
            <w:tcW w:w="3025" w:type="dxa"/>
            <w:tcBorders>
              <w:left w:val="single" w:sz="4" w:space="0" w:color="000000"/>
            </w:tcBorders>
          </w:tcPr>
          <w:p>
            <w:pPr>
              <w:pStyle w:val="TableParagraph"/>
              <w:rPr>
                <w:sz w:val="18"/>
              </w:rPr>
            </w:pPr>
          </w:p>
        </w:tc>
        <w:tc>
          <w:tcPr>
            <w:tcW w:w="348" w:type="dxa"/>
          </w:tcPr>
          <w:p>
            <w:pPr>
              <w:pStyle w:val="TableParagraph"/>
              <w:rPr>
                <w:sz w:val="18"/>
              </w:rPr>
            </w:pPr>
          </w:p>
        </w:tc>
        <w:tc>
          <w:tcPr>
            <w:tcW w:w="473" w:type="dxa"/>
          </w:tcPr>
          <w:p>
            <w:pPr>
              <w:pStyle w:val="TableParagraph"/>
              <w:rPr>
                <w:sz w:val="18"/>
              </w:rPr>
            </w:pPr>
          </w:p>
        </w:tc>
        <w:tc>
          <w:tcPr>
            <w:tcW w:w="1486" w:type="dxa"/>
            <w:vMerge/>
            <w:tcBorders>
              <w:top w:val="nil"/>
              <w:bottom w:val="single" w:sz="6" w:space="0" w:color="000000"/>
            </w:tcBorders>
          </w:tcPr>
          <w:p>
            <w:pPr>
              <w:rPr>
                <w:sz w:val="2"/>
                <w:szCs w:val="2"/>
              </w:rPr>
            </w:pPr>
          </w:p>
        </w:tc>
        <w:tc>
          <w:tcPr>
            <w:tcW w:w="317" w:type="dxa"/>
          </w:tcPr>
          <w:p>
            <w:pPr>
              <w:pStyle w:val="TableParagraph"/>
              <w:rPr>
                <w:sz w:val="18"/>
              </w:rPr>
            </w:pPr>
          </w:p>
        </w:tc>
        <w:tc>
          <w:tcPr>
            <w:tcW w:w="203" w:type="dxa"/>
          </w:tcPr>
          <w:p>
            <w:pPr>
              <w:pStyle w:val="TableParagraph"/>
              <w:rPr>
                <w:sz w:val="18"/>
              </w:rPr>
            </w:pPr>
          </w:p>
        </w:tc>
        <w:tc>
          <w:tcPr>
            <w:tcW w:w="2432" w:type="dxa"/>
            <w:tcBorders>
              <w:right w:val="single" w:sz="4" w:space="0" w:color="000000"/>
            </w:tcBorders>
          </w:tcPr>
          <w:p>
            <w:pPr>
              <w:pStyle w:val="TableParagraph"/>
              <w:spacing w:before="24"/>
              <w:ind w:right="1739"/>
              <w:jc w:val="right"/>
              <w:rPr>
                <w:b/>
                <w:sz w:val="18"/>
              </w:rPr>
            </w:pPr>
            <w:r>
              <w:rPr>
                <w:b/>
                <w:sz w:val="18"/>
              </w:rPr>
              <w:t>12</w:t>
            </w:r>
          </w:p>
        </w:tc>
      </w:tr>
      <w:tr>
        <w:trPr>
          <w:trHeight w:val="268" w:hRule="atLeast"/>
        </w:trPr>
        <w:tc>
          <w:tcPr>
            <w:tcW w:w="3025" w:type="dxa"/>
            <w:tcBorders>
              <w:left w:val="single" w:sz="4" w:space="0" w:color="000000"/>
            </w:tcBorders>
          </w:tcPr>
          <w:p>
            <w:pPr>
              <w:pStyle w:val="TableParagraph"/>
              <w:rPr>
                <w:sz w:val="18"/>
              </w:rPr>
            </w:pPr>
          </w:p>
        </w:tc>
        <w:tc>
          <w:tcPr>
            <w:tcW w:w="348" w:type="dxa"/>
          </w:tcPr>
          <w:p>
            <w:pPr>
              <w:pStyle w:val="TableParagraph"/>
              <w:rPr>
                <w:sz w:val="18"/>
              </w:rPr>
            </w:pPr>
          </w:p>
        </w:tc>
        <w:tc>
          <w:tcPr>
            <w:tcW w:w="473" w:type="dxa"/>
          </w:tcPr>
          <w:p>
            <w:pPr>
              <w:pStyle w:val="TableParagraph"/>
              <w:rPr>
                <w:sz w:val="18"/>
              </w:rPr>
            </w:pPr>
          </w:p>
        </w:tc>
        <w:tc>
          <w:tcPr>
            <w:tcW w:w="1486" w:type="dxa"/>
            <w:vMerge/>
            <w:tcBorders>
              <w:top w:val="nil"/>
              <w:bottom w:val="single" w:sz="6" w:space="0" w:color="000000"/>
            </w:tcBorders>
          </w:tcPr>
          <w:p>
            <w:pPr>
              <w:rPr>
                <w:sz w:val="2"/>
                <w:szCs w:val="2"/>
              </w:rPr>
            </w:pPr>
          </w:p>
        </w:tc>
        <w:tc>
          <w:tcPr>
            <w:tcW w:w="317" w:type="dxa"/>
          </w:tcPr>
          <w:p>
            <w:pPr>
              <w:pStyle w:val="TableParagraph"/>
              <w:rPr>
                <w:sz w:val="18"/>
              </w:rPr>
            </w:pPr>
          </w:p>
        </w:tc>
        <w:tc>
          <w:tcPr>
            <w:tcW w:w="203" w:type="dxa"/>
          </w:tcPr>
          <w:p>
            <w:pPr>
              <w:pStyle w:val="TableParagraph"/>
              <w:rPr>
                <w:sz w:val="18"/>
              </w:rPr>
            </w:pPr>
          </w:p>
        </w:tc>
        <w:tc>
          <w:tcPr>
            <w:tcW w:w="2432" w:type="dxa"/>
            <w:tcBorders>
              <w:right w:val="single" w:sz="4" w:space="0" w:color="000000"/>
            </w:tcBorders>
          </w:tcPr>
          <w:p>
            <w:pPr>
              <w:pStyle w:val="TableParagraph"/>
              <w:spacing w:before="30"/>
              <w:ind w:right="1739"/>
              <w:jc w:val="right"/>
              <w:rPr>
                <w:b/>
                <w:sz w:val="18"/>
              </w:rPr>
            </w:pPr>
            <w:r>
              <w:rPr>
                <w:b/>
                <w:sz w:val="18"/>
              </w:rPr>
              <w:t>10</w:t>
            </w:r>
          </w:p>
        </w:tc>
      </w:tr>
      <w:tr>
        <w:trPr>
          <w:trHeight w:val="829" w:hRule="atLeast"/>
        </w:trPr>
        <w:tc>
          <w:tcPr>
            <w:tcW w:w="3025" w:type="dxa"/>
            <w:tcBorders>
              <w:left w:val="single" w:sz="4" w:space="0" w:color="000000"/>
            </w:tcBorders>
          </w:tcPr>
          <w:p>
            <w:pPr>
              <w:pStyle w:val="TableParagraph"/>
              <w:spacing w:before="164"/>
              <w:ind w:left="1687"/>
              <w:rPr>
                <w:sz w:val="18"/>
              </w:rPr>
            </w:pPr>
            <w:r>
              <w:rPr>
                <w:sz w:val="18"/>
              </w:rPr>
              <w:t>Unsecured debt</w:t>
            </w:r>
          </w:p>
          <w:p>
            <w:pPr>
              <w:pStyle w:val="TableParagraph"/>
              <w:spacing w:before="26"/>
              <w:ind w:left="1687"/>
              <w:rPr>
                <w:sz w:val="18"/>
              </w:rPr>
            </w:pPr>
            <w:r>
              <w:rPr>
                <w:sz w:val="18"/>
              </w:rPr>
              <w:t>/financial wealth</w:t>
            </w:r>
          </w:p>
        </w:tc>
        <w:tc>
          <w:tcPr>
            <w:tcW w:w="348" w:type="dxa"/>
          </w:tcPr>
          <w:p>
            <w:pPr>
              <w:pStyle w:val="TableParagraph"/>
              <w:rPr>
                <w:sz w:val="18"/>
              </w:rPr>
            </w:pPr>
          </w:p>
        </w:tc>
        <w:tc>
          <w:tcPr>
            <w:tcW w:w="473" w:type="dxa"/>
          </w:tcPr>
          <w:p>
            <w:pPr>
              <w:pStyle w:val="TableParagraph"/>
              <w:rPr>
                <w:sz w:val="18"/>
              </w:rPr>
            </w:pPr>
          </w:p>
        </w:tc>
        <w:tc>
          <w:tcPr>
            <w:tcW w:w="1486" w:type="dxa"/>
            <w:vMerge/>
            <w:tcBorders>
              <w:top w:val="nil"/>
              <w:bottom w:val="single" w:sz="6" w:space="0" w:color="000000"/>
            </w:tcBorders>
          </w:tcPr>
          <w:p>
            <w:pPr>
              <w:rPr>
                <w:sz w:val="2"/>
                <w:szCs w:val="2"/>
              </w:rPr>
            </w:pPr>
          </w:p>
        </w:tc>
        <w:tc>
          <w:tcPr>
            <w:tcW w:w="317" w:type="dxa"/>
          </w:tcPr>
          <w:p>
            <w:pPr>
              <w:pStyle w:val="TableParagraph"/>
              <w:rPr>
                <w:sz w:val="18"/>
              </w:rPr>
            </w:pPr>
          </w:p>
        </w:tc>
        <w:tc>
          <w:tcPr>
            <w:tcW w:w="203" w:type="dxa"/>
          </w:tcPr>
          <w:p>
            <w:pPr>
              <w:pStyle w:val="TableParagraph"/>
              <w:rPr>
                <w:sz w:val="18"/>
              </w:rPr>
            </w:pPr>
          </w:p>
        </w:tc>
        <w:tc>
          <w:tcPr>
            <w:tcW w:w="2432" w:type="dxa"/>
            <w:tcBorders>
              <w:right w:val="single" w:sz="4" w:space="0" w:color="000000"/>
            </w:tcBorders>
          </w:tcPr>
          <w:p>
            <w:pPr>
              <w:pStyle w:val="TableParagraph"/>
              <w:spacing w:before="23"/>
              <w:ind w:left="503"/>
              <w:rPr>
                <w:b/>
                <w:sz w:val="18"/>
              </w:rPr>
            </w:pPr>
            <w:r>
              <w:rPr>
                <w:b/>
                <w:sz w:val="18"/>
              </w:rPr>
              <w:t>8</w:t>
            </w:r>
          </w:p>
          <w:p>
            <w:pPr>
              <w:pStyle w:val="TableParagraph"/>
              <w:spacing w:before="71"/>
              <w:ind w:left="503"/>
              <w:rPr>
                <w:b/>
                <w:sz w:val="18"/>
              </w:rPr>
            </w:pPr>
            <w:r>
              <w:rPr>
                <w:b/>
                <w:sz w:val="18"/>
              </w:rPr>
              <w:t>6</w:t>
            </w:r>
          </w:p>
          <w:p>
            <w:pPr>
              <w:pStyle w:val="TableParagraph"/>
              <w:spacing w:before="84"/>
              <w:ind w:left="503"/>
              <w:rPr>
                <w:b/>
                <w:sz w:val="18"/>
              </w:rPr>
            </w:pPr>
            <w:r>
              <w:rPr>
                <w:b/>
                <w:sz w:val="18"/>
              </w:rPr>
              <w:t>4</w:t>
            </w:r>
          </w:p>
        </w:tc>
      </w:tr>
      <w:tr>
        <w:trPr>
          <w:trHeight w:val="262" w:hRule="atLeast"/>
        </w:trPr>
        <w:tc>
          <w:tcPr>
            <w:tcW w:w="3025" w:type="dxa"/>
            <w:tcBorders>
              <w:left w:val="single" w:sz="4" w:space="0" w:color="000000"/>
            </w:tcBorders>
          </w:tcPr>
          <w:p>
            <w:pPr>
              <w:pStyle w:val="TableParagraph"/>
              <w:rPr>
                <w:sz w:val="18"/>
              </w:rPr>
            </w:pPr>
          </w:p>
        </w:tc>
        <w:tc>
          <w:tcPr>
            <w:tcW w:w="348" w:type="dxa"/>
          </w:tcPr>
          <w:p>
            <w:pPr>
              <w:pStyle w:val="TableParagraph"/>
              <w:rPr>
                <w:sz w:val="18"/>
              </w:rPr>
            </w:pPr>
          </w:p>
        </w:tc>
        <w:tc>
          <w:tcPr>
            <w:tcW w:w="473" w:type="dxa"/>
          </w:tcPr>
          <w:p>
            <w:pPr>
              <w:pStyle w:val="TableParagraph"/>
              <w:rPr>
                <w:sz w:val="18"/>
              </w:rPr>
            </w:pPr>
          </w:p>
        </w:tc>
        <w:tc>
          <w:tcPr>
            <w:tcW w:w="1486" w:type="dxa"/>
            <w:vMerge/>
            <w:tcBorders>
              <w:top w:val="nil"/>
              <w:bottom w:val="single" w:sz="6" w:space="0" w:color="000000"/>
            </w:tcBorders>
          </w:tcPr>
          <w:p>
            <w:pPr>
              <w:rPr>
                <w:sz w:val="2"/>
                <w:szCs w:val="2"/>
              </w:rPr>
            </w:pPr>
          </w:p>
        </w:tc>
        <w:tc>
          <w:tcPr>
            <w:tcW w:w="317" w:type="dxa"/>
          </w:tcPr>
          <w:p>
            <w:pPr>
              <w:pStyle w:val="TableParagraph"/>
              <w:rPr>
                <w:sz w:val="18"/>
              </w:rPr>
            </w:pPr>
          </w:p>
        </w:tc>
        <w:tc>
          <w:tcPr>
            <w:tcW w:w="203" w:type="dxa"/>
          </w:tcPr>
          <w:p>
            <w:pPr>
              <w:pStyle w:val="TableParagraph"/>
              <w:rPr>
                <w:sz w:val="18"/>
              </w:rPr>
            </w:pPr>
          </w:p>
        </w:tc>
        <w:tc>
          <w:tcPr>
            <w:tcW w:w="2432" w:type="dxa"/>
            <w:tcBorders>
              <w:right w:val="single" w:sz="4" w:space="0" w:color="000000"/>
            </w:tcBorders>
          </w:tcPr>
          <w:p>
            <w:pPr>
              <w:pStyle w:val="TableParagraph"/>
              <w:spacing w:before="23"/>
              <w:ind w:left="503"/>
              <w:rPr>
                <w:b/>
                <w:sz w:val="18"/>
              </w:rPr>
            </w:pPr>
            <w:r>
              <w:rPr>
                <w:b/>
                <w:sz w:val="18"/>
              </w:rPr>
              <w:t>2</w:t>
            </w:r>
          </w:p>
        </w:tc>
      </w:tr>
      <w:tr>
        <w:trPr>
          <w:trHeight w:val="378" w:hRule="atLeast"/>
        </w:trPr>
        <w:tc>
          <w:tcPr>
            <w:tcW w:w="3025" w:type="dxa"/>
            <w:tcBorders>
              <w:left w:val="single" w:sz="4" w:space="0" w:color="000000"/>
              <w:bottom w:val="single" w:sz="6" w:space="0" w:color="000000"/>
            </w:tcBorders>
          </w:tcPr>
          <w:p>
            <w:pPr>
              <w:pStyle w:val="TableParagraph"/>
              <w:tabs>
                <w:tab w:pos="957" w:val="left" w:leader="none"/>
                <w:tab w:pos="1686" w:val="left" w:leader="none"/>
                <w:tab w:pos="2428" w:val="left" w:leader="none"/>
              </w:tabs>
              <w:spacing w:before="24"/>
              <w:ind w:left="213"/>
              <w:rPr>
                <w:b/>
                <w:sz w:val="18"/>
              </w:rPr>
            </w:pPr>
            <w:r>
              <w:rPr>
                <w:b/>
                <w:sz w:val="18"/>
              </w:rPr>
              <w:t>87</w:t>
              <w:tab/>
              <w:t>89</w:t>
              <w:tab/>
              <w:t>91</w:t>
              <w:tab/>
              <w:t>93</w:t>
            </w:r>
          </w:p>
        </w:tc>
        <w:tc>
          <w:tcPr>
            <w:tcW w:w="348" w:type="dxa"/>
            <w:tcBorders>
              <w:bottom w:val="single" w:sz="6" w:space="0" w:color="000000"/>
            </w:tcBorders>
          </w:tcPr>
          <w:p>
            <w:pPr>
              <w:pStyle w:val="TableParagraph"/>
              <w:spacing w:before="24"/>
              <w:ind w:left="138"/>
              <w:rPr>
                <w:b/>
                <w:sz w:val="18"/>
              </w:rPr>
            </w:pPr>
            <w:r>
              <w:rPr>
                <w:b/>
                <w:sz w:val="18"/>
              </w:rPr>
              <w:t>95</w:t>
            </w:r>
          </w:p>
        </w:tc>
        <w:tc>
          <w:tcPr>
            <w:tcW w:w="473" w:type="dxa"/>
            <w:tcBorders>
              <w:bottom w:val="single" w:sz="6" w:space="0" w:color="000000"/>
            </w:tcBorders>
          </w:tcPr>
          <w:p>
            <w:pPr>
              <w:pStyle w:val="TableParagraph"/>
              <w:rPr>
                <w:sz w:val="18"/>
              </w:rPr>
            </w:pPr>
          </w:p>
        </w:tc>
        <w:tc>
          <w:tcPr>
            <w:tcW w:w="1486" w:type="dxa"/>
            <w:vMerge/>
            <w:tcBorders>
              <w:top w:val="nil"/>
              <w:bottom w:val="single" w:sz="6" w:space="0" w:color="000000"/>
            </w:tcBorders>
          </w:tcPr>
          <w:p>
            <w:pPr>
              <w:rPr>
                <w:sz w:val="2"/>
                <w:szCs w:val="2"/>
              </w:rPr>
            </w:pPr>
          </w:p>
        </w:tc>
        <w:tc>
          <w:tcPr>
            <w:tcW w:w="317" w:type="dxa"/>
            <w:tcBorders>
              <w:bottom w:val="single" w:sz="6" w:space="0" w:color="000000"/>
            </w:tcBorders>
          </w:tcPr>
          <w:p>
            <w:pPr>
              <w:pStyle w:val="TableParagraph"/>
              <w:spacing w:before="24"/>
              <w:ind w:left="46"/>
              <w:rPr>
                <w:b/>
                <w:sz w:val="18"/>
              </w:rPr>
            </w:pPr>
            <w:r>
              <w:rPr>
                <w:b/>
                <w:sz w:val="18"/>
              </w:rPr>
              <w:t>01</w:t>
            </w:r>
          </w:p>
        </w:tc>
        <w:tc>
          <w:tcPr>
            <w:tcW w:w="203" w:type="dxa"/>
            <w:tcBorders>
              <w:bottom w:val="single" w:sz="6" w:space="0" w:color="000000"/>
            </w:tcBorders>
          </w:tcPr>
          <w:p>
            <w:pPr>
              <w:pStyle w:val="TableParagraph"/>
              <w:rPr>
                <w:sz w:val="18"/>
              </w:rPr>
            </w:pPr>
          </w:p>
        </w:tc>
        <w:tc>
          <w:tcPr>
            <w:tcW w:w="2432" w:type="dxa"/>
            <w:tcBorders>
              <w:bottom w:val="single" w:sz="6" w:space="0" w:color="000000"/>
              <w:right w:val="single" w:sz="4" w:space="0" w:color="000000"/>
            </w:tcBorders>
          </w:tcPr>
          <w:p>
            <w:pPr>
              <w:pStyle w:val="TableParagraph"/>
              <w:spacing w:before="24"/>
              <w:ind w:left="256"/>
              <w:rPr>
                <w:b/>
                <w:sz w:val="18"/>
              </w:rPr>
            </w:pPr>
            <w:r>
              <w:rPr>
                <w:b/>
                <w:sz w:val="18"/>
              </w:rPr>
              <w:t>03</w:t>
            </w:r>
          </w:p>
        </w:tc>
      </w:tr>
      <w:tr>
        <w:trPr>
          <w:trHeight w:val="533" w:hRule="atLeast"/>
        </w:trPr>
        <w:tc>
          <w:tcPr>
            <w:tcW w:w="8284" w:type="dxa"/>
            <w:gridSpan w:val="7"/>
            <w:tcBorders>
              <w:top w:val="single" w:sz="6" w:space="0" w:color="000000"/>
              <w:left w:val="single" w:sz="4" w:space="0" w:color="000000"/>
              <w:bottom w:val="single" w:sz="4" w:space="0" w:color="000000"/>
              <w:right w:val="single" w:sz="4" w:space="0" w:color="000000"/>
            </w:tcBorders>
          </w:tcPr>
          <w:p>
            <w:pPr>
              <w:pStyle w:val="TableParagraph"/>
              <w:spacing w:line="179" w:lineRule="exact"/>
              <w:ind w:left="105"/>
              <w:rPr>
                <w:sz w:val="16"/>
              </w:rPr>
            </w:pPr>
            <w:r>
              <w:rPr>
                <w:sz w:val="16"/>
              </w:rPr>
              <w:t>Sources: ONS and Bank of England.</w:t>
            </w:r>
          </w:p>
          <w:p>
            <w:pPr>
              <w:pStyle w:val="TableParagraph"/>
              <w:spacing w:line="181" w:lineRule="exact"/>
              <w:ind w:left="105"/>
              <w:rPr>
                <w:sz w:val="16"/>
              </w:rPr>
            </w:pPr>
            <w:r>
              <w:rPr>
                <w:sz w:val="16"/>
              </w:rPr>
              <w:t>(a) Dashed lines indicate average of series from 1987 Q1 to 2002 Q4.</w:t>
            </w:r>
          </w:p>
        </w:tc>
      </w:tr>
    </w:tbl>
    <w:p>
      <w:pPr>
        <w:pStyle w:val="BodyText"/>
        <w:rPr>
          <w:sz w:val="20"/>
        </w:rPr>
      </w:pPr>
    </w:p>
    <w:p>
      <w:pPr>
        <w:pStyle w:val="BodyText"/>
        <w:rPr>
          <w:sz w:val="20"/>
        </w:rPr>
      </w:pPr>
    </w:p>
    <w:p>
      <w:pPr>
        <w:pStyle w:val="BodyText"/>
        <w:spacing w:before="5"/>
        <w:rPr>
          <w:sz w:val="27"/>
        </w:rPr>
      </w:pPr>
    </w:p>
    <w:tbl>
      <w:tblPr>
        <w:tblW w:w="0" w:type="auto"/>
        <w:jc w:val="left"/>
        <w:tblInd w:w="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55"/>
        <w:gridCol w:w="677"/>
        <w:gridCol w:w="737"/>
        <w:gridCol w:w="738"/>
        <w:gridCol w:w="510"/>
        <w:gridCol w:w="728"/>
        <w:gridCol w:w="1947"/>
      </w:tblGrid>
      <w:tr>
        <w:trPr>
          <w:trHeight w:val="268" w:hRule="atLeast"/>
        </w:trPr>
        <w:tc>
          <w:tcPr>
            <w:tcW w:w="829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7" w:lineRule="exact" w:before="1"/>
              <w:ind w:left="3618" w:right="3608"/>
              <w:jc w:val="center"/>
              <w:rPr>
                <w:b/>
                <w:sz w:val="23"/>
              </w:rPr>
            </w:pPr>
            <w:r>
              <w:rPr>
                <w:b/>
                <w:sz w:val="23"/>
              </w:rPr>
              <w:t>Figure 10:</w:t>
            </w:r>
          </w:p>
        </w:tc>
      </w:tr>
      <w:tr>
        <w:trPr>
          <w:trHeight w:val="596" w:hRule="atLeast"/>
        </w:trPr>
        <w:tc>
          <w:tcPr>
            <w:tcW w:w="2955" w:type="dxa"/>
            <w:tcBorders>
              <w:top w:val="single" w:sz="4" w:space="0" w:color="000000"/>
              <w:left w:val="single" w:sz="4" w:space="0" w:color="000000"/>
            </w:tcBorders>
          </w:tcPr>
          <w:p>
            <w:pPr>
              <w:pStyle w:val="TableParagraph"/>
              <w:spacing w:before="164"/>
              <w:ind w:left="227"/>
              <w:rPr>
                <w:b/>
                <w:sz w:val="23"/>
              </w:rPr>
            </w:pPr>
            <w:r>
              <w:rPr>
                <w:b/>
                <w:sz w:val="23"/>
              </w:rPr>
              <w:t>Undrawn housing equity</w:t>
            </w:r>
            <w:r>
              <w:rPr>
                <w:b/>
                <w:sz w:val="23"/>
                <w:vertAlign w:val="superscript"/>
              </w:rPr>
              <w:t>(a)</w:t>
            </w:r>
          </w:p>
        </w:tc>
        <w:tc>
          <w:tcPr>
            <w:tcW w:w="677" w:type="dxa"/>
            <w:tcBorders>
              <w:top w:val="single" w:sz="4" w:space="0" w:color="000000"/>
            </w:tcBorders>
          </w:tcPr>
          <w:p>
            <w:pPr>
              <w:pStyle w:val="TableParagraph"/>
              <w:rPr>
                <w:sz w:val="18"/>
              </w:rPr>
            </w:pPr>
          </w:p>
        </w:tc>
        <w:tc>
          <w:tcPr>
            <w:tcW w:w="737" w:type="dxa"/>
            <w:tcBorders>
              <w:top w:val="single" w:sz="4" w:space="0" w:color="000000"/>
            </w:tcBorders>
          </w:tcPr>
          <w:p>
            <w:pPr>
              <w:pStyle w:val="TableParagraph"/>
              <w:rPr>
                <w:sz w:val="18"/>
              </w:rPr>
            </w:pPr>
          </w:p>
        </w:tc>
        <w:tc>
          <w:tcPr>
            <w:tcW w:w="738" w:type="dxa"/>
            <w:tcBorders>
              <w:top w:val="single" w:sz="4" w:space="0" w:color="000000"/>
            </w:tcBorders>
          </w:tcPr>
          <w:p>
            <w:pPr>
              <w:pStyle w:val="TableParagraph"/>
              <w:rPr>
                <w:sz w:val="18"/>
              </w:rPr>
            </w:pPr>
          </w:p>
        </w:tc>
        <w:tc>
          <w:tcPr>
            <w:tcW w:w="510" w:type="dxa"/>
            <w:tcBorders>
              <w:top w:val="single" w:sz="4" w:space="0" w:color="000000"/>
            </w:tcBorders>
          </w:tcPr>
          <w:p>
            <w:pPr>
              <w:pStyle w:val="TableParagraph"/>
              <w:rPr>
                <w:sz w:val="18"/>
              </w:rPr>
            </w:pPr>
          </w:p>
        </w:tc>
        <w:tc>
          <w:tcPr>
            <w:tcW w:w="728" w:type="dxa"/>
            <w:tcBorders>
              <w:top w:val="single" w:sz="4" w:space="0" w:color="000000"/>
            </w:tcBorders>
          </w:tcPr>
          <w:p>
            <w:pPr>
              <w:pStyle w:val="TableParagraph"/>
              <w:spacing w:before="2"/>
              <w:rPr>
                <w:sz w:val="28"/>
              </w:rPr>
            </w:pPr>
          </w:p>
          <w:p>
            <w:pPr>
              <w:pStyle w:val="TableParagraph"/>
              <w:ind w:right="5"/>
              <w:jc w:val="right"/>
              <w:rPr>
                <w:b/>
                <w:sz w:val="19"/>
              </w:rPr>
            </w:pPr>
            <w:r>
              <w:rPr>
                <w:b/>
                <w:sz w:val="19"/>
              </w:rPr>
              <w:t>Per cent</w:t>
            </w:r>
          </w:p>
        </w:tc>
        <w:tc>
          <w:tcPr>
            <w:tcW w:w="1947" w:type="dxa"/>
            <w:tcBorders>
              <w:top w:val="single" w:sz="4" w:space="0" w:color="000000"/>
              <w:right w:val="single" w:sz="4" w:space="0" w:color="000000"/>
            </w:tcBorders>
          </w:tcPr>
          <w:p>
            <w:pPr>
              <w:pStyle w:val="TableParagraph"/>
              <w:rPr>
                <w:sz w:val="18"/>
              </w:rPr>
            </w:pPr>
          </w:p>
        </w:tc>
      </w:tr>
      <w:tr>
        <w:trPr>
          <w:trHeight w:val="415" w:hRule="atLeast"/>
        </w:trPr>
        <w:tc>
          <w:tcPr>
            <w:tcW w:w="2955" w:type="dxa"/>
            <w:tcBorders>
              <w:left w:val="single" w:sz="4" w:space="0" w:color="000000"/>
            </w:tcBorders>
          </w:tcPr>
          <w:p>
            <w:pPr>
              <w:pStyle w:val="TableParagraph"/>
              <w:rPr>
                <w:sz w:val="18"/>
              </w:rPr>
            </w:pPr>
          </w:p>
        </w:tc>
        <w:tc>
          <w:tcPr>
            <w:tcW w:w="677" w:type="dxa"/>
          </w:tcPr>
          <w:p>
            <w:pPr>
              <w:pStyle w:val="TableParagraph"/>
              <w:rPr>
                <w:sz w:val="18"/>
              </w:rPr>
            </w:pPr>
          </w:p>
        </w:tc>
        <w:tc>
          <w:tcPr>
            <w:tcW w:w="737" w:type="dxa"/>
          </w:tcPr>
          <w:p>
            <w:pPr>
              <w:pStyle w:val="TableParagraph"/>
              <w:rPr>
                <w:sz w:val="18"/>
              </w:rPr>
            </w:pPr>
          </w:p>
        </w:tc>
        <w:tc>
          <w:tcPr>
            <w:tcW w:w="738" w:type="dxa"/>
          </w:tcPr>
          <w:p>
            <w:pPr>
              <w:pStyle w:val="TableParagraph"/>
              <w:rPr>
                <w:sz w:val="18"/>
              </w:rPr>
            </w:pPr>
          </w:p>
        </w:tc>
        <w:tc>
          <w:tcPr>
            <w:tcW w:w="510" w:type="dxa"/>
          </w:tcPr>
          <w:p>
            <w:pPr>
              <w:pStyle w:val="TableParagraph"/>
              <w:rPr>
                <w:sz w:val="18"/>
              </w:rPr>
            </w:pPr>
          </w:p>
        </w:tc>
        <w:tc>
          <w:tcPr>
            <w:tcW w:w="728" w:type="dxa"/>
          </w:tcPr>
          <w:p>
            <w:pPr>
              <w:pStyle w:val="TableParagraph"/>
              <w:rPr>
                <w:sz w:val="18"/>
              </w:rPr>
            </w:pPr>
          </w:p>
        </w:tc>
        <w:tc>
          <w:tcPr>
            <w:tcW w:w="1947" w:type="dxa"/>
            <w:tcBorders>
              <w:right w:val="single" w:sz="4" w:space="0" w:color="000000"/>
            </w:tcBorders>
          </w:tcPr>
          <w:p>
            <w:pPr>
              <w:pStyle w:val="TableParagraph"/>
              <w:spacing w:before="46"/>
              <w:ind w:left="17"/>
              <w:rPr>
                <w:b/>
                <w:sz w:val="19"/>
              </w:rPr>
            </w:pPr>
            <w:r>
              <w:rPr>
                <w:b/>
                <w:sz w:val="19"/>
              </w:rPr>
              <w:t>85</w:t>
            </w:r>
          </w:p>
        </w:tc>
      </w:tr>
      <w:tr>
        <w:trPr>
          <w:trHeight w:val="511" w:hRule="atLeast"/>
        </w:trPr>
        <w:tc>
          <w:tcPr>
            <w:tcW w:w="2955" w:type="dxa"/>
            <w:tcBorders>
              <w:left w:val="single" w:sz="4" w:space="0" w:color="000000"/>
            </w:tcBorders>
          </w:tcPr>
          <w:p>
            <w:pPr>
              <w:pStyle w:val="TableParagraph"/>
              <w:rPr>
                <w:sz w:val="18"/>
              </w:rPr>
            </w:pPr>
          </w:p>
        </w:tc>
        <w:tc>
          <w:tcPr>
            <w:tcW w:w="677" w:type="dxa"/>
          </w:tcPr>
          <w:p>
            <w:pPr>
              <w:pStyle w:val="TableParagraph"/>
              <w:rPr>
                <w:sz w:val="18"/>
              </w:rPr>
            </w:pPr>
          </w:p>
        </w:tc>
        <w:tc>
          <w:tcPr>
            <w:tcW w:w="737" w:type="dxa"/>
          </w:tcPr>
          <w:p>
            <w:pPr>
              <w:pStyle w:val="TableParagraph"/>
              <w:rPr>
                <w:sz w:val="18"/>
              </w:rPr>
            </w:pPr>
          </w:p>
        </w:tc>
        <w:tc>
          <w:tcPr>
            <w:tcW w:w="738" w:type="dxa"/>
          </w:tcPr>
          <w:p>
            <w:pPr>
              <w:pStyle w:val="TableParagraph"/>
              <w:rPr>
                <w:sz w:val="18"/>
              </w:rPr>
            </w:pPr>
          </w:p>
        </w:tc>
        <w:tc>
          <w:tcPr>
            <w:tcW w:w="510" w:type="dxa"/>
          </w:tcPr>
          <w:p>
            <w:pPr>
              <w:pStyle w:val="TableParagraph"/>
              <w:rPr>
                <w:sz w:val="18"/>
              </w:rPr>
            </w:pPr>
          </w:p>
        </w:tc>
        <w:tc>
          <w:tcPr>
            <w:tcW w:w="728" w:type="dxa"/>
          </w:tcPr>
          <w:p>
            <w:pPr>
              <w:pStyle w:val="TableParagraph"/>
              <w:rPr>
                <w:sz w:val="18"/>
              </w:rPr>
            </w:pPr>
          </w:p>
        </w:tc>
        <w:tc>
          <w:tcPr>
            <w:tcW w:w="1947" w:type="dxa"/>
            <w:tcBorders>
              <w:right w:val="single" w:sz="4" w:space="0" w:color="000000"/>
            </w:tcBorders>
          </w:tcPr>
          <w:p>
            <w:pPr>
              <w:pStyle w:val="TableParagraph"/>
              <w:spacing w:before="142"/>
              <w:ind w:left="17"/>
              <w:rPr>
                <w:b/>
                <w:sz w:val="19"/>
              </w:rPr>
            </w:pPr>
            <w:r>
              <w:rPr>
                <w:b/>
                <w:sz w:val="19"/>
              </w:rPr>
              <w:t>80</w:t>
            </w:r>
          </w:p>
        </w:tc>
      </w:tr>
      <w:tr>
        <w:trPr>
          <w:trHeight w:val="503" w:hRule="atLeast"/>
        </w:trPr>
        <w:tc>
          <w:tcPr>
            <w:tcW w:w="2955" w:type="dxa"/>
            <w:tcBorders>
              <w:left w:val="single" w:sz="4" w:space="0" w:color="000000"/>
            </w:tcBorders>
          </w:tcPr>
          <w:p>
            <w:pPr>
              <w:pStyle w:val="TableParagraph"/>
              <w:rPr>
                <w:sz w:val="18"/>
              </w:rPr>
            </w:pPr>
          </w:p>
        </w:tc>
        <w:tc>
          <w:tcPr>
            <w:tcW w:w="677" w:type="dxa"/>
          </w:tcPr>
          <w:p>
            <w:pPr>
              <w:pStyle w:val="TableParagraph"/>
              <w:rPr>
                <w:sz w:val="18"/>
              </w:rPr>
            </w:pPr>
          </w:p>
        </w:tc>
        <w:tc>
          <w:tcPr>
            <w:tcW w:w="737" w:type="dxa"/>
          </w:tcPr>
          <w:p>
            <w:pPr>
              <w:pStyle w:val="TableParagraph"/>
              <w:rPr>
                <w:sz w:val="18"/>
              </w:rPr>
            </w:pPr>
          </w:p>
        </w:tc>
        <w:tc>
          <w:tcPr>
            <w:tcW w:w="738" w:type="dxa"/>
          </w:tcPr>
          <w:p>
            <w:pPr>
              <w:pStyle w:val="TableParagraph"/>
              <w:rPr>
                <w:sz w:val="18"/>
              </w:rPr>
            </w:pPr>
          </w:p>
        </w:tc>
        <w:tc>
          <w:tcPr>
            <w:tcW w:w="510" w:type="dxa"/>
          </w:tcPr>
          <w:p>
            <w:pPr>
              <w:pStyle w:val="TableParagraph"/>
              <w:rPr>
                <w:sz w:val="18"/>
              </w:rPr>
            </w:pPr>
          </w:p>
        </w:tc>
        <w:tc>
          <w:tcPr>
            <w:tcW w:w="728" w:type="dxa"/>
          </w:tcPr>
          <w:p>
            <w:pPr>
              <w:pStyle w:val="TableParagraph"/>
              <w:rPr>
                <w:sz w:val="18"/>
              </w:rPr>
            </w:pPr>
          </w:p>
        </w:tc>
        <w:tc>
          <w:tcPr>
            <w:tcW w:w="1947" w:type="dxa"/>
            <w:tcBorders>
              <w:right w:val="single" w:sz="4" w:space="0" w:color="000000"/>
            </w:tcBorders>
          </w:tcPr>
          <w:p>
            <w:pPr>
              <w:pStyle w:val="TableParagraph"/>
              <w:spacing w:before="142"/>
              <w:ind w:left="17"/>
              <w:rPr>
                <w:b/>
                <w:sz w:val="19"/>
              </w:rPr>
            </w:pPr>
            <w:r>
              <w:rPr>
                <w:b/>
                <w:sz w:val="19"/>
              </w:rPr>
              <w:t>75</w:t>
            </w:r>
          </w:p>
        </w:tc>
      </w:tr>
      <w:tr>
        <w:trPr>
          <w:trHeight w:val="503" w:hRule="atLeast"/>
        </w:trPr>
        <w:tc>
          <w:tcPr>
            <w:tcW w:w="2955" w:type="dxa"/>
            <w:tcBorders>
              <w:left w:val="single" w:sz="4" w:space="0" w:color="000000"/>
            </w:tcBorders>
          </w:tcPr>
          <w:p>
            <w:pPr>
              <w:pStyle w:val="TableParagraph"/>
              <w:rPr>
                <w:sz w:val="18"/>
              </w:rPr>
            </w:pPr>
          </w:p>
        </w:tc>
        <w:tc>
          <w:tcPr>
            <w:tcW w:w="677" w:type="dxa"/>
          </w:tcPr>
          <w:p>
            <w:pPr>
              <w:pStyle w:val="TableParagraph"/>
              <w:rPr>
                <w:sz w:val="18"/>
              </w:rPr>
            </w:pPr>
          </w:p>
        </w:tc>
        <w:tc>
          <w:tcPr>
            <w:tcW w:w="737" w:type="dxa"/>
          </w:tcPr>
          <w:p>
            <w:pPr>
              <w:pStyle w:val="TableParagraph"/>
              <w:rPr>
                <w:sz w:val="18"/>
              </w:rPr>
            </w:pPr>
          </w:p>
        </w:tc>
        <w:tc>
          <w:tcPr>
            <w:tcW w:w="738" w:type="dxa"/>
          </w:tcPr>
          <w:p>
            <w:pPr>
              <w:pStyle w:val="TableParagraph"/>
              <w:rPr>
                <w:sz w:val="18"/>
              </w:rPr>
            </w:pPr>
          </w:p>
        </w:tc>
        <w:tc>
          <w:tcPr>
            <w:tcW w:w="510" w:type="dxa"/>
          </w:tcPr>
          <w:p>
            <w:pPr>
              <w:pStyle w:val="TableParagraph"/>
              <w:rPr>
                <w:sz w:val="18"/>
              </w:rPr>
            </w:pPr>
          </w:p>
        </w:tc>
        <w:tc>
          <w:tcPr>
            <w:tcW w:w="728" w:type="dxa"/>
          </w:tcPr>
          <w:p>
            <w:pPr>
              <w:pStyle w:val="TableParagraph"/>
              <w:rPr>
                <w:sz w:val="18"/>
              </w:rPr>
            </w:pPr>
          </w:p>
        </w:tc>
        <w:tc>
          <w:tcPr>
            <w:tcW w:w="1947" w:type="dxa"/>
            <w:tcBorders>
              <w:right w:val="single" w:sz="4" w:space="0" w:color="000000"/>
            </w:tcBorders>
          </w:tcPr>
          <w:p>
            <w:pPr>
              <w:pStyle w:val="TableParagraph"/>
              <w:spacing w:before="135"/>
              <w:ind w:left="17"/>
              <w:rPr>
                <w:b/>
                <w:sz w:val="19"/>
              </w:rPr>
            </w:pPr>
            <w:r>
              <w:rPr>
                <w:b/>
                <w:sz w:val="19"/>
              </w:rPr>
              <w:t>70</w:t>
            </w:r>
          </w:p>
        </w:tc>
      </w:tr>
      <w:tr>
        <w:trPr>
          <w:trHeight w:val="511" w:hRule="atLeast"/>
        </w:trPr>
        <w:tc>
          <w:tcPr>
            <w:tcW w:w="2955" w:type="dxa"/>
            <w:tcBorders>
              <w:left w:val="single" w:sz="4" w:space="0" w:color="000000"/>
            </w:tcBorders>
          </w:tcPr>
          <w:p>
            <w:pPr>
              <w:pStyle w:val="TableParagraph"/>
              <w:rPr>
                <w:sz w:val="18"/>
              </w:rPr>
            </w:pPr>
          </w:p>
        </w:tc>
        <w:tc>
          <w:tcPr>
            <w:tcW w:w="677" w:type="dxa"/>
          </w:tcPr>
          <w:p>
            <w:pPr>
              <w:pStyle w:val="TableParagraph"/>
              <w:rPr>
                <w:sz w:val="18"/>
              </w:rPr>
            </w:pPr>
          </w:p>
        </w:tc>
        <w:tc>
          <w:tcPr>
            <w:tcW w:w="737" w:type="dxa"/>
          </w:tcPr>
          <w:p>
            <w:pPr>
              <w:pStyle w:val="TableParagraph"/>
              <w:rPr>
                <w:sz w:val="18"/>
              </w:rPr>
            </w:pPr>
          </w:p>
        </w:tc>
        <w:tc>
          <w:tcPr>
            <w:tcW w:w="738" w:type="dxa"/>
          </w:tcPr>
          <w:p>
            <w:pPr>
              <w:pStyle w:val="TableParagraph"/>
              <w:rPr>
                <w:sz w:val="18"/>
              </w:rPr>
            </w:pPr>
          </w:p>
        </w:tc>
        <w:tc>
          <w:tcPr>
            <w:tcW w:w="510" w:type="dxa"/>
          </w:tcPr>
          <w:p>
            <w:pPr>
              <w:pStyle w:val="TableParagraph"/>
              <w:rPr>
                <w:sz w:val="18"/>
              </w:rPr>
            </w:pPr>
          </w:p>
        </w:tc>
        <w:tc>
          <w:tcPr>
            <w:tcW w:w="728" w:type="dxa"/>
          </w:tcPr>
          <w:p>
            <w:pPr>
              <w:pStyle w:val="TableParagraph"/>
              <w:rPr>
                <w:sz w:val="18"/>
              </w:rPr>
            </w:pPr>
          </w:p>
        </w:tc>
        <w:tc>
          <w:tcPr>
            <w:tcW w:w="1947" w:type="dxa"/>
            <w:tcBorders>
              <w:right w:val="single" w:sz="4" w:space="0" w:color="000000"/>
            </w:tcBorders>
          </w:tcPr>
          <w:p>
            <w:pPr>
              <w:pStyle w:val="TableParagraph"/>
              <w:spacing w:before="142"/>
              <w:ind w:left="17"/>
              <w:rPr>
                <w:b/>
                <w:sz w:val="19"/>
              </w:rPr>
            </w:pPr>
            <w:r>
              <w:rPr>
                <w:b/>
                <w:sz w:val="19"/>
              </w:rPr>
              <w:t>65</w:t>
            </w:r>
          </w:p>
        </w:tc>
      </w:tr>
      <w:tr>
        <w:trPr>
          <w:trHeight w:val="394" w:hRule="atLeast"/>
        </w:trPr>
        <w:tc>
          <w:tcPr>
            <w:tcW w:w="2955" w:type="dxa"/>
            <w:tcBorders>
              <w:left w:val="single" w:sz="4" w:space="0" w:color="000000"/>
            </w:tcBorders>
          </w:tcPr>
          <w:p>
            <w:pPr>
              <w:pStyle w:val="TableParagraph"/>
              <w:rPr>
                <w:sz w:val="18"/>
              </w:rPr>
            </w:pPr>
          </w:p>
        </w:tc>
        <w:tc>
          <w:tcPr>
            <w:tcW w:w="677" w:type="dxa"/>
          </w:tcPr>
          <w:p>
            <w:pPr>
              <w:pStyle w:val="TableParagraph"/>
              <w:rPr>
                <w:sz w:val="18"/>
              </w:rPr>
            </w:pPr>
          </w:p>
        </w:tc>
        <w:tc>
          <w:tcPr>
            <w:tcW w:w="737" w:type="dxa"/>
          </w:tcPr>
          <w:p>
            <w:pPr>
              <w:pStyle w:val="TableParagraph"/>
              <w:rPr>
                <w:sz w:val="18"/>
              </w:rPr>
            </w:pPr>
          </w:p>
        </w:tc>
        <w:tc>
          <w:tcPr>
            <w:tcW w:w="738" w:type="dxa"/>
          </w:tcPr>
          <w:p>
            <w:pPr>
              <w:pStyle w:val="TableParagraph"/>
              <w:rPr>
                <w:sz w:val="18"/>
              </w:rPr>
            </w:pPr>
          </w:p>
        </w:tc>
        <w:tc>
          <w:tcPr>
            <w:tcW w:w="510" w:type="dxa"/>
          </w:tcPr>
          <w:p>
            <w:pPr>
              <w:pStyle w:val="TableParagraph"/>
              <w:rPr>
                <w:sz w:val="18"/>
              </w:rPr>
            </w:pPr>
          </w:p>
        </w:tc>
        <w:tc>
          <w:tcPr>
            <w:tcW w:w="728" w:type="dxa"/>
          </w:tcPr>
          <w:p>
            <w:pPr>
              <w:pStyle w:val="TableParagraph"/>
              <w:rPr>
                <w:sz w:val="18"/>
              </w:rPr>
            </w:pPr>
          </w:p>
        </w:tc>
        <w:tc>
          <w:tcPr>
            <w:tcW w:w="1947" w:type="dxa"/>
            <w:tcBorders>
              <w:right w:val="single" w:sz="4" w:space="0" w:color="000000"/>
            </w:tcBorders>
          </w:tcPr>
          <w:p>
            <w:pPr>
              <w:pStyle w:val="TableParagraph"/>
              <w:spacing w:before="142"/>
              <w:ind w:left="17"/>
              <w:rPr>
                <w:b/>
                <w:sz w:val="19"/>
              </w:rPr>
            </w:pPr>
            <w:r>
              <w:rPr>
                <w:b/>
                <w:sz w:val="19"/>
              </w:rPr>
              <w:t>60</w:t>
            </w:r>
          </w:p>
        </w:tc>
      </w:tr>
      <w:tr>
        <w:trPr>
          <w:trHeight w:val="387" w:hRule="atLeast"/>
        </w:trPr>
        <w:tc>
          <w:tcPr>
            <w:tcW w:w="2955" w:type="dxa"/>
            <w:tcBorders>
              <w:left w:val="single" w:sz="4" w:space="0" w:color="000000"/>
              <w:bottom w:val="single" w:sz="4" w:space="0" w:color="000000"/>
            </w:tcBorders>
          </w:tcPr>
          <w:p>
            <w:pPr>
              <w:pStyle w:val="TableParagraph"/>
              <w:tabs>
                <w:tab w:pos="957" w:val="left" w:leader="none"/>
                <w:tab w:pos="1686" w:val="left" w:leader="none"/>
                <w:tab w:pos="2430" w:val="left" w:leader="none"/>
              </w:tabs>
              <w:spacing w:before="26"/>
              <w:ind w:left="213"/>
              <w:rPr>
                <w:b/>
                <w:sz w:val="19"/>
              </w:rPr>
            </w:pPr>
            <w:r>
              <w:rPr>
                <w:b/>
                <w:spacing w:val="4"/>
                <w:sz w:val="19"/>
              </w:rPr>
              <w:t>87</w:t>
              <w:tab/>
              <w:t>89</w:t>
              <w:tab/>
              <w:t>91</w:t>
              <w:tab/>
            </w:r>
            <w:r>
              <w:rPr>
                <w:b/>
                <w:spacing w:val="8"/>
                <w:sz w:val="19"/>
              </w:rPr>
              <w:t>93</w:t>
            </w:r>
          </w:p>
        </w:tc>
        <w:tc>
          <w:tcPr>
            <w:tcW w:w="677" w:type="dxa"/>
            <w:tcBorders>
              <w:bottom w:val="single" w:sz="4" w:space="0" w:color="000000"/>
            </w:tcBorders>
          </w:tcPr>
          <w:p>
            <w:pPr>
              <w:pStyle w:val="TableParagraph"/>
              <w:spacing w:before="26"/>
              <w:ind w:left="210"/>
              <w:rPr>
                <w:b/>
                <w:sz w:val="19"/>
              </w:rPr>
            </w:pPr>
            <w:r>
              <w:rPr>
                <w:b/>
                <w:sz w:val="19"/>
              </w:rPr>
              <w:t>95</w:t>
            </w:r>
          </w:p>
        </w:tc>
        <w:tc>
          <w:tcPr>
            <w:tcW w:w="737" w:type="dxa"/>
            <w:tcBorders>
              <w:bottom w:val="single" w:sz="4" w:space="0" w:color="000000"/>
            </w:tcBorders>
          </w:tcPr>
          <w:p>
            <w:pPr>
              <w:pStyle w:val="TableParagraph"/>
              <w:spacing w:before="26"/>
              <w:ind w:left="265" w:right="241"/>
              <w:jc w:val="center"/>
              <w:rPr>
                <w:b/>
                <w:sz w:val="19"/>
              </w:rPr>
            </w:pPr>
            <w:r>
              <w:rPr>
                <w:b/>
                <w:sz w:val="19"/>
              </w:rPr>
              <w:t>97</w:t>
            </w:r>
          </w:p>
        </w:tc>
        <w:tc>
          <w:tcPr>
            <w:tcW w:w="738" w:type="dxa"/>
            <w:tcBorders>
              <w:bottom w:val="single" w:sz="4" w:space="0" w:color="000000"/>
            </w:tcBorders>
          </w:tcPr>
          <w:p>
            <w:pPr>
              <w:pStyle w:val="TableParagraph"/>
              <w:spacing w:before="26"/>
              <w:ind w:left="258" w:right="250"/>
              <w:jc w:val="center"/>
              <w:rPr>
                <w:b/>
                <w:sz w:val="19"/>
              </w:rPr>
            </w:pPr>
            <w:r>
              <w:rPr>
                <w:b/>
                <w:sz w:val="19"/>
              </w:rPr>
              <w:t>99</w:t>
            </w:r>
          </w:p>
        </w:tc>
        <w:tc>
          <w:tcPr>
            <w:tcW w:w="510" w:type="dxa"/>
            <w:tcBorders>
              <w:bottom w:val="single" w:sz="4" w:space="0" w:color="000000"/>
            </w:tcBorders>
          </w:tcPr>
          <w:p>
            <w:pPr>
              <w:pStyle w:val="TableParagraph"/>
              <w:spacing w:before="26"/>
              <w:ind w:left="278"/>
              <w:rPr>
                <w:b/>
                <w:sz w:val="19"/>
              </w:rPr>
            </w:pPr>
            <w:r>
              <w:rPr>
                <w:b/>
                <w:sz w:val="19"/>
              </w:rPr>
              <w:t>01</w:t>
            </w:r>
          </w:p>
        </w:tc>
        <w:tc>
          <w:tcPr>
            <w:tcW w:w="728" w:type="dxa"/>
            <w:tcBorders>
              <w:bottom w:val="single" w:sz="4" w:space="0" w:color="000000"/>
            </w:tcBorders>
          </w:tcPr>
          <w:p>
            <w:pPr>
              <w:pStyle w:val="TableParagraph"/>
              <w:spacing w:before="26"/>
              <w:ind w:right="32"/>
              <w:jc w:val="right"/>
              <w:rPr>
                <w:b/>
                <w:sz w:val="19"/>
              </w:rPr>
            </w:pPr>
            <w:r>
              <w:rPr>
                <w:b/>
                <w:sz w:val="19"/>
              </w:rPr>
              <w:t>03</w:t>
            </w:r>
          </w:p>
        </w:tc>
        <w:tc>
          <w:tcPr>
            <w:tcW w:w="1947" w:type="dxa"/>
            <w:tcBorders>
              <w:bottom w:val="single" w:sz="4" w:space="0" w:color="000000"/>
              <w:right w:val="single" w:sz="4" w:space="0" w:color="000000"/>
            </w:tcBorders>
          </w:tcPr>
          <w:p>
            <w:pPr>
              <w:pStyle w:val="TableParagraph"/>
              <w:rPr>
                <w:sz w:val="18"/>
              </w:rPr>
            </w:pPr>
          </w:p>
        </w:tc>
      </w:tr>
      <w:tr>
        <w:trPr>
          <w:trHeight w:val="359" w:hRule="atLeast"/>
        </w:trPr>
        <w:tc>
          <w:tcPr>
            <w:tcW w:w="8292" w:type="dxa"/>
            <w:gridSpan w:val="7"/>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Pr>
                <w:sz w:val="15"/>
              </w:rPr>
            </w:pPr>
            <w:r>
              <w:rPr>
                <w:w w:val="105"/>
                <w:sz w:val="15"/>
              </w:rPr>
              <w:t>Sources: Bank of England and ONS.</w:t>
            </w:r>
          </w:p>
          <w:p>
            <w:pPr>
              <w:pStyle w:val="TableParagraph"/>
              <w:spacing w:line="161" w:lineRule="exact" w:before="7"/>
              <w:ind w:left="105"/>
              <w:rPr>
                <w:sz w:val="15"/>
              </w:rPr>
            </w:pPr>
            <w:r>
              <w:rPr>
                <w:w w:val="105"/>
                <w:sz w:val="15"/>
              </w:rPr>
              <w:t>(a) As a percentage of total housing wealth.</w:t>
            </w:r>
          </w:p>
        </w:tc>
      </w:tr>
    </w:tbl>
    <w:p>
      <w:pPr>
        <w:spacing w:after="0" w:line="161" w:lineRule="exact"/>
        <w:rPr>
          <w:sz w:val="15"/>
        </w:rPr>
        <w:sectPr>
          <w:pgSz w:w="12240" w:h="15840"/>
          <w:pgMar w:header="209" w:footer="0" w:top="840" w:bottom="280" w:left="1000" w:right="1220"/>
        </w:sectPr>
      </w:pPr>
    </w:p>
    <w:p>
      <w:pPr>
        <w:pStyle w:val="BodyText"/>
        <w:spacing w:before="7"/>
        <w:rPr>
          <w:sz w:val="7"/>
        </w:rPr>
      </w:pPr>
      <w:r>
        <w:rPr/>
        <w:pict>
          <v:group style="position:absolute;margin-left:114.300003pt;margin-top:104.580002pt;width:293.25pt;height:144.6pt;mso-position-horizontal-relative:page;mso-position-vertical-relative:page;z-index:-254223360" coordorigin="2286,2092" coordsize="5865,2892">
            <v:shape style="position:absolute;left:2287;top:2092;width:5864;height:2890" coordorigin="2287,2093" coordsize="5864,2890" path="m8093,2093l8093,4982m8093,4982l8150,4982m8093,4750l8150,4750m8093,4500l8150,4500m8093,4267l8150,4267m8093,4020l8150,4020m8093,3785l8150,3785m8093,3538l8150,3538m8093,3305l8150,3305m8093,3055l8150,3055m8093,2822l8150,2822m8093,2575l8150,2575m8093,2342l8150,2342m8093,2093l8150,2093m2287,4982l8093,4982m2652,4982l2652,4939m3382,4982l3382,4939m4097,4982l4097,4939m4824,4982l4824,4939m5554,4982l5554,4939m6283,4982l6283,4939m6998,4982l6998,4939m7728,4982l7728,4939m2287,4982l2287,4922m3017,4982l3017,4922m3746,4982l3746,4922m4462,4982l4462,4922m5189,4982l5189,4922m5918,4982l5918,4922m6648,4982l6648,4922m7363,4982l7363,4922m8093,4982l8093,4922e" filled="false" stroked="true" strokeweight=".12pt" strokecolor="#000000">
              <v:path arrowok="t"/>
              <v:stroke dashstyle="solid"/>
            </v:shape>
            <v:line style="position:absolute" from="2359,4063" to="2448,4121" stroked="true" strokeweight=".729pt" strokecolor="#ff00ff">
              <v:stroke dashstyle="solid"/>
            </v:line>
            <v:shape style="position:absolute;left:2448;top:2968;width:5544;height:1796" coordorigin="2448,2969" coordsize="5544,1796" path="m2448,4121l2549,4135m2549,4135l2638,4195m2638,4195l2724,4267m2724,4267l2813,4282m2813,4282l2899,4049m2899,4049l3002,3756m3002,3756l3089,3595m3089,3595l3178,3377m3178,3377l3264,3466m3264,3466l3367,3276m3367,3276l3454,3144m3454,3144l3542,2969m3542,2969l3629,2983m3629,2983l3715,3130m3715,3130l3818,3202m3818,3202l3907,3406m3907,3406l3994,3670m3994,3670l4080,3756m4080,3756l4183,3756m4183,3756l4270,3874m4270,3874l4358,3917m4358,3917l4445,4150m4445,4150l4534,4442m4534,4442l4634,4558m4634,4558l4723,4618m4898,4618l4999,4500m4999,4500l5088,4618m5088,4618l5174,4574m5174,4574l5263,4543m5263,4543l5350,4457m5350,4457l5453,4529m5453,4529l5539,4589m5539,4589l5628,4646m5628,4646l5714,4704m5714,4704l5803,4750m5803,4750l5904,4764m5904,4764l5993,4733m5993,4733l6079,4764m6079,4764l6168,4632m6168,4632l6269,4558m6269,4558l6358,4414m6358,4414l6444,4339m6444,4339l6533,4267m6533,4267l6619,4310m6619,4310l6722,4500m6722,4500l6809,4632m6809,4632l6898,4618m6898,4618l6984,4603m6984,4603l7087,4500m7087,4500l7174,4442m7174,4442l7262,4486m7262,4486l7349,4471m7349,4471l7438,4486m7438,4486l7538,4514m7538,4514l7627,4589m7627,4589l7714,4690m7714,4690l7802,4704m7802,4704l7992,4704e" filled="false" stroked="true" strokeweight=".729pt" strokecolor="#ff00ff">
              <v:path arrowok="t"/>
              <v:stroke dashstyle="solid"/>
            </v:shape>
            <v:line style="position:absolute" from="7992,4704" to="8078,4675" stroked="true" strokeweight=".729pt" strokecolor="#ff00ff">
              <v:stroke dashstyle="solid"/>
            </v:line>
            <v:shape style="position:absolute;left:2359;top:4252;width:5662;height:15" coordorigin="2359,4253" coordsize="5662,15" path="m2388,4253l2359,4253,2359,4267,2388,4267,2388,4253m2477,4253l2448,4253,2448,4267,2477,4267,2477,4253m2578,4253l2534,4253,2534,4267,2578,4267,2578,4253m2666,4253l2638,4253,2638,4267,2666,4267,2666,4253m2753,4253l2724,4253,2724,4267,2753,4267,2753,4253m2842,4253l2813,4253,2813,4267,2842,4267,2842,4253m2928,4253l2899,4253,2899,4267,2928,4267,2928,4253m3031,4253l2988,4253,2988,4267,3031,4267,3031,4253m3118,4253l3089,4253,3089,4267,3118,4267,3118,4253m3206,4253l3178,4253,3178,4267,3206,4267,3206,4253m3293,4253l3264,4253,3264,4267,3293,4267,3293,4253m3396,4253l3353,4253,3353,4267,3396,4267,3396,4253m3482,4253l3454,4253,3454,4267,3482,4267,3482,4253m3571,4253l3542,4253,3542,4267,3571,4267,3571,4253m3658,4253l3629,4253,3629,4267,3658,4267,3658,4253m3746,4253l3715,4253,3715,4267,3746,4267,3746,4253m3847,4253l3804,4253,3804,4267,3847,4267,3847,4253m3936,4253l3907,4253,3907,4267,3936,4267,3936,4253m4022,4253l3994,4253,3994,4267,4022,4267,4022,4253m4111,4253l4080,4253,4080,4267,4111,4267,4111,4253m4212,4253l4169,4253,4169,4267,4212,4267,4212,4253m4301,4253l4270,4253,4270,4267,4301,4267,4301,4253m4387,4253l4358,4253,4358,4267,4387,4267,4387,4253m4476,4253l4445,4253,4445,4267,4476,4267,4476,4253m4562,4253l4534,4253,4534,4267,4562,4267,4562,4253m4666,4253l4620,4253,4620,4267,4666,4267,4666,4253m4752,4253l4723,4253,4723,4267,4752,4267,4752,4253m4841,4253l4810,4253,4810,4267,4841,4267,4841,4253m4927,4253l4898,4253,4898,4267,4927,4267,4927,4253m5030,4253l4985,4253,4985,4267,5030,4267,5030,4253m5117,4253l5088,4253,5088,4267,5117,4267,5117,4253m5206,4253l5174,4253,5174,4267,5206,4267,5206,4253m5292,4253l5263,4253,5263,4267,5292,4267,5292,4253m5378,4253l5350,4253,5350,4267,5378,4267,5378,4253m5482,4253l5438,4253,5438,4267,5482,4267,5482,4253m5568,4253l5539,4253,5539,4267,5568,4267,5568,4253m5657,4253l5628,4253,5628,4267,5657,4267,5657,4253m5743,4253l5714,4253,5714,4267,5743,4267,5743,4253m5832,4253l5803,4253,5803,4267,5832,4267,5832,4253m5933,4253l5890,4253,5890,4267,5933,4267,5933,4253m6022,4253l5993,4253,5993,4267,6022,4267,6022,4253m6108,4253l6079,4253,6079,4267,6108,4267,6108,4253m6197,4253l6168,4253,6168,4267,6197,4267,6197,4253m6298,4253l6254,4253,6254,4267,6298,4267,6298,4253m6386,4253l6358,4253,6358,4267,6386,4267,6386,4253m6473,4253l6444,4253,6444,4267,6473,4267,6473,4253m6562,4253l6533,4253,6533,4267,6562,4267,6562,4253m6648,4253l6619,4253,6619,4267,6648,4267,6648,4253m6751,4253l6708,4253,6708,4267,6751,4267,6751,4253m6838,4253l6809,4253,6809,4267,6838,4267,6838,4253m6926,4253l6898,4253,6898,4267,6926,4267,6926,4253m7013,4253l6984,4253,6984,4267,7013,4267,7013,4253m7116,4253l7073,4253,7073,4267,7116,4267,7116,4253m7202,4253l7174,4253,7174,4267,7202,4267,7202,4253m7291,4253l7262,4253,7262,4267,7291,4267,7291,4253m7378,4253l7349,4253,7349,4267,7378,4267,7378,4253m7466,4253l7438,4253,7438,4267,7466,4267,7466,4253m7567,4253l7524,4253,7524,4267,7567,4267,7567,4253m7656,4253l7627,4253,7627,4267,7656,4267,7656,4253m7742,4253l7714,4253,7714,4267,7742,4267,7742,4253m7831,4253l7802,4253,7802,4267,7831,4267,7831,4253m7932,4253l7889,4253,7889,4267,7932,4267,7932,4253m8021,4253l7992,4253,7992,4267,8021,4267,8021,4253e" filled="true" fillcolor="#ff00ff" stroked="false">
              <v:path arrowok="t"/>
              <v:fill type="solid"/>
            </v:shape>
            <v:line style="position:absolute" from="2359,3830" to="2448,3814" stroked="true" strokeweight=".729pt" strokecolor="#000080">
              <v:stroke dashstyle="solid"/>
            </v:line>
            <v:shape style="position:absolute;left:2448;top:2707;width:5544;height:1707" coordorigin="2448,2707" coordsize="5544,1707" path="m2448,3814l2549,3785m2549,3785l2638,3859m2638,3859l2724,3902m2724,3902l2813,3946m2813,3946l2899,3785m2899,3785l3002,3581m3002,3581l3089,3406m3089,3406l3178,3101m3178,3101l3264,3187m3264,3187l3367,3012m3367,3012l3454,2866m3454,2866l3542,2722m3542,2722l3629,2707m3629,2707l3715,2837m3715,2837l3818,2897m3818,2897l3907,3026m3907,3026l3994,3230m3994,3230l4080,3334m4080,3334l4183,3391m4183,3391l4270,3509m4270,3509l4358,3552m4358,3552l4445,3830m4445,3830l4534,4049m4534,4049l4634,4210m4634,4210l4723,4282m4723,4282l4810,4296m4810,4296l4898,4267m4898,4267l4999,4164m4999,4164l5088,4296m5088,4296l5174,4267m5174,4267l5263,4224m5263,4224l5350,4135m5350,4135l5453,4195m5453,4195l5539,4253m5539,4253l5628,4310m5628,4310l5714,4368m5714,4368l5803,4385m5803,4385l5904,4414m5904,4414l5993,4399m5993,4399l6079,4385m6079,4385l6168,4296m6168,4296l6269,4224m6269,4224l6358,4106m6358,4106l6444,4020m6444,4020l6533,3989m6533,3989l6619,4006m6619,4006l6722,4178m6722,4178l6809,4282m6809,4282l6898,4267m6898,4267l6984,4267m6984,4267l7087,4164m7087,4164l7174,4106m7174,4106l7262,4135m7262,4135l7349,4106m7349,4106l7438,4092m7438,4092l7538,4078m7538,4078l7627,4121m7627,4121l7714,4210m7714,4210l7802,4092m7802,4092l7903,4063m7903,4063l7992,4049e" filled="false" stroked="true" strokeweight=".729pt" strokecolor="#000080">
              <v:path arrowok="t"/>
              <v:stroke dashstyle="solid"/>
            </v:shape>
            <v:line style="position:absolute" from="7992,4049" to="8078,3946" stroked="true" strokeweight=".729pt" strokecolor="#000080">
              <v:stroke dashstyle="solid"/>
            </v:line>
            <v:shape style="position:absolute;left:2359;top:3888;width:5662;height:15" coordorigin="2359,3888" coordsize="5662,15" path="m2388,3888l2359,3888,2359,3902,2388,3902,2388,3888m2477,3888l2448,3888,2448,3902,2477,3902,2477,3888m2578,3888l2534,3888,2534,3902,2578,3902,2578,3888m2666,3888l2638,3888,2638,3902,2666,3902,2666,3888m2753,3888l2724,3888,2724,3902,2753,3902,2753,3888m2842,3888l2813,3888,2813,3902,2842,3902,2842,3888m2928,3888l2899,3888,2899,3902,2928,3902,2928,3888m3031,3888l2988,3888,2988,3902,3031,3902,3031,3888m3118,3888l3089,3888,3089,3902,3118,3902,3118,3888m3206,3888l3178,3888,3178,3902,3206,3902,3206,3888m3293,3888l3264,3888,3264,3902,3293,3902,3293,3888m3396,3888l3353,3888,3353,3902,3396,3902,3396,3888m3482,3888l3454,3888,3454,3902,3482,3902,3482,3888m3571,3888l3542,3888,3542,3902,3571,3902,3571,3888m3658,3888l3629,3888,3629,3902,3658,3902,3658,3888m3746,3888l3715,3888,3715,3902,3746,3902,3746,3888m3847,3888l3804,3888,3804,3902,3847,3902,3847,3888m3936,3888l3907,3888,3907,3902,3936,3902,3936,3888m4022,3888l3994,3888,3994,3902,4022,3902,4022,3888m4111,3888l4080,3888,4080,3902,4111,3902,4111,3888m4212,3888l4169,3888,4169,3902,4212,3902,4212,3888m4301,3888l4270,3888,4270,3902,4301,3902,4301,3888m4387,3888l4358,3888,4358,3902,4387,3902,4387,3888m4476,3888l4445,3888,4445,3902,4476,3902,4476,3888m4562,3888l4534,3888,4534,3902,4562,3902,4562,3888m4666,3888l4620,3888,4620,3902,4666,3902,4666,3888m4752,3888l4723,3888,4723,3902,4752,3902,4752,3888m4841,3888l4810,3888,4810,3902,4841,3902,4841,3888m4927,3888l4898,3888,4898,3902,4927,3902,4927,3888m5030,3888l4985,3888,4985,3902,5030,3902,5030,3888m5117,3888l5088,3888,5088,3902,5117,3902,5117,3888m5206,3888l5174,3888,5174,3902,5206,3902,5206,3888m5292,3888l5263,3888,5263,3902,5292,3902,5292,3888m5378,3888l5350,3888,5350,3902,5378,3902,5378,3888m5482,3888l5438,3888,5438,3902,5482,3902,5482,3888m5568,3888l5539,3888,5539,3902,5568,3902,5568,3888m5657,3888l5628,3888,5628,3902,5657,3902,5657,3888m5743,3888l5714,3888,5714,3902,5743,3902,5743,3888m5832,3888l5803,3888,5803,3902,5832,3902,5832,3888m5933,3888l5890,3888,5890,3902,5933,3902,5933,3888m6022,3888l5993,3888,5993,3902,6022,3902,6022,3888m6108,3888l6079,3888,6079,3902,6108,3902,6108,3888m6197,3888l6168,3888,6168,3902,6197,3902,6197,3888m6298,3888l6254,3888,6254,3902,6298,3902,6298,3888m6386,3888l6358,3888,6358,3902,6386,3902,6386,3888m6473,3888l6444,3888,6444,3902,6473,3902,6473,3888m6562,3888l6533,3888,6533,3902,6562,3902,6562,3888m6648,3888l6619,3888,6619,3902,6648,3902,6648,3888m6751,3888l6708,3888,6708,3902,6751,3902,6751,3888m6838,3888l6809,3888,6809,3902,6838,3902,6838,3888m6926,3888l6898,3888,6898,3902,6926,3902,6926,3888m7013,3888l6984,3888,6984,3902,7013,3902,7013,3888m7116,3888l7073,3888,7073,3902,7116,3902,7116,3888m7202,3888l7174,3888,7174,3902,7202,3902,7202,3888m7291,3888l7262,3888,7262,3902,7291,3902,7291,3888m7378,3888l7349,3888,7349,3902,7378,3902,7378,3888m7466,3888l7438,3888,7438,3902,7466,3902,7466,3888m7567,3888l7524,3888,7524,3902,7567,3902,7567,3888m7656,3888l7627,3888,7627,3902,7656,3902,7656,3888m7742,3888l7714,3888,7714,3902,7742,3902,7742,3888m7831,3888l7802,3888,7802,3902,7831,3902,7831,3888m7932,3888l7889,3888,7889,3902,7932,3902,7932,3888m8021,3888l7992,3888,7992,3902,8021,3902,8021,3888e" filled="true" fillcolor="#000080" stroked="false">
              <v:path arrowok="t"/>
              <v:fill type="solid"/>
            </v:shape>
            <w10:wrap type="none"/>
          </v:group>
        </w:pict>
      </w:r>
    </w:p>
    <w:tbl>
      <w:tblPr>
        <w:tblW w:w="0" w:type="auto"/>
        <w:jc w:val="left"/>
        <w:tblInd w:w="9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87"/>
        <w:gridCol w:w="234"/>
        <w:gridCol w:w="697"/>
        <w:gridCol w:w="2074"/>
      </w:tblGrid>
      <w:tr>
        <w:trPr>
          <w:trHeight w:val="268" w:hRule="atLeast"/>
        </w:trPr>
        <w:tc>
          <w:tcPr>
            <w:tcW w:w="8292" w:type="dxa"/>
            <w:gridSpan w:val="4"/>
          </w:tcPr>
          <w:p>
            <w:pPr>
              <w:pStyle w:val="TableParagraph"/>
              <w:spacing w:line="247" w:lineRule="exact" w:before="1"/>
              <w:ind w:left="3618" w:right="3608"/>
              <w:jc w:val="center"/>
              <w:rPr>
                <w:b/>
                <w:sz w:val="23"/>
              </w:rPr>
            </w:pPr>
            <w:r>
              <w:rPr>
                <w:b/>
                <w:sz w:val="23"/>
              </w:rPr>
              <w:t>Figure 11:</w:t>
            </w:r>
          </w:p>
        </w:tc>
      </w:tr>
      <w:tr>
        <w:trPr>
          <w:trHeight w:val="4276" w:hRule="atLeast"/>
        </w:trPr>
        <w:tc>
          <w:tcPr>
            <w:tcW w:w="5287" w:type="dxa"/>
            <w:tcBorders>
              <w:right w:val="nil"/>
            </w:tcBorders>
          </w:tcPr>
          <w:p>
            <w:pPr>
              <w:pStyle w:val="TableParagraph"/>
              <w:spacing w:before="162"/>
              <w:ind w:left="227"/>
              <w:rPr>
                <w:b/>
                <w:sz w:val="23"/>
              </w:rPr>
            </w:pPr>
            <w:r>
              <w:rPr>
                <w:b/>
                <w:sz w:val="23"/>
              </w:rPr>
              <w:t>Household sector income gearing</w:t>
            </w:r>
            <w:r>
              <w:rPr>
                <w:b/>
                <w:sz w:val="23"/>
                <w:vertAlign w:val="superscript"/>
              </w:rPr>
              <w:t>(a)</w:t>
            </w:r>
          </w:p>
          <w:p>
            <w:pPr>
              <w:pStyle w:val="TableParagraph"/>
              <w:rPr>
                <w:sz w:val="32"/>
              </w:rPr>
            </w:pPr>
          </w:p>
          <w:p>
            <w:pPr>
              <w:pStyle w:val="TableParagraph"/>
              <w:spacing w:before="2"/>
              <w:rPr>
                <w:sz w:val="31"/>
              </w:rPr>
            </w:pPr>
          </w:p>
          <w:p>
            <w:pPr>
              <w:pStyle w:val="TableParagraph"/>
              <w:spacing w:before="1"/>
              <w:ind w:left="2330"/>
              <w:rPr>
                <w:sz w:val="17"/>
              </w:rPr>
            </w:pPr>
            <w:r>
              <w:rPr>
                <w:w w:val="105"/>
                <w:sz w:val="17"/>
              </w:rPr>
              <w:t>Total income gearing</w:t>
            </w:r>
          </w:p>
          <w:p>
            <w:pPr>
              <w:pStyle w:val="TableParagraph"/>
              <w:spacing w:line="321" w:lineRule="auto" w:before="37"/>
              <w:ind w:left="2330" w:right="-19"/>
              <w:rPr>
                <w:sz w:val="17"/>
              </w:rPr>
            </w:pPr>
            <w:r>
              <w:rPr>
                <w:spacing w:val="-3"/>
                <w:w w:val="105"/>
                <w:sz w:val="17"/>
              </w:rPr>
              <w:t>(including </w:t>
            </w:r>
            <w:r>
              <w:rPr>
                <w:spacing w:val="-5"/>
                <w:w w:val="105"/>
                <w:sz w:val="17"/>
              </w:rPr>
              <w:t>regular </w:t>
            </w:r>
            <w:r>
              <w:rPr>
                <w:w w:val="105"/>
                <w:sz w:val="17"/>
              </w:rPr>
              <w:t>repayments of </w:t>
            </w:r>
            <w:r>
              <w:rPr>
                <w:spacing w:val="-5"/>
                <w:w w:val="105"/>
                <w:sz w:val="17"/>
              </w:rPr>
              <w:t>mortgage </w:t>
            </w:r>
            <w:r>
              <w:rPr>
                <w:w w:val="105"/>
                <w:sz w:val="17"/>
              </w:rPr>
              <w:t>principal)</w:t>
            </w:r>
            <w:r>
              <w:rPr>
                <w:w w:val="105"/>
                <w:sz w:val="17"/>
                <w:vertAlign w:val="superscript"/>
              </w:rPr>
              <w:t>(b)</w:t>
            </w: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6"/>
              <w:rPr>
                <w:sz w:val="22"/>
              </w:rPr>
            </w:pPr>
          </w:p>
          <w:p>
            <w:pPr>
              <w:pStyle w:val="TableParagraph"/>
              <w:tabs>
                <w:tab w:pos="2752" w:val="left" w:leader="none"/>
              </w:tabs>
              <w:spacing w:line="285" w:lineRule="auto"/>
              <w:ind w:left="316" w:right="2352"/>
              <w:rPr>
                <w:sz w:val="17"/>
              </w:rPr>
            </w:pPr>
            <w:r>
              <w:rPr>
                <w:spacing w:val="2"/>
                <w:w w:val="105"/>
                <w:sz w:val="17"/>
              </w:rPr>
              <w:t>Total</w:t>
            </w:r>
            <w:r>
              <w:rPr>
                <w:spacing w:val="-33"/>
                <w:w w:val="105"/>
                <w:sz w:val="17"/>
              </w:rPr>
              <w:t> </w:t>
            </w:r>
            <w:r>
              <w:rPr>
                <w:spacing w:val="-3"/>
                <w:w w:val="105"/>
                <w:sz w:val="17"/>
              </w:rPr>
              <w:t>income </w:t>
            </w:r>
            <w:r>
              <w:rPr>
                <w:spacing w:val="-5"/>
                <w:w w:val="105"/>
                <w:sz w:val="17"/>
              </w:rPr>
              <w:t>gearing</w:t>
            </w:r>
            <w:r>
              <w:rPr>
                <w:spacing w:val="-24"/>
                <w:w w:val="105"/>
                <w:sz w:val="17"/>
              </w:rPr>
              <w:t> </w:t>
            </w:r>
            <w:r>
              <w:rPr>
                <w:w w:val="105"/>
                <w:sz w:val="17"/>
              </w:rPr>
              <w:t>(interest</w:t>
            </w:r>
            <w:r>
              <w:rPr>
                <w:sz w:val="17"/>
              </w:rPr>
              <w:tab/>
            </w:r>
            <w:r>
              <w:rPr>
                <w:w w:val="102"/>
                <w:sz w:val="17"/>
                <w:u w:val="single" w:color="FF00FF"/>
              </w:rPr>
              <w:t> </w:t>
            </w:r>
            <w:r>
              <w:rPr>
                <w:spacing w:val="3"/>
                <w:sz w:val="17"/>
                <w:u w:val="single" w:color="FF00FF"/>
              </w:rPr>
              <w:t> </w:t>
            </w:r>
            <w:r>
              <w:rPr>
                <w:spacing w:val="3"/>
                <w:sz w:val="17"/>
              </w:rPr>
              <w:t> </w:t>
            </w:r>
            <w:r>
              <w:rPr>
                <w:spacing w:val="-3"/>
                <w:w w:val="105"/>
                <w:sz w:val="17"/>
              </w:rPr>
              <w:t>rep </w:t>
            </w:r>
            <w:r>
              <w:rPr>
                <w:w w:val="105"/>
                <w:sz w:val="17"/>
              </w:rPr>
              <w:t>ayments</w:t>
            </w:r>
            <w:r>
              <w:rPr>
                <w:spacing w:val="-23"/>
                <w:w w:val="105"/>
                <w:sz w:val="17"/>
              </w:rPr>
              <w:t> </w:t>
            </w:r>
            <w:r>
              <w:rPr>
                <w:w w:val="105"/>
                <w:sz w:val="17"/>
              </w:rPr>
              <w:t>only)</w:t>
            </w:r>
          </w:p>
          <w:p>
            <w:pPr>
              <w:pStyle w:val="TableParagraph"/>
              <w:spacing w:before="3"/>
              <w:rPr>
                <w:sz w:val="24"/>
              </w:rPr>
            </w:pPr>
          </w:p>
          <w:p>
            <w:pPr>
              <w:pStyle w:val="TableParagraph"/>
              <w:tabs>
                <w:tab w:pos="957" w:val="left" w:leader="none"/>
                <w:tab w:pos="1686" w:val="left" w:leader="none"/>
                <w:tab w:pos="2402" w:val="left" w:leader="none"/>
                <w:tab w:pos="3131" w:val="left" w:leader="none"/>
                <w:tab w:pos="3861" w:val="left" w:leader="none"/>
                <w:tab w:pos="4590" w:val="left" w:leader="none"/>
              </w:tabs>
              <w:spacing w:before="1"/>
              <w:ind w:left="227"/>
              <w:rPr>
                <w:b/>
                <w:sz w:val="19"/>
              </w:rPr>
            </w:pPr>
            <w:r>
              <w:rPr>
                <w:b/>
                <w:spacing w:val="4"/>
                <w:sz w:val="19"/>
              </w:rPr>
              <w:t>87</w:t>
              <w:tab/>
              <w:t>89</w:t>
              <w:tab/>
              <w:t>91</w:t>
              <w:tab/>
              <w:t>93</w:t>
              <w:tab/>
              <w:t>95</w:t>
              <w:tab/>
            </w:r>
            <w:r>
              <w:rPr>
                <w:b/>
                <w:spacing w:val="2"/>
                <w:sz w:val="19"/>
              </w:rPr>
              <w:t>97</w:t>
              <w:tab/>
              <w:t>99</w:t>
            </w:r>
          </w:p>
        </w:tc>
        <w:tc>
          <w:tcPr>
            <w:tcW w:w="234" w:type="dxa"/>
            <w:tcBorders>
              <w:left w:val="nil"/>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5"/>
              <w:rPr>
                <w:sz w:val="21"/>
              </w:rPr>
            </w:pPr>
          </w:p>
          <w:p>
            <w:pPr>
              <w:pStyle w:val="TableParagraph"/>
              <w:ind w:left="24"/>
              <w:rPr>
                <w:b/>
                <w:sz w:val="19"/>
              </w:rPr>
            </w:pPr>
            <w:r>
              <w:rPr>
                <w:b/>
                <w:sz w:val="19"/>
              </w:rPr>
              <w:t>01</w:t>
            </w:r>
          </w:p>
        </w:tc>
        <w:tc>
          <w:tcPr>
            <w:tcW w:w="697" w:type="dxa"/>
            <w:tcBorders>
              <w:left w:val="nil"/>
              <w:right w:val="nil"/>
            </w:tcBorders>
          </w:tcPr>
          <w:p>
            <w:pPr>
              <w:pStyle w:val="TableParagraph"/>
              <w:rPr>
                <w:sz w:val="18"/>
              </w:rPr>
            </w:pPr>
          </w:p>
          <w:p>
            <w:pPr>
              <w:pStyle w:val="TableParagraph"/>
              <w:rPr>
                <w:sz w:val="23"/>
              </w:rPr>
            </w:pPr>
          </w:p>
          <w:p>
            <w:pPr>
              <w:pStyle w:val="TableParagraph"/>
              <w:spacing w:before="1"/>
              <w:ind w:left="22"/>
              <w:rPr>
                <w:b/>
                <w:sz w:val="17"/>
              </w:rPr>
            </w:pPr>
            <w:r>
              <w:rPr>
                <w:b/>
                <w:w w:val="105"/>
                <w:sz w:val="17"/>
              </w:rPr>
              <w:t>Per cent</w:t>
            </w:r>
          </w:p>
        </w:tc>
        <w:tc>
          <w:tcPr>
            <w:tcW w:w="2074" w:type="dxa"/>
            <w:tcBorders>
              <w:left w:val="nil"/>
            </w:tcBorders>
          </w:tcPr>
          <w:p>
            <w:pPr>
              <w:pStyle w:val="TableParagraph"/>
              <w:rPr>
                <w:sz w:val="20"/>
              </w:rPr>
            </w:pPr>
          </w:p>
          <w:p>
            <w:pPr>
              <w:pStyle w:val="TableParagraph"/>
              <w:rPr>
                <w:sz w:val="20"/>
              </w:rPr>
            </w:pPr>
          </w:p>
          <w:p>
            <w:pPr>
              <w:pStyle w:val="TableParagraph"/>
              <w:spacing w:before="1"/>
              <w:rPr>
                <w:sz w:val="26"/>
              </w:rPr>
            </w:pPr>
          </w:p>
          <w:p>
            <w:pPr>
              <w:pStyle w:val="TableParagraph"/>
              <w:spacing w:before="1"/>
              <w:ind w:left="55"/>
              <w:rPr>
                <w:b/>
                <w:sz w:val="19"/>
              </w:rPr>
            </w:pPr>
            <w:r>
              <w:rPr>
                <w:b/>
                <w:spacing w:val="5"/>
                <w:sz w:val="19"/>
              </w:rPr>
              <w:t>18</w:t>
            </w:r>
          </w:p>
          <w:p>
            <w:pPr>
              <w:pStyle w:val="TableParagraph"/>
              <w:spacing w:before="28"/>
              <w:ind w:left="55"/>
              <w:rPr>
                <w:b/>
                <w:sz w:val="19"/>
              </w:rPr>
            </w:pPr>
            <w:r>
              <w:rPr>
                <w:b/>
                <w:spacing w:val="5"/>
                <w:sz w:val="19"/>
              </w:rPr>
              <w:t>17</w:t>
            </w:r>
          </w:p>
          <w:p>
            <w:pPr>
              <w:pStyle w:val="TableParagraph"/>
              <w:spacing w:before="15"/>
              <w:ind w:left="55"/>
              <w:rPr>
                <w:b/>
                <w:sz w:val="19"/>
              </w:rPr>
            </w:pPr>
            <w:r>
              <w:rPr>
                <w:b/>
                <w:spacing w:val="5"/>
                <w:sz w:val="19"/>
              </w:rPr>
              <w:t>16</w:t>
            </w:r>
          </w:p>
          <w:p>
            <w:pPr>
              <w:pStyle w:val="TableParagraph"/>
              <w:spacing w:before="31"/>
              <w:ind w:left="55"/>
              <w:rPr>
                <w:b/>
                <w:sz w:val="19"/>
              </w:rPr>
            </w:pPr>
            <w:r>
              <w:rPr>
                <w:b/>
                <w:spacing w:val="5"/>
                <w:sz w:val="19"/>
              </w:rPr>
              <w:t>15</w:t>
            </w:r>
          </w:p>
          <w:p>
            <w:pPr>
              <w:pStyle w:val="TableParagraph"/>
              <w:spacing w:before="14"/>
              <w:ind w:left="55"/>
              <w:rPr>
                <w:b/>
                <w:sz w:val="19"/>
              </w:rPr>
            </w:pPr>
            <w:r>
              <w:rPr>
                <w:b/>
                <w:spacing w:val="5"/>
                <w:sz w:val="19"/>
              </w:rPr>
              <w:t>14</w:t>
            </w:r>
          </w:p>
          <w:p>
            <w:pPr>
              <w:pStyle w:val="TableParagraph"/>
              <w:spacing w:before="29"/>
              <w:ind w:left="55"/>
              <w:rPr>
                <w:b/>
                <w:sz w:val="19"/>
              </w:rPr>
            </w:pPr>
            <w:r>
              <w:rPr>
                <w:b/>
                <w:spacing w:val="5"/>
                <w:sz w:val="19"/>
              </w:rPr>
              <w:t>13</w:t>
            </w:r>
          </w:p>
          <w:p>
            <w:pPr>
              <w:pStyle w:val="TableParagraph"/>
              <w:spacing w:before="14"/>
              <w:ind w:left="55"/>
              <w:rPr>
                <w:b/>
                <w:sz w:val="19"/>
              </w:rPr>
            </w:pPr>
            <w:r>
              <w:rPr>
                <w:b/>
                <w:spacing w:val="5"/>
                <w:sz w:val="19"/>
              </w:rPr>
              <w:t>12</w:t>
            </w:r>
          </w:p>
          <w:p>
            <w:pPr>
              <w:pStyle w:val="TableParagraph"/>
              <w:spacing w:before="31"/>
              <w:ind w:left="55"/>
              <w:rPr>
                <w:b/>
                <w:sz w:val="19"/>
              </w:rPr>
            </w:pPr>
            <w:r>
              <w:rPr>
                <w:b/>
                <w:spacing w:val="5"/>
                <w:sz w:val="19"/>
              </w:rPr>
              <w:t>11</w:t>
            </w:r>
          </w:p>
          <w:p>
            <w:pPr>
              <w:pStyle w:val="TableParagraph"/>
              <w:spacing w:before="15"/>
              <w:ind w:left="55"/>
              <w:rPr>
                <w:b/>
                <w:sz w:val="19"/>
              </w:rPr>
            </w:pPr>
            <w:r>
              <w:rPr>
                <w:b/>
                <w:spacing w:val="5"/>
                <w:sz w:val="19"/>
              </w:rPr>
              <w:t>10</w:t>
            </w:r>
          </w:p>
          <w:p>
            <w:pPr>
              <w:pStyle w:val="TableParagraph"/>
              <w:spacing w:before="28"/>
              <w:ind w:left="55"/>
              <w:rPr>
                <w:b/>
                <w:sz w:val="19"/>
              </w:rPr>
            </w:pPr>
            <w:r>
              <w:rPr>
                <w:b/>
                <w:sz w:val="19"/>
              </w:rPr>
              <w:t>9</w:t>
            </w:r>
          </w:p>
          <w:p>
            <w:pPr>
              <w:pStyle w:val="TableParagraph"/>
              <w:spacing w:before="17"/>
              <w:ind w:left="55"/>
              <w:rPr>
                <w:b/>
                <w:sz w:val="19"/>
              </w:rPr>
            </w:pPr>
            <w:r>
              <w:rPr>
                <w:b/>
                <w:sz w:val="19"/>
              </w:rPr>
              <w:t>8</w:t>
            </w:r>
          </w:p>
          <w:p>
            <w:pPr>
              <w:pStyle w:val="TableParagraph"/>
              <w:spacing w:before="29"/>
              <w:ind w:left="55"/>
              <w:rPr>
                <w:b/>
                <w:sz w:val="19"/>
              </w:rPr>
            </w:pPr>
            <w:r>
              <w:rPr>
                <w:b/>
                <w:sz w:val="19"/>
              </w:rPr>
              <w:t>7</w:t>
            </w:r>
          </w:p>
          <w:p>
            <w:pPr>
              <w:pStyle w:val="TableParagraph"/>
              <w:spacing w:before="14"/>
              <w:ind w:left="55"/>
              <w:rPr>
                <w:b/>
                <w:sz w:val="19"/>
              </w:rPr>
            </w:pPr>
            <w:r>
              <w:rPr>
                <w:b/>
                <w:sz w:val="19"/>
              </w:rPr>
              <w:t>6</w:t>
            </w:r>
          </w:p>
        </w:tc>
      </w:tr>
      <w:tr>
        <w:trPr>
          <w:trHeight w:val="537" w:hRule="atLeast"/>
        </w:trPr>
        <w:tc>
          <w:tcPr>
            <w:tcW w:w="8292" w:type="dxa"/>
            <w:gridSpan w:val="4"/>
          </w:tcPr>
          <w:p>
            <w:pPr>
              <w:pStyle w:val="TableParagraph"/>
              <w:spacing w:line="171" w:lineRule="exact"/>
              <w:ind w:left="105"/>
              <w:rPr>
                <w:sz w:val="15"/>
              </w:rPr>
            </w:pPr>
            <w:r>
              <w:rPr>
                <w:w w:val="105"/>
                <w:sz w:val="15"/>
              </w:rPr>
              <w:t>Sources: ONS and Bank of England.</w:t>
            </w:r>
          </w:p>
          <w:p>
            <w:pPr>
              <w:pStyle w:val="TableParagraph"/>
              <w:numPr>
                <w:ilvl w:val="0"/>
                <w:numId w:val="5"/>
              </w:numPr>
              <w:tabs>
                <w:tab w:pos="317" w:val="left" w:leader="none"/>
              </w:tabs>
              <w:spacing w:line="240" w:lineRule="auto" w:before="7" w:after="0"/>
              <w:ind w:left="316" w:right="0" w:hanging="212"/>
              <w:jc w:val="left"/>
              <w:rPr>
                <w:sz w:val="15"/>
              </w:rPr>
            </w:pPr>
            <w:r>
              <w:rPr>
                <w:w w:val="105"/>
                <w:sz w:val="15"/>
              </w:rPr>
              <w:t>Dashed lines indicate averages from 1987 </w:t>
            </w:r>
            <w:r>
              <w:rPr>
                <w:spacing w:val="-3"/>
                <w:w w:val="105"/>
                <w:sz w:val="15"/>
              </w:rPr>
              <w:t>Q1 </w:t>
            </w:r>
            <w:r>
              <w:rPr>
                <w:w w:val="105"/>
                <w:sz w:val="15"/>
              </w:rPr>
              <w:t>to 2002</w:t>
            </w:r>
            <w:r>
              <w:rPr>
                <w:spacing w:val="-14"/>
                <w:w w:val="105"/>
                <w:sz w:val="15"/>
              </w:rPr>
              <w:t> </w:t>
            </w:r>
            <w:r>
              <w:rPr>
                <w:w w:val="105"/>
                <w:sz w:val="15"/>
              </w:rPr>
              <w:t>Q4.</w:t>
            </w:r>
          </w:p>
          <w:p>
            <w:pPr>
              <w:pStyle w:val="TableParagraph"/>
              <w:numPr>
                <w:ilvl w:val="0"/>
                <w:numId w:val="5"/>
              </w:numPr>
              <w:tabs>
                <w:tab w:pos="327" w:val="left" w:leader="none"/>
              </w:tabs>
              <w:spacing w:line="158" w:lineRule="exact" w:before="8" w:after="0"/>
              <w:ind w:left="326" w:right="0" w:hanging="222"/>
              <w:jc w:val="left"/>
              <w:rPr>
                <w:sz w:val="15"/>
              </w:rPr>
            </w:pPr>
            <w:r>
              <w:rPr>
                <w:w w:val="105"/>
                <w:sz w:val="15"/>
              </w:rPr>
              <w:t>See</w:t>
            </w:r>
            <w:r>
              <w:rPr>
                <w:spacing w:val="-2"/>
                <w:w w:val="105"/>
                <w:sz w:val="15"/>
              </w:rPr>
              <w:t> </w:t>
            </w:r>
            <w:r>
              <w:rPr>
                <w:w w:val="105"/>
                <w:sz w:val="15"/>
              </w:rPr>
              <w:t>page</w:t>
            </w:r>
            <w:r>
              <w:rPr>
                <w:spacing w:val="-5"/>
                <w:w w:val="105"/>
                <w:sz w:val="15"/>
              </w:rPr>
              <w:t> </w:t>
            </w:r>
            <w:r>
              <w:rPr>
                <w:w w:val="105"/>
                <w:sz w:val="15"/>
              </w:rPr>
              <w:t>82</w:t>
            </w:r>
            <w:r>
              <w:rPr>
                <w:spacing w:val="-2"/>
                <w:w w:val="105"/>
                <w:sz w:val="15"/>
              </w:rPr>
              <w:t> </w:t>
            </w:r>
            <w:r>
              <w:rPr>
                <w:w w:val="105"/>
                <w:sz w:val="15"/>
              </w:rPr>
              <w:t>of</w:t>
            </w:r>
            <w:r>
              <w:rPr>
                <w:spacing w:val="-2"/>
                <w:w w:val="105"/>
                <w:sz w:val="15"/>
              </w:rPr>
              <w:t> </w:t>
            </w:r>
            <w:r>
              <w:rPr>
                <w:w w:val="105"/>
                <w:sz w:val="15"/>
              </w:rPr>
              <w:t>the</w:t>
            </w:r>
            <w:r>
              <w:rPr>
                <w:spacing w:val="-5"/>
                <w:w w:val="105"/>
                <w:sz w:val="15"/>
              </w:rPr>
              <w:t> </w:t>
            </w:r>
            <w:r>
              <w:rPr>
                <w:w w:val="105"/>
                <w:sz w:val="15"/>
              </w:rPr>
              <w:t>Jun.</w:t>
            </w:r>
            <w:r>
              <w:rPr>
                <w:spacing w:val="-3"/>
                <w:w w:val="105"/>
                <w:sz w:val="15"/>
              </w:rPr>
              <w:t> </w:t>
            </w:r>
            <w:r>
              <w:rPr>
                <w:w w:val="105"/>
                <w:sz w:val="15"/>
              </w:rPr>
              <w:t>2002</w:t>
            </w:r>
            <w:r>
              <w:rPr>
                <w:spacing w:val="-2"/>
                <w:w w:val="105"/>
                <w:sz w:val="15"/>
              </w:rPr>
              <w:t> </w:t>
            </w:r>
            <w:r>
              <w:rPr>
                <w:i/>
                <w:w w:val="105"/>
                <w:sz w:val="15"/>
              </w:rPr>
              <w:t>Financial Stability</w:t>
            </w:r>
            <w:r>
              <w:rPr>
                <w:i/>
                <w:spacing w:val="-2"/>
                <w:w w:val="105"/>
                <w:sz w:val="15"/>
              </w:rPr>
              <w:t> </w:t>
            </w:r>
            <w:r>
              <w:rPr>
                <w:i/>
                <w:w w:val="105"/>
                <w:sz w:val="15"/>
              </w:rPr>
              <w:t>Review</w:t>
            </w:r>
            <w:r>
              <w:rPr>
                <w:i/>
                <w:spacing w:val="-1"/>
                <w:w w:val="105"/>
                <w:sz w:val="15"/>
              </w:rPr>
              <w:t> </w:t>
            </w:r>
            <w:r>
              <w:rPr>
                <w:w w:val="105"/>
                <w:sz w:val="15"/>
              </w:rPr>
              <w:t>for</w:t>
            </w:r>
            <w:r>
              <w:rPr>
                <w:spacing w:val="-4"/>
                <w:w w:val="105"/>
                <w:sz w:val="15"/>
              </w:rPr>
              <w:t> </w:t>
            </w:r>
            <w:r>
              <w:rPr>
                <w:w w:val="105"/>
                <w:sz w:val="15"/>
              </w:rPr>
              <w:t>how</w:t>
            </w:r>
            <w:r>
              <w:rPr>
                <w:spacing w:val="-5"/>
                <w:w w:val="105"/>
                <w:sz w:val="15"/>
              </w:rPr>
              <w:t> </w:t>
            </w:r>
            <w:r>
              <w:rPr>
                <w:w w:val="105"/>
                <w:sz w:val="15"/>
              </w:rPr>
              <w:t>this</w:t>
            </w:r>
            <w:r>
              <w:rPr>
                <w:spacing w:val="-3"/>
                <w:w w:val="105"/>
                <w:sz w:val="15"/>
              </w:rPr>
              <w:t> </w:t>
            </w:r>
            <w:r>
              <w:rPr>
                <w:w w:val="105"/>
                <w:sz w:val="15"/>
              </w:rPr>
              <w:t>series</w:t>
            </w:r>
            <w:r>
              <w:rPr>
                <w:spacing w:val="-1"/>
                <w:w w:val="105"/>
                <w:sz w:val="15"/>
              </w:rPr>
              <w:t> </w:t>
            </w:r>
            <w:r>
              <w:rPr>
                <w:w w:val="105"/>
                <w:sz w:val="15"/>
              </w:rPr>
              <w:t>is</w:t>
            </w:r>
            <w:r>
              <w:rPr>
                <w:spacing w:val="-1"/>
                <w:w w:val="105"/>
                <w:sz w:val="15"/>
              </w:rPr>
              <w:t> </w:t>
            </w:r>
            <w:r>
              <w:rPr>
                <w:w w:val="105"/>
                <w:sz w:val="15"/>
              </w:rPr>
              <w:t>constructed.</w:t>
            </w:r>
          </w:p>
        </w:tc>
      </w:tr>
    </w:tbl>
    <w:sectPr>
      <w:pgSz w:w="12240" w:h="15840"/>
      <w:pgMar w:header="209" w:footer="0" w:top="840" w:bottom="280" w:left="100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Open Sans">
    <w:altName w:val="Open Sans"/>
    <w:charset w:val="0"/>
    <w:family w:val="swiss"/>
    <w:pitch w:val="variable"/>
  </w:font>
  <w:font w:name="Microsoft YaHei">
    <w:altName w:val="Microsoft YaHei"/>
    <w:charset w:val="0"/>
    <w:family w:val="swiss"/>
    <w:pitch w:val="variable"/>
  </w:font>
  <w:font w:name="Constantia">
    <w:altName w:val="Constantia"/>
    <w:charset w:val="0"/>
    <w:family w:val="roman"/>
    <w:pitch w:val="variable"/>
  </w:font>
  <w:font w:name="Lucida Sans Unicode">
    <w:altName w:val="Lucida Sans Unicode"/>
    <w:charset w:val="0"/>
    <w:family w:val="swiss"/>
    <w:pitch w:val="variable"/>
  </w:font>
  <w:font w:name="Castellar">
    <w:altName w:val="Castellar"/>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0.519989pt;margin-top:9.444411pt;width:16.1pt;height:13.05pt;mso-position-horizontal-relative:page;mso-position-vertical-relative:page;z-index:-254267392" type="#_x0000_t202" filled="false" stroked="false">
          <v:textbox inset="0,0,0,0">
            <w:txbxContent>
              <w:p>
                <w:pPr>
                  <w:spacing w:before="10"/>
                  <w:ind w:left="6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325" w:hanging="360"/>
        <w:jc w:val="left"/>
      </w:pPr>
      <w:rPr>
        <w:rFonts w:hint="default" w:ascii="Times New Roman" w:hAnsi="Times New Roman" w:eastAsia="Times New Roman" w:cs="Times New Roman"/>
        <w:spacing w:val="-6"/>
        <w:w w:val="100"/>
        <w:sz w:val="24"/>
        <w:szCs w:val="24"/>
      </w:rPr>
    </w:lvl>
    <w:lvl w:ilvl="1">
      <w:start w:val="1"/>
      <w:numFmt w:val="decimal"/>
      <w:lvlText w:val="%2."/>
      <w:lvlJc w:val="left"/>
      <w:pPr>
        <w:ind w:left="4644" w:hanging="360"/>
        <w:jc w:val="right"/>
      </w:pPr>
      <w:rPr>
        <w:rFonts w:hint="default" w:ascii="Times New Roman" w:hAnsi="Times New Roman" w:eastAsia="Times New Roman" w:cs="Times New Roman"/>
        <w:b/>
        <w:bCs/>
        <w:w w:val="100"/>
        <w:sz w:val="24"/>
        <w:szCs w:val="24"/>
        <w:u w:val="thick" w:color="000000"/>
      </w:rPr>
    </w:lvl>
    <w:lvl w:ilvl="2">
      <w:start w:val="0"/>
      <w:numFmt w:val="bullet"/>
      <w:lvlText w:val="•"/>
      <w:lvlJc w:val="left"/>
      <w:pPr>
        <w:ind w:left="5237" w:hanging="360"/>
      </w:pPr>
      <w:rPr>
        <w:rFonts w:hint="default"/>
      </w:rPr>
    </w:lvl>
    <w:lvl w:ilvl="3">
      <w:start w:val="0"/>
      <w:numFmt w:val="bullet"/>
      <w:lvlText w:val="•"/>
      <w:lvlJc w:val="left"/>
      <w:pPr>
        <w:ind w:left="5835" w:hanging="360"/>
      </w:pPr>
      <w:rPr>
        <w:rFonts w:hint="default"/>
      </w:rPr>
    </w:lvl>
    <w:lvl w:ilvl="4">
      <w:start w:val="0"/>
      <w:numFmt w:val="bullet"/>
      <w:lvlText w:val="•"/>
      <w:lvlJc w:val="left"/>
      <w:pPr>
        <w:ind w:left="6433" w:hanging="360"/>
      </w:pPr>
      <w:rPr>
        <w:rFonts w:hint="default"/>
      </w:rPr>
    </w:lvl>
    <w:lvl w:ilvl="5">
      <w:start w:val="0"/>
      <w:numFmt w:val="bullet"/>
      <w:lvlText w:val="•"/>
      <w:lvlJc w:val="left"/>
      <w:pPr>
        <w:ind w:left="7031" w:hanging="360"/>
      </w:pPr>
      <w:rPr>
        <w:rFonts w:hint="default"/>
      </w:rPr>
    </w:lvl>
    <w:lvl w:ilvl="6">
      <w:start w:val="0"/>
      <w:numFmt w:val="bullet"/>
      <w:lvlText w:val="•"/>
      <w:lvlJc w:val="left"/>
      <w:pPr>
        <w:ind w:left="7628" w:hanging="360"/>
      </w:pPr>
      <w:rPr>
        <w:rFonts w:hint="default"/>
      </w:rPr>
    </w:lvl>
    <w:lvl w:ilvl="7">
      <w:start w:val="0"/>
      <w:numFmt w:val="bullet"/>
      <w:lvlText w:val="•"/>
      <w:lvlJc w:val="left"/>
      <w:pPr>
        <w:ind w:left="8226" w:hanging="360"/>
      </w:pPr>
      <w:rPr>
        <w:rFonts w:hint="default"/>
      </w:rPr>
    </w:lvl>
    <w:lvl w:ilvl="8">
      <w:start w:val="0"/>
      <w:numFmt w:val="bullet"/>
      <w:lvlText w:val="•"/>
      <w:lvlJc w:val="left"/>
      <w:pPr>
        <w:ind w:left="8824" w:hanging="360"/>
      </w:pPr>
      <w:rPr>
        <w:rFonts w:hint="default"/>
      </w:rPr>
    </w:lvl>
  </w:abstractNum>
  <w:abstractNum w:abstractNumId="4">
    <w:multiLevelType w:val="hybridMultilevel"/>
    <w:lvl w:ilvl="0">
      <w:start w:val="1"/>
      <w:numFmt w:val="lowerLetter"/>
      <w:lvlText w:val="(%1)"/>
      <w:lvlJc w:val="left"/>
      <w:pPr>
        <w:ind w:left="316" w:hanging="211"/>
        <w:jc w:val="left"/>
      </w:pPr>
      <w:rPr>
        <w:rFonts w:hint="default" w:ascii="Times New Roman" w:hAnsi="Times New Roman" w:eastAsia="Times New Roman" w:cs="Times New Roman"/>
        <w:spacing w:val="-2"/>
        <w:w w:val="104"/>
        <w:sz w:val="15"/>
        <w:szCs w:val="15"/>
      </w:rPr>
    </w:lvl>
    <w:lvl w:ilvl="1">
      <w:start w:val="0"/>
      <w:numFmt w:val="bullet"/>
      <w:lvlText w:val="•"/>
      <w:lvlJc w:val="left"/>
      <w:pPr>
        <w:ind w:left="1116" w:hanging="211"/>
      </w:pPr>
      <w:rPr>
        <w:rFonts w:hint="default"/>
      </w:rPr>
    </w:lvl>
    <w:lvl w:ilvl="2">
      <w:start w:val="0"/>
      <w:numFmt w:val="bullet"/>
      <w:lvlText w:val="•"/>
      <w:lvlJc w:val="left"/>
      <w:pPr>
        <w:ind w:left="1912" w:hanging="211"/>
      </w:pPr>
      <w:rPr>
        <w:rFonts w:hint="default"/>
      </w:rPr>
    </w:lvl>
    <w:lvl w:ilvl="3">
      <w:start w:val="0"/>
      <w:numFmt w:val="bullet"/>
      <w:lvlText w:val="•"/>
      <w:lvlJc w:val="left"/>
      <w:pPr>
        <w:ind w:left="2708" w:hanging="211"/>
      </w:pPr>
      <w:rPr>
        <w:rFonts w:hint="default"/>
      </w:rPr>
    </w:lvl>
    <w:lvl w:ilvl="4">
      <w:start w:val="0"/>
      <w:numFmt w:val="bullet"/>
      <w:lvlText w:val="•"/>
      <w:lvlJc w:val="left"/>
      <w:pPr>
        <w:ind w:left="3504" w:hanging="211"/>
      </w:pPr>
      <w:rPr>
        <w:rFonts w:hint="default"/>
      </w:rPr>
    </w:lvl>
    <w:lvl w:ilvl="5">
      <w:start w:val="0"/>
      <w:numFmt w:val="bullet"/>
      <w:lvlText w:val="•"/>
      <w:lvlJc w:val="left"/>
      <w:pPr>
        <w:ind w:left="4301" w:hanging="211"/>
      </w:pPr>
      <w:rPr>
        <w:rFonts w:hint="default"/>
      </w:rPr>
    </w:lvl>
    <w:lvl w:ilvl="6">
      <w:start w:val="0"/>
      <w:numFmt w:val="bullet"/>
      <w:lvlText w:val="•"/>
      <w:lvlJc w:val="left"/>
      <w:pPr>
        <w:ind w:left="5097" w:hanging="211"/>
      </w:pPr>
      <w:rPr>
        <w:rFonts w:hint="default"/>
      </w:rPr>
    </w:lvl>
    <w:lvl w:ilvl="7">
      <w:start w:val="0"/>
      <w:numFmt w:val="bullet"/>
      <w:lvlText w:val="•"/>
      <w:lvlJc w:val="left"/>
      <w:pPr>
        <w:ind w:left="5893" w:hanging="211"/>
      </w:pPr>
      <w:rPr>
        <w:rFonts w:hint="default"/>
      </w:rPr>
    </w:lvl>
    <w:lvl w:ilvl="8">
      <w:start w:val="0"/>
      <w:numFmt w:val="bullet"/>
      <w:lvlText w:val="•"/>
      <w:lvlJc w:val="left"/>
      <w:pPr>
        <w:ind w:left="6689" w:hanging="211"/>
      </w:pPr>
      <w:rPr>
        <w:rFonts w:hint="default"/>
      </w:rPr>
    </w:lvl>
  </w:abstractNum>
  <w:abstractNum w:abstractNumId="3">
    <w:multiLevelType w:val="hybridMultilevel"/>
    <w:lvl w:ilvl="0">
      <w:start w:val="1"/>
      <w:numFmt w:val="decimal"/>
      <w:lvlText w:val="%1."/>
      <w:lvlJc w:val="left"/>
      <w:pPr>
        <w:ind w:left="1325" w:hanging="360"/>
        <w:jc w:val="left"/>
      </w:pPr>
      <w:rPr>
        <w:rFonts w:hint="default" w:ascii="Times New Roman" w:hAnsi="Times New Roman" w:eastAsia="Times New Roman" w:cs="Times New Roman"/>
        <w:spacing w:val="-39"/>
        <w:w w:val="100"/>
        <w:sz w:val="24"/>
        <w:szCs w:val="24"/>
      </w:rPr>
    </w:lvl>
    <w:lvl w:ilvl="1">
      <w:start w:val="0"/>
      <w:numFmt w:val="bullet"/>
      <w:lvlText w:val="•"/>
      <w:lvlJc w:val="left"/>
      <w:pPr>
        <w:ind w:left="1740" w:hanging="360"/>
      </w:pPr>
      <w:rPr>
        <w:rFonts w:hint="default"/>
      </w:rPr>
    </w:lvl>
    <w:lvl w:ilvl="2">
      <w:start w:val="0"/>
      <w:numFmt w:val="bullet"/>
      <w:lvlText w:val="•"/>
      <w:lvlJc w:val="left"/>
      <w:pPr>
        <w:ind w:left="1883" w:hanging="360"/>
      </w:pPr>
      <w:rPr>
        <w:rFonts w:hint="default"/>
      </w:rPr>
    </w:lvl>
    <w:lvl w:ilvl="3">
      <w:start w:val="0"/>
      <w:numFmt w:val="bullet"/>
      <w:lvlText w:val="•"/>
      <w:lvlJc w:val="left"/>
      <w:pPr>
        <w:ind w:left="2027" w:hanging="360"/>
      </w:pPr>
      <w:rPr>
        <w:rFonts w:hint="default"/>
      </w:rPr>
    </w:lvl>
    <w:lvl w:ilvl="4">
      <w:start w:val="0"/>
      <w:numFmt w:val="bullet"/>
      <w:lvlText w:val="•"/>
      <w:lvlJc w:val="left"/>
      <w:pPr>
        <w:ind w:left="2171" w:hanging="360"/>
      </w:pPr>
      <w:rPr>
        <w:rFonts w:hint="default"/>
      </w:rPr>
    </w:lvl>
    <w:lvl w:ilvl="5">
      <w:start w:val="0"/>
      <w:numFmt w:val="bullet"/>
      <w:lvlText w:val="•"/>
      <w:lvlJc w:val="left"/>
      <w:pPr>
        <w:ind w:left="2315" w:hanging="360"/>
      </w:pPr>
      <w:rPr>
        <w:rFonts w:hint="default"/>
      </w:rPr>
    </w:lvl>
    <w:lvl w:ilvl="6">
      <w:start w:val="0"/>
      <w:numFmt w:val="bullet"/>
      <w:lvlText w:val="•"/>
      <w:lvlJc w:val="left"/>
      <w:pPr>
        <w:ind w:left="2459" w:hanging="360"/>
      </w:pPr>
      <w:rPr>
        <w:rFonts w:hint="default"/>
      </w:rPr>
    </w:lvl>
    <w:lvl w:ilvl="7">
      <w:start w:val="0"/>
      <w:numFmt w:val="bullet"/>
      <w:lvlText w:val="•"/>
      <w:lvlJc w:val="left"/>
      <w:pPr>
        <w:ind w:left="2602" w:hanging="360"/>
      </w:pPr>
      <w:rPr>
        <w:rFonts w:hint="default"/>
      </w:rPr>
    </w:lvl>
    <w:lvl w:ilvl="8">
      <w:start w:val="0"/>
      <w:numFmt w:val="bullet"/>
      <w:lvlText w:val="•"/>
      <w:lvlJc w:val="left"/>
      <w:pPr>
        <w:ind w:left="2746" w:hanging="360"/>
      </w:pPr>
      <w:rPr>
        <w:rFonts w:hint="default"/>
      </w:rPr>
    </w:lvl>
  </w:abstractNum>
  <w:abstractNum w:abstractNumId="2">
    <w:multiLevelType w:val="hybridMultilevel"/>
    <w:lvl w:ilvl="0">
      <w:start w:val="1"/>
      <w:numFmt w:val="decimal"/>
      <w:lvlText w:val="%1."/>
      <w:lvlJc w:val="left"/>
      <w:pPr>
        <w:ind w:left="1325" w:hanging="360"/>
        <w:jc w:val="left"/>
      </w:pPr>
      <w:rPr>
        <w:rFonts w:hint="default" w:ascii="Times New Roman" w:hAnsi="Times New Roman" w:eastAsia="Times New Roman" w:cs="Times New Roman"/>
        <w:spacing w:val="-6"/>
        <w:w w:val="100"/>
        <w:sz w:val="24"/>
        <w:szCs w:val="24"/>
      </w:rPr>
    </w:lvl>
    <w:lvl w:ilvl="1">
      <w:start w:val="0"/>
      <w:numFmt w:val="bullet"/>
      <w:lvlText w:val="•"/>
      <w:lvlJc w:val="left"/>
      <w:pPr>
        <w:ind w:left="2190" w:hanging="360"/>
      </w:pPr>
      <w:rPr>
        <w:rFonts w:hint="default"/>
      </w:rPr>
    </w:lvl>
    <w:lvl w:ilvl="2">
      <w:start w:val="0"/>
      <w:numFmt w:val="bullet"/>
      <w:lvlText w:val="•"/>
      <w:lvlJc w:val="left"/>
      <w:pPr>
        <w:ind w:left="3060" w:hanging="360"/>
      </w:pPr>
      <w:rPr>
        <w:rFonts w:hint="default"/>
      </w:rPr>
    </w:lvl>
    <w:lvl w:ilvl="3">
      <w:start w:val="0"/>
      <w:numFmt w:val="bullet"/>
      <w:lvlText w:val="•"/>
      <w:lvlJc w:val="left"/>
      <w:pPr>
        <w:ind w:left="3930" w:hanging="360"/>
      </w:pPr>
      <w:rPr>
        <w:rFonts w:hint="default"/>
      </w:rPr>
    </w:lvl>
    <w:lvl w:ilvl="4">
      <w:start w:val="0"/>
      <w:numFmt w:val="bullet"/>
      <w:lvlText w:val="•"/>
      <w:lvlJc w:val="left"/>
      <w:pPr>
        <w:ind w:left="4800" w:hanging="360"/>
      </w:pPr>
      <w:rPr>
        <w:rFonts w:hint="default"/>
      </w:rPr>
    </w:lvl>
    <w:lvl w:ilvl="5">
      <w:start w:val="0"/>
      <w:numFmt w:val="bullet"/>
      <w:lvlText w:val="•"/>
      <w:lvlJc w:val="left"/>
      <w:pPr>
        <w:ind w:left="5670" w:hanging="360"/>
      </w:pPr>
      <w:rPr>
        <w:rFonts w:hint="default"/>
      </w:rPr>
    </w:lvl>
    <w:lvl w:ilvl="6">
      <w:start w:val="0"/>
      <w:numFmt w:val="bullet"/>
      <w:lvlText w:val="•"/>
      <w:lvlJc w:val="left"/>
      <w:pPr>
        <w:ind w:left="6540" w:hanging="360"/>
      </w:pPr>
      <w:rPr>
        <w:rFonts w:hint="default"/>
      </w:rPr>
    </w:lvl>
    <w:lvl w:ilvl="7">
      <w:start w:val="0"/>
      <w:numFmt w:val="bullet"/>
      <w:lvlText w:val="•"/>
      <w:lvlJc w:val="left"/>
      <w:pPr>
        <w:ind w:left="7410" w:hanging="360"/>
      </w:pPr>
      <w:rPr>
        <w:rFonts w:hint="default"/>
      </w:rPr>
    </w:lvl>
    <w:lvl w:ilvl="8">
      <w:start w:val="0"/>
      <w:numFmt w:val="bullet"/>
      <w:lvlText w:val="•"/>
      <w:lvlJc w:val="left"/>
      <w:pPr>
        <w:ind w:left="8280" w:hanging="360"/>
      </w:pPr>
      <w:rPr>
        <w:rFonts w:hint="default"/>
      </w:rPr>
    </w:lvl>
  </w:abstractNum>
  <w:abstractNum w:abstractNumId="1">
    <w:multiLevelType w:val="hybridMultilevel"/>
    <w:lvl w:ilvl="0">
      <w:start w:val="1"/>
      <w:numFmt w:val="lowerRoman"/>
      <w:lvlText w:val="%1)"/>
      <w:lvlJc w:val="left"/>
      <w:pPr>
        <w:ind w:left="1685" w:hanging="720"/>
        <w:jc w:val="left"/>
      </w:pPr>
      <w:rPr>
        <w:rFonts w:hint="default"/>
        <w:i/>
        <w:spacing w:val="-30"/>
        <w:w w:val="100"/>
      </w:rPr>
    </w:lvl>
    <w:lvl w:ilvl="1">
      <w:start w:val="0"/>
      <w:numFmt w:val="bullet"/>
      <w:lvlText w:val="•"/>
      <w:lvlJc w:val="left"/>
      <w:pPr>
        <w:ind w:left="2514" w:hanging="720"/>
      </w:pPr>
      <w:rPr>
        <w:rFonts w:hint="default"/>
      </w:rPr>
    </w:lvl>
    <w:lvl w:ilvl="2">
      <w:start w:val="0"/>
      <w:numFmt w:val="bullet"/>
      <w:lvlText w:val="•"/>
      <w:lvlJc w:val="left"/>
      <w:pPr>
        <w:ind w:left="3348" w:hanging="720"/>
      </w:pPr>
      <w:rPr>
        <w:rFonts w:hint="default"/>
      </w:rPr>
    </w:lvl>
    <w:lvl w:ilvl="3">
      <w:start w:val="0"/>
      <w:numFmt w:val="bullet"/>
      <w:lvlText w:val="•"/>
      <w:lvlJc w:val="left"/>
      <w:pPr>
        <w:ind w:left="4182" w:hanging="720"/>
      </w:pPr>
      <w:rPr>
        <w:rFonts w:hint="default"/>
      </w:rPr>
    </w:lvl>
    <w:lvl w:ilvl="4">
      <w:start w:val="0"/>
      <w:numFmt w:val="bullet"/>
      <w:lvlText w:val="•"/>
      <w:lvlJc w:val="left"/>
      <w:pPr>
        <w:ind w:left="5016" w:hanging="720"/>
      </w:pPr>
      <w:rPr>
        <w:rFonts w:hint="default"/>
      </w:rPr>
    </w:lvl>
    <w:lvl w:ilvl="5">
      <w:start w:val="0"/>
      <w:numFmt w:val="bullet"/>
      <w:lvlText w:val="•"/>
      <w:lvlJc w:val="left"/>
      <w:pPr>
        <w:ind w:left="5850" w:hanging="720"/>
      </w:pPr>
      <w:rPr>
        <w:rFonts w:hint="default"/>
      </w:rPr>
    </w:lvl>
    <w:lvl w:ilvl="6">
      <w:start w:val="0"/>
      <w:numFmt w:val="bullet"/>
      <w:lvlText w:val="•"/>
      <w:lvlJc w:val="left"/>
      <w:pPr>
        <w:ind w:left="6684" w:hanging="720"/>
      </w:pPr>
      <w:rPr>
        <w:rFonts w:hint="default"/>
      </w:rPr>
    </w:lvl>
    <w:lvl w:ilvl="7">
      <w:start w:val="0"/>
      <w:numFmt w:val="bullet"/>
      <w:lvlText w:val="•"/>
      <w:lvlJc w:val="left"/>
      <w:pPr>
        <w:ind w:left="7518" w:hanging="720"/>
      </w:pPr>
      <w:rPr>
        <w:rFonts w:hint="default"/>
      </w:rPr>
    </w:lvl>
    <w:lvl w:ilvl="8">
      <w:start w:val="0"/>
      <w:numFmt w:val="bullet"/>
      <w:lvlText w:val="•"/>
      <w:lvlJc w:val="left"/>
      <w:pPr>
        <w:ind w:left="8352" w:hanging="720"/>
      </w:pPr>
      <w:rPr>
        <w:rFonts w:hint="default"/>
      </w:rPr>
    </w:lvl>
  </w:abstractNum>
  <w:num w:numId="1">
    <w:abstractNumId w:val="0"/>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965"/>
      <w:outlineLvl w:val="1"/>
    </w:pPr>
    <w:rPr>
      <w:rFonts w:ascii="Times New Roman" w:hAnsi="Times New Roman" w:eastAsia="Times New Roman" w:cs="Times New Roman"/>
      <w:b/>
      <w:bCs/>
      <w:sz w:val="24"/>
      <w:szCs w:val="24"/>
      <w:u w:val="single" w:color="000000"/>
    </w:rPr>
  </w:style>
  <w:style w:styleId="ListParagraph" w:type="paragraph">
    <w:name w:val="List Paragraph"/>
    <w:basedOn w:val="Normal"/>
    <w:uiPriority w:val="1"/>
    <w:qFormat/>
    <w:pPr>
      <w:ind w:left="1325" w:hanging="36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Two Current Monetary Policy Issues</dc:subject>
  <dc:title>Two Current Monetary Policy Issues - speech by Stephen Nickell</dc:title>
  <dcterms:created xsi:type="dcterms:W3CDTF">2020-06-02T19:00:34Z</dcterms:created>
  <dcterms:modified xsi:type="dcterms:W3CDTF">2020-06-02T19:00:34Z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2003-09-16T00:00:00Z</vt:filetime>
  </property>
  <property fmtid="{D5CDD505-2E9C-101B-9397-08002B2CF9AE}" pid="3" name="Creator">
    <vt:lpwstr>AdobePS5.dll Version 5.2</vt:lpwstr>
  </property>
  <property fmtid="{D5CDD505-2E9C-101B-9397-08002B2CF9AE}" pid="4" name="LastSaved">
    <vt:filetime>2020-06-02T00:00:00Z</vt:filetime>
  </property>
</Properties>
</file>