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UK Monetary Policy: Good for Business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4895"/>
        <w:rPr>
          <w:rFonts w:ascii="Arial"/>
        </w:rPr>
      </w:pPr>
      <w:r>
        <w:rPr>
          <w:rFonts w:ascii="Arial"/>
        </w:rPr>
        <w:t>Hosted by Dow Jones at Tower 42, London 10 July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727" w:firstLine="0"/>
        <w:jc w:val="left"/>
        <w:rPr>
          <w:rFonts w:ascii="Arial"/>
          <w:sz w:val="20"/>
        </w:rPr>
      </w:pPr>
      <w:r>
        <w:rPr>
          <w:rFonts w:ascii="Arial"/>
          <w:sz w:val="20"/>
        </w:rPr>
        <w:t>I would like to thank Andrew Holder and Ben Westwood for research assistance and invaluable advice. I am also grateful for helpful comments from other colleagues.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61"/>
        <w:ind w:left="221" w:right="108"/>
        <w:jc w:val="both"/>
      </w:pPr>
      <w:r>
        <w:rPr/>
        <w:t>Good evening, ladies and gentlemen. About six months ago, I gave my first public speech as a member of the Monetary Policy Committee at an event hosted by Bloomberg. So to demonstrate that MPC members are even-handed in their treatment  of major media organisations, I am delighted this evening to speak at this event hosted by Dow Jones! I would like to thank our hosts for organising this event and for their hospitality this</w:t>
      </w:r>
      <w:r>
        <w:rPr>
          <w:spacing w:val="-1"/>
        </w:rPr>
        <w:t> </w:t>
      </w:r>
      <w:r>
        <w:rPr/>
        <w:t>evening.</w:t>
      </w:r>
    </w:p>
    <w:p>
      <w:pPr>
        <w:pStyle w:val="BodyText"/>
        <w:rPr>
          <w:sz w:val="36"/>
        </w:rPr>
      </w:pPr>
    </w:p>
    <w:p>
      <w:pPr>
        <w:pStyle w:val="BodyText"/>
        <w:spacing w:line="360" w:lineRule="auto"/>
        <w:ind w:left="221" w:right="111"/>
        <w:jc w:val="both"/>
      </w:pPr>
      <w:r>
        <w:rPr/>
        <w:t>For most of my career I have observed monetary policy from a business perspective – or more precisely from a number of different business perspectives: at the CBI from 1986 to 1993; at London Business School in the mid-1990s; and then for nearly nine years working as Chief Economist at British Airways until last year.</w:t>
      </w:r>
    </w:p>
    <w:p>
      <w:pPr>
        <w:pStyle w:val="BodyText"/>
        <w:rPr>
          <w:sz w:val="36"/>
        </w:rPr>
      </w:pPr>
    </w:p>
    <w:p>
      <w:pPr>
        <w:pStyle w:val="BodyText"/>
        <w:spacing w:line="360" w:lineRule="auto" w:before="1"/>
        <w:ind w:left="221" w:right="109"/>
        <w:jc w:val="both"/>
      </w:pPr>
      <w:r>
        <w:rPr/>
        <w:t>I am now viewing the impact of monetary policy on business from the other side of the fence – as a policy-maker. But in my current role, it remains vitally important to have a good insight into business trends and how they are changing, both in response to the decisions we take on interest rates and external factors. To help us in this task, we have access to a vast array of data, including business surveys from the CBI, the British Chambers of Commerce and other organisations. But there is also no substitute for gaining a direct understanding of how economic conditions are changing through face- to-face contacts with businesses around the country.</w:t>
      </w:r>
    </w:p>
    <w:p>
      <w:pPr>
        <w:pStyle w:val="BodyText"/>
        <w:spacing w:before="10"/>
        <w:rPr>
          <w:sz w:val="35"/>
        </w:rPr>
      </w:pPr>
    </w:p>
    <w:p>
      <w:pPr>
        <w:pStyle w:val="BodyText"/>
        <w:spacing w:line="360" w:lineRule="auto"/>
        <w:ind w:left="221" w:right="110"/>
        <w:jc w:val="both"/>
      </w:pPr>
      <w:r>
        <w:rPr/>
        <w:t>One of the strengths of the way the Monetary Policy Committee operates is that this direct contact and feedback from business is built into our processes. First of all, we benefit at our monthly meetings from the reports compiled by the Bank’s Agents, who maintain a network of around 8,000 business contacts across the country. These reports are presented by one of the Agents to the MPC in our monthly cycle of meetings, alongside all the other official data and business surveys we look at, and they are also now available to external commentators via the Bank’s website.</w:t>
      </w:r>
      <w:r>
        <w:rPr>
          <w:vertAlign w:val="superscript"/>
        </w:rPr>
        <w:t>1</w:t>
      </w:r>
      <w:r>
        <w:rPr>
          <w:vertAlign w:val="baseline"/>
        </w:rPr>
        <w:t> In addition, Monetary Policy Committee members each undertake a regular programme of visits to business contacts throughout the country, including company visits, lunch and dinner meetings with groups of business contacts and larger business briefings.</w:t>
      </w:r>
    </w:p>
    <w:p>
      <w:pPr>
        <w:pStyle w:val="BodyText"/>
        <w:rPr>
          <w:sz w:val="20"/>
        </w:rPr>
      </w:pPr>
    </w:p>
    <w:p>
      <w:pPr>
        <w:pStyle w:val="BodyText"/>
        <w:rPr>
          <w:sz w:val="20"/>
        </w:rPr>
      </w:pPr>
    </w:p>
    <w:p>
      <w:pPr>
        <w:pStyle w:val="BodyText"/>
        <w:spacing w:before="8"/>
        <w:rPr>
          <w:sz w:val="23"/>
        </w:rPr>
      </w:pPr>
      <w:r>
        <w:rPr/>
        <w:pict>
          <v:shape style="position:absolute;margin-left:85.080002pt;margin-top:15.911391pt;width:144pt;height:.1pt;mso-position-horizontal-relative:page;mso-position-vertical-relative:paragraph;z-index:-251656192;mso-wrap-distance-left:0;mso-wrap-distance-right:0" coordorigin="1702,318" coordsize="2880,0" path="m1702,318l4582,318e" filled="false" stroked="true" strokeweight=".600010pt" strokecolor="#000000">
            <v:path arrowok="t"/>
            <v:stroke dashstyle="solid"/>
            <w10:wrap type="topAndBottom"/>
          </v:shape>
        </w:pict>
      </w:r>
    </w:p>
    <w:p>
      <w:pPr>
        <w:spacing w:before="49"/>
        <w:ind w:left="221" w:right="145" w:firstLine="0"/>
        <w:jc w:val="left"/>
        <w:rPr>
          <w:sz w:val="20"/>
        </w:rPr>
      </w:pPr>
      <w:r>
        <w:rPr>
          <w:position w:val="9"/>
          <w:sz w:val="13"/>
        </w:rPr>
        <w:t>1 </w:t>
      </w:r>
      <w:r>
        <w:rPr>
          <w:sz w:val="20"/>
        </w:rPr>
        <w:t>The work of the Bank’s regional Agencies is described in Eckersley and Webber (2003). The Agents’ monthly reports have been published on the Bank of England website since January 2005 and their scores since January 2006. The Agents’ scores are discussed in Ellis and Pike (2005).</w:t>
      </w:r>
    </w:p>
    <w:p>
      <w:pPr>
        <w:spacing w:after="0"/>
        <w:jc w:val="left"/>
        <w:rPr>
          <w:sz w:val="20"/>
        </w:rPr>
        <w:sectPr>
          <w:footerReference w:type="default" r:id="rId7"/>
          <w:pgSz w:w="11900" w:h="16840"/>
          <w:pgMar w:footer="710" w:header="0" w:top="1380" w:bottom="900" w:left="1480" w:right="1580"/>
          <w:pgNumType w:start="2"/>
        </w:sectPr>
      </w:pPr>
    </w:p>
    <w:p>
      <w:pPr>
        <w:pStyle w:val="BodyText"/>
        <w:spacing w:line="360" w:lineRule="auto" w:before="61"/>
        <w:ind w:left="221" w:right="111"/>
        <w:jc w:val="both"/>
      </w:pPr>
      <w:r>
        <w:rPr/>
        <w:t>Given my business background, I have been particularly keen to get around the country to get a feel for business conditions on the ground in my short time as a member of the MPC. So in the past nine months, my travels have taken me to Scotland, Northern Ireland and seven of the nine English regions, notching up a total of over 40 company visits and business briefings. It has been particularly interesting to contrast the business mood with the situation when I was last “out and about” in the British economy in this way – in my capacity as the CBI’s Economics Director in the late 1980s and early 1990s.</w:t>
      </w:r>
    </w:p>
    <w:p>
      <w:pPr>
        <w:pStyle w:val="BodyText"/>
        <w:rPr>
          <w:sz w:val="36"/>
        </w:rPr>
      </w:pPr>
    </w:p>
    <w:p>
      <w:pPr>
        <w:pStyle w:val="BodyText"/>
        <w:spacing w:line="360" w:lineRule="auto" w:before="1"/>
        <w:ind w:left="221" w:right="110"/>
        <w:jc w:val="both"/>
      </w:pPr>
      <w:r>
        <w:rPr/>
        <w:t>This evening I want to talk about three things which have struck me in particular as I have talked to business executives around the country over the past nine months. First, the current business attitude to monetary policy is strongly supportive of the present framework based on an independent central Bank targeting low inflation. This is in  stark contrast to the strong business criticism of UK monetary policy I frequently heard in the late 1980s and early 1990s, and I will discuss the reasons for this welcome change. Second, there have been very significant changes in the structure of British business, particularly in the manufacturing sector, as companies have adapted to global competition - and I will discuss some of the implications this has for the conduct of monetary policy. Third, I am particularly struck by the way in which changing trends in the international economy are affecting UK business conditions at present, and contributing to the monetary policy challenges we are currently facing. At the end, I  will return to the issue posed in the title of this evening’s talk: ensuring UK monetary policy remains good for</w:t>
      </w:r>
      <w:r>
        <w:rPr>
          <w:spacing w:val="-5"/>
        </w:rPr>
        <w:t> </w:t>
      </w:r>
      <w:r>
        <w:rPr/>
        <w:t>business.</w:t>
      </w:r>
    </w:p>
    <w:p>
      <w:pPr>
        <w:pStyle w:val="BodyText"/>
        <w:spacing w:before="1"/>
        <w:rPr>
          <w:sz w:val="36"/>
        </w:rPr>
      </w:pPr>
    </w:p>
    <w:p>
      <w:pPr>
        <w:pStyle w:val="Heading1"/>
      </w:pPr>
      <w:r>
        <w:rPr/>
        <w:t>Business attitudes to monetary policy</w:t>
      </w:r>
    </w:p>
    <w:p>
      <w:pPr>
        <w:pStyle w:val="BodyText"/>
        <w:rPr>
          <w:b/>
          <w:sz w:val="26"/>
        </w:rPr>
      </w:pPr>
    </w:p>
    <w:p>
      <w:pPr>
        <w:pStyle w:val="BodyText"/>
        <w:spacing w:before="9"/>
        <w:rPr>
          <w:b/>
          <w:sz w:val="21"/>
        </w:rPr>
      </w:pPr>
    </w:p>
    <w:p>
      <w:pPr>
        <w:pStyle w:val="BodyText"/>
        <w:spacing w:line="360" w:lineRule="auto"/>
        <w:ind w:left="221" w:right="110"/>
        <w:jc w:val="both"/>
      </w:pPr>
      <w:r>
        <w:rPr/>
        <w:t>The current framework for monetary policy - in which the Monetary Policy Committee of the Bank of England sets interest rates to meet a low inflation target – has now been in place for over a decade. Some elements of the framework – such as the inflation target itself and the production of regular Inflation Reports – go back further still, to the early 1990s.</w:t>
      </w:r>
      <w:r>
        <w:rPr>
          <w:vertAlign w:val="superscript"/>
        </w:rPr>
        <w:t>2</w:t>
      </w:r>
      <w:r>
        <w:rPr>
          <w:vertAlign w:val="baseline"/>
        </w:rPr>
        <w:t> This has produced a period of stability in the framework for monetary policy</w:t>
      </w:r>
      <w:r>
        <w:rPr>
          <w:spacing w:val="24"/>
          <w:vertAlign w:val="baseline"/>
        </w:rPr>
        <w:t> </w:t>
      </w:r>
      <w:r>
        <w:rPr>
          <w:vertAlign w:val="baseline"/>
        </w:rPr>
        <w:t>that</w:t>
      </w:r>
      <w:r>
        <w:rPr>
          <w:spacing w:val="25"/>
          <w:vertAlign w:val="baseline"/>
        </w:rPr>
        <w:t> </w:t>
      </w:r>
      <w:r>
        <w:rPr>
          <w:vertAlign w:val="baseline"/>
        </w:rPr>
        <w:t>business</w:t>
      </w:r>
      <w:r>
        <w:rPr>
          <w:spacing w:val="25"/>
          <w:vertAlign w:val="baseline"/>
        </w:rPr>
        <w:t> </w:t>
      </w:r>
      <w:r>
        <w:rPr>
          <w:vertAlign w:val="baseline"/>
        </w:rPr>
        <w:t>has</w:t>
      </w:r>
      <w:r>
        <w:rPr>
          <w:spacing w:val="25"/>
          <w:vertAlign w:val="baseline"/>
        </w:rPr>
        <w:t> </w:t>
      </w:r>
      <w:r>
        <w:rPr>
          <w:vertAlign w:val="baseline"/>
        </w:rPr>
        <w:t>not</w:t>
      </w:r>
      <w:r>
        <w:rPr>
          <w:spacing w:val="25"/>
          <w:vertAlign w:val="baseline"/>
        </w:rPr>
        <w:t> </w:t>
      </w:r>
      <w:r>
        <w:rPr>
          <w:vertAlign w:val="baseline"/>
        </w:rPr>
        <w:t>experienced</w:t>
      </w:r>
      <w:r>
        <w:rPr>
          <w:spacing w:val="25"/>
          <w:vertAlign w:val="baseline"/>
        </w:rPr>
        <w:t> </w:t>
      </w:r>
      <w:r>
        <w:rPr>
          <w:vertAlign w:val="baseline"/>
        </w:rPr>
        <w:t>since</w:t>
      </w:r>
      <w:r>
        <w:rPr>
          <w:spacing w:val="25"/>
          <w:vertAlign w:val="baseline"/>
        </w:rPr>
        <w:t> </w:t>
      </w:r>
      <w:r>
        <w:rPr>
          <w:vertAlign w:val="baseline"/>
        </w:rPr>
        <w:t>the</w:t>
      </w:r>
      <w:r>
        <w:rPr>
          <w:spacing w:val="25"/>
          <w:vertAlign w:val="baseline"/>
        </w:rPr>
        <w:t> </w:t>
      </w:r>
      <w:r>
        <w:rPr>
          <w:vertAlign w:val="baseline"/>
        </w:rPr>
        <w:t>1960s.</w:t>
      </w:r>
      <w:r>
        <w:rPr>
          <w:spacing w:val="50"/>
          <w:vertAlign w:val="baseline"/>
        </w:rPr>
        <w:t> </w:t>
      </w:r>
      <w:r>
        <w:rPr>
          <w:vertAlign w:val="baseline"/>
        </w:rPr>
        <w:t>It</w:t>
      </w:r>
      <w:r>
        <w:rPr>
          <w:spacing w:val="25"/>
          <w:vertAlign w:val="baseline"/>
        </w:rPr>
        <w:t> </w:t>
      </w:r>
      <w:r>
        <w:rPr>
          <w:vertAlign w:val="baseline"/>
        </w:rPr>
        <w:t>has</w:t>
      </w:r>
      <w:r>
        <w:rPr>
          <w:spacing w:val="25"/>
          <w:vertAlign w:val="baseline"/>
        </w:rPr>
        <w:t> </w:t>
      </w:r>
      <w:r>
        <w:rPr>
          <w:vertAlign w:val="baseline"/>
        </w:rPr>
        <w:t>also</w:t>
      </w:r>
      <w:r>
        <w:rPr>
          <w:spacing w:val="25"/>
          <w:vertAlign w:val="baseline"/>
        </w:rPr>
        <w:t> </w:t>
      </w:r>
      <w:r>
        <w:rPr>
          <w:vertAlign w:val="baseline"/>
        </w:rPr>
        <w:t>provided</w:t>
      </w:r>
      <w:r>
        <w:rPr>
          <w:spacing w:val="25"/>
          <w:vertAlign w:val="baseline"/>
        </w:rPr>
        <w:t> </w:t>
      </w:r>
      <w:r>
        <w:rPr>
          <w:vertAlign w:val="baseline"/>
        </w:rPr>
        <w:t>a</w:t>
      </w:r>
      <w:r>
        <w:rPr>
          <w:spacing w:val="25"/>
          <w:vertAlign w:val="baseline"/>
        </w:rPr>
        <w:t> </w:t>
      </w:r>
      <w:r>
        <w:rPr>
          <w:vertAlign w:val="baseline"/>
        </w:rPr>
        <w:t>long</w:t>
      </w:r>
    </w:p>
    <w:p>
      <w:pPr>
        <w:pStyle w:val="BodyText"/>
        <w:rPr>
          <w:sz w:val="20"/>
        </w:rPr>
      </w:pPr>
    </w:p>
    <w:p>
      <w:pPr>
        <w:pStyle w:val="BodyText"/>
        <w:rPr>
          <w:sz w:val="20"/>
        </w:rPr>
      </w:pPr>
    </w:p>
    <w:p>
      <w:pPr>
        <w:pStyle w:val="BodyText"/>
        <w:spacing w:before="8"/>
        <w:rPr>
          <w:sz w:val="27"/>
        </w:rPr>
      </w:pPr>
      <w:r>
        <w:rPr/>
        <w:pict>
          <v:shape style="position:absolute;margin-left:85.080002pt;margin-top:18.193165pt;width:144pt;height:.1pt;mso-position-horizontal-relative:page;mso-position-vertical-relative:paragraph;z-index:-251655168;mso-wrap-distance-left:0;mso-wrap-distance-right:0" coordorigin="1702,364" coordsize="2880,0" path="m1702,364l4582,364e" filled="false" stroked="true" strokeweight=".599980pt" strokecolor="#000000">
            <v:path arrowok="t"/>
            <v:stroke dashstyle="solid"/>
            <w10:wrap type="topAndBottom"/>
          </v:shape>
        </w:pict>
      </w:r>
    </w:p>
    <w:p>
      <w:pPr>
        <w:spacing w:before="49"/>
        <w:ind w:left="221" w:right="0" w:firstLine="0"/>
        <w:jc w:val="left"/>
        <w:rPr>
          <w:sz w:val="20"/>
        </w:rPr>
      </w:pPr>
      <w:r>
        <w:rPr>
          <w:position w:val="9"/>
          <w:sz w:val="13"/>
        </w:rPr>
        <w:t>2 </w:t>
      </w:r>
      <w:r>
        <w:rPr>
          <w:sz w:val="20"/>
        </w:rPr>
        <w:t>The Bank’s first </w:t>
      </w:r>
      <w:r>
        <w:rPr>
          <w:i/>
          <w:sz w:val="20"/>
        </w:rPr>
        <w:t>Inflation Report </w:t>
      </w:r>
      <w:r>
        <w:rPr>
          <w:sz w:val="20"/>
        </w:rPr>
        <w:t>was published in February 1993.</w:t>
      </w:r>
    </w:p>
    <w:p>
      <w:pPr>
        <w:spacing w:after="0"/>
        <w:jc w:val="left"/>
        <w:rPr>
          <w:sz w:val="20"/>
        </w:rPr>
        <w:sectPr>
          <w:pgSz w:w="11900" w:h="16840"/>
          <w:pgMar w:header="0" w:footer="710" w:top="1380" w:bottom="900" w:left="1480" w:right="1580"/>
        </w:sectPr>
      </w:pPr>
    </w:p>
    <w:p>
      <w:pPr>
        <w:pStyle w:val="BodyText"/>
        <w:spacing w:line="360" w:lineRule="auto" w:before="61"/>
        <w:ind w:left="221" w:right="111"/>
        <w:jc w:val="both"/>
      </w:pPr>
      <w:r>
        <w:rPr/>
        <w:t>enough period for business to see the framework in operation at different phases of the cycle and in response to a range of shocks to the economy.</w:t>
      </w:r>
    </w:p>
    <w:p>
      <w:pPr>
        <w:pStyle w:val="BodyText"/>
        <w:spacing w:line="360" w:lineRule="auto"/>
        <w:ind w:left="221" w:right="108"/>
        <w:jc w:val="both"/>
      </w:pPr>
      <w:r>
        <w:rPr/>
        <w:t>As I have talked to businesses throughout the country over the past nine months, I have been struck by the strong degree of support for this framework, and the job that the Monetary Policy Committee is doing. Individual businesses and business organisations will inevitably express differences of judgement on individual monetary policy decisions, which we saw to some extent in the reaction to this month’s interest rate rise. However, aside from these tactical differences, I detect a strong desire in the business community to see the current monetary framework continue and for it to work well. This supportive stance is reflected in the submissions that business organisations such  as the CBI have made to the Treasury Select Committee in its review of the operation of the Monetary Policy Committee over its first ten</w:t>
      </w:r>
      <w:r>
        <w:rPr>
          <w:spacing w:val="-10"/>
        </w:rPr>
        <w:t> </w:t>
      </w:r>
      <w:r>
        <w:rPr/>
        <w:t>years.</w:t>
      </w:r>
      <w:r>
        <w:rPr>
          <w:vertAlign w:val="superscript"/>
        </w:rPr>
        <w:t>3</w:t>
      </w:r>
    </w:p>
    <w:p>
      <w:pPr>
        <w:pStyle w:val="BodyText"/>
        <w:rPr>
          <w:sz w:val="36"/>
        </w:rPr>
      </w:pPr>
    </w:p>
    <w:p>
      <w:pPr>
        <w:pStyle w:val="BodyText"/>
        <w:spacing w:line="360" w:lineRule="auto" w:before="1"/>
        <w:ind w:left="221" w:right="110"/>
        <w:jc w:val="both"/>
      </w:pPr>
      <w:r>
        <w:rPr/>
        <w:pict>
          <v:group style="position:absolute;margin-left:104.670502pt;margin-top:123.183426pt;width:207.7pt;height:139.6pt;mso-position-horizontal-relative:page;mso-position-vertical-relative:paragraph;z-index:-254188544" coordorigin="2093,2464" coordsize="4154,2792">
            <v:shape style="position:absolute;left:2108;top:2464;width:4139;height:2790" coordorigin="2108,2464" coordsize="4139,2790" path="m6187,2464l6187,5254m6187,5254l6247,5254m6187,4699l6247,4699m6187,4144l6247,4144m6187,3574l6247,3574m6187,3020l6247,3020m6187,2464l6247,2464m2108,5254l6187,5254m2108,5254l2108,5194m2693,5254l2693,5194m3277,5254l3277,5194m3863,5254l3863,5194m4433,5254l4433,5194m5017,5254l5017,5194m5603,5254l5603,5194m6187,5254l6187,5194e" filled="false" stroked="true" strokeweight=".06pt" strokecolor="#000000">
              <v:path arrowok="t"/>
              <v:stroke dashstyle="solid"/>
            </v:shape>
            <v:shape style="position:absolute;left:2227;top:2644;width:3960;height:2520" coordorigin="2227,2644" coordsize="3960,2520" path="m2227,4279l2347,4519m2347,4519l2453,4294m2453,4294l2573,3364m2573,3364l2693,2644m2693,2644l2813,3394m2813,3394l2917,3484m2917,3484l3037,4324m3037,4324l3157,3890m3157,3890l3277,3424m3277,3424l3383,3980m3383,3980l3503,4354m3503,4354l3623,4714m3623,4714l3743,4804m3743,4804l3863,4729m3863,4729l3967,4939m3967,4939l4087,4909m4087,4909l4207,4819m4207,4819l4327,4669m4327,4669l4433,4474m4433,4474l4553,4429m4553,4429l4673,4774m4673,4774l4793,4969m4793,4969l4913,5029m4913,5029l5017,4954m5017,4954l5137,4984m5137,4984l5257,5044m5257,5044l5377,5074m5377,5074l5483,5104m5483,5104l5603,5164m5603,5164l5723,5119m5723,5119l5843,5119m5843,5119l5947,5104m5947,5104l6067,5104m6067,5104l6187,5029e" filled="false" stroked="true" strokeweight="1.499pt" strokecolor="#000080">
              <v:path arrowok="t"/>
              <v:stroke dashstyle="solid"/>
            </v:shape>
            <v:line style="position:absolute" from="2108,4684" to="2227,4729" stroked="true" strokeweight="1.499pt" strokecolor="#ff6500">
              <v:stroke dashstyle="solid"/>
            </v:line>
            <v:shape style="position:absolute;left:2227;top:3754;width:466;height:975" coordorigin="2227,3754" coordsize="466,975" path="m2227,4729l2347,4399m2347,4399l2453,3754m2453,3754l2573,3994m2573,3994l2693,4339e" filled="false" stroked="true" strokeweight="1.499pt" strokecolor="#ff6500">
              <v:path arrowok="t"/>
              <v:stroke dashstyle="solid"/>
            </v:shape>
            <v:line style="position:absolute" from="2678,4331" to="2828,4331" stroked="true" strokeweight="2.219pt" strokecolor="#ff6500">
              <v:stroke dashstyle="solid"/>
            </v:line>
            <v:shape style="position:absolute;left:2812;top:3859;width:3375;height:1245" coordorigin="2813,3860" coordsize="3375,1245" path="m2813,4324l2917,4459m2917,4459l3037,4174m3037,4174l3157,3860m3157,3860l3277,4129m3277,4129l3383,4444m3383,4444l3503,4729m3503,4729l3623,4744m3623,4744l3743,4819m3743,4819l3863,5029m3863,5029l3967,4939m3967,4939l4087,4894m4087,4894l4207,4774m4207,4774l4327,4729m4327,4729l4433,4759m4433,4759l4553,4894m4553,4894l4673,4939m4673,4939l4793,4999m4793,4999l4913,4999,5017,4999m5017,4999l5137,5029m5137,5029l5257,5104m5257,5104l5377,5089m5377,5089l5483,4999m5483,4999l5603,5029m5603,5029l5723,5104m5723,5104l5843,5059m5843,5059l5947,5029m5947,5029l6067,4984m6067,4984l6187,4984e" filled="false" stroked="true" strokeweight="1.499pt" strokecolor="#ff6500">
              <v:path arrowok="t"/>
              <v:stroke dashstyle="solid"/>
            </v:shape>
            <w10:wrap type="none"/>
          </v:group>
        </w:pict>
      </w:r>
      <w:r>
        <w:rPr/>
        <w:t>In my view, there are three factors which underpin this positive and supportive approach to the current framework and institutions of monetary policy from the UK business community.</w:t>
      </w:r>
    </w:p>
    <w:p>
      <w:pPr>
        <w:pStyle w:val="BodyText"/>
        <w:rPr>
          <w:sz w:val="20"/>
        </w:rPr>
      </w:pPr>
    </w:p>
    <w:p>
      <w:pPr>
        <w:pStyle w:val="BodyText"/>
        <w:spacing w:before="3"/>
        <w:rPr>
          <w:sz w:val="16"/>
        </w:r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683"/>
        <w:gridCol w:w="487"/>
        <w:gridCol w:w="577"/>
        <w:gridCol w:w="488"/>
        <w:gridCol w:w="2091"/>
      </w:tblGrid>
      <w:tr>
        <w:trPr>
          <w:trHeight w:val="275" w:hRule="atLeast"/>
        </w:trPr>
        <w:tc>
          <w:tcPr>
            <w:tcW w:w="50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6"/>
              <w:rPr>
                <w:b/>
                <w:sz w:val="24"/>
              </w:rPr>
            </w:pPr>
            <w:r>
              <w:rPr>
                <w:b/>
                <w:color w:val="0000FF"/>
                <w:sz w:val="24"/>
              </w:rPr>
              <w:t>Chart 1: UK and G7 inflation</w:t>
            </w:r>
          </w:p>
        </w:tc>
      </w:tr>
      <w:tr>
        <w:trPr>
          <w:trHeight w:val="370" w:hRule="atLeast"/>
        </w:trPr>
        <w:tc>
          <w:tcPr>
            <w:tcW w:w="706" w:type="dxa"/>
            <w:tcBorders>
              <w:top w:val="single" w:sz="4" w:space="0" w:color="000000"/>
              <w:left w:val="single" w:sz="4" w:space="0" w:color="000000"/>
            </w:tcBorders>
          </w:tcPr>
          <w:p>
            <w:pPr>
              <w:pStyle w:val="TableParagraph"/>
              <w:rPr>
                <w:sz w:val="22"/>
              </w:rPr>
            </w:pPr>
          </w:p>
        </w:tc>
        <w:tc>
          <w:tcPr>
            <w:tcW w:w="683" w:type="dxa"/>
            <w:tcBorders>
              <w:top w:val="single" w:sz="4" w:space="0" w:color="000000"/>
            </w:tcBorders>
          </w:tcPr>
          <w:p>
            <w:pPr>
              <w:pStyle w:val="TableParagraph"/>
              <w:rPr>
                <w:sz w:val="22"/>
              </w:rPr>
            </w:pPr>
          </w:p>
        </w:tc>
        <w:tc>
          <w:tcPr>
            <w:tcW w:w="487" w:type="dxa"/>
            <w:tcBorders>
              <w:top w:val="single" w:sz="4" w:space="0" w:color="000000"/>
            </w:tcBorders>
          </w:tcPr>
          <w:p>
            <w:pPr>
              <w:pStyle w:val="TableParagraph"/>
              <w:rPr>
                <w:sz w:val="22"/>
              </w:rPr>
            </w:pPr>
          </w:p>
        </w:tc>
        <w:tc>
          <w:tcPr>
            <w:tcW w:w="577" w:type="dxa"/>
            <w:tcBorders>
              <w:top w:val="single" w:sz="4" w:space="0" w:color="000000"/>
            </w:tcBorders>
          </w:tcPr>
          <w:p>
            <w:pPr>
              <w:pStyle w:val="TableParagraph"/>
              <w:rPr>
                <w:sz w:val="22"/>
              </w:rPr>
            </w:pPr>
          </w:p>
        </w:tc>
        <w:tc>
          <w:tcPr>
            <w:tcW w:w="488" w:type="dxa"/>
            <w:tcBorders>
              <w:top w:val="single" w:sz="4" w:space="0" w:color="000000"/>
            </w:tcBorders>
          </w:tcPr>
          <w:p>
            <w:pPr>
              <w:pStyle w:val="TableParagraph"/>
              <w:rPr>
                <w:sz w:val="22"/>
              </w:rPr>
            </w:pPr>
          </w:p>
        </w:tc>
        <w:tc>
          <w:tcPr>
            <w:tcW w:w="2091" w:type="dxa"/>
            <w:tcBorders>
              <w:top w:val="single" w:sz="4" w:space="0" w:color="000000"/>
              <w:right w:val="single" w:sz="4" w:space="0" w:color="000000"/>
            </w:tcBorders>
          </w:tcPr>
          <w:p>
            <w:pPr>
              <w:pStyle w:val="TableParagraph"/>
              <w:spacing w:line="189" w:lineRule="exact" w:before="161"/>
              <w:ind w:left="20"/>
              <w:rPr>
                <w:sz w:val="19"/>
              </w:rPr>
            </w:pPr>
            <w:r>
              <w:rPr>
                <w:w w:val="110"/>
                <w:sz w:val="19"/>
              </w:rPr>
              <w:t>Percentage changes</w:t>
            </w:r>
          </w:p>
        </w:tc>
      </w:tr>
      <w:tr>
        <w:trPr>
          <w:trHeight w:val="427" w:hRule="atLeast"/>
        </w:trPr>
        <w:tc>
          <w:tcPr>
            <w:tcW w:w="706" w:type="dxa"/>
            <w:tcBorders>
              <w:left w:val="single" w:sz="4" w:space="0" w:color="000000"/>
            </w:tcBorders>
          </w:tcPr>
          <w:p>
            <w:pPr>
              <w:pStyle w:val="TableParagraph"/>
              <w:rPr>
                <w:sz w:val="22"/>
              </w:rPr>
            </w:pPr>
          </w:p>
        </w:tc>
        <w:tc>
          <w:tcPr>
            <w:tcW w:w="683" w:type="dxa"/>
          </w:tcPr>
          <w:p>
            <w:pPr>
              <w:pStyle w:val="TableParagraph"/>
              <w:spacing w:line="205" w:lineRule="exact"/>
              <w:ind w:right="16"/>
              <w:jc w:val="right"/>
              <w:rPr>
                <w:sz w:val="19"/>
              </w:rPr>
            </w:pPr>
            <w:r>
              <w:rPr>
                <w:color w:val="0F0080"/>
                <w:w w:val="105"/>
                <w:sz w:val="19"/>
              </w:rPr>
              <w:t>UK</w:t>
            </w:r>
          </w:p>
        </w:tc>
        <w:tc>
          <w:tcPr>
            <w:tcW w:w="487" w:type="dxa"/>
          </w:tcPr>
          <w:p>
            <w:pPr>
              <w:pStyle w:val="TableParagraph"/>
              <w:rPr>
                <w:sz w:val="22"/>
              </w:rPr>
            </w:pPr>
          </w:p>
        </w:tc>
        <w:tc>
          <w:tcPr>
            <w:tcW w:w="577" w:type="dxa"/>
          </w:tcPr>
          <w:p>
            <w:pPr>
              <w:pStyle w:val="TableParagraph"/>
              <w:rPr>
                <w:sz w:val="22"/>
              </w:rPr>
            </w:pPr>
          </w:p>
        </w:tc>
        <w:tc>
          <w:tcPr>
            <w:tcW w:w="488" w:type="dxa"/>
          </w:tcPr>
          <w:p>
            <w:pPr>
              <w:pStyle w:val="TableParagraph"/>
              <w:rPr>
                <w:sz w:val="22"/>
              </w:rPr>
            </w:pPr>
          </w:p>
        </w:tc>
        <w:tc>
          <w:tcPr>
            <w:tcW w:w="2091" w:type="dxa"/>
            <w:tcBorders>
              <w:right w:val="single" w:sz="4" w:space="0" w:color="000000"/>
            </w:tcBorders>
          </w:tcPr>
          <w:p>
            <w:pPr>
              <w:pStyle w:val="TableParagraph"/>
              <w:tabs>
                <w:tab w:pos="1499" w:val="left" w:leader="none"/>
              </w:tabs>
              <w:spacing w:before="26"/>
              <w:ind w:right="203"/>
              <w:jc w:val="right"/>
              <w:rPr>
                <w:sz w:val="19"/>
              </w:rPr>
            </w:pPr>
            <w:r>
              <w:rPr>
                <w:w w:val="110"/>
                <w:sz w:val="19"/>
              </w:rPr>
              <w:t>on a</w:t>
            </w:r>
            <w:r>
              <w:rPr>
                <w:spacing w:val="-20"/>
                <w:w w:val="110"/>
                <w:sz w:val="19"/>
              </w:rPr>
              <w:t> </w:t>
            </w:r>
            <w:r>
              <w:rPr>
                <w:w w:val="110"/>
                <w:sz w:val="19"/>
              </w:rPr>
              <w:t>year</w:t>
            </w:r>
            <w:r>
              <w:rPr>
                <w:spacing w:val="-18"/>
                <w:w w:val="110"/>
                <w:sz w:val="19"/>
              </w:rPr>
              <w:t> </w:t>
            </w:r>
            <w:r>
              <w:rPr>
                <w:spacing w:val="-6"/>
                <w:w w:val="110"/>
                <w:sz w:val="19"/>
              </w:rPr>
              <w:t>earlier</w:t>
              <w:tab/>
            </w:r>
            <w:r>
              <w:rPr>
                <w:spacing w:val="-14"/>
                <w:w w:val="105"/>
                <w:position w:val="2"/>
                <w:sz w:val="19"/>
              </w:rPr>
              <w:t>25</w:t>
            </w:r>
          </w:p>
        </w:tc>
      </w:tr>
      <w:tr>
        <w:trPr>
          <w:trHeight w:val="547" w:hRule="atLeast"/>
        </w:trPr>
        <w:tc>
          <w:tcPr>
            <w:tcW w:w="706" w:type="dxa"/>
            <w:tcBorders>
              <w:left w:val="single" w:sz="4" w:space="0" w:color="000000"/>
            </w:tcBorders>
          </w:tcPr>
          <w:p>
            <w:pPr>
              <w:pStyle w:val="TableParagraph"/>
              <w:rPr>
                <w:sz w:val="22"/>
              </w:rPr>
            </w:pPr>
          </w:p>
        </w:tc>
        <w:tc>
          <w:tcPr>
            <w:tcW w:w="683" w:type="dxa"/>
          </w:tcPr>
          <w:p>
            <w:pPr>
              <w:pStyle w:val="TableParagraph"/>
              <w:rPr>
                <w:sz w:val="22"/>
              </w:rPr>
            </w:pPr>
          </w:p>
        </w:tc>
        <w:tc>
          <w:tcPr>
            <w:tcW w:w="487" w:type="dxa"/>
          </w:tcPr>
          <w:p>
            <w:pPr>
              <w:pStyle w:val="TableParagraph"/>
              <w:rPr>
                <w:sz w:val="22"/>
              </w:rPr>
            </w:pPr>
          </w:p>
        </w:tc>
        <w:tc>
          <w:tcPr>
            <w:tcW w:w="577" w:type="dxa"/>
          </w:tcPr>
          <w:p>
            <w:pPr>
              <w:pStyle w:val="TableParagraph"/>
              <w:rPr>
                <w:sz w:val="22"/>
              </w:rPr>
            </w:pPr>
          </w:p>
        </w:tc>
        <w:tc>
          <w:tcPr>
            <w:tcW w:w="488" w:type="dxa"/>
          </w:tcPr>
          <w:p>
            <w:pPr>
              <w:pStyle w:val="TableParagraph"/>
              <w:rPr>
                <w:sz w:val="22"/>
              </w:rPr>
            </w:pPr>
          </w:p>
        </w:tc>
        <w:tc>
          <w:tcPr>
            <w:tcW w:w="2091" w:type="dxa"/>
            <w:tcBorders>
              <w:right w:val="single" w:sz="4" w:space="0" w:color="000000"/>
            </w:tcBorders>
          </w:tcPr>
          <w:p>
            <w:pPr>
              <w:pStyle w:val="TableParagraph"/>
              <w:spacing w:before="158"/>
              <w:ind w:right="203"/>
              <w:jc w:val="right"/>
              <w:rPr>
                <w:sz w:val="19"/>
              </w:rPr>
            </w:pPr>
            <w:r>
              <w:rPr>
                <w:w w:val="105"/>
                <w:sz w:val="19"/>
              </w:rPr>
              <w:t>20</w:t>
            </w:r>
          </w:p>
        </w:tc>
      </w:tr>
      <w:tr>
        <w:trPr>
          <w:trHeight w:val="562" w:hRule="atLeast"/>
        </w:trPr>
        <w:tc>
          <w:tcPr>
            <w:tcW w:w="706" w:type="dxa"/>
            <w:tcBorders>
              <w:left w:val="single" w:sz="4" w:space="0" w:color="000000"/>
            </w:tcBorders>
          </w:tcPr>
          <w:p>
            <w:pPr>
              <w:pStyle w:val="TableParagraph"/>
              <w:rPr>
                <w:sz w:val="22"/>
              </w:rPr>
            </w:pPr>
          </w:p>
        </w:tc>
        <w:tc>
          <w:tcPr>
            <w:tcW w:w="683" w:type="dxa"/>
          </w:tcPr>
          <w:p>
            <w:pPr>
              <w:pStyle w:val="TableParagraph"/>
              <w:rPr>
                <w:sz w:val="22"/>
              </w:rPr>
            </w:pPr>
          </w:p>
        </w:tc>
        <w:tc>
          <w:tcPr>
            <w:tcW w:w="487" w:type="dxa"/>
          </w:tcPr>
          <w:p>
            <w:pPr>
              <w:pStyle w:val="TableParagraph"/>
              <w:rPr>
                <w:sz w:val="22"/>
              </w:rPr>
            </w:pPr>
          </w:p>
        </w:tc>
        <w:tc>
          <w:tcPr>
            <w:tcW w:w="577" w:type="dxa"/>
          </w:tcPr>
          <w:p>
            <w:pPr>
              <w:pStyle w:val="TableParagraph"/>
              <w:rPr>
                <w:sz w:val="22"/>
              </w:rPr>
            </w:pPr>
          </w:p>
        </w:tc>
        <w:tc>
          <w:tcPr>
            <w:tcW w:w="488" w:type="dxa"/>
          </w:tcPr>
          <w:p>
            <w:pPr>
              <w:pStyle w:val="TableParagraph"/>
              <w:rPr>
                <w:sz w:val="22"/>
              </w:rPr>
            </w:pPr>
          </w:p>
        </w:tc>
        <w:tc>
          <w:tcPr>
            <w:tcW w:w="2091" w:type="dxa"/>
            <w:tcBorders>
              <w:right w:val="single" w:sz="4" w:space="0" w:color="000000"/>
            </w:tcBorders>
          </w:tcPr>
          <w:p>
            <w:pPr>
              <w:pStyle w:val="TableParagraph"/>
              <w:spacing w:before="165"/>
              <w:ind w:right="203"/>
              <w:jc w:val="right"/>
              <w:rPr>
                <w:sz w:val="19"/>
              </w:rPr>
            </w:pPr>
            <w:r>
              <w:rPr>
                <w:w w:val="105"/>
                <w:sz w:val="19"/>
              </w:rPr>
              <w:t>15</w:t>
            </w:r>
          </w:p>
        </w:tc>
      </w:tr>
      <w:tr>
        <w:trPr>
          <w:trHeight w:val="554" w:hRule="atLeast"/>
        </w:trPr>
        <w:tc>
          <w:tcPr>
            <w:tcW w:w="706" w:type="dxa"/>
            <w:tcBorders>
              <w:left w:val="single" w:sz="4" w:space="0" w:color="000000"/>
            </w:tcBorders>
          </w:tcPr>
          <w:p>
            <w:pPr>
              <w:pStyle w:val="TableParagraph"/>
              <w:rPr>
                <w:sz w:val="22"/>
              </w:rPr>
            </w:pPr>
          </w:p>
        </w:tc>
        <w:tc>
          <w:tcPr>
            <w:tcW w:w="683" w:type="dxa"/>
          </w:tcPr>
          <w:p>
            <w:pPr>
              <w:pStyle w:val="TableParagraph"/>
              <w:rPr>
                <w:sz w:val="22"/>
              </w:rPr>
            </w:pPr>
          </w:p>
        </w:tc>
        <w:tc>
          <w:tcPr>
            <w:tcW w:w="487" w:type="dxa"/>
          </w:tcPr>
          <w:p>
            <w:pPr>
              <w:pStyle w:val="TableParagraph"/>
              <w:rPr>
                <w:sz w:val="22"/>
              </w:rPr>
            </w:pPr>
          </w:p>
        </w:tc>
        <w:tc>
          <w:tcPr>
            <w:tcW w:w="577" w:type="dxa"/>
          </w:tcPr>
          <w:p>
            <w:pPr>
              <w:pStyle w:val="TableParagraph"/>
              <w:rPr>
                <w:sz w:val="22"/>
              </w:rPr>
            </w:pPr>
          </w:p>
        </w:tc>
        <w:tc>
          <w:tcPr>
            <w:tcW w:w="488" w:type="dxa"/>
          </w:tcPr>
          <w:p>
            <w:pPr>
              <w:pStyle w:val="TableParagraph"/>
              <w:rPr>
                <w:sz w:val="22"/>
              </w:rPr>
            </w:pPr>
          </w:p>
        </w:tc>
        <w:tc>
          <w:tcPr>
            <w:tcW w:w="2091" w:type="dxa"/>
            <w:tcBorders>
              <w:right w:val="single" w:sz="4" w:space="0" w:color="000000"/>
            </w:tcBorders>
          </w:tcPr>
          <w:p>
            <w:pPr>
              <w:pStyle w:val="TableParagraph"/>
              <w:spacing w:before="173"/>
              <w:ind w:right="203"/>
              <w:jc w:val="right"/>
              <w:rPr>
                <w:sz w:val="19"/>
              </w:rPr>
            </w:pPr>
            <w:r>
              <w:rPr>
                <w:w w:val="105"/>
                <w:sz w:val="19"/>
              </w:rPr>
              <w:t>10</w:t>
            </w:r>
          </w:p>
        </w:tc>
      </w:tr>
      <w:tr>
        <w:trPr>
          <w:trHeight w:val="562" w:hRule="atLeast"/>
        </w:trPr>
        <w:tc>
          <w:tcPr>
            <w:tcW w:w="706" w:type="dxa"/>
            <w:tcBorders>
              <w:left w:val="single" w:sz="4" w:space="0" w:color="000000"/>
            </w:tcBorders>
          </w:tcPr>
          <w:p>
            <w:pPr>
              <w:pStyle w:val="TableParagraph"/>
              <w:rPr>
                <w:sz w:val="22"/>
              </w:rPr>
            </w:pPr>
          </w:p>
        </w:tc>
        <w:tc>
          <w:tcPr>
            <w:tcW w:w="683" w:type="dxa"/>
          </w:tcPr>
          <w:p>
            <w:pPr>
              <w:pStyle w:val="TableParagraph"/>
              <w:spacing w:before="158"/>
              <w:ind w:right="76"/>
              <w:jc w:val="right"/>
              <w:rPr>
                <w:sz w:val="19"/>
              </w:rPr>
            </w:pPr>
            <w:r>
              <w:rPr>
                <w:color w:val="FF6500"/>
                <w:w w:val="105"/>
                <w:sz w:val="19"/>
              </w:rPr>
              <w:t>G7</w:t>
            </w:r>
          </w:p>
        </w:tc>
        <w:tc>
          <w:tcPr>
            <w:tcW w:w="487" w:type="dxa"/>
          </w:tcPr>
          <w:p>
            <w:pPr>
              <w:pStyle w:val="TableParagraph"/>
              <w:rPr>
                <w:sz w:val="22"/>
              </w:rPr>
            </w:pPr>
          </w:p>
        </w:tc>
        <w:tc>
          <w:tcPr>
            <w:tcW w:w="577" w:type="dxa"/>
          </w:tcPr>
          <w:p>
            <w:pPr>
              <w:pStyle w:val="TableParagraph"/>
              <w:rPr>
                <w:sz w:val="22"/>
              </w:rPr>
            </w:pPr>
          </w:p>
        </w:tc>
        <w:tc>
          <w:tcPr>
            <w:tcW w:w="488" w:type="dxa"/>
          </w:tcPr>
          <w:p>
            <w:pPr>
              <w:pStyle w:val="TableParagraph"/>
              <w:rPr>
                <w:sz w:val="22"/>
              </w:rPr>
            </w:pPr>
          </w:p>
        </w:tc>
        <w:tc>
          <w:tcPr>
            <w:tcW w:w="2091" w:type="dxa"/>
            <w:tcBorders>
              <w:right w:val="single" w:sz="4" w:space="0" w:color="000000"/>
            </w:tcBorders>
          </w:tcPr>
          <w:p>
            <w:pPr>
              <w:pStyle w:val="TableParagraph"/>
              <w:spacing w:before="172"/>
              <w:ind w:right="280"/>
              <w:jc w:val="right"/>
              <w:rPr>
                <w:sz w:val="19"/>
              </w:rPr>
            </w:pPr>
            <w:r>
              <w:rPr>
                <w:w w:val="108"/>
                <w:sz w:val="19"/>
              </w:rPr>
              <w:t>5</w:t>
            </w:r>
          </w:p>
        </w:tc>
      </w:tr>
      <w:tr>
        <w:trPr>
          <w:trHeight w:val="420" w:hRule="atLeast"/>
        </w:trPr>
        <w:tc>
          <w:tcPr>
            <w:tcW w:w="706" w:type="dxa"/>
            <w:tcBorders>
              <w:left w:val="single" w:sz="4" w:space="0" w:color="000000"/>
            </w:tcBorders>
          </w:tcPr>
          <w:p>
            <w:pPr>
              <w:pStyle w:val="TableParagraph"/>
              <w:rPr>
                <w:sz w:val="22"/>
              </w:rPr>
            </w:pPr>
          </w:p>
        </w:tc>
        <w:tc>
          <w:tcPr>
            <w:tcW w:w="683" w:type="dxa"/>
          </w:tcPr>
          <w:p>
            <w:pPr>
              <w:pStyle w:val="TableParagraph"/>
              <w:rPr>
                <w:sz w:val="22"/>
              </w:rPr>
            </w:pPr>
          </w:p>
        </w:tc>
        <w:tc>
          <w:tcPr>
            <w:tcW w:w="487" w:type="dxa"/>
          </w:tcPr>
          <w:p>
            <w:pPr>
              <w:pStyle w:val="TableParagraph"/>
              <w:rPr>
                <w:sz w:val="22"/>
              </w:rPr>
            </w:pPr>
          </w:p>
        </w:tc>
        <w:tc>
          <w:tcPr>
            <w:tcW w:w="577" w:type="dxa"/>
          </w:tcPr>
          <w:p>
            <w:pPr>
              <w:pStyle w:val="TableParagraph"/>
              <w:rPr>
                <w:sz w:val="22"/>
              </w:rPr>
            </w:pPr>
          </w:p>
        </w:tc>
        <w:tc>
          <w:tcPr>
            <w:tcW w:w="488" w:type="dxa"/>
          </w:tcPr>
          <w:p>
            <w:pPr>
              <w:pStyle w:val="TableParagraph"/>
              <w:rPr>
                <w:sz w:val="22"/>
              </w:rPr>
            </w:pPr>
          </w:p>
        </w:tc>
        <w:tc>
          <w:tcPr>
            <w:tcW w:w="2091" w:type="dxa"/>
            <w:tcBorders>
              <w:right w:val="single" w:sz="4" w:space="0" w:color="000000"/>
            </w:tcBorders>
          </w:tcPr>
          <w:p>
            <w:pPr>
              <w:pStyle w:val="TableParagraph"/>
              <w:spacing w:before="166"/>
              <w:ind w:right="280"/>
              <w:jc w:val="right"/>
              <w:rPr>
                <w:sz w:val="19"/>
              </w:rPr>
            </w:pPr>
            <w:r>
              <w:rPr>
                <w:w w:val="108"/>
                <w:sz w:val="19"/>
              </w:rPr>
              <w:t>0</w:t>
            </w:r>
          </w:p>
        </w:tc>
      </w:tr>
      <w:tr>
        <w:trPr>
          <w:trHeight w:val="394" w:hRule="atLeast"/>
        </w:trPr>
        <w:tc>
          <w:tcPr>
            <w:tcW w:w="706" w:type="dxa"/>
            <w:tcBorders>
              <w:left w:val="single" w:sz="4" w:space="0" w:color="000000"/>
              <w:bottom w:val="single" w:sz="4" w:space="0" w:color="000000"/>
            </w:tcBorders>
          </w:tcPr>
          <w:p>
            <w:pPr>
              <w:pStyle w:val="TableParagraph"/>
              <w:spacing w:before="30"/>
              <w:ind w:left="226"/>
              <w:rPr>
                <w:sz w:val="19"/>
              </w:rPr>
            </w:pPr>
            <w:r>
              <w:rPr>
                <w:w w:val="110"/>
                <w:sz w:val="19"/>
              </w:rPr>
              <w:t>1971</w:t>
            </w:r>
          </w:p>
        </w:tc>
        <w:tc>
          <w:tcPr>
            <w:tcW w:w="683" w:type="dxa"/>
            <w:tcBorders>
              <w:bottom w:val="single" w:sz="4" w:space="0" w:color="000000"/>
            </w:tcBorders>
          </w:tcPr>
          <w:p>
            <w:pPr>
              <w:pStyle w:val="TableParagraph"/>
              <w:spacing w:before="30"/>
              <w:ind w:left="109"/>
              <w:rPr>
                <w:sz w:val="19"/>
              </w:rPr>
            </w:pPr>
            <w:r>
              <w:rPr>
                <w:w w:val="110"/>
                <w:sz w:val="19"/>
              </w:rPr>
              <w:t>1976</w:t>
            </w:r>
          </w:p>
        </w:tc>
        <w:tc>
          <w:tcPr>
            <w:tcW w:w="487" w:type="dxa"/>
            <w:tcBorders>
              <w:bottom w:val="single" w:sz="4" w:space="0" w:color="000000"/>
            </w:tcBorders>
          </w:tcPr>
          <w:p>
            <w:pPr>
              <w:pStyle w:val="TableParagraph"/>
              <w:spacing w:before="30"/>
              <w:ind w:left="12"/>
              <w:rPr>
                <w:sz w:val="19"/>
              </w:rPr>
            </w:pPr>
            <w:r>
              <w:rPr>
                <w:w w:val="110"/>
                <w:sz w:val="19"/>
              </w:rPr>
              <w:t>1981</w:t>
            </w:r>
          </w:p>
        </w:tc>
        <w:tc>
          <w:tcPr>
            <w:tcW w:w="577" w:type="dxa"/>
            <w:tcBorders>
              <w:bottom w:val="single" w:sz="4" w:space="0" w:color="000000"/>
            </w:tcBorders>
          </w:tcPr>
          <w:p>
            <w:pPr>
              <w:pStyle w:val="TableParagraph"/>
              <w:spacing w:before="30"/>
              <w:ind w:left="109"/>
              <w:rPr>
                <w:sz w:val="19"/>
              </w:rPr>
            </w:pPr>
            <w:r>
              <w:rPr>
                <w:w w:val="110"/>
                <w:sz w:val="19"/>
              </w:rPr>
              <w:t>1986</w:t>
            </w:r>
          </w:p>
        </w:tc>
        <w:tc>
          <w:tcPr>
            <w:tcW w:w="488" w:type="dxa"/>
            <w:tcBorders>
              <w:bottom w:val="single" w:sz="4" w:space="0" w:color="000000"/>
            </w:tcBorders>
          </w:tcPr>
          <w:p>
            <w:pPr>
              <w:pStyle w:val="TableParagraph"/>
              <w:spacing w:before="30"/>
              <w:ind w:left="102"/>
              <w:rPr>
                <w:sz w:val="19"/>
              </w:rPr>
            </w:pPr>
            <w:r>
              <w:rPr>
                <w:spacing w:val="-14"/>
                <w:w w:val="110"/>
                <w:sz w:val="19"/>
              </w:rPr>
              <w:t>1991</w:t>
            </w:r>
          </w:p>
        </w:tc>
        <w:tc>
          <w:tcPr>
            <w:tcW w:w="2091" w:type="dxa"/>
            <w:tcBorders>
              <w:bottom w:val="single" w:sz="4" w:space="0" w:color="000000"/>
              <w:right w:val="single" w:sz="4" w:space="0" w:color="000000"/>
            </w:tcBorders>
          </w:tcPr>
          <w:p>
            <w:pPr>
              <w:pStyle w:val="TableParagraph"/>
              <w:tabs>
                <w:tab w:pos="784" w:val="left" w:leader="none"/>
                <w:tab w:pos="1370" w:val="left" w:leader="none"/>
              </w:tabs>
              <w:spacing w:before="30"/>
              <w:ind w:left="200"/>
              <w:rPr>
                <w:sz w:val="19"/>
              </w:rPr>
            </w:pPr>
            <w:r>
              <w:rPr>
                <w:spacing w:val="-11"/>
                <w:w w:val="110"/>
                <w:sz w:val="19"/>
              </w:rPr>
              <w:t>1996</w:t>
              <w:tab/>
              <w:t>2001</w:t>
              <w:tab/>
            </w:r>
            <w:r>
              <w:rPr>
                <w:spacing w:val="-14"/>
                <w:w w:val="110"/>
                <w:sz w:val="19"/>
              </w:rPr>
              <w:t>2006</w:t>
            </w:r>
          </w:p>
        </w:tc>
      </w:tr>
      <w:tr>
        <w:trPr>
          <w:trHeight w:val="690" w:hRule="atLeast"/>
        </w:trPr>
        <w:tc>
          <w:tcPr>
            <w:tcW w:w="50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Pr>
                <w:i/>
                <w:sz w:val="20"/>
              </w:rPr>
            </w:pPr>
            <w:r>
              <w:rPr>
                <w:i/>
                <w:sz w:val="20"/>
              </w:rPr>
              <w:t>Source: OECD and ONS</w:t>
            </w:r>
          </w:p>
          <w:p>
            <w:pPr>
              <w:pStyle w:val="TableParagraph"/>
              <w:spacing w:line="230" w:lineRule="atLeast"/>
              <w:ind w:left="106" w:right="385"/>
              <w:rPr>
                <w:i/>
                <w:sz w:val="20"/>
              </w:rPr>
            </w:pPr>
            <w:r>
              <w:rPr>
                <w:i/>
                <w:sz w:val="20"/>
              </w:rPr>
              <w:t>Note: Inflation measured by CPI; consumer expenditure </w:t>
            </w:r>
            <w:r>
              <w:rPr>
                <w:i/>
                <w:sz w:val="20"/>
              </w:rPr>
              <w:t>deflator for UK before 1976</w:t>
            </w:r>
          </w:p>
        </w:tc>
      </w:tr>
    </w:tbl>
    <w:p>
      <w:pPr>
        <w:pStyle w:val="BodyText"/>
        <w:rPr>
          <w:sz w:val="20"/>
        </w:rPr>
      </w:pPr>
    </w:p>
    <w:p>
      <w:pPr>
        <w:pStyle w:val="BodyText"/>
        <w:rPr>
          <w:sz w:val="20"/>
        </w:rPr>
      </w:pPr>
    </w:p>
    <w:p>
      <w:pPr>
        <w:pStyle w:val="BodyText"/>
        <w:spacing w:before="10"/>
        <w:rPr>
          <w:sz w:val="23"/>
        </w:rPr>
      </w:pPr>
    </w:p>
    <w:p>
      <w:pPr>
        <w:pStyle w:val="BodyText"/>
        <w:spacing w:line="360" w:lineRule="auto" w:before="90"/>
        <w:ind w:left="221" w:right="111"/>
        <w:jc w:val="both"/>
      </w:pPr>
      <w:r>
        <w:rPr/>
        <w:pict>
          <v:shape style="position:absolute;margin-left:85.080002pt;margin-top:72.403435pt;width:144pt;height:.1pt;mso-position-horizontal-relative:page;mso-position-vertical-relative:paragraph;z-index:-251654144;mso-wrap-distance-left:0;mso-wrap-distance-right:0" coordorigin="1702,1448" coordsize="2880,0" path="m1702,1448l4582,1448e" filled="false" stroked="true" strokeweight=".599980pt" strokecolor="#000000">
            <v:path arrowok="t"/>
            <v:stroke dashstyle="solid"/>
            <w10:wrap type="topAndBottom"/>
          </v:shape>
        </w:pict>
      </w:r>
      <w:r>
        <w:rPr/>
        <w:t>First and foremost, monetary policy has delivered what was promised on the tin - a prolonged period of low inflation, as Chart 1 shows. In the 1970s and the 1980s, business executives could read about the benefits of a low inflation world in an</w:t>
      </w:r>
    </w:p>
    <w:p>
      <w:pPr>
        <w:spacing w:before="49"/>
        <w:ind w:left="221" w:right="0" w:firstLine="0"/>
        <w:jc w:val="left"/>
        <w:rPr>
          <w:sz w:val="20"/>
        </w:rPr>
      </w:pPr>
      <w:r>
        <w:rPr>
          <w:position w:val="9"/>
          <w:sz w:val="13"/>
        </w:rPr>
        <w:t>3 </w:t>
      </w:r>
      <w:r>
        <w:rPr>
          <w:sz w:val="20"/>
        </w:rPr>
        <w:t>See CBI (2007).</w:t>
      </w:r>
    </w:p>
    <w:p>
      <w:pPr>
        <w:spacing w:after="0"/>
        <w:jc w:val="left"/>
        <w:rPr>
          <w:sz w:val="20"/>
        </w:rPr>
        <w:sectPr>
          <w:footerReference w:type="default" r:id="rId8"/>
          <w:pgSz w:w="11900" w:h="16840"/>
          <w:pgMar w:footer="710" w:header="0" w:top="1380" w:bottom="900" w:left="1480" w:right="1580"/>
        </w:sectPr>
      </w:pPr>
    </w:p>
    <w:p>
      <w:pPr>
        <w:pStyle w:val="BodyText"/>
        <w:spacing w:line="360" w:lineRule="auto" w:before="61"/>
        <w:ind w:left="221" w:right="110"/>
        <w:jc w:val="both"/>
      </w:pPr>
      <w:r>
        <w:rPr/>
        <w:pict>
          <v:group style="position:absolute;margin-left:104.639pt;margin-top:182.163406pt;width:213.85pt;height:148.5pt;mso-position-horizontal-relative:page;mso-position-vertical-relative:paragraph;z-index:-254186496" coordorigin="2093,3643" coordsize="4277,2970">
            <v:shape style="position:absolute;left:2107;top:3643;width:4263;height:2969" coordorigin="2107,3644" coordsize="4263,2969" path="m6314,3644l6314,6613m6314,6613l6370,6613m6314,6189l6370,6189m6314,5763l6370,5763m6314,5339l6370,5339m6314,4917l6370,4917m6314,4493l6370,4493m6314,4067l6370,4067m6314,3644l6370,3644m2107,6613l6314,6613m2107,6613l2107,6557m2694,6613l2694,6557m3278,6613l3278,6557m3865,6613l3865,6557m4451,6613l4451,6557m5038,6613l5038,6557m5622,6613l5622,6557m6209,6613l6209,6557e" filled="false" stroked="true" strokeweight=".06pt" strokecolor="#000000">
              <v:path arrowok="t"/>
              <v:stroke dashstyle="solid"/>
            </v:shape>
            <v:line style="position:absolute" from="2112,5888" to="2136,5951" stroked="true" strokeweight="1.922pt" strokecolor="#000080">
              <v:stroke dashstyle="solid"/>
            </v:line>
            <v:shape style="position:absolute;left:2136;top:4685;width:1052;height:1401" coordorigin="2136,4685" coordsize="1052,1401" path="m2136,5951l2160,5954m2160,5954l2184,5939m2184,5939l2208,5932m2208,5932l2232,5905m2232,5905l2258,5895m2258,5895l2282,5895m2282,5895l2306,5885m2306,5885l2330,5895m2330,5895l2354,5895,2378,5895,2405,5895m2405,5895l2429,5942m2429,5942l2453,5959m2453,5959l2478,5999m2478,5999l2502,6067m2502,6067l2526,6086m2526,6086l2550,6081m2550,6081l2576,6074m2576,6074l2600,6050m2600,6050l2624,6038m2624,6038l2648,6031,2672,6023m2672,6023l2696,6019m2696,6019l2723,6014m2723,6014l2747,5975m2747,5975l2771,5924m2771,5924l2795,5852m2795,5852l2819,5777m2819,5777l2843,5717m2843,5717l2867,5686m2867,5686l2893,5701m2893,5701l2917,5720m2917,5720l2941,5717m2941,5717l2965,5705,2989,5693m2989,5693l3013,5653m3013,5653l3040,5621m3040,5621l3064,5576m3064,5576l3088,5465m3088,5465l3112,5277m3112,5277l3136,5092m3136,5092l3161,4905m3161,4905l3187,4685e" filled="false" stroked="true" strokeweight="1.922pt" strokecolor="#000080">
              <v:path arrowok="t"/>
              <v:stroke dashstyle="solid"/>
            </v:shape>
            <v:shape style="position:absolute;left:3199;top:4062;width:24;height:643" coordorigin="3199,4063" coordsize="24,643" path="m3199,4364l3199,4705m3223,4063l3223,4402e" filled="false" stroked="true" strokeweight="3.122pt" strokecolor="#000080">
              <v:path arrowok="t"/>
              <v:stroke dashstyle="solid"/>
            </v:shape>
            <v:shape style="position:absolute;left:3235;top:3793;width:1221;height:974" coordorigin="3235,3794" coordsize="1221,974" path="m3235,4082l3259,3890m3259,3890l3283,3794m3283,3794l3307,3811m3307,3811l3331,3839m3331,3839l3358,3868m3358,3868l3382,3885m3382,3885l3406,3909m3406,3909l3430,3955m3430,3955l3454,4019m3454,4019l3478,4087m3478,4087l3504,4120m3504,4120l3528,4137m3528,4137l3552,4139,3576,4142m3576,4142l3600,4139m3600,4139l3624,4149m3624,4149l3648,4163m3648,4163l3674,4185m3674,4185l3698,4219m3698,4219l3722,4303m3722,4303l3746,4369m3746,4369l3770,4429m3770,4429l3794,4462m3794,4462l3821,4498m3821,4498l3846,4517m3846,4517l3870,4496m3870,4496l3894,4445m3894,4445l3918,4383m3918,4383l3942,4318m3942,4318l3966,4283m3966,4283l3992,4318m3992,4318l4016,4472,4040,4625m4040,4625l4064,4724m4064,4724l4088,4695m4088,4695l4112,4637m4112,4637l4139,4599m4139,4599l4163,4606m4163,4606l4187,4652m4187,4652l4211,4700m4211,4700l4235,4700m4235,4700l4259,4671m4259,4671l4283,4623m4283,4623l4309,4582m4309,4582l4333,4541m4333,4541l4357,4510m4357,4510l4381,4481m4381,4481l4405,4525m4405,4525l4429,4616m4429,4616l4456,4767e" filled="false" stroked="true" strokeweight="1.922pt" strokecolor="#000080">
              <v:path arrowok="t"/>
              <v:stroke dashstyle="solid"/>
            </v:shape>
            <v:line style="position:absolute" from="4468,4748" to="4468,5102" stroked="true" strokeweight="3.122pt" strokecolor="#000080">
              <v:stroke dashstyle="solid"/>
            </v:line>
            <v:shape style="position:absolute;left:4479;top:5082;width:1806;height:1415" coordorigin="4480,5083" coordsize="1806,1415" path="m4480,5083l4504,5236m4504,5236l4529,5380m4529,5380l4553,5504m4553,5504l4577,5619m4577,5619l4601,5744m4601,5744l4627,5917m4627,5917l4651,6057m4651,6057l4675,6093m4675,6093l4699,6052m4699,6052l4723,5978m4723,5978l4747,5935m4747,5935l4774,5924m4774,5924l4798,5921m4798,5921l4822,5921m4822,5921l4846,5924m4846,5924l4870,5924,4894,5924m4894,5924l4918,5919m4918,5919l4944,5907m4944,5907l4968,5883m4968,5883l4992,5866m4992,5866l5016,5845m5016,5845l5040,5825m5040,5825l5064,5811m5064,5811l5090,5794m5090,5794l5114,5777m5114,5777l5138,5768m5138,5768l5162,5756m5162,5756l5186,5749m5186,5749l5212,5739m5212,5739l5236,5732m5236,5732l5262,5720m5262,5720l5286,5710m5286,5710l5310,5705,5334,5701m5334,5701l5358,5698,5382,5696m5382,5696l5408,5701m5408,5701l5432,5708m5432,5708l5456,5758m5456,5758l5480,5845m5480,5845l5504,5973m5504,5973l5528,6098m5528,6098l5555,6165m5555,6165l5579,6225m5579,6225l5603,6273m5603,6273l5627,6343m5627,6343l5651,6415m5651,6415l5675,6451m5675,6451l5699,6465m5699,6465l5725,6467m5725,6467l5749,6467m5749,6467l5773,6476m5773,6476l5797,6471m5797,6471l5821,6471m5821,6471l5845,6463m5845,6463l5872,6460m5872,6460l5897,6460m5897,6460l5921,6458,5945,6455m5945,6455l5969,6458,5993,6460,6017,6463m6017,6463l6043,6463m6043,6463l6067,6465m6067,6465l6091,6478m6091,6478l6115,6483m6115,6483l6139,6485,6163,6488m6163,6488l6190,6493m6190,6493l6214,6495,6238,6497m6238,6497l6262,6481m6262,6481l6286,6453e" filled="false" stroked="true" strokeweight="1.922pt" strokecolor="#000080">
              <v:path arrowok="t"/>
              <v:stroke dashstyle="solid"/>
            </v:shape>
            <v:line style="position:absolute" from="6286,6453" to="6310,6424" stroked="true" strokeweight="1.922pt" strokecolor="#000080">
              <v:stroke dashstyle="solid"/>
            </v:line>
            <w10:wrap type="none"/>
          </v:group>
        </w:pict>
      </w:r>
      <w:r>
        <w:rPr/>
        <w:t>economics textbook. But this was not the business environment which they experienced in their daily lives. At no point between 1970 and 1990 did any measure of the UK inflation rate even touch 2%, let alone average 2% in a year or over a period of years.</w:t>
      </w:r>
      <w:r>
        <w:rPr>
          <w:vertAlign w:val="superscript"/>
        </w:rPr>
        <w:t>4</w:t>
      </w:r>
      <w:r>
        <w:rPr>
          <w:vertAlign w:val="baseline"/>
        </w:rPr>
        <w:t> Chart 1 also shows that UK inflation was higher than in our peer group of major economies until the mid-1990s, since when we have had a broadly comparable inflation rate to the average of the G7 economies.</w:t>
      </w:r>
    </w:p>
    <w:p>
      <w:pPr>
        <w:pStyle w:val="BodyText"/>
        <w:rPr>
          <w:sz w:val="20"/>
        </w:rPr>
      </w:pPr>
    </w:p>
    <w:p>
      <w:pPr>
        <w:pStyle w:val="BodyText"/>
        <w:spacing w:before="4"/>
        <w:rPr>
          <w:sz w:val="16"/>
        </w:r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585"/>
        <w:gridCol w:w="587"/>
        <w:gridCol w:w="587"/>
        <w:gridCol w:w="585"/>
        <w:gridCol w:w="1692"/>
        <w:gridCol w:w="410"/>
      </w:tblGrid>
      <w:tr>
        <w:trPr>
          <w:trHeight w:val="275" w:hRule="atLeast"/>
        </w:trPr>
        <w:tc>
          <w:tcPr>
            <w:tcW w:w="51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6"/>
              <w:rPr>
                <w:b/>
                <w:sz w:val="24"/>
              </w:rPr>
            </w:pPr>
            <w:r>
              <w:rPr>
                <w:b/>
                <w:color w:val="0000FF"/>
                <w:sz w:val="24"/>
              </w:rPr>
              <w:t>Chart 2: Volatility of UK inflation</w:t>
            </w:r>
          </w:p>
        </w:tc>
      </w:tr>
      <w:tr>
        <w:trPr>
          <w:trHeight w:val="300" w:hRule="atLeast"/>
        </w:trPr>
        <w:tc>
          <w:tcPr>
            <w:tcW w:w="703" w:type="dxa"/>
            <w:tcBorders>
              <w:top w:val="single" w:sz="4" w:space="0" w:color="000000"/>
              <w:left w:val="single" w:sz="4" w:space="0" w:color="000000"/>
            </w:tcBorders>
          </w:tcPr>
          <w:p>
            <w:pPr>
              <w:pStyle w:val="TableParagraph"/>
              <w:rPr>
                <w:sz w:val="22"/>
              </w:rPr>
            </w:pPr>
          </w:p>
        </w:tc>
        <w:tc>
          <w:tcPr>
            <w:tcW w:w="585" w:type="dxa"/>
            <w:tcBorders>
              <w:top w:val="single" w:sz="4" w:space="0" w:color="000000"/>
            </w:tcBorders>
          </w:tcPr>
          <w:p>
            <w:pPr>
              <w:pStyle w:val="TableParagraph"/>
              <w:rPr>
                <w:sz w:val="22"/>
              </w:rPr>
            </w:pPr>
          </w:p>
        </w:tc>
        <w:tc>
          <w:tcPr>
            <w:tcW w:w="587" w:type="dxa"/>
            <w:tcBorders>
              <w:top w:val="single" w:sz="4" w:space="0" w:color="000000"/>
            </w:tcBorders>
          </w:tcPr>
          <w:p>
            <w:pPr>
              <w:pStyle w:val="TableParagraph"/>
              <w:rPr>
                <w:sz w:val="22"/>
              </w:rPr>
            </w:pPr>
          </w:p>
        </w:tc>
        <w:tc>
          <w:tcPr>
            <w:tcW w:w="587" w:type="dxa"/>
            <w:tcBorders>
              <w:top w:val="single" w:sz="4" w:space="0" w:color="000000"/>
            </w:tcBorders>
          </w:tcPr>
          <w:p>
            <w:pPr>
              <w:pStyle w:val="TableParagraph"/>
              <w:rPr>
                <w:sz w:val="22"/>
              </w:rPr>
            </w:pPr>
          </w:p>
        </w:tc>
        <w:tc>
          <w:tcPr>
            <w:tcW w:w="585" w:type="dxa"/>
            <w:tcBorders>
              <w:top w:val="single" w:sz="4" w:space="0" w:color="000000"/>
            </w:tcBorders>
          </w:tcPr>
          <w:p>
            <w:pPr>
              <w:pStyle w:val="TableParagraph"/>
              <w:rPr>
                <w:sz w:val="22"/>
              </w:rPr>
            </w:pPr>
          </w:p>
        </w:tc>
        <w:tc>
          <w:tcPr>
            <w:tcW w:w="1692" w:type="dxa"/>
            <w:tcBorders>
              <w:top w:val="single" w:sz="4" w:space="0" w:color="000000"/>
            </w:tcBorders>
          </w:tcPr>
          <w:p>
            <w:pPr>
              <w:pStyle w:val="TableParagraph"/>
              <w:spacing w:line="166" w:lineRule="exact" w:before="115"/>
              <w:ind w:right="4"/>
              <w:jc w:val="right"/>
              <w:rPr>
                <w:sz w:val="18"/>
              </w:rPr>
            </w:pPr>
            <w:r>
              <w:rPr>
                <w:sz w:val="18"/>
              </w:rPr>
              <w:t>Percentage points</w:t>
            </w:r>
          </w:p>
        </w:tc>
        <w:tc>
          <w:tcPr>
            <w:tcW w:w="410" w:type="dxa"/>
            <w:tcBorders>
              <w:top w:val="single" w:sz="4" w:space="0" w:color="000000"/>
              <w:right w:val="single" w:sz="4" w:space="0" w:color="000000"/>
            </w:tcBorders>
          </w:tcPr>
          <w:p>
            <w:pPr>
              <w:pStyle w:val="TableParagraph"/>
              <w:rPr>
                <w:sz w:val="22"/>
              </w:rPr>
            </w:pPr>
          </w:p>
        </w:tc>
      </w:tr>
      <w:tr>
        <w:trPr>
          <w:trHeight w:val="289" w:hRule="atLeast"/>
        </w:trPr>
        <w:tc>
          <w:tcPr>
            <w:tcW w:w="703" w:type="dxa"/>
            <w:tcBorders>
              <w:left w:val="single" w:sz="4" w:space="0" w:color="000000"/>
            </w:tcBorders>
          </w:tcPr>
          <w:p>
            <w:pPr>
              <w:pStyle w:val="TableParagraph"/>
              <w:rPr>
                <w:sz w:val="20"/>
              </w:rPr>
            </w:pPr>
          </w:p>
        </w:tc>
        <w:tc>
          <w:tcPr>
            <w:tcW w:w="585" w:type="dxa"/>
          </w:tcPr>
          <w:p>
            <w:pPr>
              <w:pStyle w:val="TableParagraph"/>
              <w:rPr>
                <w:sz w:val="20"/>
              </w:rPr>
            </w:pPr>
          </w:p>
        </w:tc>
        <w:tc>
          <w:tcPr>
            <w:tcW w:w="587" w:type="dxa"/>
          </w:tcPr>
          <w:p>
            <w:pPr>
              <w:pStyle w:val="TableParagraph"/>
              <w:rPr>
                <w:sz w:val="20"/>
              </w:rPr>
            </w:pPr>
          </w:p>
        </w:tc>
        <w:tc>
          <w:tcPr>
            <w:tcW w:w="587" w:type="dxa"/>
          </w:tcPr>
          <w:p>
            <w:pPr>
              <w:pStyle w:val="TableParagraph"/>
              <w:rPr>
                <w:sz w:val="20"/>
              </w:rPr>
            </w:pPr>
          </w:p>
        </w:tc>
        <w:tc>
          <w:tcPr>
            <w:tcW w:w="585" w:type="dxa"/>
          </w:tcPr>
          <w:p>
            <w:pPr>
              <w:pStyle w:val="TableParagraph"/>
              <w:rPr>
                <w:sz w:val="20"/>
              </w:rPr>
            </w:pPr>
          </w:p>
        </w:tc>
        <w:tc>
          <w:tcPr>
            <w:tcW w:w="1692" w:type="dxa"/>
          </w:tcPr>
          <w:p>
            <w:pPr>
              <w:pStyle w:val="TableParagraph"/>
              <w:rPr>
                <w:sz w:val="20"/>
              </w:rPr>
            </w:pPr>
          </w:p>
        </w:tc>
        <w:tc>
          <w:tcPr>
            <w:tcW w:w="410" w:type="dxa"/>
            <w:tcBorders>
              <w:right w:val="single" w:sz="4" w:space="0" w:color="000000"/>
            </w:tcBorders>
          </w:tcPr>
          <w:p>
            <w:pPr>
              <w:pStyle w:val="TableParagraph"/>
              <w:spacing w:line="178" w:lineRule="exact"/>
              <w:ind w:left="14"/>
              <w:rPr>
                <w:sz w:val="18"/>
              </w:rPr>
            </w:pPr>
            <w:r>
              <w:rPr>
                <w:w w:val="100"/>
                <w:sz w:val="18"/>
              </w:rPr>
              <w:t>7</w:t>
            </w:r>
          </w:p>
        </w:tc>
      </w:tr>
      <w:tr>
        <w:trPr>
          <w:trHeight w:val="424" w:hRule="atLeast"/>
        </w:trPr>
        <w:tc>
          <w:tcPr>
            <w:tcW w:w="703" w:type="dxa"/>
            <w:tcBorders>
              <w:left w:val="single" w:sz="4" w:space="0" w:color="000000"/>
            </w:tcBorders>
          </w:tcPr>
          <w:p>
            <w:pPr>
              <w:pStyle w:val="TableParagraph"/>
              <w:rPr>
                <w:sz w:val="22"/>
              </w:rPr>
            </w:pPr>
          </w:p>
        </w:tc>
        <w:tc>
          <w:tcPr>
            <w:tcW w:w="585" w:type="dxa"/>
          </w:tcPr>
          <w:p>
            <w:pPr>
              <w:pStyle w:val="TableParagraph"/>
              <w:rPr>
                <w:sz w:val="22"/>
              </w:rPr>
            </w:pPr>
          </w:p>
        </w:tc>
        <w:tc>
          <w:tcPr>
            <w:tcW w:w="587" w:type="dxa"/>
          </w:tcPr>
          <w:p>
            <w:pPr>
              <w:pStyle w:val="TableParagraph"/>
              <w:rPr>
                <w:sz w:val="22"/>
              </w:rPr>
            </w:pPr>
          </w:p>
        </w:tc>
        <w:tc>
          <w:tcPr>
            <w:tcW w:w="587" w:type="dxa"/>
          </w:tcPr>
          <w:p>
            <w:pPr>
              <w:pStyle w:val="TableParagraph"/>
              <w:rPr>
                <w:sz w:val="22"/>
              </w:rPr>
            </w:pPr>
          </w:p>
        </w:tc>
        <w:tc>
          <w:tcPr>
            <w:tcW w:w="585" w:type="dxa"/>
          </w:tcPr>
          <w:p>
            <w:pPr>
              <w:pStyle w:val="TableParagraph"/>
              <w:rPr>
                <w:sz w:val="22"/>
              </w:rPr>
            </w:pPr>
          </w:p>
        </w:tc>
        <w:tc>
          <w:tcPr>
            <w:tcW w:w="1692" w:type="dxa"/>
          </w:tcPr>
          <w:p>
            <w:pPr>
              <w:pStyle w:val="TableParagraph"/>
              <w:rPr>
                <w:sz w:val="22"/>
              </w:rPr>
            </w:pPr>
          </w:p>
        </w:tc>
        <w:tc>
          <w:tcPr>
            <w:tcW w:w="410" w:type="dxa"/>
            <w:tcBorders>
              <w:right w:val="single" w:sz="4" w:space="0" w:color="000000"/>
            </w:tcBorders>
          </w:tcPr>
          <w:p>
            <w:pPr>
              <w:pStyle w:val="TableParagraph"/>
              <w:spacing w:before="104"/>
              <w:ind w:left="14"/>
              <w:rPr>
                <w:sz w:val="18"/>
              </w:rPr>
            </w:pPr>
            <w:r>
              <w:rPr>
                <w:w w:val="100"/>
                <w:sz w:val="18"/>
              </w:rPr>
              <w:t>6</w:t>
            </w:r>
          </w:p>
        </w:tc>
      </w:tr>
      <w:tr>
        <w:trPr>
          <w:trHeight w:val="424" w:hRule="atLeast"/>
        </w:trPr>
        <w:tc>
          <w:tcPr>
            <w:tcW w:w="703" w:type="dxa"/>
            <w:tcBorders>
              <w:left w:val="single" w:sz="4" w:space="0" w:color="000000"/>
            </w:tcBorders>
          </w:tcPr>
          <w:p>
            <w:pPr>
              <w:pStyle w:val="TableParagraph"/>
              <w:rPr>
                <w:sz w:val="22"/>
              </w:rPr>
            </w:pPr>
          </w:p>
        </w:tc>
        <w:tc>
          <w:tcPr>
            <w:tcW w:w="585" w:type="dxa"/>
          </w:tcPr>
          <w:p>
            <w:pPr>
              <w:pStyle w:val="TableParagraph"/>
              <w:rPr>
                <w:sz w:val="22"/>
              </w:rPr>
            </w:pPr>
          </w:p>
        </w:tc>
        <w:tc>
          <w:tcPr>
            <w:tcW w:w="587" w:type="dxa"/>
          </w:tcPr>
          <w:p>
            <w:pPr>
              <w:pStyle w:val="TableParagraph"/>
              <w:rPr>
                <w:sz w:val="22"/>
              </w:rPr>
            </w:pPr>
          </w:p>
        </w:tc>
        <w:tc>
          <w:tcPr>
            <w:tcW w:w="587" w:type="dxa"/>
          </w:tcPr>
          <w:p>
            <w:pPr>
              <w:pStyle w:val="TableParagraph"/>
              <w:rPr>
                <w:sz w:val="22"/>
              </w:rPr>
            </w:pPr>
          </w:p>
        </w:tc>
        <w:tc>
          <w:tcPr>
            <w:tcW w:w="585" w:type="dxa"/>
          </w:tcPr>
          <w:p>
            <w:pPr>
              <w:pStyle w:val="TableParagraph"/>
              <w:rPr>
                <w:sz w:val="22"/>
              </w:rPr>
            </w:pPr>
          </w:p>
        </w:tc>
        <w:tc>
          <w:tcPr>
            <w:tcW w:w="1692" w:type="dxa"/>
          </w:tcPr>
          <w:p>
            <w:pPr>
              <w:pStyle w:val="TableParagraph"/>
              <w:rPr>
                <w:sz w:val="22"/>
              </w:rPr>
            </w:pPr>
          </w:p>
        </w:tc>
        <w:tc>
          <w:tcPr>
            <w:tcW w:w="410" w:type="dxa"/>
            <w:tcBorders>
              <w:right w:val="single" w:sz="4" w:space="0" w:color="000000"/>
            </w:tcBorders>
          </w:tcPr>
          <w:p>
            <w:pPr>
              <w:pStyle w:val="TableParagraph"/>
              <w:spacing w:before="106"/>
              <w:ind w:left="14"/>
              <w:rPr>
                <w:sz w:val="18"/>
              </w:rPr>
            </w:pPr>
            <w:r>
              <w:rPr>
                <w:w w:val="100"/>
                <w:sz w:val="18"/>
              </w:rPr>
              <w:t>5</w:t>
            </w:r>
          </w:p>
        </w:tc>
      </w:tr>
      <w:tr>
        <w:trPr>
          <w:trHeight w:val="423" w:hRule="atLeast"/>
        </w:trPr>
        <w:tc>
          <w:tcPr>
            <w:tcW w:w="703" w:type="dxa"/>
            <w:tcBorders>
              <w:left w:val="single" w:sz="4" w:space="0" w:color="000000"/>
            </w:tcBorders>
          </w:tcPr>
          <w:p>
            <w:pPr>
              <w:pStyle w:val="TableParagraph"/>
              <w:rPr>
                <w:sz w:val="22"/>
              </w:rPr>
            </w:pPr>
          </w:p>
        </w:tc>
        <w:tc>
          <w:tcPr>
            <w:tcW w:w="585" w:type="dxa"/>
          </w:tcPr>
          <w:p>
            <w:pPr>
              <w:pStyle w:val="TableParagraph"/>
              <w:rPr>
                <w:sz w:val="22"/>
              </w:rPr>
            </w:pPr>
          </w:p>
        </w:tc>
        <w:tc>
          <w:tcPr>
            <w:tcW w:w="587" w:type="dxa"/>
          </w:tcPr>
          <w:p>
            <w:pPr>
              <w:pStyle w:val="TableParagraph"/>
              <w:rPr>
                <w:sz w:val="22"/>
              </w:rPr>
            </w:pPr>
          </w:p>
        </w:tc>
        <w:tc>
          <w:tcPr>
            <w:tcW w:w="587" w:type="dxa"/>
          </w:tcPr>
          <w:p>
            <w:pPr>
              <w:pStyle w:val="TableParagraph"/>
              <w:rPr>
                <w:sz w:val="22"/>
              </w:rPr>
            </w:pPr>
          </w:p>
        </w:tc>
        <w:tc>
          <w:tcPr>
            <w:tcW w:w="585" w:type="dxa"/>
          </w:tcPr>
          <w:p>
            <w:pPr>
              <w:pStyle w:val="TableParagraph"/>
              <w:rPr>
                <w:sz w:val="22"/>
              </w:rPr>
            </w:pPr>
          </w:p>
        </w:tc>
        <w:tc>
          <w:tcPr>
            <w:tcW w:w="1692" w:type="dxa"/>
          </w:tcPr>
          <w:p>
            <w:pPr>
              <w:pStyle w:val="TableParagraph"/>
              <w:rPr>
                <w:sz w:val="22"/>
              </w:rPr>
            </w:pPr>
          </w:p>
        </w:tc>
        <w:tc>
          <w:tcPr>
            <w:tcW w:w="410" w:type="dxa"/>
            <w:tcBorders>
              <w:right w:val="single" w:sz="4" w:space="0" w:color="000000"/>
            </w:tcBorders>
          </w:tcPr>
          <w:p>
            <w:pPr>
              <w:pStyle w:val="TableParagraph"/>
              <w:spacing w:before="104"/>
              <w:ind w:left="14"/>
              <w:rPr>
                <w:sz w:val="18"/>
              </w:rPr>
            </w:pPr>
            <w:r>
              <w:rPr>
                <w:w w:val="100"/>
                <w:sz w:val="18"/>
              </w:rPr>
              <w:t>4</w:t>
            </w:r>
          </w:p>
        </w:tc>
      </w:tr>
      <w:tr>
        <w:trPr>
          <w:trHeight w:val="422" w:hRule="atLeast"/>
        </w:trPr>
        <w:tc>
          <w:tcPr>
            <w:tcW w:w="703" w:type="dxa"/>
            <w:tcBorders>
              <w:left w:val="single" w:sz="4" w:space="0" w:color="000000"/>
            </w:tcBorders>
          </w:tcPr>
          <w:p>
            <w:pPr>
              <w:pStyle w:val="TableParagraph"/>
              <w:rPr>
                <w:sz w:val="22"/>
              </w:rPr>
            </w:pPr>
          </w:p>
        </w:tc>
        <w:tc>
          <w:tcPr>
            <w:tcW w:w="585" w:type="dxa"/>
          </w:tcPr>
          <w:p>
            <w:pPr>
              <w:pStyle w:val="TableParagraph"/>
              <w:rPr>
                <w:sz w:val="22"/>
              </w:rPr>
            </w:pPr>
          </w:p>
        </w:tc>
        <w:tc>
          <w:tcPr>
            <w:tcW w:w="587" w:type="dxa"/>
          </w:tcPr>
          <w:p>
            <w:pPr>
              <w:pStyle w:val="TableParagraph"/>
              <w:rPr>
                <w:sz w:val="22"/>
              </w:rPr>
            </w:pPr>
          </w:p>
        </w:tc>
        <w:tc>
          <w:tcPr>
            <w:tcW w:w="587" w:type="dxa"/>
          </w:tcPr>
          <w:p>
            <w:pPr>
              <w:pStyle w:val="TableParagraph"/>
              <w:rPr>
                <w:sz w:val="22"/>
              </w:rPr>
            </w:pPr>
          </w:p>
        </w:tc>
        <w:tc>
          <w:tcPr>
            <w:tcW w:w="585" w:type="dxa"/>
          </w:tcPr>
          <w:p>
            <w:pPr>
              <w:pStyle w:val="TableParagraph"/>
              <w:rPr>
                <w:sz w:val="22"/>
              </w:rPr>
            </w:pPr>
          </w:p>
        </w:tc>
        <w:tc>
          <w:tcPr>
            <w:tcW w:w="1692" w:type="dxa"/>
          </w:tcPr>
          <w:p>
            <w:pPr>
              <w:pStyle w:val="TableParagraph"/>
              <w:rPr>
                <w:sz w:val="22"/>
              </w:rPr>
            </w:pPr>
          </w:p>
        </w:tc>
        <w:tc>
          <w:tcPr>
            <w:tcW w:w="410" w:type="dxa"/>
            <w:tcBorders>
              <w:right w:val="single" w:sz="4" w:space="0" w:color="000000"/>
            </w:tcBorders>
          </w:tcPr>
          <w:p>
            <w:pPr>
              <w:pStyle w:val="TableParagraph"/>
              <w:spacing w:before="104"/>
              <w:ind w:left="14"/>
              <w:rPr>
                <w:sz w:val="18"/>
              </w:rPr>
            </w:pPr>
            <w:r>
              <w:rPr>
                <w:w w:val="100"/>
                <w:sz w:val="18"/>
              </w:rPr>
              <w:t>3</w:t>
            </w:r>
          </w:p>
        </w:tc>
      </w:tr>
      <w:tr>
        <w:trPr>
          <w:trHeight w:val="424" w:hRule="atLeast"/>
        </w:trPr>
        <w:tc>
          <w:tcPr>
            <w:tcW w:w="703" w:type="dxa"/>
            <w:tcBorders>
              <w:left w:val="single" w:sz="4" w:space="0" w:color="000000"/>
            </w:tcBorders>
          </w:tcPr>
          <w:p>
            <w:pPr>
              <w:pStyle w:val="TableParagraph"/>
              <w:rPr>
                <w:sz w:val="22"/>
              </w:rPr>
            </w:pPr>
          </w:p>
        </w:tc>
        <w:tc>
          <w:tcPr>
            <w:tcW w:w="585" w:type="dxa"/>
          </w:tcPr>
          <w:p>
            <w:pPr>
              <w:pStyle w:val="TableParagraph"/>
              <w:rPr>
                <w:sz w:val="22"/>
              </w:rPr>
            </w:pPr>
          </w:p>
        </w:tc>
        <w:tc>
          <w:tcPr>
            <w:tcW w:w="587" w:type="dxa"/>
          </w:tcPr>
          <w:p>
            <w:pPr>
              <w:pStyle w:val="TableParagraph"/>
              <w:rPr>
                <w:sz w:val="22"/>
              </w:rPr>
            </w:pPr>
          </w:p>
        </w:tc>
        <w:tc>
          <w:tcPr>
            <w:tcW w:w="587" w:type="dxa"/>
          </w:tcPr>
          <w:p>
            <w:pPr>
              <w:pStyle w:val="TableParagraph"/>
              <w:rPr>
                <w:sz w:val="22"/>
              </w:rPr>
            </w:pPr>
          </w:p>
        </w:tc>
        <w:tc>
          <w:tcPr>
            <w:tcW w:w="585" w:type="dxa"/>
          </w:tcPr>
          <w:p>
            <w:pPr>
              <w:pStyle w:val="TableParagraph"/>
              <w:rPr>
                <w:sz w:val="22"/>
              </w:rPr>
            </w:pPr>
          </w:p>
        </w:tc>
        <w:tc>
          <w:tcPr>
            <w:tcW w:w="1692" w:type="dxa"/>
          </w:tcPr>
          <w:p>
            <w:pPr>
              <w:pStyle w:val="TableParagraph"/>
              <w:rPr>
                <w:sz w:val="22"/>
              </w:rPr>
            </w:pPr>
          </w:p>
        </w:tc>
        <w:tc>
          <w:tcPr>
            <w:tcW w:w="410" w:type="dxa"/>
            <w:tcBorders>
              <w:right w:val="single" w:sz="4" w:space="0" w:color="000000"/>
            </w:tcBorders>
          </w:tcPr>
          <w:p>
            <w:pPr>
              <w:pStyle w:val="TableParagraph"/>
              <w:spacing w:before="104"/>
              <w:ind w:left="14"/>
              <w:rPr>
                <w:sz w:val="18"/>
              </w:rPr>
            </w:pPr>
            <w:r>
              <w:rPr>
                <w:w w:val="100"/>
                <w:sz w:val="18"/>
              </w:rPr>
              <w:t>2</w:t>
            </w:r>
          </w:p>
        </w:tc>
      </w:tr>
      <w:tr>
        <w:trPr>
          <w:trHeight w:val="424" w:hRule="atLeast"/>
        </w:trPr>
        <w:tc>
          <w:tcPr>
            <w:tcW w:w="703" w:type="dxa"/>
            <w:tcBorders>
              <w:left w:val="single" w:sz="4" w:space="0" w:color="000000"/>
            </w:tcBorders>
          </w:tcPr>
          <w:p>
            <w:pPr>
              <w:pStyle w:val="TableParagraph"/>
              <w:rPr>
                <w:sz w:val="22"/>
              </w:rPr>
            </w:pPr>
          </w:p>
        </w:tc>
        <w:tc>
          <w:tcPr>
            <w:tcW w:w="585" w:type="dxa"/>
          </w:tcPr>
          <w:p>
            <w:pPr>
              <w:pStyle w:val="TableParagraph"/>
              <w:rPr>
                <w:sz w:val="22"/>
              </w:rPr>
            </w:pPr>
          </w:p>
        </w:tc>
        <w:tc>
          <w:tcPr>
            <w:tcW w:w="587" w:type="dxa"/>
          </w:tcPr>
          <w:p>
            <w:pPr>
              <w:pStyle w:val="TableParagraph"/>
              <w:rPr>
                <w:sz w:val="22"/>
              </w:rPr>
            </w:pPr>
          </w:p>
        </w:tc>
        <w:tc>
          <w:tcPr>
            <w:tcW w:w="587" w:type="dxa"/>
          </w:tcPr>
          <w:p>
            <w:pPr>
              <w:pStyle w:val="TableParagraph"/>
              <w:rPr>
                <w:sz w:val="22"/>
              </w:rPr>
            </w:pPr>
          </w:p>
        </w:tc>
        <w:tc>
          <w:tcPr>
            <w:tcW w:w="585" w:type="dxa"/>
          </w:tcPr>
          <w:p>
            <w:pPr>
              <w:pStyle w:val="TableParagraph"/>
              <w:rPr>
                <w:sz w:val="22"/>
              </w:rPr>
            </w:pPr>
          </w:p>
        </w:tc>
        <w:tc>
          <w:tcPr>
            <w:tcW w:w="1692" w:type="dxa"/>
          </w:tcPr>
          <w:p>
            <w:pPr>
              <w:pStyle w:val="TableParagraph"/>
              <w:rPr>
                <w:sz w:val="22"/>
              </w:rPr>
            </w:pPr>
          </w:p>
        </w:tc>
        <w:tc>
          <w:tcPr>
            <w:tcW w:w="410" w:type="dxa"/>
            <w:tcBorders>
              <w:right w:val="single" w:sz="4" w:space="0" w:color="000000"/>
            </w:tcBorders>
          </w:tcPr>
          <w:p>
            <w:pPr>
              <w:pStyle w:val="TableParagraph"/>
              <w:spacing w:before="106"/>
              <w:ind w:left="14"/>
              <w:rPr>
                <w:sz w:val="18"/>
              </w:rPr>
            </w:pPr>
            <w:r>
              <w:rPr>
                <w:w w:val="100"/>
                <w:sz w:val="18"/>
              </w:rPr>
              <w:t>1</w:t>
            </w:r>
          </w:p>
        </w:tc>
      </w:tr>
      <w:tr>
        <w:trPr>
          <w:trHeight w:val="346" w:hRule="atLeast"/>
        </w:trPr>
        <w:tc>
          <w:tcPr>
            <w:tcW w:w="703" w:type="dxa"/>
            <w:tcBorders>
              <w:left w:val="single" w:sz="4" w:space="0" w:color="000000"/>
            </w:tcBorders>
          </w:tcPr>
          <w:p>
            <w:pPr>
              <w:pStyle w:val="TableParagraph"/>
              <w:rPr>
                <w:sz w:val="22"/>
              </w:rPr>
            </w:pPr>
          </w:p>
        </w:tc>
        <w:tc>
          <w:tcPr>
            <w:tcW w:w="585" w:type="dxa"/>
          </w:tcPr>
          <w:p>
            <w:pPr>
              <w:pStyle w:val="TableParagraph"/>
              <w:rPr>
                <w:sz w:val="22"/>
              </w:rPr>
            </w:pPr>
          </w:p>
        </w:tc>
        <w:tc>
          <w:tcPr>
            <w:tcW w:w="587" w:type="dxa"/>
          </w:tcPr>
          <w:p>
            <w:pPr>
              <w:pStyle w:val="TableParagraph"/>
              <w:rPr>
                <w:sz w:val="22"/>
              </w:rPr>
            </w:pPr>
          </w:p>
        </w:tc>
        <w:tc>
          <w:tcPr>
            <w:tcW w:w="587" w:type="dxa"/>
          </w:tcPr>
          <w:p>
            <w:pPr>
              <w:pStyle w:val="TableParagraph"/>
              <w:rPr>
                <w:sz w:val="22"/>
              </w:rPr>
            </w:pPr>
          </w:p>
        </w:tc>
        <w:tc>
          <w:tcPr>
            <w:tcW w:w="585" w:type="dxa"/>
          </w:tcPr>
          <w:p>
            <w:pPr>
              <w:pStyle w:val="TableParagraph"/>
              <w:rPr>
                <w:sz w:val="22"/>
              </w:rPr>
            </w:pPr>
          </w:p>
        </w:tc>
        <w:tc>
          <w:tcPr>
            <w:tcW w:w="1692" w:type="dxa"/>
          </w:tcPr>
          <w:p>
            <w:pPr>
              <w:pStyle w:val="TableParagraph"/>
              <w:rPr>
                <w:sz w:val="22"/>
              </w:rPr>
            </w:pPr>
          </w:p>
        </w:tc>
        <w:tc>
          <w:tcPr>
            <w:tcW w:w="410" w:type="dxa"/>
            <w:tcBorders>
              <w:right w:val="single" w:sz="4" w:space="0" w:color="000000"/>
            </w:tcBorders>
          </w:tcPr>
          <w:p>
            <w:pPr>
              <w:pStyle w:val="TableParagraph"/>
              <w:spacing w:before="104"/>
              <w:ind w:left="14"/>
              <w:rPr>
                <w:sz w:val="18"/>
              </w:rPr>
            </w:pPr>
            <w:r>
              <w:rPr>
                <w:w w:val="100"/>
                <w:sz w:val="18"/>
              </w:rPr>
              <w:t>0</w:t>
            </w:r>
          </w:p>
        </w:tc>
      </w:tr>
      <w:tr>
        <w:trPr>
          <w:trHeight w:val="382" w:hRule="atLeast"/>
        </w:trPr>
        <w:tc>
          <w:tcPr>
            <w:tcW w:w="703" w:type="dxa"/>
            <w:tcBorders>
              <w:left w:val="single" w:sz="4" w:space="0" w:color="000000"/>
              <w:bottom w:val="single" w:sz="4" w:space="0" w:color="000000"/>
            </w:tcBorders>
          </w:tcPr>
          <w:p>
            <w:pPr>
              <w:pStyle w:val="TableParagraph"/>
              <w:spacing w:before="28"/>
              <w:ind w:left="227"/>
              <w:rPr>
                <w:sz w:val="18"/>
              </w:rPr>
            </w:pPr>
            <w:r>
              <w:rPr>
                <w:sz w:val="18"/>
              </w:rPr>
              <w:t>1964</w:t>
            </w:r>
          </w:p>
        </w:tc>
        <w:tc>
          <w:tcPr>
            <w:tcW w:w="585" w:type="dxa"/>
            <w:tcBorders>
              <w:bottom w:val="single" w:sz="4" w:space="0" w:color="000000"/>
            </w:tcBorders>
          </w:tcPr>
          <w:p>
            <w:pPr>
              <w:pStyle w:val="TableParagraph"/>
              <w:spacing w:before="28"/>
              <w:ind w:left="114"/>
              <w:rPr>
                <w:sz w:val="18"/>
              </w:rPr>
            </w:pPr>
            <w:r>
              <w:rPr>
                <w:sz w:val="18"/>
              </w:rPr>
              <w:t>1970</w:t>
            </w:r>
          </w:p>
        </w:tc>
        <w:tc>
          <w:tcPr>
            <w:tcW w:w="587" w:type="dxa"/>
            <w:tcBorders>
              <w:bottom w:val="single" w:sz="4" w:space="0" w:color="000000"/>
            </w:tcBorders>
          </w:tcPr>
          <w:p>
            <w:pPr>
              <w:pStyle w:val="TableParagraph"/>
              <w:spacing w:before="28"/>
              <w:ind w:left="115"/>
              <w:rPr>
                <w:sz w:val="18"/>
              </w:rPr>
            </w:pPr>
            <w:r>
              <w:rPr>
                <w:sz w:val="18"/>
              </w:rPr>
              <w:t>1976</w:t>
            </w:r>
          </w:p>
        </w:tc>
        <w:tc>
          <w:tcPr>
            <w:tcW w:w="587" w:type="dxa"/>
            <w:tcBorders>
              <w:bottom w:val="single" w:sz="4" w:space="0" w:color="000000"/>
            </w:tcBorders>
          </w:tcPr>
          <w:p>
            <w:pPr>
              <w:pStyle w:val="TableParagraph"/>
              <w:spacing w:before="28"/>
              <w:ind w:left="115"/>
              <w:rPr>
                <w:sz w:val="18"/>
              </w:rPr>
            </w:pPr>
            <w:r>
              <w:rPr>
                <w:sz w:val="18"/>
              </w:rPr>
              <w:t>1982</w:t>
            </w:r>
          </w:p>
        </w:tc>
        <w:tc>
          <w:tcPr>
            <w:tcW w:w="585" w:type="dxa"/>
            <w:tcBorders>
              <w:bottom w:val="single" w:sz="4" w:space="0" w:color="000000"/>
            </w:tcBorders>
          </w:tcPr>
          <w:p>
            <w:pPr>
              <w:pStyle w:val="TableParagraph"/>
              <w:spacing w:before="28"/>
              <w:ind w:left="115"/>
              <w:rPr>
                <w:sz w:val="18"/>
              </w:rPr>
            </w:pPr>
            <w:r>
              <w:rPr>
                <w:sz w:val="18"/>
              </w:rPr>
              <w:t>1988</w:t>
            </w:r>
          </w:p>
        </w:tc>
        <w:tc>
          <w:tcPr>
            <w:tcW w:w="1692" w:type="dxa"/>
            <w:tcBorders>
              <w:bottom w:val="single" w:sz="4" w:space="0" w:color="000000"/>
            </w:tcBorders>
          </w:tcPr>
          <w:p>
            <w:pPr>
              <w:pStyle w:val="TableParagraph"/>
              <w:tabs>
                <w:tab w:pos="586" w:val="left" w:leader="none"/>
                <w:tab w:pos="1173" w:val="left" w:leader="none"/>
              </w:tabs>
              <w:spacing w:before="28"/>
              <w:ind w:right="37"/>
              <w:jc w:val="right"/>
              <w:rPr>
                <w:sz w:val="18"/>
              </w:rPr>
            </w:pPr>
            <w:r>
              <w:rPr>
                <w:sz w:val="18"/>
              </w:rPr>
              <w:t>1994</w:t>
              <w:tab/>
              <w:t>2000</w:t>
              <w:tab/>
              <w:t>2006</w:t>
            </w:r>
          </w:p>
        </w:tc>
        <w:tc>
          <w:tcPr>
            <w:tcW w:w="410" w:type="dxa"/>
            <w:tcBorders>
              <w:bottom w:val="single" w:sz="4" w:space="0" w:color="000000"/>
              <w:right w:val="single" w:sz="4" w:space="0" w:color="000000"/>
            </w:tcBorders>
          </w:tcPr>
          <w:p>
            <w:pPr>
              <w:pStyle w:val="TableParagraph"/>
              <w:rPr>
                <w:sz w:val="22"/>
              </w:rPr>
            </w:pPr>
          </w:p>
        </w:tc>
      </w:tr>
      <w:tr>
        <w:trPr>
          <w:trHeight w:val="689" w:hRule="atLeast"/>
        </w:trPr>
        <w:tc>
          <w:tcPr>
            <w:tcW w:w="51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6"/>
              <w:rPr>
                <w:i/>
                <w:sz w:val="20"/>
              </w:rPr>
            </w:pPr>
            <w:r>
              <w:rPr>
                <w:i/>
                <w:sz w:val="20"/>
              </w:rPr>
              <w:t>Source: ONS</w:t>
            </w:r>
          </w:p>
          <w:p>
            <w:pPr>
              <w:pStyle w:val="TableParagraph"/>
              <w:spacing w:line="230" w:lineRule="exact" w:before="2"/>
              <w:ind w:left="106" w:right="680"/>
              <w:rPr>
                <w:i/>
                <w:sz w:val="20"/>
              </w:rPr>
            </w:pPr>
            <w:r>
              <w:rPr>
                <w:i/>
                <w:sz w:val="20"/>
              </w:rPr>
              <w:t>Note: rolling standard deviation of four-quarter RPIX </w:t>
            </w:r>
            <w:r>
              <w:rPr>
                <w:i/>
                <w:sz w:val="20"/>
              </w:rPr>
              <w:t>inflation (RPI before 1976) over previous eight years</w:t>
            </w:r>
          </w:p>
        </w:tc>
      </w:tr>
    </w:tbl>
    <w:p>
      <w:pPr>
        <w:pStyle w:val="BodyText"/>
        <w:rPr>
          <w:sz w:val="20"/>
        </w:rPr>
      </w:pPr>
    </w:p>
    <w:p>
      <w:pPr>
        <w:pStyle w:val="BodyText"/>
        <w:rPr>
          <w:sz w:val="20"/>
        </w:rPr>
      </w:pPr>
    </w:p>
    <w:p>
      <w:pPr>
        <w:pStyle w:val="BodyText"/>
        <w:spacing w:before="10"/>
        <w:rPr>
          <w:sz w:val="23"/>
        </w:rPr>
      </w:pPr>
    </w:p>
    <w:p>
      <w:pPr>
        <w:pStyle w:val="BodyText"/>
        <w:spacing w:line="360" w:lineRule="auto" w:before="90"/>
        <w:ind w:left="221" w:right="110"/>
        <w:jc w:val="both"/>
      </w:pPr>
      <w:r>
        <w:rPr/>
        <w:t>One of the benefits of achieving low inflation is that a low inflation rate is likely to be more stable and more predictable.</w:t>
      </w:r>
      <w:r>
        <w:rPr>
          <w:vertAlign w:val="superscript"/>
        </w:rPr>
        <w:t>5</w:t>
      </w:r>
      <w:r>
        <w:rPr>
          <w:vertAlign w:val="baseline"/>
        </w:rPr>
        <w:t> As Chart 2 shows, this has indeed been our experience over the past decade. The recorded volatility of the inflation rate has been reduced by a factor of about ten since the high inflation era of the 1970s and 1980s.  This brings a number of benefits to business. Firms can have more confidence planning into the future and the signals provided by changes in relative prices are clearer in a low inflation world - reducing the risk of bad business and investment decisions. The additional risk and the arbitrary redistribution of income created by inflation surprises should also be much reduced in a world of low and stable</w:t>
      </w:r>
      <w:r>
        <w:rPr>
          <w:spacing w:val="-12"/>
          <w:vertAlign w:val="baseline"/>
        </w:rPr>
        <w:t> </w:t>
      </w:r>
      <w:r>
        <w:rPr>
          <w:vertAlign w:val="baseline"/>
        </w:rPr>
        <w:t>inflation.</w:t>
      </w:r>
    </w:p>
    <w:p>
      <w:pPr>
        <w:pStyle w:val="BodyText"/>
        <w:rPr>
          <w:sz w:val="36"/>
        </w:rPr>
      </w:pPr>
    </w:p>
    <w:p>
      <w:pPr>
        <w:pStyle w:val="BodyText"/>
        <w:spacing w:line="360" w:lineRule="auto"/>
        <w:ind w:left="221" w:right="111"/>
        <w:jc w:val="both"/>
      </w:pPr>
      <w:r>
        <w:rPr/>
        <w:pict>
          <v:shape style="position:absolute;margin-left:85.080002pt;margin-top:43.723518pt;width:144pt;height:.1pt;mso-position-horizontal-relative:page;mso-position-vertical-relative:paragraph;z-index:-251652096;mso-wrap-distance-left:0;mso-wrap-distance-right:0" coordorigin="1702,874" coordsize="2880,0" path="m1702,874l4582,874e" filled="false" stroked="true" strokeweight=".600010pt" strokecolor="#000000">
            <v:path arrowok="t"/>
            <v:stroke dashstyle="solid"/>
            <w10:wrap type="topAndBottom"/>
          </v:shape>
        </w:pict>
      </w:r>
      <w:r>
        <w:rPr/>
        <w:t>As well as reducing the volatility of inflation, the current monetary framework has also been associated with more macroeconomic stability in the real economy, as Chart 3</w:t>
      </w:r>
    </w:p>
    <w:p>
      <w:pPr>
        <w:spacing w:before="49"/>
        <w:ind w:left="221" w:right="340" w:firstLine="0"/>
        <w:jc w:val="left"/>
        <w:rPr>
          <w:sz w:val="20"/>
        </w:rPr>
      </w:pPr>
      <w:r>
        <w:rPr>
          <w:position w:val="9"/>
          <w:sz w:val="13"/>
        </w:rPr>
        <w:t>4 </w:t>
      </w:r>
      <w:r>
        <w:rPr>
          <w:sz w:val="20"/>
        </w:rPr>
        <w:t>The low point for RPI inflation was 2.4% in July/August 1986, and for RPIX and CPI inflation 3.2% and 2.2% respectively in May 1986. Other inflation measures reached a low point in the same year.</w:t>
      </w:r>
    </w:p>
    <w:p>
      <w:pPr>
        <w:spacing w:line="230" w:lineRule="exact" w:before="0"/>
        <w:ind w:left="221" w:right="0" w:firstLine="0"/>
        <w:jc w:val="left"/>
        <w:rPr>
          <w:sz w:val="20"/>
        </w:rPr>
      </w:pPr>
      <w:r>
        <w:rPr>
          <w:position w:val="9"/>
          <w:sz w:val="13"/>
        </w:rPr>
        <w:t>5 </w:t>
      </w:r>
      <w:r>
        <w:rPr>
          <w:sz w:val="20"/>
        </w:rPr>
        <w:t>See Bank of England (2004) for a fuller discussion of the benefits to business of low inflation.</w:t>
      </w:r>
    </w:p>
    <w:p>
      <w:pPr>
        <w:spacing w:after="0" w:line="230" w:lineRule="exact"/>
        <w:jc w:val="left"/>
        <w:rPr>
          <w:sz w:val="20"/>
        </w:rPr>
        <w:sectPr>
          <w:footerReference w:type="default" r:id="rId9"/>
          <w:pgSz w:w="11900" w:h="16840"/>
          <w:pgMar w:footer="710" w:header="0" w:top="1380" w:bottom="900" w:left="1480" w:right="1580"/>
          <w:pgNumType w:start="5"/>
        </w:sectPr>
      </w:pPr>
    </w:p>
    <w:p>
      <w:pPr>
        <w:pStyle w:val="BodyText"/>
        <w:spacing w:line="360" w:lineRule="auto" w:before="101"/>
        <w:ind w:left="221" w:right="109"/>
        <w:jc w:val="both"/>
      </w:pPr>
      <w:r>
        <w:rPr/>
        <w:pict>
          <v:group style="position:absolute;margin-left:104.698997pt;margin-top:122.0634pt;width:206.25pt;height:147.8pt;mso-position-horizontal-relative:page;mso-position-vertical-relative:paragraph;z-index:-254184448" coordorigin="2094,2441" coordsize="4125,2956">
            <v:shape style="position:absolute;left:2108;top:2441;width:4110;height:2955" coordorigin="2108,2442" coordsize="4110,2955" path="m6163,2442l6163,5396m6163,5396l6218,5396m6163,4975l6218,4975m6163,4551l6218,4551m6163,4130l6218,4130m6163,3708l6218,3708m6163,3287l6218,3287m6163,2863l6218,2863m6163,2442l6218,2442m2108,5396l6163,5396m2108,5396l2108,5340m2674,5396l2674,5340m3238,5396l3238,5340m3803,5396l3803,5340m4368,5396l4368,5340m4932,5396l4932,5340m5497,5396l5497,5340m6062,5396l6062,5340e" filled="false" stroked="true" strokeweight=".06pt" strokecolor="#000000">
              <v:path arrowok="t"/>
              <v:stroke dashstyle="solid"/>
            </v:shape>
            <v:line style="position:absolute" from="2113,3272" to="2135,3251" stroked="true" strokeweight="1.922pt" strokecolor="#000080">
              <v:stroke dashstyle="solid"/>
            </v:line>
            <v:shape style="position:absolute;left:2134;top:3250;width:707;height:921" coordorigin="2135,3251" coordsize="707,921" path="m2135,3251l2159,3289m2159,3289l2183,3315m2183,3315l2207,3325m2207,3325l2231,3320m2231,3320l2252,3332m2252,3332l2276,3342m2276,3342l2300,3366m2300,3366l2324,3510m2324,3510l2348,3531m2348,3531l2370,3524m2370,3524l2394,3565m2394,3565l2418,3575m2418,3575l2442,3582m2442,3582l2464,3680m2464,3680l2488,3854m2488,3854l2512,3900m2512,3900l2536,3907m2536,3907l2560,3883m2560,3883l2581,3871m2581,3871l2606,3878m2606,3878l2630,3876m2630,3876l2654,3890m2654,3890l2678,3926m2678,3926l2700,3967m2700,3967l2724,3979m2724,3979l2748,3996m2748,3996l2772,4022m2772,4022l2796,4017m2796,4017l2818,4027m2818,4027l2842,4171e" filled="false" stroked="true" strokeweight="1.922pt" strokecolor="#000080">
              <v:path arrowok="t"/>
              <v:stroke dashstyle="solid"/>
            </v:shape>
            <v:line style="position:absolute" from="2854,4152" to="2854,4453" stroked="true" strokeweight="3.122pt" strokecolor="#000080">
              <v:stroke dashstyle="solid"/>
            </v:line>
            <v:shape style="position:absolute;left:2865;top:4433;width:70;height:120" coordorigin="2866,4434" coordsize="70,120" path="m2866,4434l2890,4482m2890,4482l2911,4554m2911,4554l2935,4542e" filled="false" stroked="true" strokeweight="1.922pt" strokecolor="#000080">
              <v:path arrowok="t"/>
              <v:stroke dashstyle="solid"/>
            </v:shape>
            <v:line style="position:absolute" from="2947,3989" to="2947,4561" stroked="true" strokeweight="3.122pt" strokecolor="#000080">
              <v:stroke dashstyle="solid"/>
            </v:line>
            <v:shape style="position:absolute;left:2959;top:3758;width:70;height:250" coordorigin="2959,3758" coordsize="70,250" path="m2959,4008l2983,3842m2983,3842l3007,3758m3007,3758l3029,3763e" filled="false" stroked="true" strokeweight="1.922pt" strokecolor="#000080">
              <v:path arrowok="t"/>
              <v:stroke dashstyle="solid"/>
            </v:shape>
            <v:line style="position:absolute" from="3041,3495" to="3041,3782" stroked="true" strokeweight="3.122pt" strokecolor="#000080">
              <v:stroke dashstyle="solid"/>
            </v:line>
            <v:shape style="position:absolute;left:3052;top:2666;width:638;height:849" coordorigin="3053,2666" coordsize="638,849" path="m3053,3515l3077,3390m3077,3390l3101,3351m3101,3351l3125,3299m3125,3299l3146,3296m3146,3296l3170,3198m3170,3198l3194,3057m3194,3057l3218,3026m3218,3026l3242,3048m3242,3048l3264,3050m3264,3050l3288,3069m3288,3069l3312,3084m3312,3084l3336,3086m3336,3086l3358,3089m3358,3089l3382,3091m3382,3091l3406,3089m3406,3089l3431,3098m3431,3098l3455,3089m3455,3089l3476,3079m3476,3079l3500,3074m3500,3074l3524,3074m3524,3074l3548,3038m3548,3038l3572,3036m3572,3036l3594,3036,3618,3036m3618,3036l3642,2861m3642,2861l3666,2789m3666,2789l3690,2666e" filled="false" stroked="true" strokeweight="1.922pt" strokecolor="#000080">
              <v:path arrowok="t"/>
              <v:stroke dashstyle="solid"/>
            </v:shape>
            <v:line style="position:absolute" from="3701,2647" to="3701,2863" stroked="true" strokeweight="3.002pt" strokecolor="#000080">
              <v:stroke dashstyle="solid"/>
            </v:line>
            <v:shape style="position:absolute;left:3711;top:2843;width:707;height:551" coordorigin="3712,2844" coordsize="707,551" path="m3712,2844l3736,2990m3736,2990l3760,3134m3760,3134l3784,3210m3784,3210l3805,3287m3805,3287l3829,3303m3829,3303l3853,3306m3853,3306l3877,3323m3877,3323l3901,3303m3901,3303l3923,3335m3923,3335l3947,3395m3947,3395l3971,3359m3971,3359l3995,3330m3995,3330l4019,3325m4019,3325l4040,3339m4040,3339l4064,3368m4064,3368l4088,3371m4088,3371l4112,3330m4112,3330l4136,3303m4136,3303l4158,3289m4158,3289l4182,3267m4182,3267l4206,3272m4206,3272l4230,3272m4230,3272l4253,3234m4253,3234l4277,3210m4277,3210l4301,3248m4301,3248l4325,3179m4325,3179l4349,3137m4349,3137l4370,3065m4370,3065l4394,3231m4394,3231l4418,3323e" filled="false" stroked="true" strokeweight="1.922pt" strokecolor="#000080">
              <v:path arrowok="t"/>
              <v:stroke dashstyle="solid"/>
            </v:shape>
            <v:line style="position:absolute" from="4430,3303" to="4430,3611" stroked="true" strokeweight="3.122pt" strokecolor="#000080">
              <v:stroke dashstyle="solid"/>
            </v:line>
            <v:line style="position:absolute" from="4454,3572" to="4454,3945" stroked="true" strokeweight="3.122pt" strokecolor="#000080">
              <v:stroke dashstyle="solid"/>
            </v:line>
            <v:line style="position:absolute" from="4477,3907" to="4477,4173" stroked="true" strokeweight="3.002pt" strokecolor="#000080">
              <v:stroke dashstyle="solid"/>
            </v:line>
            <v:shape style="position:absolute;left:4488;top:3449;width:1649;height:1434" coordorigin="4488,3450" coordsize="1649,1434" path="m4488,4154l4512,4275m4512,4275l4536,4304m4536,4304l4560,4307m4560,4307l4582,4278m4582,4278l4606,4219m4606,4219l4630,4109m4630,4109l4654,3941m4654,3941l4678,3741m4678,3741l4699,3625m4699,3625l4723,3572m4723,3572l4747,3529m4747,3529l4771,3481m4771,3481l4795,3464m4795,3464l4817,3452m4817,3452l4841,3450m4841,3450l4865,3479m4865,3479l4889,3498m4889,3498l4913,3503m4913,3503l4934,3512m4934,3512l4958,3493m4958,3493l4982,3467m4982,3467l5006,3471m5006,3471l5028,3474m5028,3474l5052,3486m5052,3486l5077,3555m5077,3555l5101,3603m5101,3603l5125,3703m5125,3703l5147,3780m5147,3780l5171,3825m5171,3825l5195,3861m5195,3861l5219,3861m5219,3861l5243,3859m5243,3859l5264,3845m5264,3845l5288,3835m5288,3835l5312,3818m5312,3818l5336,3806m5336,3806l5360,3816m5360,3816l5382,3854m5382,3854l5406,3950m5406,3950l5430,4123m5430,4123l5454,4266m5454,4266l5476,4379m5476,4379l5500,4479m5500,4479l5524,4597m5524,4597l5548,4691m5548,4691l5572,4772m5572,4772l5593,4831m5593,4831l5617,4833m5617,4833l5641,4824m5641,4824l5665,4799m5665,4799l5689,4755m5689,4755l5711,4760m5711,4760l5735,4809m5735,4809l5759,4865m5759,4865l5783,4881m5783,4881l5807,4877m5807,4877l5828,4879m5828,4879l5852,4884m5852,4884l5876,4877m5876,4877l5902,4860m5902,4860l5923,4862m5923,4862l5947,4860m5947,4860l5971,4845m5971,4845l5995,4812m5995,4812l6019,4789m6019,4789l6041,4775m6041,4775l6065,4779,6089,4784m6089,4784l6113,4791m6113,4791l6137,4794e" filled="false" stroked="true" strokeweight="1.922pt" strokecolor="#000080">
              <v:path arrowok="t"/>
              <v:stroke dashstyle="solid"/>
            </v:shape>
            <v:line style="position:absolute" from="6137,4794" to="6158,4794" stroked="true" strokeweight="1.922pt" strokecolor="#000080">
              <v:stroke dashstyle="solid"/>
            </v:line>
            <w10:wrap type="none"/>
          </v:group>
        </w:pict>
      </w:r>
      <w:r>
        <w:rPr/>
        <w:t>shows, we have seen a significant reduction in growth fluctuations in recent years.</w:t>
      </w:r>
      <w:r>
        <w:rPr>
          <w:vertAlign w:val="superscript"/>
        </w:rPr>
        <w:t>6</w:t>
      </w:r>
      <w:r>
        <w:rPr>
          <w:vertAlign w:val="baseline"/>
        </w:rPr>
        <w:t>  This is a second factor which underpins business support for the Monetary</w:t>
      </w:r>
      <w:r>
        <w:rPr>
          <w:spacing w:val="11"/>
          <w:vertAlign w:val="baseline"/>
        </w:rPr>
        <w:t> </w:t>
      </w:r>
      <w:r>
        <w:rPr>
          <w:vertAlign w:val="baseline"/>
        </w:rPr>
        <w:t>Policy Committee and our current monetary</w:t>
      </w:r>
      <w:r>
        <w:rPr>
          <w:spacing w:val="-1"/>
          <w:vertAlign w:val="baseline"/>
        </w:rPr>
        <w:t> </w:t>
      </w:r>
      <w:r>
        <w:rPr>
          <w:vertAlign w:val="baseline"/>
        </w:rPr>
        <w:t>arrangements.</w:t>
      </w:r>
    </w:p>
    <w:p>
      <w:pPr>
        <w:pStyle w:val="BodyText"/>
        <w:rPr>
          <w:sz w:val="20"/>
        </w:rPr>
      </w:pPr>
    </w:p>
    <w:p>
      <w:pPr>
        <w:pStyle w:val="BodyText"/>
        <w:spacing w:before="3" w:after="1"/>
        <w:rPr>
          <w:sz w:val="16"/>
        </w:r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565"/>
        <w:gridCol w:w="563"/>
        <w:gridCol w:w="564"/>
        <w:gridCol w:w="565"/>
        <w:gridCol w:w="2197"/>
      </w:tblGrid>
      <w:tr>
        <w:trPr>
          <w:trHeight w:val="275" w:hRule="atLeast"/>
        </w:trPr>
        <w:tc>
          <w:tcPr>
            <w:tcW w:w="51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6"/>
              <w:rPr>
                <w:b/>
                <w:sz w:val="24"/>
              </w:rPr>
            </w:pPr>
            <w:r>
              <w:rPr>
                <w:b/>
                <w:color w:val="0000FF"/>
                <w:sz w:val="24"/>
              </w:rPr>
              <w:t>Chart 3: Volatility of UK GDP growth</w:t>
            </w:r>
          </w:p>
        </w:tc>
      </w:tr>
      <w:tr>
        <w:trPr>
          <w:trHeight w:val="300" w:hRule="atLeast"/>
        </w:trPr>
        <w:tc>
          <w:tcPr>
            <w:tcW w:w="694" w:type="dxa"/>
            <w:tcBorders>
              <w:top w:val="single" w:sz="4" w:space="0" w:color="000000"/>
              <w:left w:val="single" w:sz="4" w:space="0" w:color="000000"/>
            </w:tcBorders>
          </w:tcPr>
          <w:p>
            <w:pPr>
              <w:pStyle w:val="TableParagraph"/>
              <w:rPr>
                <w:sz w:val="22"/>
              </w:rPr>
            </w:pPr>
          </w:p>
        </w:tc>
        <w:tc>
          <w:tcPr>
            <w:tcW w:w="565" w:type="dxa"/>
            <w:tcBorders>
              <w:top w:val="single" w:sz="4" w:space="0" w:color="000000"/>
            </w:tcBorders>
          </w:tcPr>
          <w:p>
            <w:pPr>
              <w:pStyle w:val="TableParagraph"/>
              <w:rPr>
                <w:sz w:val="22"/>
              </w:rPr>
            </w:pPr>
          </w:p>
        </w:tc>
        <w:tc>
          <w:tcPr>
            <w:tcW w:w="563" w:type="dxa"/>
            <w:tcBorders>
              <w:top w:val="single" w:sz="4" w:space="0" w:color="000000"/>
            </w:tcBorders>
          </w:tcPr>
          <w:p>
            <w:pPr>
              <w:pStyle w:val="TableParagraph"/>
              <w:rPr>
                <w:sz w:val="22"/>
              </w:rPr>
            </w:pPr>
          </w:p>
        </w:tc>
        <w:tc>
          <w:tcPr>
            <w:tcW w:w="564" w:type="dxa"/>
            <w:tcBorders>
              <w:top w:val="single" w:sz="4" w:space="0" w:color="000000"/>
            </w:tcBorders>
          </w:tcPr>
          <w:p>
            <w:pPr>
              <w:pStyle w:val="TableParagraph"/>
              <w:rPr>
                <w:sz w:val="22"/>
              </w:rPr>
            </w:pPr>
          </w:p>
        </w:tc>
        <w:tc>
          <w:tcPr>
            <w:tcW w:w="565" w:type="dxa"/>
            <w:tcBorders>
              <w:top w:val="single" w:sz="4" w:space="0" w:color="000000"/>
            </w:tcBorders>
          </w:tcPr>
          <w:p>
            <w:pPr>
              <w:pStyle w:val="TableParagraph"/>
              <w:rPr>
                <w:sz w:val="22"/>
              </w:rPr>
            </w:pPr>
          </w:p>
        </w:tc>
        <w:tc>
          <w:tcPr>
            <w:tcW w:w="2197" w:type="dxa"/>
            <w:tcBorders>
              <w:top w:val="single" w:sz="4" w:space="0" w:color="000000"/>
              <w:right w:val="single" w:sz="4" w:space="0" w:color="000000"/>
            </w:tcBorders>
          </w:tcPr>
          <w:p>
            <w:pPr>
              <w:pStyle w:val="TableParagraph"/>
              <w:spacing w:line="166" w:lineRule="exact" w:before="115"/>
              <w:ind w:left="395"/>
              <w:rPr>
                <w:sz w:val="18"/>
              </w:rPr>
            </w:pPr>
            <w:r>
              <w:rPr>
                <w:sz w:val="18"/>
              </w:rPr>
              <w:t>Percentage points</w:t>
            </w:r>
          </w:p>
        </w:tc>
      </w:tr>
      <w:tr>
        <w:trPr>
          <w:trHeight w:val="288" w:hRule="atLeast"/>
        </w:trPr>
        <w:tc>
          <w:tcPr>
            <w:tcW w:w="694" w:type="dxa"/>
            <w:tcBorders>
              <w:left w:val="single" w:sz="4" w:space="0" w:color="000000"/>
            </w:tcBorders>
          </w:tcPr>
          <w:p>
            <w:pPr>
              <w:pStyle w:val="TableParagraph"/>
              <w:rPr>
                <w:sz w:val="20"/>
              </w:rPr>
            </w:pPr>
          </w:p>
        </w:tc>
        <w:tc>
          <w:tcPr>
            <w:tcW w:w="565" w:type="dxa"/>
          </w:tcPr>
          <w:p>
            <w:pPr>
              <w:pStyle w:val="TableParagraph"/>
              <w:rPr>
                <w:sz w:val="20"/>
              </w:rPr>
            </w:pPr>
          </w:p>
        </w:tc>
        <w:tc>
          <w:tcPr>
            <w:tcW w:w="563" w:type="dxa"/>
          </w:tcPr>
          <w:p>
            <w:pPr>
              <w:pStyle w:val="TableParagraph"/>
              <w:rPr>
                <w:sz w:val="20"/>
              </w:rPr>
            </w:pPr>
          </w:p>
        </w:tc>
        <w:tc>
          <w:tcPr>
            <w:tcW w:w="564" w:type="dxa"/>
          </w:tcPr>
          <w:p>
            <w:pPr>
              <w:pStyle w:val="TableParagraph"/>
              <w:rPr>
                <w:sz w:val="20"/>
              </w:rPr>
            </w:pPr>
          </w:p>
        </w:tc>
        <w:tc>
          <w:tcPr>
            <w:tcW w:w="565" w:type="dxa"/>
          </w:tcPr>
          <w:p>
            <w:pPr>
              <w:pStyle w:val="TableParagraph"/>
              <w:rPr>
                <w:sz w:val="20"/>
              </w:rPr>
            </w:pPr>
          </w:p>
        </w:tc>
        <w:tc>
          <w:tcPr>
            <w:tcW w:w="2197" w:type="dxa"/>
            <w:tcBorders>
              <w:right w:val="single" w:sz="4" w:space="0" w:color="000000"/>
            </w:tcBorders>
          </w:tcPr>
          <w:p>
            <w:pPr>
              <w:pStyle w:val="TableParagraph"/>
              <w:spacing w:line="178" w:lineRule="exact"/>
              <w:ind w:right="311"/>
              <w:jc w:val="right"/>
              <w:rPr>
                <w:sz w:val="18"/>
              </w:rPr>
            </w:pPr>
            <w:r>
              <w:rPr>
                <w:sz w:val="18"/>
              </w:rPr>
              <w:t>3.5</w:t>
            </w:r>
          </w:p>
        </w:tc>
      </w:tr>
      <w:tr>
        <w:trPr>
          <w:trHeight w:val="421" w:hRule="atLeast"/>
        </w:trPr>
        <w:tc>
          <w:tcPr>
            <w:tcW w:w="694" w:type="dxa"/>
            <w:tcBorders>
              <w:left w:val="single" w:sz="4" w:space="0" w:color="000000"/>
            </w:tcBorders>
          </w:tcPr>
          <w:p>
            <w:pPr>
              <w:pStyle w:val="TableParagraph"/>
              <w:rPr>
                <w:sz w:val="22"/>
              </w:rPr>
            </w:pPr>
          </w:p>
        </w:tc>
        <w:tc>
          <w:tcPr>
            <w:tcW w:w="565" w:type="dxa"/>
          </w:tcPr>
          <w:p>
            <w:pPr>
              <w:pStyle w:val="TableParagraph"/>
              <w:rPr>
                <w:sz w:val="22"/>
              </w:rPr>
            </w:pPr>
          </w:p>
        </w:tc>
        <w:tc>
          <w:tcPr>
            <w:tcW w:w="563" w:type="dxa"/>
          </w:tcPr>
          <w:p>
            <w:pPr>
              <w:pStyle w:val="TableParagraph"/>
              <w:rPr>
                <w:sz w:val="22"/>
              </w:rPr>
            </w:pPr>
          </w:p>
        </w:tc>
        <w:tc>
          <w:tcPr>
            <w:tcW w:w="564" w:type="dxa"/>
          </w:tcPr>
          <w:p>
            <w:pPr>
              <w:pStyle w:val="TableParagraph"/>
              <w:rPr>
                <w:sz w:val="22"/>
              </w:rPr>
            </w:pPr>
          </w:p>
        </w:tc>
        <w:tc>
          <w:tcPr>
            <w:tcW w:w="565" w:type="dxa"/>
          </w:tcPr>
          <w:p>
            <w:pPr>
              <w:pStyle w:val="TableParagraph"/>
              <w:rPr>
                <w:sz w:val="22"/>
              </w:rPr>
            </w:pPr>
          </w:p>
        </w:tc>
        <w:tc>
          <w:tcPr>
            <w:tcW w:w="2197" w:type="dxa"/>
            <w:tcBorders>
              <w:right w:val="single" w:sz="4" w:space="0" w:color="000000"/>
            </w:tcBorders>
          </w:tcPr>
          <w:p>
            <w:pPr>
              <w:pStyle w:val="TableParagraph"/>
              <w:spacing w:before="103"/>
              <w:ind w:right="311"/>
              <w:jc w:val="right"/>
              <w:rPr>
                <w:sz w:val="18"/>
              </w:rPr>
            </w:pPr>
            <w:r>
              <w:rPr>
                <w:sz w:val="18"/>
              </w:rPr>
              <w:t>3.0</w:t>
            </w:r>
          </w:p>
        </w:tc>
      </w:tr>
      <w:tr>
        <w:trPr>
          <w:trHeight w:val="422" w:hRule="atLeast"/>
        </w:trPr>
        <w:tc>
          <w:tcPr>
            <w:tcW w:w="694" w:type="dxa"/>
            <w:tcBorders>
              <w:left w:val="single" w:sz="4" w:space="0" w:color="000000"/>
            </w:tcBorders>
          </w:tcPr>
          <w:p>
            <w:pPr>
              <w:pStyle w:val="TableParagraph"/>
              <w:rPr>
                <w:sz w:val="22"/>
              </w:rPr>
            </w:pPr>
          </w:p>
        </w:tc>
        <w:tc>
          <w:tcPr>
            <w:tcW w:w="565" w:type="dxa"/>
          </w:tcPr>
          <w:p>
            <w:pPr>
              <w:pStyle w:val="TableParagraph"/>
              <w:rPr>
                <w:sz w:val="22"/>
              </w:rPr>
            </w:pPr>
          </w:p>
        </w:tc>
        <w:tc>
          <w:tcPr>
            <w:tcW w:w="563" w:type="dxa"/>
          </w:tcPr>
          <w:p>
            <w:pPr>
              <w:pStyle w:val="TableParagraph"/>
              <w:rPr>
                <w:sz w:val="22"/>
              </w:rPr>
            </w:pPr>
          </w:p>
        </w:tc>
        <w:tc>
          <w:tcPr>
            <w:tcW w:w="564" w:type="dxa"/>
          </w:tcPr>
          <w:p>
            <w:pPr>
              <w:pStyle w:val="TableParagraph"/>
              <w:rPr>
                <w:sz w:val="22"/>
              </w:rPr>
            </w:pPr>
          </w:p>
        </w:tc>
        <w:tc>
          <w:tcPr>
            <w:tcW w:w="565" w:type="dxa"/>
          </w:tcPr>
          <w:p>
            <w:pPr>
              <w:pStyle w:val="TableParagraph"/>
              <w:rPr>
                <w:sz w:val="22"/>
              </w:rPr>
            </w:pPr>
          </w:p>
        </w:tc>
        <w:tc>
          <w:tcPr>
            <w:tcW w:w="2197" w:type="dxa"/>
            <w:tcBorders>
              <w:right w:val="single" w:sz="4" w:space="0" w:color="000000"/>
            </w:tcBorders>
          </w:tcPr>
          <w:p>
            <w:pPr>
              <w:pStyle w:val="TableParagraph"/>
              <w:spacing w:before="104"/>
              <w:ind w:right="311"/>
              <w:jc w:val="right"/>
              <w:rPr>
                <w:sz w:val="18"/>
              </w:rPr>
            </w:pPr>
            <w:r>
              <w:rPr>
                <w:sz w:val="18"/>
              </w:rPr>
              <w:t>2.5</w:t>
            </w:r>
          </w:p>
        </w:tc>
      </w:tr>
      <w:tr>
        <w:trPr>
          <w:trHeight w:val="422" w:hRule="atLeast"/>
        </w:trPr>
        <w:tc>
          <w:tcPr>
            <w:tcW w:w="694" w:type="dxa"/>
            <w:tcBorders>
              <w:left w:val="single" w:sz="4" w:space="0" w:color="000000"/>
            </w:tcBorders>
          </w:tcPr>
          <w:p>
            <w:pPr>
              <w:pStyle w:val="TableParagraph"/>
              <w:rPr>
                <w:sz w:val="22"/>
              </w:rPr>
            </w:pPr>
          </w:p>
        </w:tc>
        <w:tc>
          <w:tcPr>
            <w:tcW w:w="565" w:type="dxa"/>
          </w:tcPr>
          <w:p>
            <w:pPr>
              <w:pStyle w:val="TableParagraph"/>
              <w:rPr>
                <w:sz w:val="22"/>
              </w:rPr>
            </w:pPr>
          </w:p>
        </w:tc>
        <w:tc>
          <w:tcPr>
            <w:tcW w:w="563" w:type="dxa"/>
          </w:tcPr>
          <w:p>
            <w:pPr>
              <w:pStyle w:val="TableParagraph"/>
              <w:rPr>
                <w:sz w:val="22"/>
              </w:rPr>
            </w:pPr>
          </w:p>
        </w:tc>
        <w:tc>
          <w:tcPr>
            <w:tcW w:w="564" w:type="dxa"/>
          </w:tcPr>
          <w:p>
            <w:pPr>
              <w:pStyle w:val="TableParagraph"/>
              <w:rPr>
                <w:sz w:val="22"/>
              </w:rPr>
            </w:pPr>
          </w:p>
        </w:tc>
        <w:tc>
          <w:tcPr>
            <w:tcW w:w="565" w:type="dxa"/>
          </w:tcPr>
          <w:p>
            <w:pPr>
              <w:pStyle w:val="TableParagraph"/>
              <w:rPr>
                <w:sz w:val="22"/>
              </w:rPr>
            </w:pPr>
          </w:p>
        </w:tc>
        <w:tc>
          <w:tcPr>
            <w:tcW w:w="2197" w:type="dxa"/>
            <w:tcBorders>
              <w:right w:val="single" w:sz="4" w:space="0" w:color="000000"/>
            </w:tcBorders>
          </w:tcPr>
          <w:p>
            <w:pPr>
              <w:pStyle w:val="TableParagraph"/>
              <w:spacing w:before="103"/>
              <w:ind w:right="311"/>
              <w:jc w:val="right"/>
              <w:rPr>
                <w:sz w:val="18"/>
              </w:rPr>
            </w:pPr>
            <w:r>
              <w:rPr>
                <w:sz w:val="18"/>
              </w:rPr>
              <w:t>2.0</w:t>
            </w:r>
          </w:p>
        </w:tc>
      </w:tr>
      <w:tr>
        <w:trPr>
          <w:trHeight w:val="421" w:hRule="atLeast"/>
        </w:trPr>
        <w:tc>
          <w:tcPr>
            <w:tcW w:w="694" w:type="dxa"/>
            <w:tcBorders>
              <w:left w:val="single" w:sz="4" w:space="0" w:color="000000"/>
            </w:tcBorders>
          </w:tcPr>
          <w:p>
            <w:pPr>
              <w:pStyle w:val="TableParagraph"/>
              <w:rPr>
                <w:sz w:val="22"/>
              </w:rPr>
            </w:pPr>
          </w:p>
        </w:tc>
        <w:tc>
          <w:tcPr>
            <w:tcW w:w="565" w:type="dxa"/>
          </w:tcPr>
          <w:p>
            <w:pPr>
              <w:pStyle w:val="TableParagraph"/>
              <w:rPr>
                <w:sz w:val="22"/>
              </w:rPr>
            </w:pPr>
          </w:p>
        </w:tc>
        <w:tc>
          <w:tcPr>
            <w:tcW w:w="563" w:type="dxa"/>
          </w:tcPr>
          <w:p>
            <w:pPr>
              <w:pStyle w:val="TableParagraph"/>
              <w:rPr>
                <w:sz w:val="22"/>
              </w:rPr>
            </w:pPr>
          </w:p>
        </w:tc>
        <w:tc>
          <w:tcPr>
            <w:tcW w:w="564" w:type="dxa"/>
          </w:tcPr>
          <w:p>
            <w:pPr>
              <w:pStyle w:val="TableParagraph"/>
              <w:rPr>
                <w:sz w:val="22"/>
              </w:rPr>
            </w:pPr>
          </w:p>
        </w:tc>
        <w:tc>
          <w:tcPr>
            <w:tcW w:w="565" w:type="dxa"/>
          </w:tcPr>
          <w:p>
            <w:pPr>
              <w:pStyle w:val="TableParagraph"/>
              <w:rPr>
                <w:sz w:val="22"/>
              </w:rPr>
            </w:pPr>
          </w:p>
        </w:tc>
        <w:tc>
          <w:tcPr>
            <w:tcW w:w="2197" w:type="dxa"/>
            <w:tcBorders>
              <w:right w:val="single" w:sz="4" w:space="0" w:color="000000"/>
            </w:tcBorders>
          </w:tcPr>
          <w:p>
            <w:pPr>
              <w:pStyle w:val="TableParagraph"/>
              <w:spacing w:before="104"/>
              <w:ind w:right="311"/>
              <w:jc w:val="right"/>
              <w:rPr>
                <w:sz w:val="18"/>
              </w:rPr>
            </w:pPr>
            <w:r>
              <w:rPr>
                <w:sz w:val="18"/>
              </w:rPr>
              <w:t>1.5</w:t>
            </w:r>
          </w:p>
        </w:tc>
      </w:tr>
      <w:tr>
        <w:trPr>
          <w:trHeight w:val="421" w:hRule="atLeast"/>
        </w:trPr>
        <w:tc>
          <w:tcPr>
            <w:tcW w:w="694" w:type="dxa"/>
            <w:tcBorders>
              <w:left w:val="single" w:sz="4" w:space="0" w:color="000000"/>
            </w:tcBorders>
          </w:tcPr>
          <w:p>
            <w:pPr>
              <w:pStyle w:val="TableParagraph"/>
              <w:rPr>
                <w:sz w:val="22"/>
              </w:rPr>
            </w:pPr>
          </w:p>
        </w:tc>
        <w:tc>
          <w:tcPr>
            <w:tcW w:w="565" w:type="dxa"/>
          </w:tcPr>
          <w:p>
            <w:pPr>
              <w:pStyle w:val="TableParagraph"/>
              <w:rPr>
                <w:sz w:val="22"/>
              </w:rPr>
            </w:pPr>
          </w:p>
        </w:tc>
        <w:tc>
          <w:tcPr>
            <w:tcW w:w="563" w:type="dxa"/>
          </w:tcPr>
          <w:p>
            <w:pPr>
              <w:pStyle w:val="TableParagraph"/>
              <w:rPr>
                <w:sz w:val="22"/>
              </w:rPr>
            </w:pPr>
          </w:p>
        </w:tc>
        <w:tc>
          <w:tcPr>
            <w:tcW w:w="564" w:type="dxa"/>
          </w:tcPr>
          <w:p>
            <w:pPr>
              <w:pStyle w:val="TableParagraph"/>
              <w:rPr>
                <w:sz w:val="22"/>
              </w:rPr>
            </w:pPr>
          </w:p>
        </w:tc>
        <w:tc>
          <w:tcPr>
            <w:tcW w:w="565" w:type="dxa"/>
          </w:tcPr>
          <w:p>
            <w:pPr>
              <w:pStyle w:val="TableParagraph"/>
              <w:rPr>
                <w:sz w:val="22"/>
              </w:rPr>
            </w:pPr>
          </w:p>
        </w:tc>
        <w:tc>
          <w:tcPr>
            <w:tcW w:w="2197" w:type="dxa"/>
            <w:tcBorders>
              <w:right w:val="single" w:sz="4" w:space="0" w:color="000000"/>
            </w:tcBorders>
          </w:tcPr>
          <w:p>
            <w:pPr>
              <w:pStyle w:val="TableParagraph"/>
              <w:spacing w:before="103"/>
              <w:ind w:right="311"/>
              <w:jc w:val="right"/>
              <w:rPr>
                <w:sz w:val="18"/>
              </w:rPr>
            </w:pPr>
            <w:r>
              <w:rPr>
                <w:sz w:val="18"/>
              </w:rPr>
              <w:t>1.0</w:t>
            </w:r>
          </w:p>
        </w:tc>
      </w:tr>
      <w:tr>
        <w:trPr>
          <w:trHeight w:val="422" w:hRule="atLeast"/>
        </w:trPr>
        <w:tc>
          <w:tcPr>
            <w:tcW w:w="694" w:type="dxa"/>
            <w:tcBorders>
              <w:left w:val="single" w:sz="4" w:space="0" w:color="000000"/>
            </w:tcBorders>
          </w:tcPr>
          <w:p>
            <w:pPr>
              <w:pStyle w:val="TableParagraph"/>
              <w:rPr>
                <w:sz w:val="22"/>
              </w:rPr>
            </w:pPr>
          </w:p>
        </w:tc>
        <w:tc>
          <w:tcPr>
            <w:tcW w:w="565" w:type="dxa"/>
          </w:tcPr>
          <w:p>
            <w:pPr>
              <w:pStyle w:val="TableParagraph"/>
              <w:rPr>
                <w:sz w:val="22"/>
              </w:rPr>
            </w:pPr>
          </w:p>
        </w:tc>
        <w:tc>
          <w:tcPr>
            <w:tcW w:w="563" w:type="dxa"/>
          </w:tcPr>
          <w:p>
            <w:pPr>
              <w:pStyle w:val="TableParagraph"/>
              <w:rPr>
                <w:sz w:val="22"/>
              </w:rPr>
            </w:pPr>
          </w:p>
        </w:tc>
        <w:tc>
          <w:tcPr>
            <w:tcW w:w="564" w:type="dxa"/>
          </w:tcPr>
          <w:p>
            <w:pPr>
              <w:pStyle w:val="TableParagraph"/>
              <w:rPr>
                <w:sz w:val="22"/>
              </w:rPr>
            </w:pPr>
          </w:p>
        </w:tc>
        <w:tc>
          <w:tcPr>
            <w:tcW w:w="565" w:type="dxa"/>
          </w:tcPr>
          <w:p>
            <w:pPr>
              <w:pStyle w:val="TableParagraph"/>
              <w:rPr>
                <w:sz w:val="22"/>
              </w:rPr>
            </w:pPr>
          </w:p>
        </w:tc>
        <w:tc>
          <w:tcPr>
            <w:tcW w:w="2197" w:type="dxa"/>
            <w:tcBorders>
              <w:right w:val="single" w:sz="4" w:space="0" w:color="000000"/>
            </w:tcBorders>
          </w:tcPr>
          <w:p>
            <w:pPr>
              <w:pStyle w:val="TableParagraph"/>
              <w:spacing w:before="104"/>
              <w:ind w:right="311"/>
              <w:jc w:val="right"/>
              <w:rPr>
                <w:sz w:val="18"/>
              </w:rPr>
            </w:pPr>
            <w:r>
              <w:rPr>
                <w:sz w:val="18"/>
              </w:rPr>
              <w:t>0.5</w:t>
            </w:r>
          </w:p>
        </w:tc>
      </w:tr>
      <w:tr>
        <w:trPr>
          <w:trHeight w:val="344" w:hRule="atLeast"/>
        </w:trPr>
        <w:tc>
          <w:tcPr>
            <w:tcW w:w="694" w:type="dxa"/>
            <w:tcBorders>
              <w:left w:val="single" w:sz="4" w:space="0" w:color="000000"/>
            </w:tcBorders>
          </w:tcPr>
          <w:p>
            <w:pPr>
              <w:pStyle w:val="TableParagraph"/>
              <w:rPr>
                <w:sz w:val="22"/>
              </w:rPr>
            </w:pPr>
          </w:p>
        </w:tc>
        <w:tc>
          <w:tcPr>
            <w:tcW w:w="565" w:type="dxa"/>
          </w:tcPr>
          <w:p>
            <w:pPr>
              <w:pStyle w:val="TableParagraph"/>
              <w:rPr>
                <w:sz w:val="22"/>
              </w:rPr>
            </w:pPr>
          </w:p>
        </w:tc>
        <w:tc>
          <w:tcPr>
            <w:tcW w:w="563" w:type="dxa"/>
          </w:tcPr>
          <w:p>
            <w:pPr>
              <w:pStyle w:val="TableParagraph"/>
              <w:rPr>
                <w:sz w:val="22"/>
              </w:rPr>
            </w:pPr>
          </w:p>
        </w:tc>
        <w:tc>
          <w:tcPr>
            <w:tcW w:w="564" w:type="dxa"/>
          </w:tcPr>
          <w:p>
            <w:pPr>
              <w:pStyle w:val="TableParagraph"/>
              <w:rPr>
                <w:sz w:val="22"/>
              </w:rPr>
            </w:pPr>
          </w:p>
        </w:tc>
        <w:tc>
          <w:tcPr>
            <w:tcW w:w="565" w:type="dxa"/>
          </w:tcPr>
          <w:p>
            <w:pPr>
              <w:pStyle w:val="TableParagraph"/>
              <w:rPr>
                <w:sz w:val="22"/>
              </w:rPr>
            </w:pPr>
          </w:p>
        </w:tc>
        <w:tc>
          <w:tcPr>
            <w:tcW w:w="2197" w:type="dxa"/>
            <w:tcBorders>
              <w:right w:val="single" w:sz="4" w:space="0" w:color="000000"/>
            </w:tcBorders>
          </w:tcPr>
          <w:p>
            <w:pPr>
              <w:pStyle w:val="TableParagraph"/>
              <w:spacing w:before="103"/>
              <w:ind w:right="311"/>
              <w:jc w:val="right"/>
              <w:rPr>
                <w:sz w:val="18"/>
              </w:rPr>
            </w:pPr>
            <w:r>
              <w:rPr>
                <w:sz w:val="18"/>
              </w:rPr>
              <w:t>0.0</w:t>
            </w:r>
          </w:p>
        </w:tc>
      </w:tr>
      <w:tr>
        <w:trPr>
          <w:trHeight w:val="382" w:hRule="atLeast"/>
        </w:trPr>
        <w:tc>
          <w:tcPr>
            <w:tcW w:w="694" w:type="dxa"/>
            <w:tcBorders>
              <w:left w:val="single" w:sz="4" w:space="0" w:color="000000"/>
              <w:bottom w:val="single" w:sz="4" w:space="0" w:color="000000"/>
            </w:tcBorders>
          </w:tcPr>
          <w:p>
            <w:pPr>
              <w:pStyle w:val="TableParagraph"/>
              <w:spacing w:before="27"/>
              <w:ind w:left="229"/>
              <w:rPr>
                <w:sz w:val="18"/>
              </w:rPr>
            </w:pPr>
            <w:r>
              <w:rPr>
                <w:sz w:val="18"/>
              </w:rPr>
              <w:t>1964</w:t>
            </w:r>
          </w:p>
        </w:tc>
        <w:tc>
          <w:tcPr>
            <w:tcW w:w="565" w:type="dxa"/>
            <w:tcBorders>
              <w:bottom w:val="single" w:sz="4" w:space="0" w:color="000000"/>
            </w:tcBorders>
          </w:tcPr>
          <w:p>
            <w:pPr>
              <w:pStyle w:val="TableParagraph"/>
              <w:spacing w:before="27"/>
              <w:ind w:left="105"/>
              <w:rPr>
                <w:sz w:val="18"/>
              </w:rPr>
            </w:pPr>
            <w:r>
              <w:rPr>
                <w:sz w:val="18"/>
              </w:rPr>
              <w:t>1970</w:t>
            </w:r>
          </w:p>
        </w:tc>
        <w:tc>
          <w:tcPr>
            <w:tcW w:w="563" w:type="dxa"/>
            <w:tcBorders>
              <w:bottom w:val="single" w:sz="4" w:space="0" w:color="000000"/>
            </w:tcBorders>
          </w:tcPr>
          <w:p>
            <w:pPr>
              <w:pStyle w:val="TableParagraph"/>
              <w:spacing w:before="27"/>
              <w:ind w:left="105"/>
              <w:rPr>
                <w:sz w:val="18"/>
              </w:rPr>
            </w:pPr>
            <w:r>
              <w:rPr>
                <w:sz w:val="18"/>
              </w:rPr>
              <w:t>1976</w:t>
            </w:r>
          </w:p>
        </w:tc>
        <w:tc>
          <w:tcPr>
            <w:tcW w:w="564" w:type="dxa"/>
            <w:tcBorders>
              <w:bottom w:val="single" w:sz="4" w:space="0" w:color="000000"/>
            </w:tcBorders>
          </w:tcPr>
          <w:p>
            <w:pPr>
              <w:pStyle w:val="TableParagraph"/>
              <w:spacing w:before="27"/>
              <w:ind w:left="104"/>
              <w:rPr>
                <w:sz w:val="18"/>
              </w:rPr>
            </w:pPr>
            <w:r>
              <w:rPr>
                <w:sz w:val="18"/>
              </w:rPr>
              <w:t>1982</w:t>
            </w:r>
          </w:p>
        </w:tc>
        <w:tc>
          <w:tcPr>
            <w:tcW w:w="565" w:type="dxa"/>
            <w:tcBorders>
              <w:bottom w:val="single" w:sz="4" w:space="0" w:color="000000"/>
            </w:tcBorders>
          </w:tcPr>
          <w:p>
            <w:pPr>
              <w:pStyle w:val="TableParagraph"/>
              <w:spacing w:before="27"/>
              <w:ind w:left="105"/>
              <w:rPr>
                <w:sz w:val="18"/>
              </w:rPr>
            </w:pPr>
            <w:r>
              <w:rPr>
                <w:sz w:val="18"/>
              </w:rPr>
              <w:t>1988</w:t>
            </w:r>
          </w:p>
        </w:tc>
        <w:tc>
          <w:tcPr>
            <w:tcW w:w="2197" w:type="dxa"/>
            <w:tcBorders>
              <w:bottom w:val="single" w:sz="4" w:space="0" w:color="000000"/>
              <w:right w:val="single" w:sz="4" w:space="0" w:color="000000"/>
            </w:tcBorders>
          </w:tcPr>
          <w:p>
            <w:pPr>
              <w:pStyle w:val="TableParagraph"/>
              <w:tabs>
                <w:tab w:pos="669" w:val="left" w:leader="none"/>
                <w:tab w:pos="1234" w:val="left" w:leader="none"/>
              </w:tabs>
              <w:spacing w:before="27"/>
              <w:ind w:left="105"/>
              <w:rPr>
                <w:sz w:val="18"/>
              </w:rPr>
            </w:pPr>
            <w:r>
              <w:rPr>
                <w:sz w:val="18"/>
              </w:rPr>
              <w:t>1994</w:t>
              <w:tab/>
              <w:t>2000</w:t>
              <w:tab/>
              <w:t>2006</w:t>
            </w:r>
          </w:p>
        </w:tc>
      </w:tr>
      <w:tr>
        <w:trPr>
          <w:trHeight w:val="920" w:hRule="atLeast"/>
        </w:trPr>
        <w:tc>
          <w:tcPr>
            <w:tcW w:w="51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Pr>
                <w:i/>
                <w:sz w:val="20"/>
              </w:rPr>
            </w:pPr>
            <w:r>
              <w:rPr>
                <w:i/>
                <w:sz w:val="20"/>
              </w:rPr>
              <w:t>Source: ONS</w:t>
            </w:r>
          </w:p>
          <w:p>
            <w:pPr>
              <w:pStyle w:val="TableParagraph"/>
              <w:ind w:left="106" w:right="84"/>
              <w:rPr>
                <w:i/>
                <w:sz w:val="20"/>
              </w:rPr>
            </w:pPr>
            <w:r>
              <w:rPr>
                <w:i/>
                <w:sz w:val="20"/>
              </w:rPr>
              <w:t>Note: rolling standard deviation of four-quarter GDP growth </w:t>
            </w:r>
            <w:r>
              <w:rPr>
                <w:i/>
                <w:sz w:val="20"/>
              </w:rPr>
              <w:t>over previous eight years</w:t>
            </w:r>
          </w:p>
        </w:tc>
      </w:tr>
    </w:tbl>
    <w:p>
      <w:pPr>
        <w:pStyle w:val="BodyText"/>
        <w:rPr>
          <w:sz w:val="20"/>
        </w:rPr>
      </w:pPr>
    </w:p>
    <w:p>
      <w:pPr>
        <w:pStyle w:val="BodyText"/>
        <w:rPr>
          <w:sz w:val="20"/>
        </w:rPr>
      </w:pPr>
    </w:p>
    <w:p>
      <w:pPr>
        <w:pStyle w:val="BodyText"/>
        <w:spacing w:before="10"/>
        <w:rPr>
          <w:sz w:val="23"/>
        </w:rPr>
      </w:pPr>
    </w:p>
    <w:p>
      <w:pPr>
        <w:pStyle w:val="BodyText"/>
        <w:spacing w:line="360" w:lineRule="auto" w:before="90"/>
        <w:ind w:left="221" w:right="110"/>
        <w:jc w:val="both"/>
      </w:pPr>
      <w:r>
        <w:rPr/>
        <w:t>Again, this corresponds to what economic analysis would suggest. A policy of consistently targeting low inflation means that changes in the framework or conduct of monetary policy should not themselves be a source of additional economic volatility. And it should be simpler for monetary policy to respond to shocks in an environment where inflation is under control.</w:t>
      </w:r>
    </w:p>
    <w:p>
      <w:pPr>
        <w:pStyle w:val="BodyText"/>
        <w:rPr>
          <w:sz w:val="36"/>
        </w:rPr>
      </w:pPr>
    </w:p>
    <w:p>
      <w:pPr>
        <w:pStyle w:val="BodyText"/>
        <w:spacing w:line="360" w:lineRule="auto"/>
        <w:ind w:left="221" w:right="110"/>
        <w:jc w:val="both"/>
      </w:pPr>
      <w:r>
        <w:rPr/>
        <w:t>The three major recessions we have experienced in the UK in the postwar period have all been preceded by inflationary episodes. On all three occasions, the policies needed  to bring inflation back under control contributed to the length and depth of the recessions which followed. When a rise in inflation becomes embedded in the expectations of firms and individuals, a large amount of slack may then need to be created to force price and wage expectations to adjust back down again. For this reason, the Monetary Policy Committee is very keen to ensure that inflation expectations do</w:t>
      </w:r>
      <w:r>
        <w:rPr>
          <w:spacing w:val="27"/>
        </w:rPr>
        <w:t> </w:t>
      </w:r>
      <w:r>
        <w:rPr/>
        <w:t>not</w:t>
      </w:r>
    </w:p>
    <w:p>
      <w:pPr>
        <w:pStyle w:val="BodyText"/>
        <w:spacing w:before="6"/>
        <w:rPr>
          <w:sz w:val="13"/>
        </w:rPr>
      </w:pPr>
      <w:r>
        <w:rPr/>
        <w:pict>
          <v:shape style="position:absolute;margin-left:85.080002pt;margin-top:10.040923pt;width:144pt;height:.1pt;mso-position-horizontal-relative:page;mso-position-vertical-relative:paragraph;z-index:-251650048;mso-wrap-distance-left:0;mso-wrap-distance-right:0" coordorigin="1702,201" coordsize="2880,0" path="m1702,201l4582,201e" filled="false" stroked="true" strokeweight=".600010pt" strokecolor="#000000">
            <v:path arrowok="t"/>
            <v:stroke dashstyle="solid"/>
            <w10:wrap type="topAndBottom"/>
          </v:shape>
        </w:pict>
      </w:r>
    </w:p>
    <w:p>
      <w:pPr>
        <w:spacing w:before="49"/>
        <w:ind w:left="221" w:right="173" w:hanging="1"/>
        <w:jc w:val="left"/>
        <w:rPr>
          <w:sz w:val="20"/>
        </w:rPr>
      </w:pPr>
      <w:r>
        <w:rPr>
          <w:position w:val="9"/>
          <w:sz w:val="13"/>
        </w:rPr>
        <w:t>6 </w:t>
      </w:r>
      <w:r>
        <w:rPr>
          <w:sz w:val="20"/>
        </w:rPr>
        <w:t>See Bank of England (2006), for example, on the ongoing academic debate over the contribution of good macroeconomic policy to the relative stability enjoyed by most industrialised countries since the early 1990s. Benati (2005) assesses recent UK macroeconomic stability more formally and concludes that the inflation-targeting regime has been characterised by the most stable macroeconomic environment in recorded UK</w:t>
      </w:r>
      <w:r>
        <w:rPr>
          <w:spacing w:val="-2"/>
          <w:sz w:val="20"/>
        </w:rPr>
        <w:t> </w:t>
      </w:r>
      <w:r>
        <w:rPr>
          <w:sz w:val="20"/>
        </w:rPr>
        <w:t>history.</w:t>
      </w:r>
    </w:p>
    <w:p>
      <w:pPr>
        <w:spacing w:after="0"/>
        <w:jc w:val="left"/>
        <w:rPr>
          <w:sz w:val="20"/>
        </w:rPr>
        <w:sectPr>
          <w:pgSz w:w="11900" w:h="16840"/>
          <w:pgMar w:header="0" w:footer="710" w:top="1340" w:bottom="900" w:left="1480" w:right="1580"/>
        </w:sectPr>
      </w:pPr>
    </w:p>
    <w:p>
      <w:pPr>
        <w:pStyle w:val="BodyText"/>
        <w:spacing w:line="360" w:lineRule="auto" w:before="61"/>
        <w:ind w:left="221" w:right="111"/>
        <w:jc w:val="both"/>
      </w:pPr>
      <w:r>
        <w:rPr/>
        <w:t>begin to creep up in response to a temporary rise in inflation such as we have seen recently, as it could be very costly to bring them down again.</w:t>
      </w:r>
      <w:r>
        <w:rPr>
          <w:vertAlign w:val="superscript"/>
        </w:rPr>
        <w:t>7</w:t>
      </w:r>
    </w:p>
    <w:p>
      <w:pPr>
        <w:pStyle w:val="BodyText"/>
        <w:rPr>
          <w:sz w:val="36"/>
        </w:rPr>
      </w:pPr>
    </w:p>
    <w:p>
      <w:pPr>
        <w:pStyle w:val="BodyText"/>
        <w:spacing w:line="360" w:lineRule="auto"/>
        <w:ind w:left="221" w:right="110"/>
        <w:jc w:val="both"/>
      </w:pPr>
      <w:r>
        <w:rPr/>
        <w:t>Though economic growth has been remarkably stable in recent years, the ability of monetary policy to reduce the volatility of the real economy depends on the nature and scale of the shocks we experience – either from external global factors, or from structural shifts affecting supply or demand within the UK. As the Governor pointed  out in a recent speech,</w:t>
      </w:r>
      <w:r>
        <w:rPr>
          <w:vertAlign w:val="superscript"/>
        </w:rPr>
        <w:t>8</w:t>
      </w:r>
      <w:r>
        <w:rPr>
          <w:vertAlign w:val="baseline"/>
        </w:rPr>
        <w:t> correctly identifying shocks and the appropriate response is a major challenge for monetary policy-makers. In addition, while monetary policy can help stabilise the economy as a whole, it cannot shield individual businesses or sectors from structural change driven by changing patterns of demand, technology or changing competitive forces. My own experience working in the airline industry earlier this decade bears this</w:t>
      </w:r>
      <w:r>
        <w:rPr>
          <w:spacing w:val="-1"/>
          <w:vertAlign w:val="baseline"/>
        </w:rPr>
        <w:t> </w:t>
      </w:r>
      <w:r>
        <w:rPr>
          <w:vertAlign w:val="baseline"/>
        </w:rPr>
        <w:t>out!</w:t>
      </w:r>
    </w:p>
    <w:p>
      <w:pPr>
        <w:pStyle w:val="BodyText"/>
        <w:spacing w:before="1"/>
        <w:rPr>
          <w:sz w:val="36"/>
        </w:rPr>
      </w:pPr>
    </w:p>
    <w:p>
      <w:pPr>
        <w:pStyle w:val="BodyText"/>
        <w:spacing w:line="360" w:lineRule="auto"/>
        <w:ind w:left="221" w:right="108"/>
        <w:jc w:val="both"/>
      </w:pPr>
      <w:r>
        <w:rPr/>
        <w:t>In addition to this track record of economic stability, I believe there is a third reason which underpins business support for the current UK monetary policy framework. Over the period since the early 1990s, monetary policy has become a lot more business-like. In the 1970s and 1980s, there were frequent shifts in the monetary framework and the processes which led to interest rate decisions were opaque and unpredictable. There were significant improvements in the early 1990s, with the setting of a clear inflation target, a more transparent process for setting interest rates and a bigger role for the Bank of England. The transparency and predictability of policy were further enhanced and consolidated by the granting of operational independence to the Bank in 1997 and the establishment of the Monetary Policy Committee. The evolution of the processes of the MPC and the successful conduct of monetary policy over the past decade should have added further to the confidence in our current</w:t>
      </w:r>
      <w:r>
        <w:rPr>
          <w:spacing w:val="-4"/>
        </w:rPr>
        <w:t> </w:t>
      </w:r>
      <w:r>
        <w:rPr/>
        <w:t>arrangements.</w:t>
      </w:r>
    </w:p>
    <w:p>
      <w:pPr>
        <w:pStyle w:val="BodyText"/>
        <w:spacing w:before="10"/>
        <w:rPr>
          <w:sz w:val="35"/>
        </w:rPr>
      </w:pPr>
    </w:p>
    <w:p>
      <w:pPr>
        <w:pStyle w:val="BodyText"/>
        <w:spacing w:line="360" w:lineRule="auto"/>
        <w:ind w:left="221" w:right="111"/>
        <w:jc w:val="both"/>
      </w:pPr>
      <w:r>
        <w:rPr/>
        <w:t>Some would like us to take that a step further, by providing stronger guidance to the public and the markets on future interest rates. I am not sure this would be desirable or practical, particularly in a Committee which reaches its decisions by voting rather than by seeking to come to a consensus. However, as the Governor outlined in his recent</w:t>
      </w:r>
    </w:p>
    <w:p>
      <w:pPr>
        <w:pStyle w:val="BodyText"/>
        <w:rPr>
          <w:sz w:val="20"/>
        </w:rPr>
      </w:pPr>
    </w:p>
    <w:p>
      <w:pPr>
        <w:pStyle w:val="BodyText"/>
        <w:rPr>
          <w:sz w:val="20"/>
        </w:rPr>
      </w:pPr>
    </w:p>
    <w:p>
      <w:pPr>
        <w:pStyle w:val="BodyText"/>
        <w:spacing w:before="8"/>
        <w:rPr>
          <w:sz w:val="23"/>
        </w:rPr>
      </w:pPr>
      <w:r>
        <w:rPr/>
        <w:pict>
          <v:shape style="position:absolute;margin-left:85.080002pt;margin-top:15.911391pt;width:144pt;height:.1pt;mso-position-horizontal-relative:page;mso-position-vertical-relative:paragraph;z-index:-251648000;mso-wrap-distance-left:0;mso-wrap-distance-right:0" coordorigin="1702,318" coordsize="2880,0" path="m1702,318l4582,318e" filled="false" stroked="true" strokeweight=".600010pt" strokecolor="#000000">
            <v:path arrowok="t"/>
            <v:stroke dashstyle="solid"/>
            <w10:wrap type="topAndBottom"/>
          </v:shape>
        </w:pict>
      </w:r>
    </w:p>
    <w:p>
      <w:pPr>
        <w:spacing w:before="49"/>
        <w:ind w:left="221" w:right="145" w:firstLine="0"/>
        <w:jc w:val="left"/>
        <w:rPr>
          <w:sz w:val="20"/>
        </w:rPr>
      </w:pPr>
      <w:r>
        <w:rPr>
          <w:position w:val="9"/>
          <w:sz w:val="13"/>
        </w:rPr>
        <w:t>7 </w:t>
      </w:r>
      <w:r>
        <w:rPr>
          <w:sz w:val="20"/>
        </w:rPr>
        <w:t>Bean (2006) discusses how there may have been some flattening of the trade-off between output and inflation, which would increase the difficulty of bringing inflation back to target.</w:t>
      </w:r>
    </w:p>
    <w:p>
      <w:pPr>
        <w:spacing w:line="230" w:lineRule="exact" w:before="0"/>
        <w:ind w:left="221" w:right="0" w:firstLine="0"/>
        <w:jc w:val="left"/>
        <w:rPr>
          <w:sz w:val="20"/>
        </w:rPr>
      </w:pPr>
      <w:r>
        <w:rPr>
          <w:position w:val="9"/>
          <w:sz w:val="13"/>
        </w:rPr>
        <w:t>8 </w:t>
      </w:r>
      <w:r>
        <w:rPr>
          <w:sz w:val="20"/>
        </w:rPr>
        <w:t>See King (2007b).</w:t>
      </w:r>
    </w:p>
    <w:p>
      <w:pPr>
        <w:spacing w:after="0" w:line="230" w:lineRule="exact"/>
        <w:jc w:val="left"/>
        <w:rPr>
          <w:sz w:val="20"/>
        </w:rPr>
        <w:sectPr>
          <w:pgSz w:w="11900" w:h="16840"/>
          <w:pgMar w:header="0" w:footer="710" w:top="1380" w:bottom="900" w:left="1480" w:right="1580"/>
        </w:sectPr>
      </w:pPr>
    </w:p>
    <w:p>
      <w:pPr>
        <w:pStyle w:val="BodyText"/>
        <w:spacing w:line="360" w:lineRule="auto" w:before="101"/>
        <w:ind w:left="221" w:right="109"/>
        <w:jc w:val="both"/>
      </w:pPr>
      <w:r>
        <w:rPr/>
        <w:t>speech to the Society of Business Economists,</w:t>
      </w:r>
      <w:r>
        <w:rPr>
          <w:vertAlign w:val="superscript"/>
        </w:rPr>
        <w:t>9</w:t>
      </w:r>
      <w:r>
        <w:rPr>
          <w:vertAlign w:val="baseline"/>
        </w:rPr>
        <w:t> we will continue to develop our existing communication channels – including the Inflation Report and the minutes – to provide insights into the issues which the Committee feels are important to future interest rate decisions. Speeches (like this one) and interviews by individual Committee members should also be helpful in addressing this communications challenge.</w:t>
      </w:r>
    </w:p>
    <w:p>
      <w:pPr>
        <w:pStyle w:val="BodyText"/>
        <w:spacing w:before="3"/>
        <w:rPr>
          <w:sz w:val="36"/>
        </w:rPr>
      </w:pPr>
    </w:p>
    <w:p>
      <w:pPr>
        <w:pStyle w:val="Heading1"/>
      </w:pPr>
      <w:r>
        <w:rPr/>
        <w:t>Structural change in UK business</w:t>
      </w:r>
    </w:p>
    <w:p>
      <w:pPr>
        <w:pStyle w:val="BodyText"/>
        <w:rPr>
          <w:b/>
          <w:sz w:val="26"/>
        </w:rPr>
      </w:pPr>
    </w:p>
    <w:p>
      <w:pPr>
        <w:pStyle w:val="BodyText"/>
        <w:spacing w:before="9"/>
        <w:rPr>
          <w:b/>
          <w:sz w:val="21"/>
        </w:rPr>
      </w:pPr>
    </w:p>
    <w:p>
      <w:pPr>
        <w:pStyle w:val="BodyText"/>
        <w:spacing w:line="360" w:lineRule="auto"/>
        <w:ind w:left="221" w:right="111"/>
        <w:jc w:val="both"/>
      </w:pPr>
      <w:r>
        <w:rPr/>
        <w:t>I mentioned earlier that good monetary policy does not shield individual businesses from the impact of structural change. Since the 1990s, we have seen very significant shifts in the structure of the UK economy driven by global competition, particularly affecting the manufacturing</w:t>
      </w:r>
      <w:r>
        <w:rPr>
          <w:spacing w:val="-1"/>
        </w:rPr>
        <w:t> </w:t>
      </w:r>
      <w:r>
        <w:rPr/>
        <w:t>sector.</w:t>
      </w:r>
    </w:p>
    <w:p>
      <w:pPr>
        <w:pStyle w:val="BodyText"/>
        <w:rPr>
          <w:sz w:val="20"/>
        </w:rPr>
      </w:pPr>
    </w:p>
    <w:p>
      <w:pPr>
        <w:pStyle w:val="BodyText"/>
        <w:spacing w:before="3"/>
        <w:rPr>
          <w:sz w:val="16"/>
        </w:r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28"/>
      </w:tblGrid>
      <w:tr>
        <w:trPr>
          <w:trHeight w:val="275" w:hRule="atLeast"/>
        </w:trPr>
        <w:tc>
          <w:tcPr>
            <w:tcW w:w="5328" w:type="dxa"/>
          </w:tcPr>
          <w:p>
            <w:pPr>
              <w:pStyle w:val="TableParagraph"/>
              <w:spacing w:line="256" w:lineRule="exact"/>
              <w:ind w:left="106"/>
              <w:rPr>
                <w:b/>
                <w:sz w:val="24"/>
              </w:rPr>
            </w:pPr>
            <w:r>
              <w:rPr>
                <w:b/>
                <w:color w:val="0000FF"/>
                <w:sz w:val="24"/>
              </w:rPr>
              <w:t>Chart 4: UK manufacturing and services growth</w:t>
            </w:r>
          </w:p>
        </w:tc>
      </w:tr>
      <w:tr>
        <w:trPr>
          <w:trHeight w:val="3839" w:hRule="atLeast"/>
        </w:trPr>
        <w:tc>
          <w:tcPr>
            <w:tcW w:w="5328" w:type="dxa"/>
          </w:tcPr>
          <w:p>
            <w:pPr>
              <w:pStyle w:val="TableParagraph"/>
              <w:spacing w:line="280" w:lineRule="auto" w:before="131"/>
              <w:ind w:left="2798" w:right="499"/>
              <w:jc w:val="center"/>
              <w:rPr>
                <w:sz w:val="19"/>
              </w:rPr>
            </w:pPr>
            <w:r>
              <w:rPr>
                <w:w w:val="110"/>
                <w:sz w:val="19"/>
              </w:rPr>
              <w:t>Average annual growth, per cent</w:t>
            </w:r>
          </w:p>
          <w:p>
            <w:pPr>
              <w:pStyle w:val="TableParagraph"/>
              <w:spacing w:line="173" w:lineRule="exact"/>
              <w:ind w:left="4666"/>
              <w:rPr>
                <w:sz w:val="19"/>
              </w:rPr>
            </w:pPr>
            <w:r>
              <w:rPr>
                <w:w w:val="108"/>
                <w:sz w:val="19"/>
              </w:rPr>
              <w:t>5</w:t>
            </w:r>
          </w:p>
          <w:p>
            <w:pPr>
              <w:pStyle w:val="TableParagraph"/>
              <w:tabs>
                <w:tab w:pos="4221" w:val="right" w:leader="none"/>
              </w:tabs>
              <w:spacing w:before="211"/>
              <w:ind w:left="2332"/>
              <w:jc w:val="center"/>
              <w:rPr>
                <w:sz w:val="19"/>
              </w:rPr>
            </w:pPr>
            <w:r>
              <w:rPr>
                <w:color w:val="FF00FF"/>
                <w:spacing w:val="-5"/>
                <w:w w:val="110"/>
                <w:sz w:val="19"/>
              </w:rPr>
              <w:t>Services</w:t>
              <w:tab/>
            </w:r>
            <w:r>
              <w:rPr>
                <w:w w:val="110"/>
                <w:position w:val="5"/>
                <w:sz w:val="19"/>
              </w:rPr>
              <w:t>4</w:t>
            </w:r>
          </w:p>
          <w:p>
            <w:pPr>
              <w:pStyle w:val="TableParagraph"/>
              <w:tabs>
                <w:tab w:pos="4769" w:val="right" w:leader="none"/>
              </w:tabs>
              <w:spacing w:before="126"/>
              <w:ind w:left="1606"/>
              <w:rPr>
                <w:sz w:val="19"/>
              </w:rPr>
            </w:pPr>
            <w:r>
              <w:rPr>
                <w:color w:val="000080"/>
                <w:spacing w:val="-3"/>
                <w:w w:val="110"/>
                <w:sz w:val="19"/>
              </w:rPr>
              <w:t>Manufacturing</w:t>
              <w:tab/>
            </w:r>
            <w:r>
              <w:rPr>
                <w:w w:val="110"/>
                <w:position w:val="-4"/>
                <w:sz w:val="19"/>
              </w:rPr>
              <w:t>3</w:t>
            </w:r>
          </w:p>
          <w:p>
            <w:pPr>
              <w:pStyle w:val="TableParagraph"/>
              <w:spacing w:before="211"/>
              <w:ind w:left="4666"/>
              <w:rPr>
                <w:sz w:val="19"/>
              </w:rPr>
            </w:pPr>
            <w:r>
              <w:rPr>
                <w:w w:val="108"/>
                <w:sz w:val="19"/>
              </w:rPr>
              <w:t>2</w:t>
            </w:r>
          </w:p>
          <w:p>
            <w:pPr>
              <w:pStyle w:val="TableParagraph"/>
              <w:spacing w:before="6"/>
              <w:rPr>
                <w:sz w:val="17"/>
              </w:rPr>
            </w:pPr>
          </w:p>
          <w:p>
            <w:pPr>
              <w:pStyle w:val="TableParagraph"/>
              <w:spacing w:before="1"/>
              <w:ind w:left="4666"/>
              <w:rPr>
                <w:sz w:val="19"/>
              </w:rPr>
            </w:pPr>
            <w:r>
              <w:rPr>
                <w:w w:val="108"/>
                <w:sz w:val="19"/>
              </w:rPr>
              <w:t>1</w:t>
            </w:r>
          </w:p>
          <w:p>
            <w:pPr>
              <w:pStyle w:val="TableParagraph"/>
              <w:spacing w:before="8"/>
              <w:rPr>
                <w:sz w:val="18"/>
              </w:rPr>
            </w:pPr>
          </w:p>
          <w:p>
            <w:pPr>
              <w:pStyle w:val="TableParagraph"/>
              <w:ind w:left="4666"/>
              <w:rPr>
                <w:sz w:val="19"/>
              </w:rPr>
            </w:pPr>
            <w:r>
              <w:rPr>
                <w:w w:val="108"/>
                <w:sz w:val="19"/>
              </w:rPr>
              <w:t>0</w:t>
            </w:r>
          </w:p>
          <w:p>
            <w:pPr>
              <w:pStyle w:val="TableParagraph"/>
              <w:spacing w:before="10"/>
              <w:rPr>
                <w:sz w:val="18"/>
              </w:rPr>
            </w:pPr>
          </w:p>
          <w:p>
            <w:pPr>
              <w:pStyle w:val="TableParagraph"/>
              <w:spacing w:before="1"/>
              <w:ind w:left="4666"/>
              <w:rPr>
                <w:sz w:val="19"/>
              </w:rPr>
            </w:pPr>
            <w:r>
              <w:rPr>
                <w:w w:val="110"/>
                <w:sz w:val="19"/>
              </w:rPr>
              <w:t>-1</w:t>
            </w:r>
          </w:p>
          <w:p>
            <w:pPr>
              <w:pStyle w:val="TableParagraph"/>
              <w:tabs>
                <w:tab w:pos="1516" w:val="left" w:leader="none"/>
                <w:tab w:pos="2596" w:val="left" w:leader="none"/>
                <w:tab w:pos="3586" w:val="left" w:leader="none"/>
              </w:tabs>
              <w:spacing w:before="66"/>
              <w:ind w:left="436"/>
              <w:rPr>
                <w:sz w:val="19"/>
              </w:rPr>
            </w:pPr>
            <w:r>
              <w:rPr>
                <w:spacing w:val="-12"/>
                <w:w w:val="110"/>
                <w:sz w:val="19"/>
              </w:rPr>
              <w:t>1966-76</w:t>
              <w:tab/>
              <w:t>1976-86</w:t>
              <w:tab/>
              <w:t>1986-96</w:t>
              <w:tab/>
            </w:r>
            <w:r>
              <w:rPr>
                <w:spacing w:val="-14"/>
                <w:w w:val="110"/>
                <w:sz w:val="19"/>
              </w:rPr>
              <w:t>1996-2006</w:t>
            </w:r>
          </w:p>
        </w:tc>
      </w:tr>
      <w:tr>
        <w:trPr>
          <w:trHeight w:val="231" w:hRule="atLeast"/>
        </w:trPr>
        <w:tc>
          <w:tcPr>
            <w:tcW w:w="5328" w:type="dxa"/>
          </w:tcPr>
          <w:p>
            <w:pPr>
              <w:pStyle w:val="TableParagraph"/>
              <w:spacing w:line="211" w:lineRule="exact"/>
              <w:ind w:left="106"/>
              <w:rPr>
                <w:i/>
                <w:sz w:val="20"/>
              </w:rPr>
            </w:pPr>
            <w:r>
              <w:rPr>
                <w:i/>
                <w:sz w:val="20"/>
              </w:rPr>
              <w:t>Source: ONS</w:t>
            </w:r>
          </w:p>
        </w:tc>
      </w:tr>
    </w:tbl>
    <w:p>
      <w:pPr>
        <w:pStyle w:val="BodyText"/>
        <w:spacing w:before="10"/>
        <w:rPr>
          <w:sz w:val="27"/>
        </w:rPr>
      </w:pPr>
    </w:p>
    <w:p>
      <w:pPr>
        <w:pStyle w:val="BodyText"/>
        <w:spacing w:line="360" w:lineRule="auto" w:before="90"/>
        <w:ind w:left="221" w:right="110"/>
        <w:jc w:val="both"/>
      </w:pPr>
      <w:r>
        <w:rPr/>
        <w:pict>
          <v:group style="position:absolute;margin-left:94.889999pt;margin-top:-185.386581pt;width:219pt;height:129.8pt;mso-position-horizontal-relative:page;mso-position-vertical-relative:paragraph;z-index:-254181376" coordorigin="1898,-3708" coordsize="4380,2596">
            <v:rect style="position:absolute;left:2122;top:-2269;width:315;height:720" filled="true" fillcolor="#000080" stroked="false">
              <v:fill type="solid"/>
            </v:rect>
            <v:rect style="position:absolute;left:2437;top:-2688;width:300;height:1139" filled="true" fillcolor="#ff00ff" stroked="false">
              <v:fill type="solid"/>
            </v:rect>
            <v:rect style="position:absolute;left:3202;top:-1549;width:315;height:150" filled="true" fillcolor="#000080" stroked="false">
              <v:fill type="solid"/>
            </v:rect>
            <v:rect style="position:absolute;left:3517;top:-2643;width:300;height:1095" filled="true" fillcolor="#ff00ff" stroked="false">
              <v:fill type="solid"/>
            </v:rect>
            <v:rect style="position:absolute;left:4282;top:-2433;width:315;height:885" filled="true" fillcolor="#000080" stroked="false">
              <v:fill type="solid"/>
            </v:rect>
            <v:rect style="position:absolute;left:4597;top:-2868;width:300;height:1319" filled="true" fillcolor="#ff00ff" stroked="false">
              <v:fill type="solid"/>
            </v:rect>
            <v:rect style="position:absolute;left:5362;top:-1729;width:315;height:180" filled="true" fillcolor="#000080" stroked="false">
              <v:fill type="solid"/>
            </v:rect>
            <v:rect style="position:absolute;left:5677;top:-3423;width:300;height:1875" filled="true" fillcolor="#ff00ff" stroked="false">
              <v:fill type="solid"/>
            </v:rect>
            <v:shape style="position:absolute;left:1898;top:-3708;width:4379;height:2595" coordorigin="1898,-3707" coordsize="4379,2595" path="m6217,-3707l6217,-1113m6217,-1113l6277,-1113m6217,-1548l6277,-1548m6217,-1983l6277,-1983m6217,-2403l6277,-2403m6217,-2837l6277,-2837m6217,-3273l6277,-3273m6217,-3707l6277,-3707m1898,-1548l6217,-1548m1898,-1548l1898,-1608m2977,-1548l2977,-1608m4057,-1548l4057,-1608m5137,-1548l5137,-1608m6217,-1548l6217,-1608e" filled="false" stroked="true" strokeweight=".06pt" strokecolor="#000000">
              <v:path arrowok="t"/>
              <v:stroke dashstyle="solid"/>
            </v:shape>
            <w10:wrap type="none"/>
          </v:group>
        </w:pict>
      </w:r>
      <w:r>
        <w:rPr/>
        <w:t>The past decade has seen an exceptional divergence between the growth performance of manufacturing and services in the UK economy. As Chart 4 shows, output growth in  the manufacturing sector over the past decade has been very modest – and not much better than the performance recorded in the decade from the mid-70s to the mid-80s, which included the massive shake-out of the early 1980s. That period saw a loss of  over 1½ million manufacturing jobs in the UK. The decline in manufacturing employment over the past decade – at over 1¼ millions – has not been far short. Proportionately, the employment reduction over the two periods has been very similar - with a reduction of manufacturing employment of around a quarter in both</w:t>
      </w:r>
      <w:r>
        <w:rPr>
          <w:spacing w:val="-7"/>
        </w:rPr>
        <w:t> </w:t>
      </w:r>
      <w:r>
        <w:rPr/>
        <w:t>episodes.</w:t>
      </w:r>
    </w:p>
    <w:p>
      <w:pPr>
        <w:pStyle w:val="BodyText"/>
        <w:spacing w:before="2"/>
        <w:rPr>
          <w:sz w:val="10"/>
        </w:rPr>
      </w:pPr>
      <w:r>
        <w:rPr/>
        <w:pict>
          <v:shape style="position:absolute;margin-left:85.080002pt;margin-top:8.112148pt;width:144pt;height:.1pt;mso-position-horizontal-relative:page;mso-position-vertical-relative:paragraph;z-index:-251646976;mso-wrap-distance-left:0;mso-wrap-distance-right:0" coordorigin="1702,162" coordsize="2880,0" path="m1702,162l4582,162e" filled="false" stroked="true" strokeweight=".599980pt" strokecolor="#000000">
            <v:path arrowok="t"/>
            <v:stroke dashstyle="solid"/>
            <w10:wrap type="topAndBottom"/>
          </v:shape>
        </w:pict>
      </w:r>
    </w:p>
    <w:p>
      <w:pPr>
        <w:spacing w:before="49"/>
        <w:ind w:left="221" w:right="0" w:firstLine="0"/>
        <w:jc w:val="left"/>
        <w:rPr>
          <w:sz w:val="20"/>
        </w:rPr>
      </w:pPr>
      <w:r>
        <w:rPr>
          <w:position w:val="9"/>
          <w:sz w:val="13"/>
        </w:rPr>
        <w:t>9 </w:t>
      </w:r>
      <w:r>
        <w:rPr>
          <w:sz w:val="20"/>
        </w:rPr>
        <w:t>See King (2007a).</w:t>
      </w:r>
    </w:p>
    <w:p>
      <w:pPr>
        <w:spacing w:after="0"/>
        <w:jc w:val="left"/>
        <w:rPr>
          <w:sz w:val="20"/>
        </w:rPr>
        <w:sectPr>
          <w:pgSz w:w="11900" w:h="16840"/>
          <w:pgMar w:header="0" w:footer="710" w:top="1340" w:bottom="900" w:left="1480" w:right="1580"/>
        </w:sectPr>
      </w:pPr>
    </w:p>
    <w:p>
      <w:pPr>
        <w:pStyle w:val="BodyText"/>
        <w:spacing w:before="4"/>
        <w:rPr>
          <w:sz w:val="14"/>
        </w:rPr>
      </w:pPr>
    </w:p>
    <w:p>
      <w:pPr>
        <w:pStyle w:val="BodyText"/>
        <w:spacing w:line="360" w:lineRule="auto" w:before="90"/>
        <w:ind w:left="221" w:right="110"/>
        <w:jc w:val="both"/>
      </w:pPr>
      <w:r>
        <w:rPr/>
        <w:t>However, while the shock to manufacturing in the early 1980s reflected mainly UK- specific factors, the more recent trend of sluggish growth and falling employment has been global in origin. The development of low-cost manufacturing bases in China, and to a lesser extent Eastern Europe and Turkey, has caused a shift in the location of manufacturing production across the global</w:t>
      </w:r>
      <w:r>
        <w:rPr>
          <w:spacing w:val="-4"/>
        </w:rPr>
        <w:t> </w:t>
      </w:r>
      <w:r>
        <w:rPr/>
        <w:t>economy.</w:t>
      </w:r>
    </w:p>
    <w:p>
      <w:pPr>
        <w:pStyle w:val="BodyText"/>
        <w:rPr>
          <w:sz w:val="20"/>
        </w:rPr>
      </w:pPr>
    </w:p>
    <w:p>
      <w:pPr>
        <w:pStyle w:val="BodyText"/>
        <w:spacing w:before="4"/>
        <w:rPr>
          <w:sz w:val="16"/>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3"/>
        <w:gridCol w:w="135"/>
        <w:gridCol w:w="1389"/>
        <w:gridCol w:w="467"/>
      </w:tblGrid>
      <w:tr>
        <w:trPr>
          <w:trHeight w:val="275" w:hRule="atLeast"/>
        </w:trPr>
        <w:tc>
          <w:tcPr>
            <w:tcW w:w="5494" w:type="dxa"/>
            <w:gridSpan w:val="4"/>
          </w:tcPr>
          <w:p>
            <w:pPr>
              <w:pStyle w:val="TableParagraph"/>
              <w:spacing w:line="256" w:lineRule="exact"/>
              <w:ind w:left="107"/>
              <w:rPr>
                <w:b/>
                <w:sz w:val="24"/>
              </w:rPr>
            </w:pPr>
            <w:r>
              <w:rPr>
                <w:b/>
                <w:color w:val="0000FF"/>
                <w:sz w:val="24"/>
              </w:rPr>
              <w:t>Chart 5: UK Manufacturing growth since 2000</w:t>
            </w:r>
          </w:p>
        </w:tc>
      </w:tr>
      <w:tr>
        <w:trPr>
          <w:trHeight w:val="5295" w:hRule="atLeast"/>
        </w:trPr>
        <w:tc>
          <w:tcPr>
            <w:tcW w:w="3503" w:type="dxa"/>
            <w:tcBorders>
              <w:right w:val="nil"/>
            </w:tcBorders>
          </w:tcPr>
          <w:p>
            <w:pPr>
              <w:pStyle w:val="TableParagraph"/>
              <w:tabs>
                <w:tab w:pos="1037" w:val="left" w:leader="none"/>
                <w:tab w:pos="1847" w:val="left" w:leader="none"/>
                <w:tab w:pos="2672" w:val="left" w:leader="none"/>
              </w:tabs>
              <w:spacing w:before="132"/>
              <w:ind w:left="213"/>
              <w:rPr>
                <w:sz w:val="19"/>
              </w:rPr>
            </w:pPr>
            <w:r>
              <w:rPr>
                <w:spacing w:val="-5"/>
                <w:w w:val="110"/>
                <w:sz w:val="19"/>
              </w:rPr>
              <w:t>-8</w:t>
              <w:tab/>
              <w:t>-6</w:t>
              <w:tab/>
              <w:t>-4</w:t>
              <w:tab/>
            </w:r>
            <w:r>
              <w:rPr>
                <w:spacing w:val="-9"/>
                <w:w w:val="110"/>
                <w:sz w:val="19"/>
              </w:rPr>
              <w:t>-2</w:t>
            </w:r>
          </w:p>
          <w:p>
            <w:pPr>
              <w:pStyle w:val="TableParagraph"/>
              <w:rPr>
                <w:sz w:val="21"/>
              </w:rPr>
            </w:pPr>
          </w:p>
          <w:p>
            <w:pPr>
              <w:pStyle w:val="TableParagraph"/>
              <w:tabs>
                <w:tab w:pos="1979" w:val="left" w:leader="none"/>
              </w:tabs>
              <w:ind w:right="16"/>
              <w:jc w:val="right"/>
              <w:rPr>
                <w:sz w:val="16"/>
              </w:rPr>
            </w:pPr>
            <w:r>
              <w:rPr>
                <w:spacing w:val="-8"/>
                <w:w w:val="110"/>
                <w:sz w:val="18"/>
              </w:rPr>
              <w:t>Average</w:t>
            </w:r>
            <w:r>
              <w:rPr>
                <w:spacing w:val="-25"/>
                <w:w w:val="110"/>
                <w:sz w:val="18"/>
              </w:rPr>
              <w:t> </w:t>
            </w:r>
            <w:r>
              <w:rPr>
                <w:spacing w:val="-7"/>
                <w:w w:val="110"/>
                <w:sz w:val="18"/>
              </w:rPr>
              <w:t>annual</w:t>
              <w:tab/>
            </w:r>
            <w:r>
              <w:rPr>
                <w:w w:val="110"/>
                <w:position w:val="1"/>
                <w:sz w:val="16"/>
              </w:rPr>
              <w:t>Other</w:t>
            </w:r>
            <w:r>
              <w:rPr>
                <w:spacing w:val="-13"/>
                <w:w w:val="110"/>
                <w:position w:val="1"/>
                <w:sz w:val="16"/>
              </w:rPr>
              <w:t> </w:t>
            </w:r>
            <w:r>
              <w:rPr>
                <w:w w:val="110"/>
                <w:position w:val="1"/>
                <w:sz w:val="16"/>
              </w:rPr>
              <w:t>machinery</w:t>
            </w:r>
          </w:p>
          <w:p>
            <w:pPr>
              <w:pStyle w:val="TableParagraph"/>
              <w:spacing w:before="30"/>
              <w:ind w:left="272"/>
              <w:rPr>
                <w:sz w:val="16"/>
              </w:rPr>
            </w:pPr>
            <w:r>
              <w:rPr>
                <w:spacing w:val="-5"/>
                <w:w w:val="110"/>
                <w:position w:val="8"/>
                <w:sz w:val="18"/>
              </w:rPr>
              <w:t>growth, </w:t>
            </w:r>
            <w:r>
              <w:rPr>
                <w:w w:val="110"/>
                <w:position w:val="8"/>
                <w:sz w:val="18"/>
              </w:rPr>
              <w:t>per </w:t>
            </w:r>
            <w:r>
              <w:rPr>
                <w:spacing w:val="-7"/>
                <w:w w:val="110"/>
                <w:position w:val="8"/>
                <w:sz w:val="18"/>
              </w:rPr>
              <w:t>cent </w:t>
            </w:r>
            <w:r>
              <w:rPr>
                <w:spacing w:val="-4"/>
                <w:w w:val="110"/>
                <w:sz w:val="16"/>
              </w:rPr>
              <w:t>Chemicals/ </w:t>
            </w:r>
            <w:r>
              <w:rPr>
                <w:spacing w:val="-3"/>
                <w:w w:val="110"/>
                <w:sz w:val="16"/>
              </w:rPr>
              <w:t>man-made</w:t>
            </w:r>
            <w:r>
              <w:rPr>
                <w:spacing w:val="-6"/>
                <w:w w:val="110"/>
                <w:sz w:val="16"/>
              </w:rPr>
              <w:t> </w:t>
            </w:r>
            <w:r>
              <w:rPr>
                <w:spacing w:val="-3"/>
                <w:w w:val="110"/>
                <w:sz w:val="16"/>
              </w:rPr>
              <w:t>fibres</w:t>
            </w:r>
          </w:p>
          <w:p>
            <w:pPr>
              <w:pStyle w:val="TableParagraph"/>
              <w:spacing w:line="429" w:lineRule="auto" w:before="161"/>
              <w:ind w:left="1757" w:right="6" w:hanging="76"/>
              <w:jc w:val="right"/>
              <w:rPr>
                <w:sz w:val="16"/>
              </w:rPr>
            </w:pPr>
            <w:r>
              <w:rPr>
                <w:w w:val="110"/>
                <w:sz w:val="16"/>
              </w:rPr>
              <w:t>Other</w:t>
            </w:r>
            <w:r>
              <w:rPr>
                <w:spacing w:val="-3"/>
                <w:w w:val="110"/>
                <w:sz w:val="16"/>
              </w:rPr>
              <w:t> </w:t>
            </w:r>
            <w:r>
              <w:rPr>
                <w:w w:val="110"/>
                <w:sz w:val="16"/>
              </w:rPr>
              <w:t>non-metal</w:t>
            </w:r>
            <w:r>
              <w:rPr>
                <w:spacing w:val="-8"/>
                <w:w w:val="110"/>
                <w:sz w:val="16"/>
              </w:rPr>
              <w:t> </w:t>
            </w:r>
            <w:r>
              <w:rPr>
                <w:w w:val="110"/>
                <w:sz w:val="16"/>
              </w:rPr>
              <w:t>minerals</w:t>
            </w:r>
            <w:r>
              <w:rPr>
                <w:w w:val="109"/>
                <w:sz w:val="16"/>
              </w:rPr>
              <w:t> </w:t>
            </w:r>
            <w:r>
              <w:rPr>
                <w:w w:val="110"/>
                <w:sz w:val="16"/>
              </w:rPr>
              <w:t>Transport</w:t>
            </w:r>
            <w:r>
              <w:rPr>
                <w:spacing w:val="17"/>
                <w:w w:val="110"/>
                <w:sz w:val="16"/>
              </w:rPr>
              <w:t> </w:t>
            </w:r>
            <w:r>
              <w:rPr>
                <w:spacing w:val="-4"/>
                <w:w w:val="110"/>
                <w:sz w:val="16"/>
              </w:rPr>
              <w:t>equipment</w:t>
            </w:r>
            <w:r>
              <w:rPr>
                <w:w w:val="109"/>
                <w:sz w:val="16"/>
              </w:rPr>
              <w:t> </w:t>
            </w:r>
            <w:r>
              <w:rPr>
                <w:spacing w:val="-4"/>
                <w:w w:val="110"/>
                <w:sz w:val="16"/>
              </w:rPr>
              <w:t>Food/ </w:t>
            </w:r>
            <w:r>
              <w:rPr>
                <w:spacing w:val="-5"/>
                <w:w w:val="110"/>
                <w:sz w:val="16"/>
              </w:rPr>
              <w:t>beverages/</w:t>
            </w:r>
            <w:r>
              <w:rPr>
                <w:spacing w:val="-12"/>
                <w:w w:val="110"/>
                <w:sz w:val="16"/>
              </w:rPr>
              <w:t> </w:t>
            </w:r>
            <w:r>
              <w:rPr>
                <w:w w:val="110"/>
                <w:sz w:val="16"/>
              </w:rPr>
              <w:t>tobacco</w:t>
            </w:r>
          </w:p>
          <w:p>
            <w:pPr>
              <w:pStyle w:val="TableParagraph"/>
              <w:spacing w:line="429" w:lineRule="auto" w:before="17"/>
              <w:ind w:left="1397" w:right="-15" w:firstLine="1678"/>
              <w:jc w:val="right"/>
              <w:rPr>
                <w:sz w:val="16"/>
              </w:rPr>
            </w:pPr>
            <w:r>
              <w:rPr>
                <w:w w:val="110"/>
                <w:sz w:val="16"/>
              </w:rPr>
              <w:t>Other</w:t>
            </w:r>
            <w:r>
              <w:rPr>
                <w:w w:val="109"/>
                <w:sz w:val="16"/>
              </w:rPr>
              <w:t> </w:t>
            </w:r>
            <w:r>
              <w:rPr>
                <w:spacing w:val="-6"/>
                <w:w w:val="110"/>
                <w:sz w:val="16"/>
              </w:rPr>
              <w:t>Basic </w:t>
            </w:r>
            <w:r>
              <w:rPr>
                <w:w w:val="110"/>
                <w:sz w:val="16"/>
              </w:rPr>
              <w:t>metals/</w:t>
            </w:r>
            <w:r>
              <w:rPr>
                <w:spacing w:val="-12"/>
                <w:w w:val="110"/>
                <w:sz w:val="16"/>
              </w:rPr>
              <w:t> </w:t>
            </w:r>
            <w:r>
              <w:rPr>
                <w:w w:val="110"/>
                <w:sz w:val="16"/>
              </w:rPr>
              <w:t>metal</w:t>
            </w:r>
            <w:r>
              <w:rPr>
                <w:spacing w:val="-9"/>
                <w:w w:val="110"/>
                <w:sz w:val="16"/>
              </w:rPr>
              <w:t> </w:t>
            </w:r>
            <w:r>
              <w:rPr>
                <w:w w:val="110"/>
                <w:sz w:val="16"/>
              </w:rPr>
              <w:t>products</w:t>
            </w:r>
            <w:r>
              <w:rPr>
                <w:spacing w:val="11"/>
                <w:w w:val="109"/>
                <w:sz w:val="16"/>
              </w:rPr>
              <w:t> </w:t>
            </w:r>
            <w:r>
              <w:rPr>
                <w:spacing w:val="-3"/>
                <w:w w:val="110"/>
                <w:sz w:val="16"/>
              </w:rPr>
              <w:t>Coke/ </w:t>
            </w:r>
            <w:r>
              <w:rPr>
                <w:w w:val="110"/>
                <w:sz w:val="16"/>
              </w:rPr>
              <w:t>petrolleum/ </w:t>
            </w:r>
            <w:r>
              <w:rPr>
                <w:spacing w:val="-4"/>
                <w:w w:val="110"/>
                <w:sz w:val="16"/>
              </w:rPr>
              <w:t>nuclear</w:t>
            </w:r>
            <w:r>
              <w:rPr>
                <w:spacing w:val="-20"/>
                <w:w w:val="110"/>
                <w:sz w:val="16"/>
              </w:rPr>
              <w:t> </w:t>
            </w:r>
            <w:r>
              <w:rPr>
                <w:spacing w:val="-4"/>
                <w:w w:val="110"/>
                <w:sz w:val="16"/>
              </w:rPr>
              <w:t>fuel</w:t>
            </w:r>
          </w:p>
          <w:p>
            <w:pPr>
              <w:pStyle w:val="TableParagraph"/>
              <w:spacing w:before="2"/>
              <w:ind w:right="1"/>
              <w:jc w:val="right"/>
              <w:rPr>
                <w:sz w:val="16"/>
              </w:rPr>
            </w:pPr>
            <w:r>
              <w:rPr>
                <w:w w:val="110"/>
                <w:sz w:val="16"/>
              </w:rPr>
              <w:t>Wood</w:t>
            </w:r>
          </w:p>
        </w:tc>
        <w:tc>
          <w:tcPr>
            <w:tcW w:w="135" w:type="dxa"/>
            <w:tcBorders>
              <w:left w:val="nil"/>
              <w:right w:val="nil"/>
            </w:tcBorders>
          </w:tcPr>
          <w:p>
            <w:pPr>
              <w:pStyle w:val="TableParagraph"/>
              <w:spacing w:before="132"/>
              <w:ind w:left="14"/>
              <w:rPr>
                <w:sz w:val="19"/>
              </w:rPr>
            </w:pPr>
            <w:r>
              <w:rPr>
                <w:w w:val="108"/>
                <w:sz w:val="19"/>
              </w:rPr>
              <w:t>0</w:t>
            </w:r>
          </w:p>
        </w:tc>
        <w:tc>
          <w:tcPr>
            <w:tcW w:w="1389" w:type="dxa"/>
            <w:tcBorders>
              <w:left w:val="nil"/>
              <w:right w:val="nil"/>
            </w:tcBorders>
          </w:tcPr>
          <w:p>
            <w:pPr>
              <w:pStyle w:val="TableParagraph"/>
              <w:spacing w:before="132"/>
              <w:ind w:left="121"/>
              <w:jc w:val="center"/>
              <w:rPr>
                <w:sz w:val="19"/>
              </w:rPr>
            </w:pPr>
            <w:r>
              <w:rPr>
                <w:w w:val="108"/>
                <w:sz w:val="19"/>
              </w:rPr>
              <w:t>2</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19"/>
              </w:rPr>
            </w:pPr>
          </w:p>
          <w:p>
            <w:pPr>
              <w:pStyle w:val="TableParagraph"/>
              <w:spacing w:line="460" w:lineRule="auto"/>
              <w:ind w:left="43" w:right="7" w:hanging="15"/>
              <w:rPr>
                <w:sz w:val="16"/>
              </w:rPr>
            </w:pPr>
            <w:r>
              <w:rPr>
                <w:w w:val="110"/>
                <w:sz w:val="16"/>
              </w:rPr>
              <w:t>Pulp/ paper Rubber/ pastics Electrical/ optical</w:t>
            </w:r>
          </w:p>
          <w:p>
            <w:pPr>
              <w:pStyle w:val="TableParagraph"/>
              <w:spacing w:line="160" w:lineRule="exact"/>
              <w:ind w:left="29"/>
              <w:rPr>
                <w:sz w:val="16"/>
              </w:rPr>
            </w:pPr>
            <w:r>
              <w:rPr>
                <w:w w:val="110"/>
                <w:sz w:val="16"/>
              </w:rPr>
              <w:t>Textiles</w:t>
            </w:r>
          </w:p>
          <w:p>
            <w:pPr>
              <w:pStyle w:val="TableParagraph"/>
              <w:spacing w:before="101"/>
              <w:ind w:left="59"/>
              <w:rPr>
                <w:sz w:val="16"/>
              </w:rPr>
            </w:pPr>
            <w:r>
              <w:rPr>
                <w:w w:val="110"/>
                <w:sz w:val="16"/>
              </w:rPr>
              <w:t>Leather</w:t>
            </w:r>
          </w:p>
        </w:tc>
        <w:tc>
          <w:tcPr>
            <w:tcW w:w="467" w:type="dxa"/>
            <w:tcBorders>
              <w:left w:val="nil"/>
            </w:tcBorders>
          </w:tcPr>
          <w:p>
            <w:pPr>
              <w:pStyle w:val="TableParagraph"/>
              <w:spacing w:before="132"/>
              <w:ind w:left="124"/>
              <w:rPr>
                <w:sz w:val="19"/>
              </w:rPr>
            </w:pPr>
            <w:r>
              <w:rPr>
                <w:w w:val="108"/>
                <w:sz w:val="19"/>
              </w:rPr>
              <w:t>4</w:t>
            </w:r>
          </w:p>
        </w:tc>
      </w:tr>
      <w:tr>
        <w:trPr>
          <w:trHeight w:val="230" w:hRule="atLeast"/>
        </w:trPr>
        <w:tc>
          <w:tcPr>
            <w:tcW w:w="5494" w:type="dxa"/>
            <w:gridSpan w:val="4"/>
          </w:tcPr>
          <w:p>
            <w:pPr>
              <w:pStyle w:val="TableParagraph"/>
              <w:spacing w:line="210" w:lineRule="exact"/>
              <w:ind w:left="107"/>
              <w:rPr>
                <w:i/>
                <w:sz w:val="20"/>
              </w:rPr>
            </w:pPr>
            <w:r>
              <w:rPr>
                <w:i/>
                <w:sz w:val="20"/>
              </w:rPr>
              <w:t>Source: ONS</w:t>
            </w:r>
          </w:p>
        </w:tc>
      </w:tr>
    </w:tbl>
    <w:p>
      <w:pPr>
        <w:pStyle w:val="BodyText"/>
        <w:spacing w:before="10"/>
        <w:rPr>
          <w:sz w:val="27"/>
        </w:rPr>
      </w:pPr>
    </w:p>
    <w:p>
      <w:pPr>
        <w:pStyle w:val="BodyText"/>
        <w:spacing w:line="360" w:lineRule="auto" w:before="90"/>
        <w:ind w:left="221" w:right="109"/>
        <w:jc w:val="both"/>
      </w:pPr>
      <w:r>
        <w:rPr/>
        <w:pict>
          <v:group style="position:absolute;margin-left:93.989998pt;margin-top:-269.356476pt;width:245.3pt;height:237.05pt;mso-position-horizontal-relative:page;mso-position-vertical-relative:paragraph;z-index:-254179328" coordorigin="1880,-5387" coordsize="4906,4741">
            <v:line style="position:absolute" from="2346,-804" to="5150,-804" stroked="true" strokeweight="6.72pt" strokecolor="#ff00ff">
              <v:stroke dashstyle="solid"/>
            </v:line>
            <v:shape style="position:absolute;left:3320;top:-2208;width:1830;height:1140" coordorigin="3320,-2207" coordsize="1830,1140" path="m5150,-1217l3320,-1217,3320,-1067,5150,-1067,5150,-1217m5150,-1547l4115,-1547,4115,-1412,5150,-1412,5150,-1547m5150,-1877l4505,-1877,4505,-1742,5150,-1742,5150,-1877m5150,-2207l4520,-2207,4520,-2072,5150,-2072,5150,-2207e" filled="true" fillcolor="#ff00ff" stroked="false">
              <v:path arrowok="t"/>
              <v:fill type="solid"/>
            </v:shape>
            <v:line style="position:absolute" from="5128,-2552" to="5128,-2402" stroked="true" strokeweight="2.280pt" strokecolor="#ff00ff">
              <v:stroke dashstyle="solid"/>
            </v:line>
            <v:shape style="position:absolute;left:5120;top:-3212;width:30;height:465" coordorigin="5120,-3212" coordsize="30,465" path="m5150,-2882l5120,-2882,5120,-2747,5150,-2747,5150,-2882m5150,-3212l5135,-3212,5135,-3077,5150,-3077,5150,-3212e" filled="true" fillcolor="#ff00ff" stroked="false">
              <v:path arrowok="t"/>
              <v:fill type="solid"/>
            </v:shape>
            <v:line style="position:absolute" from="5180,-3557" to="5180,-3407" stroked="true" strokeweight="3pt" strokecolor="#ff00ff">
              <v:stroke dashstyle="solid"/>
            </v:line>
            <v:shape style="position:absolute;left:5150;top:-4892;width:915;height:1140" coordorigin="5150,-4892" coordsize="915,1140" path="m5435,-3887l5150,-3887,5150,-3752,5435,-3752,5435,-3887m5540,-4217l5150,-4217,5150,-4082,5540,-4082,5540,-4217m5870,-4547l5150,-4547,5150,-4412,5870,-4412,5870,-4547m6065,-4892l5150,-4892,5150,-4742,6065,-4742,6065,-4892e" filled="true" fillcolor="#ff00ff" stroked="false">
              <v:path arrowok="t"/>
              <v:fill type="solid"/>
            </v:shape>
            <v:line style="position:absolute" from="5150,-5154" to="6125,-5154" stroked="true" strokeweight="6.72pt" strokecolor="#ff00ff">
              <v:stroke dashstyle="solid"/>
            </v:line>
            <v:shape style="position:absolute;left:1880;top:-5388;width:4905;height:4740" coordorigin="1880,-5387" coordsize="4905,4740" path="m1880,-5327l6785,-5327m1880,-5327l1880,-5387m2706,-5327l2706,-5387m3516,-5327l3516,-5387m4340,-5327l4340,-5387m5150,-5327l5150,-5387m5975,-5327l5975,-5387m6785,-5327l6785,-5387m5150,-5327l5150,-647m5105,-647l5150,-647m5105,-977l5150,-977m5105,-1322l5150,-1322m5105,-1652l5150,-1652m5105,-1982l5150,-1982m5105,-2312l5150,-2312m5105,-2657l5150,-2657m5105,-2987l5150,-2987m5105,-3317l5150,-3317m5105,-3662l5150,-3662m5105,-3992l5150,-3992m5105,-4322l5150,-4322m5105,-4652l5150,-4652m5105,-4997l5150,-4997m5105,-5327l5150,-5327e" filled="false" stroked="true" strokeweight=".06pt" strokecolor="#000000">
              <v:path arrowok="t"/>
              <v:stroke dashstyle="solid"/>
            </v:shape>
            <w10:wrap type="none"/>
          </v:group>
        </w:pict>
      </w:r>
      <w:r>
        <w:rPr/>
        <w:t>The sectoral pattern of manufacturing growth, shown in Chart 5, shows these forces at work. Output has fallen most strongly in low value-added manufacturing such as textiles and in electronic goods where Asian producers have developed a strong comparative advantage. By contrast, higher value-added sectors – such as chemicals (which includes the pharmaceutical industry), machinery and transport equipment – have seen continued growth. This global shift in production has affected all the mature industrialised countries.</w:t>
      </w:r>
      <w:r>
        <w:rPr>
          <w:vertAlign w:val="superscript"/>
        </w:rPr>
        <w:t>10</w:t>
      </w:r>
      <w:r>
        <w:rPr>
          <w:vertAlign w:val="baseline"/>
        </w:rPr>
        <w:t> However, there has been an added dimension for the UK, in that the trend over the past decade was also preceded by a significant appreciation in the exchange rate, in real and nominal terms, as Chart 6</w:t>
      </w:r>
      <w:r>
        <w:rPr>
          <w:spacing w:val="-1"/>
          <w:vertAlign w:val="baseline"/>
        </w:rPr>
        <w:t> </w:t>
      </w:r>
      <w:r>
        <w:rPr>
          <w:vertAlign w:val="baseline"/>
        </w:rPr>
        <w:t>shows.</w:t>
      </w:r>
    </w:p>
    <w:p>
      <w:pPr>
        <w:pStyle w:val="BodyText"/>
        <w:rPr>
          <w:sz w:val="20"/>
        </w:rPr>
      </w:pPr>
    </w:p>
    <w:p>
      <w:pPr>
        <w:pStyle w:val="BodyText"/>
        <w:rPr>
          <w:sz w:val="20"/>
        </w:rPr>
      </w:pPr>
    </w:p>
    <w:p>
      <w:pPr>
        <w:pStyle w:val="BodyText"/>
        <w:rPr>
          <w:sz w:val="20"/>
        </w:rPr>
      </w:pPr>
    </w:p>
    <w:p>
      <w:pPr>
        <w:pStyle w:val="BodyText"/>
        <w:spacing w:before="9"/>
        <w:rPr>
          <w:sz w:val="19"/>
        </w:rPr>
      </w:pPr>
      <w:r>
        <w:rPr/>
        <w:pict>
          <v:shape style="position:absolute;margin-left:85.080002pt;margin-top:13.635063pt;width:144pt;height:.1pt;mso-position-horizontal-relative:page;mso-position-vertical-relative:paragraph;z-index:-251644928;mso-wrap-distance-left:0;mso-wrap-distance-right:0" coordorigin="1702,273" coordsize="2880,0" path="m1702,273l4582,273e" filled="false" stroked="true" strokeweight=".600010pt" strokecolor="#000000">
            <v:path arrowok="t"/>
            <v:stroke dashstyle="solid"/>
            <w10:wrap type="topAndBottom"/>
          </v:shape>
        </w:pict>
      </w:r>
    </w:p>
    <w:p>
      <w:pPr>
        <w:spacing w:before="49"/>
        <w:ind w:left="221" w:right="145" w:firstLine="0"/>
        <w:jc w:val="left"/>
        <w:rPr>
          <w:sz w:val="20"/>
        </w:rPr>
      </w:pPr>
      <w:r>
        <w:rPr>
          <w:position w:val="9"/>
          <w:sz w:val="13"/>
        </w:rPr>
        <w:t>10 </w:t>
      </w:r>
      <w:r>
        <w:rPr>
          <w:sz w:val="20"/>
        </w:rPr>
        <w:t>Besley (2007) discusses the United Kingdom’s long-term structural shift from manufacturing towards services and the implications for monetary policy.</w:t>
      </w:r>
    </w:p>
    <w:p>
      <w:pPr>
        <w:spacing w:after="0"/>
        <w:jc w:val="left"/>
        <w:rPr>
          <w:sz w:val="20"/>
        </w:rPr>
        <w:sectPr>
          <w:pgSz w:w="11900" w:h="16840"/>
          <w:pgMar w:header="0" w:footer="710" w:top="1600" w:bottom="900" w:left="1480" w:right="1580"/>
        </w:sect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80"/>
      </w:tblGrid>
      <w:tr>
        <w:trPr>
          <w:trHeight w:val="275" w:hRule="atLeast"/>
        </w:trPr>
        <w:tc>
          <w:tcPr>
            <w:tcW w:w="5580" w:type="dxa"/>
          </w:tcPr>
          <w:p>
            <w:pPr>
              <w:pStyle w:val="TableParagraph"/>
              <w:spacing w:line="256" w:lineRule="exact"/>
              <w:ind w:left="106"/>
              <w:rPr>
                <w:b/>
                <w:sz w:val="24"/>
              </w:rPr>
            </w:pPr>
            <w:r>
              <w:rPr>
                <w:b/>
                <w:color w:val="0000FF"/>
                <w:sz w:val="24"/>
              </w:rPr>
              <w:t>Chart 6: Real and nominal sterling exchange rates</w:t>
            </w:r>
          </w:p>
        </w:tc>
      </w:tr>
      <w:tr>
        <w:trPr>
          <w:trHeight w:val="3840" w:hRule="atLeast"/>
        </w:trPr>
        <w:tc>
          <w:tcPr>
            <w:tcW w:w="5580" w:type="dxa"/>
          </w:tcPr>
          <w:p>
            <w:pPr>
              <w:pStyle w:val="TableParagraph"/>
              <w:spacing w:before="131"/>
              <w:ind w:left="3286"/>
              <w:rPr>
                <w:sz w:val="19"/>
              </w:rPr>
            </w:pPr>
            <w:r>
              <w:rPr>
                <w:w w:val="110"/>
                <w:sz w:val="19"/>
              </w:rPr>
              <w:t>Index, 2000 = 100</w:t>
            </w:r>
          </w:p>
          <w:p>
            <w:pPr>
              <w:pStyle w:val="TableParagraph"/>
              <w:spacing w:before="51"/>
              <w:ind w:left="4525" w:right="732"/>
              <w:jc w:val="center"/>
              <w:rPr>
                <w:sz w:val="19"/>
              </w:rPr>
            </w:pPr>
            <w:r>
              <w:rPr>
                <w:spacing w:val="-14"/>
                <w:w w:val="110"/>
                <w:sz w:val="19"/>
              </w:rPr>
              <w:t>130</w:t>
            </w:r>
          </w:p>
          <w:p>
            <w:pPr>
              <w:pStyle w:val="TableParagraph"/>
              <w:spacing w:before="187"/>
              <w:ind w:left="4525" w:right="732"/>
              <w:jc w:val="center"/>
              <w:rPr>
                <w:sz w:val="19"/>
              </w:rPr>
            </w:pPr>
            <w:r>
              <w:rPr>
                <w:spacing w:val="-14"/>
                <w:w w:val="110"/>
                <w:sz w:val="19"/>
              </w:rPr>
              <w:t>120</w:t>
            </w:r>
          </w:p>
          <w:p>
            <w:pPr>
              <w:pStyle w:val="TableParagraph"/>
              <w:spacing w:line="199" w:lineRule="exact" w:before="172"/>
              <w:ind w:left="4525" w:right="732"/>
              <w:jc w:val="center"/>
              <w:rPr>
                <w:sz w:val="19"/>
              </w:rPr>
            </w:pPr>
            <w:r>
              <w:rPr>
                <w:spacing w:val="-14"/>
                <w:w w:val="110"/>
                <w:sz w:val="19"/>
              </w:rPr>
              <w:t>110</w:t>
            </w:r>
          </w:p>
          <w:p>
            <w:pPr>
              <w:pStyle w:val="TableParagraph"/>
              <w:spacing w:line="199" w:lineRule="exact"/>
              <w:ind w:left="244" w:right="1057"/>
              <w:jc w:val="center"/>
              <w:rPr>
                <w:sz w:val="19"/>
              </w:rPr>
            </w:pPr>
            <w:r>
              <w:rPr>
                <w:color w:val="FF00FF"/>
                <w:w w:val="110"/>
                <w:sz w:val="19"/>
              </w:rPr>
              <w:t>Nominal</w:t>
            </w:r>
          </w:p>
          <w:p>
            <w:pPr>
              <w:pStyle w:val="TableParagraph"/>
              <w:spacing w:before="6"/>
              <w:ind w:left="4525" w:right="732"/>
              <w:jc w:val="center"/>
              <w:rPr>
                <w:sz w:val="19"/>
              </w:rPr>
            </w:pPr>
            <w:r>
              <w:rPr>
                <w:spacing w:val="-14"/>
                <w:w w:val="110"/>
                <w:sz w:val="19"/>
              </w:rPr>
              <w:t>100</w:t>
            </w:r>
          </w:p>
          <w:p>
            <w:pPr>
              <w:pStyle w:val="TableParagraph"/>
              <w:spacing w:before="171"/>
              <w:ind w:left="4435" w:right="732"/>
              <w:jc w:val="center"/>
              <w:rPr>
                <w:sz w:val="19"/>
              </w:rPr>
            </w:pPr>
            <w:r>
              <w:rPr>
                <w:spacing w:val="-14"/>
                <w:w w:val="110"/>
                <w:sz w:val="19"/>
              </w:rPr>
              <w:t>90</w:t>
            </w:r>
          </w:p>
          <w:p>
            <w:pPr>
              <w:pStyle w:val="TableParagraph"/>
              <w:spacing w:line="207" w:lineRule="exact" w:before="186"/>
              <w:ind w:left="4435" w:right="732"/>
              <w:jc w:val="center"/>
              <w:rPr>
                <w:sz w:val="19"/>
              </w:rPr>
            </w:pPr>
            <w:r>
              <w:rPr>
                <w:spacing w:val="-14"/>
                <w:w w:val="110"/>
                <w:sz w:val="19"/>
              </w:rPr>
              <w:t>80</w:t>
            </w:r>
          </w:p>
          <w:p>
            <w:pPr>
              <w:pStyle w:val="TableParagraph"/>
              <w:spacing w:line="195" w:lineRule="exact"/>
              <w:ind w:left="22" w:right="732"/>
              <w:jc w:val="center"/>
              <w:rPr>
                <w:sz w:val="19"/>
              </w:rPr>
            </w:pPr>
            <w:r>
              <w:rPr>
                <w:color w:val="000080"/>
                <w:w w:val="110"/>
                <w:sz w:val="19"/>
              </w:rPr>
              <w:t>Real</w:t>
            </w:r>
          </w:p>
          <w:p>
            <w:pPr>
              <w:pStyle w:val="TableParagraph"/>
              <w:spacing w:line="206" w:lineRule="exact"/>
              <w:ind w:left="4435" w:right="732"/>
              <w:jc w:val="center"/>
              <w:rPr>
                <w:sz w:val="19"/>
              </w:rPr>
            </w:pPr>
            <w:r>
              <w:rPr>
                <w:spacing w:val="-14"/>
                <w:w w:val="110"/>
                <w:sz w:val="19"/>
              </w:rPr>
              <w:t>70</w:t>
            </w:r>
          </w:p>
          <w:p>
            <w:pPr>
              <w:pStyle w:val="TableParagraph"/>
              <w:spacing w:before="187"/>
              <w:ind w:left="4435" w:right="732"/>
              <w:jc w:val="center"/>
              <w:rPr>
                <w:sz w:val="19"/>
              </w:rPr>
            </w:pPr>
            <w:r>
              <w:rPr>
                <w:spacing w:val="-14"/>
                <w:w w:val="110"/>
                <w:sz w:val="19"/>
              </w:rPr>
              <w:t>60</w:t>
            </w:r>
          </w:p>
          <w:p>
            <w:pPr>
              <w:pStyle w:val="TableParagraph"/>
              <w:spacing w:before="66"/>
              <w:ind w:left="293" w:right="1057"/>
              <w:jc w:val="center"/>
              <w:rPr>
                <w:sz w:val="19"/>
              </w:rPr>
            </w:pPr>
            <w:r>
              <w:rPr>
                <w:w w:val="110"/>
                <w:sz w:val="19"/>
              </w:rPr>
              <w:t>1975 1979 1983 1987 1991 1995 1999 2003 2007</w:t>
            </w:r>
          </w:p>
        </w:tc>
      </w:tr>
      <w:tr>
        <w:trPr>
          <w:trHeight w:val="460" w:hRule="atLeast"/>
        </w:trPr>
        <w:tc>
          <w:tcPr>
            <w:tcW w:w="5580" w:type="dxa"/>
          </w:tcPr>
          <w:p>
            <w:pPr>
              <w:pStyle w:val="TableParagraph"/>
              <w:spacing w:line="226" w:lineRule="exact"/>
              <w:ind w:left="106"/>
              <w:rPr>
                <w:i/>
                <w:sz w:val="20"/>
              </w:rPr>
            </w:pPr>
            <w:r>
              <w:rPr>
                <w:i/>
                <w:sz w:val="20"/>
              </w:rPr>
              <w:t>Sources: Bank of England and IMF</w:t>
            </w:r>
          </w:p>
          <w:p>
            <w:pPr>
              <w:pStyle w:val="TableParagraph"/>
              <w:spacing w:line="214" w:lineRule="exact"/>
              <w:ind w:left="106"/>
              <w:rPr>
                <w:i/>
                <w:sz w:val="20"/>
              </w:rPr>
            </w:pPr>
            <w:r>
              <w:rPr>
                <w:i/>
                <w:sz w:val="20"/>
              </w:rPr>
              <w:t>Note: Real exchange rate calculated using CPI</w:t>
            </w:r>
          </w:p>
        </w:tc>
      </w:tr>
    </w:tbl>
    <w:p>
      <w:pPr>
        <w:pStyle w:val="BodyText"/>
        <w:spacing w:before="3"/>
        <w:rPr>
          <w:sz w:val="28"/>
        </w:rPr>
      </w:pPr>
    </w:p>
    <w:p>
      <w:pPr>
        <w:pStyle w:val="BodyText"/>
        <w:spacing w:line="360" w:lineRule="auto" w:before="90"/>
        <w:ind w:left="221" w:right="109"/>
        <w:jc w:val="both"/>
      </w:pPr>
      <w:r>
        <w:rPr/>
        <w:pict>
          <v:group style="position:absolute;margin-left:104.670502pt;margin-top:-206.686584pt;width:203.2pt;height:139.6pt;mso-position-horizontal-relative:page;mso-position-vertical-relative:paragraph;z-index:-254178304" coordorigin="2093,-4134" coordsize="4064,2792">
            <v:shape style="position:absolute;left:2108;top:-4134;width:4049;height:2790" coordorigin="2108,-4133" coordsize="4049,2790" path="m6097,-4133l6097,-1343m6097,-1343l6157,-1343m6097,-1749l6157,-1749m6097,-2139l6157,-2139m6097,-2543l6157,-2543m6097,-2933l6157,-2933m6097,-3338l6157,-3338m6097,-3728l6157,-3728m6097,-4133l6157,-4133m2108,-1343l6097,-1343m2108,-1343l2108,-1403m2603,-1343l2603,-1403m3113,-1343l3113,-1403m3607,-1343l3607,-1403m4103,-1343l4103,-1403m4597,-1343l4597,-1403m5107,-1343l5107,-1403m5603,-1343l5603,-1403m6097,-1343l6097,-1403e" filled="false" stroked="true" strokeweight=".06pt" strokecolor="#000000">
              <v:path arrowok="t"/>
              <v:stroke dashstyle="solid"/>
            </v:shape>
            <v:shape style="position:absolute;left:2138;top:-2439;width:435;height:510" coordorigin="2138,-2439" coordsize="435,510" path="m2138,-2439l2167,-2423m2167,-2423l2197,-2393m2197,-2393l2227,-2393m2227,-2393l2257,-2139m2257,-2139l2287,-2093m2287,-2093l2333,-1929m2333,-1929l2363,-2123m2363,-2123l2393,-2153,2423,-2183m2423,-2183l2453,-2273m2453,-2273l2483,-2349m2483,-2349l2513,-2169m2513,-2169l2543,-2229m2543,-2229l2573,-2229e" filled="false" stroked="true" strokeweight="1.499pt" strokecolor="#000080">
              <v:path arrowok="t"/>
              <v:stroke dashstyle="solid"/>
            </v:shape>
            <v:line style="position:absolute" from="2588,-2244" to="2588,-1914" stroked="true" strokeweight="2.999pt" strokecolor="#000080">
              <v:stroke dashstyle="solid"/>
            </v:line>
            <v:shape style="position:absolute;left:2602;top:-3054;width:285;height:1125" coordorigin="2603,-3053" coordsize="285,1125" path="m2603,-1929l2633,-2109m2633,-2109l2663,-2379m2663,-2379l2693,-2289m2693,-2289l2737,-2529m2737,-2529l2767,-2663m2767,-2663l2797,-2768m2797,-2768l2827,-2948m2827,-2948l2857,-3053m2857,-3053l2887,-2963e" filled="false" stroked="true" strokeweight="1.499pt" strokecolor="#000080">
              <v:path arrowok="t"/>
              <v:stroke dashstyle="solid"/>
            </v:shape>
            <v:line style="position:absolute" from="2902,-2978" to="2902,-2663" stroked="true" strokeweight="2.999pt" strokecolor="#000080">
              <v:stroke dashstyle="solid"/>
            </v:line>
            <v:shape style="position:absolute;left:2917;top:-2738;width:436;height:705" coordorigin="2917,-2738" coordsize="436,705" path="m2917,-2678l2947,-2648m2947,-2648l2977,-2738m2977,-2738l3007,-2708m3007,-2708l3037,-2738m3037,-2738l3067,-2633m3067,-2633l3113,-2273m3113,-2273l3143,-2409m3143,-2409l3173,-2483m3173,-2483l3203,-2423m3203,-2423l3233,-2349m3233,-2349l3263,-2273m3263,-2273l3293,-2229m3293,-2229l3323,-2139m3323,-2139l3353,-2033e" filled="false" stroked="true" strokeweight="1.499pt" strokecolor="#000080">
              <v:path arrowok="t"/>
              <v:stroke dashstyle="solid"/>
            </v:shape>
            <v:line style="position:absolute" from="3368,-2364" to="3368,-2018" stroked="true" strokeweight="2.999pt" strokecolor="#000080">
              <v:stroke dashstyle="solid"/>
            </v:line>
            <v:shape style="position:absolute;left:3382;top:-2738;width:900;height:855" coordorigin="3383,-2738" coordsize="900,855" path="m3383,-2349l3413,-2483m3413,-2483l3443,-2379m3443,-2379l3473,-2169m3473,-2169l3517,-2213m3517,-2213l3547,-2033m3547,-2033l3577,-1883m3577,-1883l3607,-1959m3607,-1959l3637,-2079m3637,-2079l3667,-2079m3667,-2079l3697,-2169m3697,-2169l3727,-2213m3727,-2213l3757,-2333m3757,-2333l3787,-2319m3787,-2319l3817,-2409m3817,-2409l3847,-2453m3847,-2453l3877,-2363m3877,-2363l3923,-2303m3923,-2303l3953,-2199m3953,-2199l3983,-2319m3983,-2319l4013,-2423m4013,-2423l4043,-2678m4043,-2678l4073,-2693m4073,-2693l4103,-2738m4103,-2738l4133,-2648m4133,-2648l4163,-2603m4163,-2603l4193,-2618m4193,-2618l4223,-2603m4223,-2603l4253,-2678m4253,-2678l4283,-2618e" filled="false" stroked="true" strokeweight="1.499pt" strokecolor="#000080">
              <v:path arrowok="t"/>
              <v:stroke dashstyle="solid"/>
            </v:shape>
            <v:line style="position:absolute" from="4305,-2633" to="4305,-2154" stroked="true" strokeweight="3.719pt" strokecolor="#000080">
              <v:stroke dashstyle="solid"/>
            </v:line>
            <v:shape style="position:absolute;left:4327;top:-3278;width:1770;height:1275" coordorigin="4327,-3278" coordsize="1770,1275" path="m4327,-2169l4357,-2079m4357,-2079l4387,-2139m4387,-2139l4417,-2183m4417,-2183l4447,-2183m4447,-2183l4477,-2199m4477,-2199l4507,-2153m4507,-2153l4537,-2109m4537,-2109l4567,-2169m4567,-2169l4597,-2109m4597,-2109l4627,-2019m4627,-2019l4657,-2033m4657,-2033l4687,-2003m4687,-2003l4733,-2003m4733,-2003l4763,-2033,4793,-2063m4793,-2063l4823,-2273m4823,-2273l4853,-2469m4853,-2469l4883,-2559m4883,-2559l4913,-2663m4913,-2663l4943,-2738m4943,-2738l4973,-2858m4973,-2858l5003,-2888m5003,-2888l5033,-2873m5033,-2873l5063,-2753m5063,-2753l5107,-2753m5107,-2753l5137,-2843m5137,-2843l5167,-2828m5167,-2828l5197,-2903m5197,-2903l5227,-2993m5227,-2993l5257,-2963m5257,-2963l5287,-2888m5287,-2888l5317,-2918m5317,-2918l5347,-2828m5347,-2828l5377,-2858m5377,-2858l5407,-2858,5437,-2858m5437,-2858l5467,-2873m5467,-2873l5513,-2843m5513,-2843l5543,-2888m5543,-2888l5573,-2933m5573,-2933l5603,-2828m5603,-2828l5633,-2738m5633,-2738l5663,-2753m5663,-2753l5693,-2813m5693,-2813l5723,-2993m5723,-2993l5753,-3023m5753,-3023l5783,-3023m5783,-3023l5813,-2993m5813,-2993l5843,-2993m5843,-2993l5873,-3038m5873,-3038l5917,-2963m5917,-2963l5947,-2963m5947,-2963l5977,-2948m5977,-2948l6007,-2993m6007,-2993l6037,-3098m6037,-3098l6067,-3203m6067,-3203l6097,-3278e" filled="false" stroked="true" strokeweight="1.499pt" strokecolor="#000080">
              <v:path arrowok="t"/>
              <v:stroke dashstyle="solid"/>
            </v:shape>
            <v:shape style="position:absolute;left:2108;top:-3938;width:119;height:480" coordorigin="2108,-3938" coordsize="119,480" path="m2108,-3938l2138,-3773m2138,-3773l2167,-3608m2167,-3608l2197,-3503m2197,-3503l2227,-3458e" filled="false" stroked="true" strokeweight="1.499pt" strokecolor="#ff00ff">
              <v:path arrowok="t"/>
              <v:stroke dashstyle="solid"/>
            </v:shape>
            <v:line style="position:absolute" from="2242,-3473" to="2242,-3083" stroked="true" strokeweight="2.999pt" strokecolor="#ff00ff">
              <v:stroke dashstyle="solid"/>
            </v:line>
            <v:shape style="position:absolute;left:2257;top:-3878;width:630;height:1185" coordorigin="2257,-3878" coordsize="630,1185" path="m2257,-3098l2287,-3008m2287,-3008l2333,-2693m2333,-2693l2363,-2828m2363,-2828l2393,-2828m2393,-2828l2423,-2843m2423,-2843l2453,-2948m2453,-2948l2483,-3023m2483,-3023l2513,-2813m2513,-2813l2543,-2858m2543,-2858l2573,-2828m2573,-2828l2603,-2888m2603,-2888l2633,-3098m2633,-3098l2663,-3278m2663,-3278l2693,-3113m2693,-3113l2737,-3323m2737,-3323l2767,-3428m2767,-3428l2797,-3533m2797,-3533l2827,-3743m2827,-3743l2857,-3878m2857,-3878l2887,-3698e" filled="false" stroked="true" strokeweight="1.499pt" strokecolor="#ff00ff">
              <v:path arrowok="t"/>
              <v:stroke dashstyle="solid"/>
            </v:shape>
            <v:line style="position:absolute" from="2902,-3713" to="2902,-3338" stroked="true" strokeweight="2.999pt" strokecolor="#ff00ff">
              <v:stroke dashstyle="solid"/>
            </v:line>
            <v:shape style="position:absolute;left:2917;top:-3384;width:196;height:496" coordorigin="2917,-3383" coordsize="196,496" path="m2917,-3353l2947,-3308m2947,-3308l2977,-3383m2977,-3383l3007,-3323m3007,-3323l3037,-3383m3037,-3383l3067,-3278m3067,-3278l3113,-2888e" filled="false" stroked="true" strokeweight="1.499pt" strokecolor="#ff00ff">
              <v:path arrowok="t"/>
              <v:stroke dashstyle="solid"/>
            </v:shape>
            <v:shape style="position:absolute;left:3097;top:-3143;width:435;height:585" type="#_x0000_t75" stroked="false">
              <v:imagedata r:id="rId10" o:title=""/>
            </v:shape>
            <v:shape style="position:absolute;left:3517;top:-2858;width:60;height:389" coordorigin="3517,-2858" coordsize="60,389" path="m3517,-2858l3547,-2663,3577,-2469e" filled="false" stroked="true" strokeweight="1.499pt" strokecolor="#ff00ff">
              <v:path arrowok="t"/>
              <v:stroke dashstyle="solid"/>
            </v:shape>
            <v:shape style="position:absolute;left:3562;top:-2979;width:736;height:525" type="#_x0000_t75" stroked="false">
              <v:imagedata r:id="rId11" o:title=""/>
            </v:shape>
            <v:line style="position:absolute" from="4305,-2783" to="4305,-2288" stroked="true" strokeweight="3.719pt" strokecolor="#ff00ff">
              <v:stroke dashstyle="solid"/>
            </v:line>
            <v:shape style="position:absolute;left:4327;top:-3068;width:1770;height:915" coordorigin="4327,-3068" coordsize="1770,915" path="m4327,-2303l4357,-2243m4357,-2243l4387,-2319m4387,-2319l4417,-2363m4417,-2363l4447,-2363m4447,-2363l4477,-2379m4477,-2379l4507,-2333m4507,-2333l4537,-2303m4537,-2303l4567,-2349m4567,-2349l4597,-2273m4597,-2273l4627,-2169m4627,-2169l4657,-2169m4657,-2169l4687,-2153m4687,-2153l4733,-2153m4733,-2153l4763,-2183m4763,-2183l4793,-2229m4793,-2229l4823,-2439m4823,-2439l4853,-2618m4853,-2618l4883,-2708,4913,-2798m4913,-2798l4943,-2843m4943,-2843l4973,-2933m4973,-2933l5003,-2933m5003,-2933l5033,-2918m5033,-2918l5063,-2798m5063,-2798l5107,-2798m5107,-2798l5137,-2873m5137,-2873l5167,-2858m5167,-2858l5197,-2933m5197,-2933l5227,-2993m5227,-2993l5257,-2948m5257,-2948l5287,-2888m5287,-2888l5317,-2918m5317,-2918l5347,-2828m5347,-2828l5377,-2873m5377,-2873l5407,-2873m5407,-2873l5437,-2888m5437,-2888l5467,-2918m5467,-2918l5513,-2873m5513,-2873l5543,-2918m5543,-2918l5573,-2948m5573,-2948l5603,-2828m5603,-2828l5633,-2723m5633,-2723l5663,-2723m5663,-2723l5693,-2783m5693,-2783l5723,-2963m5723,-2963l5753,-2993m5753,-2993l5783,-2978m5783,-2978l5813,-2903m5813,-2903l5843,-2918m5843,-2918l5873,-2963m5873,-2963l5917,-2888m5917,-2888l5947,-2873m5947,-2873l5977,-2843m5977,-2843l6007,-2903m6007,-2903l6037,-2978m6037,-2978l6067,-3038m6067,-3038l6097,-3068e" filled="false" stroked="true" strokeweight="1.499pt" strokecolor="#ff00ff">
              <v:path arrowok="t"/>
              <v:stroke dashstyle="solid"/>
            </v:shape>
            <w10:wrap type="none"/>
          </v:group>
        </w:pict>
      </w:r>
      <w:r>
        <w:rPr/>
        <w:t>I joined the CBI in the mid-1980s after the last big shake-out in manufacturing in the early 1980s, which was also associated with a sharp appreciation of the exchange rate. The impact was felt particularly severely in the traditional manufacturing regions of the UK. In 1986, unemployment reached a peak of close to 16% in the North-East of England and 13% in the North-West, compared to an unemployment rate of less than 7% in the South-East of England. The result was to create a mood of pessimism, and indeed bitterness, in the traditional manufacturing regions of the</w:t>
      </w:r>
      <w:r>
        <w:rPr>
          <w:spacing w:val="-7"/>
        </w:rPr>
        <w:t> </w:t>
      </w:r>
      <w:r>
        <w:rPr/>
        <w:t>UK.</w:t>
      </w:r>
    </w:p>
    <w:p>
      <w:pPr>
        <w:pStyle w:val="BodyText"/>
        <w:spacing w:before="11"/>
        <w:rPr>
          <w:sz w:val="35"/>
        </w:rPr>
      </w:pPr>
    </w:p>
    <w:p>
      <w:pPr>
        <w:pStyle w:val="BodyText"/>
        <w:spacing w:line="360" w:lineRule="auto"/>
        <w:ind w:left="221" w:right="109"/>
        <w:jc w:val="both"/>
      </w:pPr>
      <w:r>
        <w:rPr/>
        <w:t>Even though manufacturing output and employment have been squeezed to a similar extent over the past decade, the current mood in manufacturing industry in response to the more recent structural change is quite different. The current generation of manufacturers has become used to living with the pressures of competitive international markets and have developed strategies for coping with them. One of the key strategies they employ is outsourcing lower value-added activities to lower cost locations – such as China, Eastern Europe and Turkey, which is becoming commonplace for manufacturers these days. Another is a high level of automation – such as the radiator manufacturer I visited in the North-East with just five workers manning its main high volume production line. Many successful UK manufacturers have established strong positions in niche markets where they are less vulnerable to competition from lower cost producers. So while the location of manufacturing production has shifted, UK manufacturing</w:t>
      </w:r>
      <w:r>
        <w:rPr>
          <w:spacing w:val="42"/>
        </w:rPr>
        <w:t> </w:t>
      </w:r>
      <w:r>
        <w:rPr/>
        <w:t>companies</w:t>
      </w:r>
      <w:r>
        <w:rPr>
          <w:spacing w:val="42"/>
        </w:rPr>
        <w:t> </w:t>
      </w:r>
      <w:r>
        <w:rPr/>
        <w:t>themselves</w:t>
      </w:r>
      <w:r>
        <w:rPr>
          <w:spacing w:val="42"/>
        </w:rPr>
        <w:t> </w:t>
      </w:r>
      <w:r>
        <w:rPr/>
        <w:t>have</w:t>
      </w:r>
      <w:r>
        <w:rPr>
          <w:spacing w:val="42"/>
        </w:rPr>
        <w:t> </w:t>
      </w:r>
      <w:r>
        <w:rPr/>
        <w:t>continued</w:t>
      </w:r>
      <w:r>
        <w:rPr>
          <w:spacing w:val="42"/>
        </w:rPr>
        <w:t> </w:t>
      </w:r>
      <w:r>
        <w:rPr/>
        <w:t>to</w:t>
      </w:r>
      <w:r>
        <w:rPr>
          <w:spacing w:val="42"/>
        </w:rPr>
        <w:t> </w:t>
      </w:r>
      <w:r>
        <w:rPr/>
        <w:t>adapt</w:t>
      </w:r>
      <w:r>
        <w:rPr>
          <w:spacing w:val="42"/>
        </w:rPr>
        <w:t> </w:t>
      </w:r>
      <w:r>
        <w:rPr/>
        <w:t>and</w:t>
      </w:r>
      <w:r>
        <w:rPr>
          <w:spacing w:val="42"/>
        </w:rPr>
        <w:t> </w:t>
      </w:r>
      <w:r>
        <w:rPr/>
        <w:t>thrive,</w:t>
      </w:r>
      <w:r>
        <w:rPr>
          <w:spacing w:val="42"/>
        </w:rPr>
        <w:t> </w:t>
      </w:r>
      <w:r>
        <w:rPr/>
        <w:t>which</w:t>
      </w:r>
      <w:r>
        <w:rPr>
          <w:spacing w:val="42"/>
        </w:rPr>
        <w:t> </w:t>
      </w:r>
      <w:r>
        <w:rPr/>
        <w:t>has</w:t>
      </w:r>
    </w:p>
    <w:p>
      <w:pPr>
        <w:spacing w:after="0" w:line="360" w:lineRule="auto"/>
        <w:jc w:val="both"/>
        <w:sectPr>
          <w:pgSz w:w="11900" w:h="16840"/>
          <w:pgMar w:header="0" w:footer="710" w:top="1440" w:bottom="960" w:left="1480" w:right="1580"/>
        </w:sectPr>
      </w:pPr>
    </w:p>
    <w:p>
      <w:pPr>
        <w:pStyle w:val="BodyText"/>
        <w:spacing w:line="360" w:lineRule="auto" w:before="61"/>
        <w:ind w:left="221" w:right="112"/>
        <w:jc w:val="both"/>
      </w:pPr>
      <w:r>
        <w:rPr/>
        <w:t>created a very different mood in the manufacturing sector to the situation two decades ago.</w:t>
      </w:r>
    </w:p>
    <w:p>
      <w:pPr>
        <w:pStyle w:val="BodyText"/>
        <w:rPr>
          <w:sz w:val="36"/>
        </w:rPr>
      </w:pPr>
    </w:p>
    <w:p>
      <w:pPr>
        <w:pStyle w:val="BodyText"/>
        <w:spacing w:line="360" w:lineRule="auto"/>
        <w:ind w:left="221" w:right="109"/>
        <w:jc w:val="both"/>
      </w:pPr>
      <w:r>
        <w:rPr/>
        <w:pict>
          <v:group style="position:absolute;margin-left:98.07pt;margin-top:191.983429pt;width:210.7pt;height:136.9pt;mso-position-horizontal-relative:page;mso-position-vertical-relative:paragraph;z-index:-254176256" coordorigin="1961,3840" coordsize="4214,2738">
            <v:rect style="position:absolute;left:2108;top:4150;width:200;height:2427" filled="true" fillcolor="#9a9aff" stroked="false">
              <v:fill type="solid"/>
            </v:rect>
            <v:rect style="position:absolute;left:2307;top:4679;width:200;height:1898" filled="true" fillcolor="#9a3365" stroked="false">
              <v:fill type="solid"/>
            </v:rect>
            <v:rect style="position:absolute;left:2803;top:4440;width:200;height:2136" filled="true" fillcolor="#9a9aff" stroked="false">
              <v:fill type="solid"/>
            </v:rect>
            <v:rect style="position:absolute;left:3002;top:4931;width:197;height:1646" filled="true" fillcolor="#9a3365" stroked="false">
              <v:fill type="solid"/>
            </v:rect>
            <v:rect style="position:absolute;left:3495;top:5129;width:200;height:1448" filled="true" fillcolor="#9a9aff" stroked="false">
              <v:fill type="solid"/>
            </v:rect>
            <v:rect style="position:absolute;left:3694;top:5468;width:200;height:1109" filled="true" fillcolor="#9a3365" stroked="false">
              <v:fill type="solid"/>
            </v:rect>
            <v:rect style="position:absolute;left:4881;top:4770;width:201;height:1806" filled="true" fillcolor="#9a9aff" stroked="false">
              <v:fill type="solid"/>
            </v:rect>
            <v:rect style="position:absolute;left:5082;top:5115;width:200;height:1462" filled="true" fillcolor="#9a3365" stroked="false">
              <v:fill type="solid"/>
            </v:rect>
            <v:rect style="position:absolute;left:5576;top:5288;width:200;height:1289" filled="true" fillcolor="#9a9aff" stroked="false">
              <v:fill type="solid"/>
            </v:rect>
            <v:rect style="position:absolute;left:5775;top:5506;width:198;height:1071" filled="true" fillcolor="#9a3365" stroked="false">
              <v:fill type="solid"/>
            </v:rect>
            <v:shape style="position:absolute;left:1962;top:3882;width:4214;height:2694" coordorigin="1962,3883" coordsize="4214,2694" path="m6122,3883l6122,6577m6122,6577l6175,6577m6122,6192l6175,6192m6122,5808l6175,5808m6122,5422l6175,5422m6122,5037l6175,5037m6122,4653l6175,4653m6122,4268l6175,4268m6122,3883l6175,3883m1962,6577l6122,6577m1962,6577l1962,6524m2657,6577l2657,6524m3348,6577l3348,6524m4043,6577l4043,6524m4735,6577l4735,6524m5430,6577l5430,6524m6122,6577l6122,6524e" filled="false" stroked="true" strokeweight=".06pt" strokecolor="#000000">
              <v:path arrowok="t"/>
              <v:stroke dashstyle="solid"/>
            </v:shape>
            <v:rect style="position:absolute;left:3601;top:3839;width:111;height:111" filled="true" fillcolor="#9a9aff" stroked="false">
              <v:fill type="solid"/>
            </v:rect>
            <v:rect style="position:absolute;left:4279;top:3839;width:111;height:111" filled="true" fillcolor="#9a3365" stroked="false">
              <v:fill type="solid"/>
            </v:rect>
            <w10:wrap type="none"/>
          </v:group>
        </w:pict>
      </w:r>
      <w:r>
        <w:rPr/>
        <w:t>There has also been a much better process of adjustment – both nationally and at the regional level - to these shifts in global competition. This has been particularly helpful in the UK regions which have traditionally been most dependent on manufacturing production and jobs. The increased flexibility of labour markets and the more stable macroeconomic background associated with low inflation has helped service sector job creation to offset the loss of employment opportunities in the manufacturing sector.</w:t>
      </w:r>
      <w:r>
        <w:rPr>
          <w:spacing w:val="-31"/>
        </w:rPr>
        <w:t> </w:t>
      </w:r>
      <w:r>
        <w:rPr>
          <w:vertAlign w:val="superscript"/>
        </w:rPr>
        <w:t>11</w:t>
      </w:r>
    </w:p>
    <w:p>
      <w:pPr>
        <w:pStyle w:val="BodyText"/>
        <w:rPr>
          <w:sz w:val="20"/>
        </w:rPr>
      </w:pPr>
    </w:p>
    <w:p>
      <w:pPr>
        <w:pStyle w:val="BodyText"/>
        <w:spacing w:before="4"/>
        <w:rPr>
          <w:sz w:val="16"/>
        </w:r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773"/>
        <w:gridCol w:w="917"/>
        <w:gridCol w:w="414"/>
        <w:gridCol w:w="1514"/>
        <w:gridCol w:w="505"/>
      </w:tblGrid>
      <w:tr>
        <w:trPr>
          <w:trHeight w:val="551" w:hRule="atLeast"/>
        </w:trPr>
        <w:tc>
          <w:tcPr>
            <w:tcW w:w="5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before="2"/>
              <w:ind w:left="106" w:right="368"/>
              <w:rPr>
                <w:b/>
                <w:sz w:val="24"/>
              </w:rPr>
            </w:pPr>
            <w:r>
              <w:rPr>
                <w:b/>
                <w:color w:val="0000FF"/>
                <w:sz w:val="24"/>
              </w:rPr>
              <w:t>Chart 7: Manufacturing share of UK output and employment</w:t>
            </w:r>
          </w:p>
        </w:tc>
      </w:tr>
      <w:tr>
        <w:trPr>
          <w:trHeight w:val="304" w:hRule="atLeast"/>
        </w:trPr>
        <w:tc>
          <w:tcPr>
            <w:tcW w:w="915" w:type="dxa"/>
            <w:tcBorders>
              <w:top w:val="single" w:sz="4" w:space="0" w:color="000000"/>
              <w:left w:val="single" w:sz="4" w:space="0" w:color="000000"/>
            </w:tcBorders>
          </w:tcPr>
          <w:p>
            <w:pPr>
              <w:pStyle w:val="TableParagraph"/>
              <w:rPr>
                <w:sz w:val="22"/>
              </w:rPr>
            </w:pPr>
          </w:p>
        </w:tc>
        <w:tc>
          <w:tcPr>
            <w:tcW w:w="773" w:type="dxa"/>
            <w:tcBorders>
              <w:top w:val="single" w:sz="4" w:space="0" w:color="000000"/>
            </w:tcBorders>
          </w:tcPr>
          <w:p>
            <w:pPr>
              <w:pStyle w:val="TableParagraph"/>
              <w:rPr>
                <w:sz w:val="22"/>
              </w:rPr>
            </w:pPr>
          </w:p>
        </w:tc>
        <w:tc>
          <w:tcPr>
            <w:tcW w:w="917" w:type="dxa"/>
            <w:tcBorders>
              <w:top w:val="single" w:sz="4" w:space="0" w:color="000000"/>
            </w:tcBorders>
          </w:tcPr>
          <w:p>
            <w:pPr>
              <w:pStyle w:val="TableParagraph"/>
              <w:rPr>
                <w:sz w:val="22"/>
              </w:rPr>
            </w:pPr>
          </w:p>
        </w:tc>
        <w:tc>
          <w:tcPr>
            <w:tcW w:w="414" w:type="dxa"/>
            <w:tcBorders>
              <w:top w:val="single" w:sz="4" w:space="0" w:color="000000"/>
            </w:tcBorders>
          </w:tcPr>
          <w:p>
            <w:pPr>
              <w:pStyle w:val="TableParagraph"/>
              <w:rPr>
                <w:sz w:val="22"/>
              </w:rPr>
            </w:pPr>
          </w:p>
        </w:tc>
        <w:tc>
          <w:tcPr>
            <w:tcW w:w="1514" w:type="dxa"/>
            <w:tcBorders>
              <w:top w:val="single" w:sz="4" w:space="0" w:color="000000"/>
            </w:tcBorders>
          </w:tcPr>
          <w:p>
            <w:pPr>
              <w:pStyle w:val="TableParagraph"/>
              <w:spacing w:line="188" w:lineRule="exact" w:before="95"/>
              <w:ind w:left="919"/>
              <w:rPr>
                <w:sz w:val="18"/>
              </w:rPr>
            </w:pPr>
            <w:r>
              <w:rPr>
                <w:sz w:val="18"/>
              </w:rPr>
              <w:t>Per cent</w:t>
            </w:r>
          </w:p>
        </w:tc>
        <w:tc>
          <w:tcPr>
            <w:tcW w:w="505" w:type="dxa"/>
            <w:tcBorders>
              <w:top w:val="single" w:sz="4" w:space="0" w:color="000000"/>
              <w:right w:val="single" w:sz="4" w:space="0" w:color="000000"/>
            </w:tcBorders>
          </w:tcPr>
          <w:p>
            <w:pPr>
              <w:pStyle w:val="TableParagraph"/>
              <w:rPr>
                <w:sz w:val="22"/>
              </w:rPr>
            </w:pPr>
          </w:p>
        </w:tc>
      </w:tr>
      <w:tr>
        <w:trPr>
          <w:trHeight w:val="298"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spacing w:before="4"/>
              <w:ind w:left="370"/>
              <w:rPr>
                <w:sz w:val="18"/>
              </w:rPr>
            </w:pPr>
            <w:r>
              <w:rPr>
                <w:sz w:val="18"/>
              </w:rPr>
              <w:t>Top 6</w:t>
            </w:r>
          </w:p>
        </w:tc>
        <w:tc>
          <w:tcPr>
            <w:tcW w:w="414" w:type="dxa"/>
          </w:tcPr>
          <w:p>
            <w:pPr>
              <w:pStyle w:val="TableParagraph"/>
              <w:spacing w:before="4"/>
              <w:ind w:left="130"/>
              <w:rPr>
                <w:sz w:val="18"/>
              </w:rPr>
            </w:pPr>
            <w:r>
              <w:rPr>
                <w:sz w:val="18"/>
              </w:rPr>
              <w:t>UK</w:t>
            </w:r>
          </w:p>
        </w:tc>
        <w:tc>
          <w:tcPr>
            <w:tcW w:w="1514" w:type="dxa"/>
          </w:tcPr>
          <w:p>
            <w:pPr>
              <w:pStyle w:val="TableParagraph"/>
              <w:rPr>
                <w:sz w:val="22"/>
              </w:rPr>
            </w:pPr>
          </w:p>
        </w:tc>
        <w:tc>
          <w:tcPr>
            <w:tcW w:w="505" w:type="dxa"/>
            <w:tcBorders>
              <w:right w:val="single" w:sz="4" w:space="0" w:color="000000"/>
            </w:tcBorders>
          </w:tcPr>
          <w:p>
            <w:pPr>
              <w:pStyle w:val="TableParagraph"/>
              <w:spacing w:line="190" w:lineRule="exact"/>
              <w:ind w:left="19"/>
              <w:rPr>
                <w:sz w:val="17"/>
              </w:rPr>
            </w:pPr>
            <w:r>
              <w:rPr>
                <w:sz w:val="17"/>
              </w:rPr>
              <w:t>35</w:t>
            </w:r>
          </w:p>
        </w:tc>
      </w:tr>
      <w:tr>
        <w:trPr>
          <w:trHeight w:val="373"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rPr>
                <w:sz w:val="22"/>
              </w:rPr>
            </w:pPr>
          </w:p>
        </w:tc>
        <w:tc>
          <w:tcPr>
            <w:tcW w:w="414" w:type="dxa"/>
          </w:tcPr>
          <w:p>
            <w:pPr>
              <w:pStyle w:val="TableParagraph"/>
              <w:rPr>
                <w:sz w:val="22"/>
              </w:rPr>
            </w:pPr>
          </w:p>
        </w:tc>
        <w:tc>
          <w:tcPr>
            <w:tcW w:w="1514" w:type="dxa"/>
          </w:tcPr>
          <w:p>
            <w:pPr>
              <w:pStyle w:val="TableParagraph"/>
              <w:rPr>
                <w:sz w:val="22"/>
              </w:rPr>
            </w:pPr>
          </w:p>
        </w:tc>
        <w:tc>
          <w:tcPr>
            <w:tcW w:w="505" w:type="dxa"/>
            <w:tcBorders>
              <w:right w:val="single" w:sz="4" w:space="0" w:color="000000"/>
            </w:tcBorders>
          </w:tcPr>
          <w:p>
            <w:pPr>
              <w:pStyle w:val="TableParagraph"/>
              <w:spacing w:before="80"/>
              <w:ind w:left="19"/>
              <w:rPr>
                <w:sz w:val="17"/>
              </w:rPr>
            </w:pPr>
            <w:r>
              <w:rPr>
                <w:sz w:val="17"/>
              </w:rPr>
              <w:t>30</w:t>
            </w:r>
          </w:p>
        </w:tc>
      </w:tr>
      <w:tr>
        <w:trPr>
          <w:trHeight w:val="385"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rPr>
                <w:sz w:val="22"/>
              </w:rPr>
            </w:pPr>
          </w:p>
        </w:tc>
        <w:tc>
          <w:tcPr>
            <w:tcW w:w="414" w:type="dxa"/>
          </w:tcPr>
          <w:p>
            <w:pPr>
              <w:pStyle w:val="TableParagraph"/>
              <w:rPr>
                <w:sz w:val="22"/>
              </w:rPr>
            </w:pPr>
          </w:p>
        </w:tc>
        <w:tc>
          <w:tcPr>
            <w:tcW w:w="1514" w:type="dxa"/>
          </w:tcPr>
          <w:p>
            <w:pPr>
              <w:pStyle w:val="TableParagraph"/>
              <w:rPr>
                <w:sz w:val="22"/>
              </w:rPr>
            </w:pPr>
          </w:p>
        </w:tc>
        <w:tc>
          <w:tcPr>
            <w:tcW w:w="505" w:type="dxa"/>
            <w:tcBorders>
              <w:right w:val="single" w:sz="4" w:space="0" w:color="000000"/>
            </w:tcBorders>
          </w:tcPr>
          <w:p>
            <w:pPr>
              <w:pStyle w:val="TableParagraph"/>
              <w:spacing w:before="91"/>
              <w:ind w:left="19"/>
              <w:rPr>
                <w:sz w:val="17"/>
              </w:rPr>
            </w:pPr>
            <w:r>
              <w:rPr>
                <w:sz w:val="17"/>
              </w:rPr>
              <w:t>25</w:t>
            </w:r>
          </w:p>
        </w:tc>
      </w:tr>
      <w:tr>
        <w:trPr>
          <w:trHeight w:val="384"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rPr>
                <w:sz w:val="22"/>
              </w:rPr>
            </w:pPr>
          </w:p>
        </w:tc>
        <w:tc>
          <w:tcPr>
            <w:tcW w:w="414" w:type="dxa"/>
          </w:tcPr>
          <w:p>
            <w:pPr>
              <w:pStyle w:val="TableParagraph"/>
              <w:rPr>
                <w:sz w:val="22"/>
              </w:rPr>
            </w:pPr>
          </w:p>
        </w:tc>
        <w:tc>
          <w:tcPr>
            <w:tcW w:w="1514" w:type="dxa"/>
          </w:tcPr>
          <w:p>
            <w:pPr>
              <w:pStyle w:val="TableParagraph"/>
              <w:rPr>
                <w:sz w:val="22"/>
              </w:rPr>
            </w:pPr>
          </w:p>
        </w:tc>
        <w:tc>
          <w:tcPr>
            <w:tcW w:w="505" w:type="dxa"/>
            <w:tcBorders>
              <w:right w:val="single" w:sz="4" w:space="0" w:color="000000"/>
            </w:tcBorders>
          </w:tcPr>
          <w:p>
            <w:pPr>
              <w:pStyle w:val="TableParagraph"/>
              <w:spacing w:before="91"/>
              <w:ind w:left="19"/>
              <w:rPr>
                <w:sz w:val="17"/>
              </w:rPr>
            </w:pPr>
            <w:r>
              <w:rPr>
                <w:sz w:val="17"/>
              </w:rPr>
              <w:t>20</w:t>
            </w:r>
          </w:p>
        </w:tc>
      </w:tr>
      <w:tr>
        <w:trPr>
          <w:trHeight w:val="384"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rPr>
                <w:sz w:val="22"/>
              </w:rPr>
            </w:pPr>
          </w:p>
        </w:tc>
        <w:tc>
          <w:tcPr>
            <w:tcW w:w="414" w:type="dxa"/>
          </w:tcPr>
          <w:p>
            <w:pPr>
              <w:pStyle w:val="TableParagraph"/>
              <w:rPr>
                <w:sz w:val="22"/>
              </w:rPr>
            </w:pPr>
          </w:p>
        </w:tc>
        <w:tc>
          <w:tcPr>
            <w:tcW w:w="1514" w:type="dxa"/>
          </w:tcPr>
          <w:p>
            <w:pPr>
              <w:pStyle w:val="TableParagraph"/>
              <w:rPr>
                <w:sz w:val="22"/>
              </w:rPr>
            </w:pPr>
          </w:p>
        </w:tc>
        <w:tc>
          <w:tcPr>
            <w:tcW w:w="505" w:type="dxa"/>
            <w:tcBorders>
              <w:right w:val="single" w:sz="4" w:space="0" w:color="000000"/>
            </w:tcBorders>
          </w:tcPr>
          <w:p>
            <w:pPr>
              <w:pStyle w:val="TableParagraph"/>
              <w:spacing w:before="91"/>
              <w:ind w:left="19"/>
              <w:rPr>
                <w:sz w:val="17"/>
              </w:rPr>
            </w:pPr>
            <w:r>
              <w:rPr>
                <w:sz w:val="17"/>
              </w:rPr>
              <w:t>15</w:t>
            </w:r>
          </w:p>
        </w:tc>
      </w:tr>
      <w:tr>
        <w:trPr>
          <w:trHeight w:val="385"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rPr>
                <w:sz w:val="22"/>
              </w:rPr>
            </w:pPr>
          </w:p>
        </w:tc>
        <w:tc>
          <w:tcPr>
            <w:tcW w:w="414" w:type="dxa"/>
          </w:tcPr>
          <w:p>
            <w:pPr>
              <w:pStyle w:val="TableParagraph"/>
              <w:rPr>
                <w:sz w:val="22"/>
              </w:rPr>
            </w:pPr>
          </w:p>
        </w:tc>
        <w:tc>
          <w:tcPr>
            <w:tcW w:w="1514" w:type="dxa"/>
          </w:tcPr>
          <w:p>
            <w:pPr>
              <w:pStyle w:val="TableParagraph"/>
              <w:rPr>
                <w:sz w:val="22"/>
              </w:rPr>
            </w:pPr>
          </w:p>
        </w:tc>
        <w:tc>
          <w:tcPr>
            <w:tcW w:w="505" w:type="dxa"/>
            <w:tcBorders>
              <w:right w:val="single" w:sz="4" w:space="0" w:color="000000"/>
            </w:tcBorders>
          </w:tcPr>
          <w:p>
            <w:pPr>
              <w:pStyle w:val="TableParagraph"/>
              <w:spacing w:before="91"/>
              <w:ind w:left="19"/>
              <w:rPr>
                <w:sz w:val="17"/>
              </w:rPr>
            </w:pPr>
            <w:r>
              <w:rPr>
                <w:sz w:val="17"/>
              </w:rPr>
              <w:t>10</w:t>
            </w:r>
          </w:p>
        </w:tc>
      </w:tr>
      <w:tr>
        <w:trPr>
          <w:trHeight w:val="384"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rPr>
                <w:sz w:val="22"/>
              </w:rPr>
            </w:pPr>
          </w:p>
        </w:tc>
        <w:tc>
          <w:tcPr>
            <w:tcW w:w="414" w:type="dxa"/>
          </w:tcPr>
          <w:p>
            <w:pPr>
              <w:pStyle w:val="TableParagraph"/>
              <w:rPr>
                <w:sz w:val="22"/>
              </w:rPr>
            </w:pPr>
          </w:p>
        </w:tc>
        <w:tc>
          <w:tcPr>
            <w:tcW w:w="1514" w:type="dxa"/>
          </w:tcPr>
          <w:p>
            <w:pPr>
              <w:pStyle w:val="TableParagraph"/>
              <w:rPr>
                <w:sz w:val="22"/>
              </w:rPr>
            </w:pPr>
          </w:p>
        </w:tc>
        <w:tc>
          <w:tcPr>
            <w:tcW w:w="505" w:type="dxa"/>
            <w:tcBorders>
              <w:right w:val="single" w:sz="4" w:space="0" w:color="000000"/>
            </w:tcBorders>
          </w:tcPr>
          <w:p>
            <w:pPr>
              <w:pStyle w:val="TableParagraph"/>
              <w:spacing w:before="91"/>
              <w:ind w:left="19"/>
              <w:rPr>
                <w:sz w:val="17"/>
              </w:rPr>
            </w:pPr>
            <w:r>
              <w:rPr>
                <w:w w:val="100"/>
                <w:sz w:val="17"/>
              </w:rPr>
              <w:t>5</w:t>
            </w:r>
          </w:p>
        </w:tc>
      </w:tr>
      <w:tr>
        <w:trPr>
          <w:trHeight w:val="320" w:hRule="atLeast"/>
        </w:trPr>
        <w:tc>
          <w:tcPr>
            <w:tcW w:w="915" w:type="dxa"/>
            <w:tcBorders>
              <w:left w:val="single" w:sz="4" w:space="0" w:color="000000"/>
            </w:tcBorders>
          </w:tcPr>
          <w:p>
            <w:pPr>
              <w:pStyle w:val="TableParagraph"/>
              <w:rPr>
                <w:sz w:val="22"/>
              </w:rPr>
            </w:pPr>
          </w:p>
        </w:tc>
        <w:tc>
          <w:tcPr>
            <w:tcW w:w="773" w:type="dxa"/>
          </w:tcPr>
          <w:p>
            <w:pPr>
              <w:pStyle w:val="TableParagraph"/>
              <w:rPr>
                <w:sz w:val="22"/>
              </w:rPr>
            </w:pPr>
          </w:p>
        </w:tc>
        <w:tc>
          <w:tcPr>
            <w:tcW w:w="917" w:type="dxa"/>
          </w:tcPr>
          <w:p>
            <w:pPr>
              <w:pStyle w:val="TableParagraph"/>
              <w:rPr>
                <w:sz w:val="22"/>
              </w:rPr>
            </w:pPr>
          </w:p>
        </w:tc>
        <w:tc>
          <w:tcPr>
            <w:tcW w:w="414" w:type="dxa"/>
          </w:tcPr>
          <w:p>
            <w:pPr>
              <w:pStyle w:val="TableParagraph"/>
              <w:rPr>
                <w:sz w:val="22"/>
              </w:rPr>
            </w:pPr>
          </w:p>
        </w:tc>
        <w:tc>
          <w:tcPr>
            <w:tcW w:w="1514" w:type="dxa"/>
          </w:tcPr>
          <w:p>
            <w:pPr>
              <w:pStyle w:val="TableParagraph"/>
              <w:rPr>
                <w:sz w:val="22"/>
              </w:rPr>
            </w:pPr>
          </w:p>
        </w:tc>
        <w:tc>
          <w:tcPr>
            <w:tcW w:w="505" w:type="dxa"/>
            <w:tcBorders>
              <w:right w:val="single" w:sz="4" w:space="0" w:color="000000"/>
            </w:tcBorders>
          </w:tcPr>
          <w:p>
            <w:pPr>
              <w:pStyle w:val="TableParagraph"/>
              <w:spacing w:before="91"/>
              <w:ind w:left="19"/>
              <w:rPr>
                <w:sz w:val="17"/>
              </w:rPr>
            </w:pPr>
            <w:r>
              <w:rPr>
                <w:w w:val="100"/>
                <w:sz w:val="17"/>
              </w:rPr>
              <w:t>0</w:t>
            </w:r>
          </w:p>
        </w:tc>
      </w:tr>
      <w:tr>
        <w:trPr>
          <w:trHeight w:val="232" w:hRule="atLeast"/>
        </w:trPr>
        <w:tc>
          <w:tcPr>
            <w:tcW w:w="915" w:type="dxa"/>
            <w:tcBorders>
              <w:left w:val="single" w:sz="4" w:space="0" w:color="000000"/>
            </w:tcBorders>
          </w:tcPr>
          <w:p>
            <w:pPr>
              <w:pStyle w:val="TableParagraph"/>
              <w:spacing w:line="185" w:lineRule="exact" w:before="28"/>
              <w:ind w:left="433"/>
              <w:rPr>
                <w:sz w:val="17"/>
              </w:rPr>
            </w:pPr>
            <w:r>
              <w:rPr>
                <w:sz w:val="17"/>
              </w:rPr>
              <w:t>1989</w:t>
            </w:r>
          </w:p>
        </w:tc>
        <w:tc>
          <w:tcPr>
            <w:tcW w:w="773" w:type="dxa"/>
          </w:tcPr>
          <w:p>
            <w:pPr>
              <w:pStyle w:val="TableParagraph"/>
              <w:spacing w:line="185" w:lineRule="exact" w:before="28"/>
              <w:ind w:left="117" w:right="109"/>
              <w:jc w:val="center"/>
              <w:rPr>
                <w:sz w:val="17"/>
              </w:rPr>
            </w:pPr>
            <w:r>
              <w:rPr>
                <w:sz w:val="17"/>
              </w:rPr>
              <w:t>1997</w:t>
            </w:r>
          </w:p>
        </w:tc>
        <w:tc>
          <w:tcPr>
            <w:tcW w:w="917" w:type="dxa"/>
          </w:tcPr>
          <w:p>
            <w:pPr>
              <w:pStyle w:val="TableParagraph"/>
              <w:spacing w:line="185" w:lineRule="exact" w:before="28"/>
              <w:ind w:left="137"/>
              <w:rPr>
                <w:sz w:val="17"/>
              </w:rPr>
            </w:pPr>
            <w:r>
              <w:rPr>
                <w:sz w:val="17"/>
              </w:rPr>
              <w:t>2004</w:t>
            </w:r>
          </w:p>
        </w:tc>
        <w:tc>
          <w:tcPr>
            <w:tcW w:w="414" w:type="dxa"/>
          </w:tcPr>
          <w:p>
            <w:pPr>
              <w:pStyle w:val="TableParagraph"/>
              <w:rPr>
                <w:sz w:val="16"/>
              </w:rPr>
            </w:pPr>
          </w:p>
        </w:tc>
        <w:tc>
          <w:tcPr>
            <w:tcW w:w="1514" w:type="dxa"/>
          </w:tcPr>
          <w:p>
            <w:pPr>
              <w:pStyle w:val="TableParagraph"/>
              <w:tabs>
                <w:tab w:pos="888" w:val="left" w:leader="none"/>
              </w:tabs>
              <w:spacing w:line="185" w:lineRule="exact" w:before="28"/>
              <w:ind w:left="193"/>
              <w:rPr>
                <w:sz w:val="17"/>
              </w:rPr>
            </w:pPr>
            <w:r>
              <w:rPr>
                <w:sz w:val="17"/>
              </w:rPr>
              <w:t>1997</w:t>
              <w:tab/>
              <w:t>2004</w:t>
            </w:r>
          </w:p>
        </w:tc>
        <w:tc>
          <w:tcPr>
            <w:tcW w:w="505" w:type="dxa"/>
            <w:tcBorders>
              <w:right w:val="single" w:sz="4" w:space="0" w:color="000000"/>
            </w:tcBorders>
          </w:tcPr>
          <w:p>
            <w:pPr>
              <w:pStyle w:val="TableParagraph"/>
              <w:rPr>
                <w:sz w:val="16"/>
              </w:rPr>
            </w:pPr>
          </w:p>
        </w:tc>
      </w:tr>
      <w:tr>
        <w:trPr>
          <w:trHeight w:val="392" w:hRule="atLeast"/>
        </w:trPr>
        <w:tc>
          <w:tcPr>
            <w:tcW w:w="915" w:type="dxa"/>
            <w:tcBorders>
              <w:left w:val="single" w:sz="4" w:space="0" w:color="000000"/>
              <w:bottom w:val="single" w:sz="4" w:space="0" w:color="000000"/>
            </w:tcBorders>
          </w:tcPr>
          <w:p>
            <w:pPr>
              <w:pStyle w:val="TableParagraph"/>
              <w:rPr>
                <w:sz w:val="22"/>
              </w:rPr>
            </w:pPr>
          </w:p>
        </w:tc>
        <w:tc>
          <w:tcPr>
            <w:tcW w:w="773" w:type="dxa"/>
            <w:tcBorders>
              <w:bottom w:val="single" w:sz="4" w:space="0" w:color="000000"/>
            </w:tcBorders>
          </w:tcPr>
          <w:p>
            <w:pPr>
              <w:pStyle w:val="TableParagraph"/>
              <w:spacing w:before="2"/>
              <w:ind w:left="123" w:right="109"/>
              <w:jc w:val="center"/>
              <w:rPr>
                <w:sz w:val="18"/>
              </w:rPr>
            </w:pPr>
            <w:r>
              <w:rPr>
                <w:sz w:val="18"/>
              </w:rPr>
              <w:t>Output</w:t>
            </w:r>
          </w:p>
        </w:tc>
        <w:tc>
          <w:tcPr>
            <w:tcW w:w="917" w:type="dxa"/>
            <w:tcBorders>
              <w:bottom w:val="single" w:sz="4" w:space="0" w:color="000000"/>
            </w:tcBorders>
          </w:tcPr>
          <w:p>
            <w:pPr>
              <w:pStyle w:val="TableParagraph"/>
              <w:rPr>
                <w:sz w:val="22"/>
              </w:rPr>
            </w:pPr>
          </w:p>
        </w:tc>
        <w:tc>
          <w:tcPr>
            <w:tcW w:w="414" w:type="dxa"/>
            <w:tcBorders>
              <w:bottom w:val="single" w:sz="4" w:space="0" w:color="000000"/>
            </w:tcBorders>
          </w:tcPr>
          <w:p>
            <w:pPr>
              <w:pStyle w:val="TableParagraph"/>
              <w:rPr>
                <w:sz w:val="22"/>
              </w:rPr>
            </w:pPr>
          </w:p>
        </w:tc>
        <w:tc>
          <w:tcPr>
            <w:tcW w:w="1514" w:type="dxa"/>
            <w:tcBorders>
              <w:bottom w:val="single" w:sz="4" w:space="0" w:color="000000"/>
            </w:tcBorders>
          </w:tcPr>
          <w:p>
            <w:pPr>
              <w:pStyle w:val="TableParagraph"/>
              <w:spacing w:before="2"/>
              <w:ind w:left="35"/>
              <w:rPr>
                <w:sz w:val="18"/>
              </w:rPr>
            </w:pPr>
            <w:r>
              <w:rPr>
                <w:sz w:val="18"/>
              </w:rPr>
              <w:t>Employment</w:t>
            </w:r>
          </w:p>
        </w:tc>
        <w:tc>
          <w:tcPr>
            <w:tcW w:w="505" w:type="dxa"/>
            <w:tcBorders>
              <w:bottom w:val="single" w:sz="4" w:space="0" w:color="000000"/>
              <w:right w:val="single" w:sz="4" w:space="0" w:color="000000"/>
            </w:tcBorders>
          </w:tcPr>
          <w:p>
            <w:pPr>
              <w:pStyle w:val="TableParagraph"/>
              <w:rPr>
                <w:sz w:val="22"/>
              </w:rPr>
            </w:pPr>
          </w:p>
        </w:tc>
      </w:tr>
      <w:tr>
        <w:trPr>
          <w:trHeight w:val="920" w:hRule="atLeast"/>
        </w:trPr>
        <w:tc>
          <w:tcPr>
            <w:tcW w:w="5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Pr>
                <w:i/>
                <w:sz w:val="20"/>
              </w:rPr>
            </w:pPr>
            <w:r>
              <w:rPr>
                <w:i/>
                <w:sz w:val="20"/>
              </w:rPr>
              <w:t>Source: ONS</w:t>
            </w:r>
          </w:p>
          <w:p>
            <w:pPr>
              <w:pStyle w:val="TableParagraph"/>
              <w:ind w:left="106" w:right="263"/>
              <w:rPr>
                <w:i/>
                <w:sz w:val="20"/>
              </w:rPr>
            </w:pPr>
            <w:r>
              <w:rPr>
                <w:i/>
                <w:sz w:val="20"/>
              </w:rPr>
              <w:t>Note: Top 6 regions by share of manufacturing in total </w:t>
            </w:r>
            <w:r>
              <w:rPr>
                <w:i/>
                <w:sz w:val="20"/>
              </w:rPr>
              <w:t>output: North East, North West, Yorkshire &amp; the Humber,</w:t>
            </w:r>
          </w:p>
          <w:p>
            <w:pPr>
              <w:pStyle w:val="TableParagraph"/>
              <w:spacing w:line="213" w:lineRule="exact"/>
              <w:ind w:left="106"/>
              <w:rPr>
                <w:i/>
                <w:sz w:val="20"/>
              </w:rPr>
            </w:pPr>
            <w:r>
              <w:rPr>
                <w:i/>
                <w:sz w:val="20"/>
              </w:rPr>
              <w:t>East Midlands, West Midlands and Wales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BodyText"/>
        <w:spacing w:line="360" w:lineRule="auto" w:before="90"/>
        <w:ind w:left="221"/>
      </w:pPr>
      <w:r>
        <w:rPr/>
        <w:t>As Chart 7 shows, the result is that the structure of employment and output in the traditional manufacturing regions of the UK is now much closer to the pattern for the nation as a whole. This is a helpful development for the conduct of monetary policy, as manufacturing is one of the more volatile sectors of the economy. As the industrial structure of the UK regions has become more homogenous, the range of unemployment rates</w:t>
      </w:r>
      <w:r>
        <w:rPr>
          <w:spacing w:val="51"/>
        </w:rPr>
        <w:t> </w:t>
      </w:r>
      <w:r>
        <w:rPr/>
        <w:t>has</w:t>
      </w:r>
      <w:r>
        <w:rPr>
          <w:spacing w:val="52"/>
        </w:rPr>
        <w:t> </w:t>
      </w:r>
      <w:r>
        <w:rPr/>
        <w:t>also</w:t>
      </w:r>
      <w:r>
        <w:rPr>
          <w:spacing w:val="52"/>
        </w:rPr>
        <w:t> </w:t>
      </w:r>
      <w:r>
        <w:rPr/>
        <w:t>narrowed.</w:t>
      </w:r>
      <w:r>
        <w:rPr>
          <w:spacing w:val="52"/>
        </w:rPr>
        <w:t> </w:t>
      </w:r>
      <w:r>
        <w:rPr/>
        <w:t>The</w:t>
      </w:r>
      <w:r>
        <w:rPr>
          <w:spacing w:val="52"/>
        </w:rPr>
        <w:t> </w:t>
      </w:r>
      <w:r>
        <w:rPr/>
        <w:t>gap</w:t>
      </w:r>
      <w:r>
        <w:rPr>
          <w:spacing w:val="52"/>
        </w:rPr>
        <w:t> </w:t>
      </w:r>
      <w:r>
        <w:rPr/>
        <w:t>between</w:t>
      </w:r>
      <w:r>
        <w:rPr>
          <w:spacing w:val="51"/>
        </w:rPr>
        <w:t> </w:t>
      </w:r>
      <w:r>
        <w:rPr/>
        <w:t>the</w:t>
      </w:r>
      <w:r>
        <w:rPr>
          <w:spacing w:val="52"/>
        </w:rPr>
        <w:t> </w:t>
      </w:r>
      <w:r>
        <w:rPr/>
        <w:t>regions</w:t>
      </w:r>
      <w:r>
        <w:rPr>
          <w:spacing w:val="52"/>
        </w:rPr>
        <w:t> </w:t>
      </w:r>
      <w:r>
        <w:rPr/>
        <w:t>with</w:t>
      </w:r>
      <w:r>
        <w:rPr>
          <w:spacing w:val="52"/>
        </w:rPr>
        <w:t> </w:t>
      </w:r>
      <w:r>
        <w:rPr/>
        <w:t>the</w:t>
      </w:r>
      <w:r>
        <w:rPr>
          <w:spacing w:val="52"/>
        </w:rPr>
        <w:t> </w:t>
      </w:r>
      <w:r>
        <w:rPr/>
        <w:t>highest</w:t>
      </w:r>
      <w:r>
        <w:rPr>
          <w:spacing w:val="52"/>
        </w:rPr>
        <w:t> </w:t>
      </w:r>
      <w:r>
        <w:rPr/>
        <w:t>and</w:t>
      </w:r>
      <w:r>
        <w:rPr>
          <w:spacing w:val="51"/>
        </w:rPr>
        <w:t> </w:t>
      </w:r>
      <w:r>
        <w:rPr/>
        <w:t>lowest</w:t>
      </w:r>
    </w:p>
    <w:p>
      <w:pPr>
        <w:pStyle w:val="BodyText"/>
        <w:spacing w:before="5"/>
        <w:rPr>
          <w:sz w:val="29"/>
        </w:rPr>
      </w:pPr>
      <w:r>
        <w:rPr/>
        <w:pict>
          <v:shape style="position:absolute;margin-left:85.080002pt;margin-top:19.210377pt;width:144pt;height:.1pt;mso-position-horizontal-relative:page;mso-position-vertical-relative:paragraph;z-index:-251641856;mso-wrap-distance-left:0;mso-wrap-distance-right:0" coordorigin="1702,384" coordsize="2880,0" path="m1702,384l4582,384e" filled="false" stroked="true" strokeweight=".600010pt" strokecolor="#000000">
            <v:path arrowok="t"/>
            <v:stroke dashstyle="solid"/>
            <w10:wrap type="topAndBottom"/>
          </v:shape>
        </w:pict>
      </w:r>
    </w:p>
    <w:p>
      <w:pPr>
        <w:spacing w:before="49"/>
        <w:ind w:left="221" w:right="340" w:firstLine="0"/>
        <w:jc w:val="left"/>
        <w:rPr>
          <w:sz w:val="20"/>
        </w:rPr>
      </w:pPr>
      <w:r>
        <w:rPr>
          <w:position w:val="9"/>
          <w:sz w:val="13"/>
        </w:rPr>
        <w:t>11 </w:t>
      </w:r>
      <w:r>
        <w:rPr>
          <w:sz w:val="20"/>
        </w:rPr>
        <w:t>See Blanchflower (2007) for a recent discussion of labour market developments. Sentance (2007a) discusses how favourable supply side factors and improved macroeconomic management have allowed UK unemployment to fall significantly since the mid-1990s</w:t>
      </w:r>
    </w:p>
    <w:p>
      <w:pPr>
        <w:spacing w:after="0"/>
        <w:jc w:val="left"/>
        <w:rPr>
          <w:sz w:val="20"/>
        </w:rPr>
        <w:sectPr>
          <w:pgSz w:w="11900" w:h="16840"/>
          <w:pgMar w:header="0" w:footer="710" w:top="1380" w:bottom="900" w:left="1480" w:right="1580"/>
        </w:sectPr>
      </w:pPr>
    </w:p>
    <w:p>
      <w:pPr>
        <w:pStyle w:val="BodyText"/>
        <w:spacing w:line="360" w:lineRule="auto" w:before="61"/>
        <w:ind w:left="221" w:right="145"/>
      </w:pPr>
      <w:r>
        <w:rPr/>
        <w:pict>
          <v:group style="position:absolute;margin-left:111.359001pt;margin-top:120.0634pt;width:207.15pt;height:153.550pt;mso-position-horizontal-relative:page;mso-position-vertical-relative:paragraph;z-index:-254175232" coordorigin="2227,2401" coordsize="4143,3071">
            <v:shape style="position:absolute;left:2241;top:2401;width:4128;height:3070" coordorigin="2242,2402" coordsize="4128,3070" path="m6314,2402l6314,5416m6314,5416l6370,5416m6314,4813l6370,4813m6314,4210l6370,4210m6314,3607l6370,3607m6314,3005l6370,3005m6314,2402l6370,2402m2242,5416l6314,5416m2242,5471l2242,5416m2876,5471l2876,5416m3511,5471l3511,5416m4146,5471l4146,5416m4781,5471l4781,5416m5416,5471l5416,5416m6049,5471l6049,5416e" filled="false" stroked="true" strokeweight=".06pt" strokecolor="#000000">
              <v:path arrowok="t"/>
              <v:stroke dashstyle="solid"/>
            </v:shape>
            <v:line style="position:absolute" from="2246,4973" to="2278,4873" stroked="true" strokeweight="1.922pt" strokecolor="#000080">
              <v:stroke dashstyle="solid"/>
            </v:line>
            <v:shape style="position:absolute;left:2277;top:3287;width:3333;height:1586" coordorigin="2278,3287" coordsize="3333,1586" path="m2278,4873l2311,4793m2311,4793l2342,4713m2342,4713l2374,4653m2374,4653l2405,4631m2405,4631l2436,4612m2436,4612l2470,4612,2502,4612m2502,4612l2533,4593m2533,4593l2564,4552m2564,4552l2596,4552m2596,4552l2629,4571m2629,4571l2660,4593m2660,4593l2692,4593m2692,4593l2723,4631m2723,4631l2754,4631m2754,4631l2788,4653m2788,4653l2819,4672m2819,4672l2850,4672m2850,4672l2881,4631m2881,4631l2912,4552m2912,4552l2946,4411m2946,4411l2977,4231m2977,4231l3008,4049m3008,4049l3040,3910m3040,3910l3071,3809m3071,3809l3104,3749m3104,3749l3136,3689m3136,3689l3167,3647m3167,3647l3198,3587m3198,3587l3230,3527m3230,3527l3264,3467m3264,3467l3295,3427m3295,3427l3326,3427m3326,3427l3358,3407m3358,3407l3389,3427m3389,3427l3422,3407m3422,3407l3454,3386m3454,3386l3485,3347m3485,3347l3516,3367m3516,3367l3547,3347m3547,3347l3581,3347m3581,3347l3612,3326m3612,3326l3643,3307m3643,3307l3674,3307m3674,3307l3706,3287m3706,3287l3739,3326m3739,3326l3770,3386m3770,3386l3802,3467m3802,3467l3833,3566m3833,3566l3864,3667m3864,3667l3898,3769m3898,3769l3930,3848m3930,3848l3961,3949m3961,3949l3992,4030m3992,4030l4024,4129m4024,4129l4057,4210m4057,4210l4088,4271m4088,4271l4120,4312m4120,4312l4151,4351m4151,4351l4182,4372m4182,4372l4216,4331m4216,4331l4247,4231m4247,4231l4278,4090m4278,4090l4309,3929m4309,3929l4340,3809m4340,3809l4374,3728m4374,3728l4405,3667m4405,3667l4436,3607,4468,3547m4468,3547l4499,3467m4499,3467l4532,3427m4532,3427l4564,3427m4564,3427l4595,3467m4595,3467l4626,3506m4626,3506l4658,3547m4658,3547l4692,3607m4692,3607l4723,3667m4723,3667l4754,3749m4754,3749l4786,3829m4786,3829l4817,3869m4817,3869l4850,3910m4850,3910l4882,3929,4913,3949m4913,3949l4944,3970m4944,3970l4975,4030m4975,4030l5009,4129m5009,4129l5040,4231m5040,4231l5071,4331m5071,4331l5102,4391,5134,4451m5134,4451l5167,4492m5167,4492l5198,4511m5198,4511l5230,4511m5230,4511l5261,4531m5261,4531l5292,4552m5292,4552l5326,4571m5326,4571l5358,4593m5358,4593l5389,4631m5389,4631l5420,4653m5420,4653l5452,4691m5452,4691l5485,4713m5485,4713l5516,4732m5516,4732l5548,4773m5548,4773l5579,4773m5579,4773l5610,4793e" filled="false" stroked="true" strokeweight="1.922pt" strokecolor="#000080">
              <v:path arrowok="t"/>
              <v:stroke dashstyle="solid"/>
            </v:shape>
            <v:line style="position:absolute" from="5591,4793" to="5756,4793" stroked="true" strokeweight="1.922pt" strokecolor="#000080">
              <v:stroke dashstyle="solid"/>
            </v:line>
            <v:shape style="position:absolute;left:5737;top:4793;width:542;height:101" coordorigin="5737,4793" coordsize="542,101" path="m5737,4793l5768,4813m5768,4813l5802,4813,5833,4813,5864,4813m5864,4813l5896,4834m5896,4834l5927,4853m5927,4853l5960,4873m5960,4873l5992,4873m5992,4873l6023,4894m6023,4894l6054,4894m6054,4894l6086,4873m6086,4873l6120,4873m6120,4873l6151,4853,6182,4834m6182,4834l6214,4813m6214,4813l6245,4813m6245,4813l6278,4813e" filled="false" stroked="true" strokeweight="1.922pt" strokecolor="#000080">
              <v:path arrowok="t"/>
              <v:stroke dashstyle="solid"/>
            </v:shape>
            <v:line style="position:absolute" from="6278,4813" to="6310,4834" stroked="true" strokeweight="1.922pt" strokecolor="#000080">
              <v:stroke dashstyle="solid"/>
            </v:line>
            <v:line style="position:absolute" from="2246,4735" to="2278,4658" stroked="true" strokeweight="1.922pt" strokecolor="#ff00ff">
              <v:stroke dashstyle="solid"/>
            </v:line>
            <v:shape style="position:absolute;left:2277;top:2550;width:4001;height:2184" coordorigin="2278,2551" coordsize="4001,2184" path="m2278,4658l2311,4547m2311,4547l2342,4466m2342,4466l2374,4423m2374,4423l2405,4348m2405,4348l2436,4307m2436,4307l2470,4283m2470,4283l2502,4279m2502,4279l2533,4240m2533,4240l2564,4177m2564,4177l2596,4150m2596,4150l2629,4155m2629,4155l2660,4160m2660,4160l2692,4162m2692,4162l2723,4189m2723,4189l2754,4189m2754,4189l2788,4193m2788,4193l2819,4198m2819,4198l2850,4193m2850,4193l2881,4131m2881,4131l2912,4025m2912,4025l2946,3877m2946,3877l2977,3669m2977,3669l3008,3467m3008,3467l3040,3331m3040,3331l3071,3227m3071,3227l3104,3153m3104,3153l3136,3082m3136,3082l3167,3039m3167,3039l3198,2967m3198,2967l3230,2883m3230,2883l3264,2859m3264,2859l3295,2806m3295,2806l3326,2785m3326,2785l3358,2770m3358,2770l3389,2753m3389,2753l3422,2734m3422,2734l3454,2703m3454,2703l3485,2693m3485,2693l3516,2705m3516,2705l3547,2665m3547,2665l3581,2660m3581,2660l3612,2631,3643,2602m3643,2602l3674,2583m3674,2583l3706,2557m3706,2557l3739,2551m3739,2551l3770,2581m3770,2581l3802,2638m3802,2638l3833,2734m3833,2734l3864,2825m3864,2825l3898,2933m3898,2933l3930,3013m3930,3013l3961,3104m3961,3104l3992,3158m3992,3158l4024,3237m4024,3237l4057,3357m4057,3357l4088,3448m4088,3448l4120,3535m4120,3535l4151,3587m4151,3587l4182,3647m4182,3647l4216,3662m4216,3662l4247,3611m4247,3611l4278,3583m4278,3583l4309,3494m4309,3494l4340,3451m4340,3451l4374,3412m4374,3412l4405,3400m4405,3400l4436,3379m4436,3379l4468,3340m4468,3340l4499,3278m4499,3278l4532,3251m4532,3251l4564,3261m4564,3261l4595,3275m4595,3275l4626,3302m4626,3302l4658,3297m4658,3297l4692,3343m4692,3343l4723,3386m4723,3386l4754,3455m4754,3455l4786,3554m4786,3554l4817,3607m4817,3607l4850,3631m4850,3631l4882,3643m4882,3643l4913,3677m4913,3677l4944,3687m4944,3687l4975,3733m4975,3733l5009,3841m5009,3841l5040,3939m5040,3939l5071,4030m5071,4030l5102,4081m5102,4081l5134,4133m5134,4133l5167,4162m5167,4162l5198,4198m5198,4198l5230,4205m5230,4205l5261,4217m5261,4217l5292,4208m5292,4208l5326,4238m5326,4238l5358,4276m5358,4276l5389,4329m5389,4329l5420,4339m5420,4339l5452,4375m5452,4375l5485,4420m5485,4420l5516,4437m5516,4437l5548,4475,5579,4514m5579,4514l5610,4526m5610,4526l5644,4526m5644,4526l5675,4543m5675,4543l5706,4550m5706,4550l5737,4574m5737,4574l5768,4583m5768,4583l5802,4605m5802,4605l5833,4612m5833,4612l5864,4615m5864,4615l5896,4627m5896,4627l5927,4651m5927,4651l5960,4679m5960,4679l5992,4703m5992,4703l6023,4715m6023,4715l6054,4735m6054,4735l6086,4735m6086,4735l6120,4730m6120,4730l6151,4727m6151,4727l6182,4723m6182,4723l6214,4703m6214,4703l6245,4706m6245,4706l6278,4713e" filled="false" stroked="true" strokeweight="1.922pt" strokecolor="#ff00ff">
              <v:path arrowok="t"/>
              <v:stroke dashstyle="solid"/>
            </v:shape>
            <v:line style="position:absolute" from="6278,4713" to="6310,4747" stroked="true" strokeweight="1.922pt" strokecolor="#ff00ff">
              <v:stroke dashstyle="solid"/>
            </v:line>
            <v:line style="position:absolute" from="2246,5069" to="2278,4978" stroked="true" strokeweight="1.922pt" strokecolor="#ff0000">
              <v:stroke dashstyle="solid"/>
            </v:line>
            <v:shape style="position:absolute;left:2277;top:3637;width:3460;height:1422" coordorigin="2278,3638" coordsize="3460,1422" path="m2278,4978l2311,4901m2311,4901l2342,4827m2342,4827l2374,4785m2374,4785l2405,4761m2405,4761l2436,4749m2436,4749l2470,4730m2470,4730l2502,4735m2502,4735l2533,4723m2533,4723l2564,4689m2564,4689l2596,4699m2596,4699l2629,4744m2629,4744l2660,4763m2660,4763l2692,4775m2692,4775l2723,4815m2723,4815l2754,4829m2754,4829l2788,4861m2788,4861l2819,4882m2819,4882l2850,4901m2850,4901l2881,4906m2881,4906l2912,4841m2912,4841l2946,4727m2946,4727l2977,4583m2977,4583l3008,4447m3008,4447l3040,4327m3040,4327l3071,4257m3071,4257l3104,4196m3104,4196l3136,4150m3136,4150l3167,4124m3167,4124l3198,4085m3198,4085l3230,4025m3230,4025l3264,3994m3264,3994l3295,3982m3295,3982l3326,3968m3326,3968l3358,3958m3358,3958l3389,3997m3389,3997l3422,3982m3422,3982l3454,3951m3454,3951l3485,3927m3485,3927l3516,3927m3516,3927l3547,3922m3547,3922l3581,3929m3581,3929l3612,3913m3612,3913l3643,3893m3643,3893l3674,3886m3674,3886l3706,3893m3706,3893l3739,3917m3739,3917l3770,3999m3770,3999l3802,4078m3802,4078l3833,4169m3833,4169l3864,4267m3864,4267l3898,4365m3898,4365l3930,4461m3930,4461l3961,4543m3961,4543l3992,4619m3992,4619l4024,4727m4024,4727l4057,4778m4057,4778l4088,4801m4088,4801l4120,4815m4120,4815l4151,4839m4151,4839l4182,4820m4182,4820l4216,4739m4216,4739l4247,4629m4247,4629l4278,4471m4278,4471l4309,4291m4309,4291l4340,4141m4340,4141l4374,4049m4374,4049l4405,3944m4405,3944l4436,3865m4436,3865l4468,3783m4468,3783l4499,3685m4499,3685l4532,3638m4532,3638l4564,3664m4564,3664l4595,3704m4595,3704l4626,3764m4626,3764l4658,3841m4658,3841l4692,3905m4692,3905l4723,3980m4723,3980l4754,4059m4754,4059l4786,4157m4786,4157l4817,4186m4817,4186l4850,4220m4850,4220l4882,4247m4882,4247l4913,4262m4913,4262l4944,4291m4944,4291l4975,4346m4975,4346l5009,4437m5009,4437l5040,4552m5040,4552l5071,4639m5071,4639l5102,4703m5102,4703l5134,4754m5134,4754l5167,4796m5167,4796l5198,4810m5198,4810l5230,4815m5230,4815l5261,4837m5261,4837l5292,4856m5292,4856l5326,4873m5326,4873l5358,4892m5358,4892l5389,4923m5389,4923l5420,4942m5420,4942l5452,4973m5452,4973l5485,4993m5485,4993l5516,5014m5516,5014l5548,5038m5548,5038l5579,5055m5579,5055l5610,5060m5610,5060l5644,5050m5644,5050l5675,5050m5675,5050l5706,5045,5737,5041e" filled="false" stroked="true" strokeweight="1.922pt" strokecolor="#ff0000">
              <v:path arrowok="t"/>
              <v:stroke dashstyle="solid"/>
            </v:shape>
            <v:line style="position:absolute" from="5718,5041" to="5884,5041" stroked="true" strokeweight="1.922pt" strokecolor="#ff0000">
              <v:stroke dashstyle="solid"/>
            </v:line>
            <v:shape style="position:absolute;left:5864;top:5004;width:414;height:72" coordorigin="5864,5005" coordsize="414,72" path="m5864,5041l5896,5045m5896,5045l5927,5057m5927,5057l5960,5072m5960,5072l5992,5077m5992,5077l6023,5072m6023,5072l6054,5072m6054,5072l6086,5067m6086,5067l6120,5067m6120,5067l6151,5045m6151,5045l6182,5031m6182,5031l6214,5012m6214,5012l6245,5005m6245,5005l6278,5014e" filled="false" stroked="true" strokeweight="1.922pt" strokecolor="#ff0000">
              <v:path arrowok="t"/>
              <v:stroke dashstyle="solid"/>
            </v:shape>
            <v:line style="position:absolute" from="6278,5014" to="6310,5041" stroked="true" strokeweight="1.922pt" strokecolor="#ff0000">
              <v:stroke dashstyle="solid"/>
            </v:line>
            <v:shape style="position:absolute;left:5474;top:4065;width:200;height:610" coordorigin="5474,4065" coordsize="200,610" path="m5474,4543l5502,4675,5577,4589,5531,4589,5525,4588,5520,4586,5516,4581,5518,4575,5523,4556,5474,4543xm5523,4556l5518,4575,5516,4581,5520,4586,5525,4588,5531,4589,5536,4586,5537,4581,5542,4561,5523,4556xm5542,4561l5537,4581,5536,4586,5531,4589,5577,4589,5591,4574,5542,4561xm5660,4065l5654,4069,5653,4073,5523,4556,5542,4561,5672,4078,5674,4073,5670,4067,5660,4065xe" filled="true" fillcolor="#010180" stroked="false">
              <v:path arrowok="t"/>
              <v:fill type="solid"/>
            </v:shape>
            <w10:wrap type="none"/>
          </v:group>
        </w:pict>
      </w:r>
      <w:r>
        <w:rPr/>
        <w:t>unemployment rates has dropped from close to 10 percentage points in the mid-80s and early 90s to around three percentage points at present, as Chart 8 shows.</w:t>
      </w:r>
    </w:p>
    <w:p>
      <w:pPr>
        <w:pStyle w:val="BodyText"/>
        <w:rPr>
          <w:sz w:val="20"/>
        </w:rPr>
      </w:pPr>
    </w:p>
    <w:p>
      <w:pPr>
        <w:pStyle w:val="BodyText"/>
        <w:rPr>
          <w:sz w:val="20"/>
        </w:rPr>
      </w:pPr>
    </w:p>
    <w:p>
      <w:pPr>
        <w:pStyle w:val="BodyText"/>
        <w:rPr>
          <w:sz w:val="20"/>
        </w:rPr>
      </w:pPr>
    </w:p>
    <w:p>
      <w:pPr>
        <w:pStyle w:val="BodyText"/>
        <w:spacing w:before="3" w:after="1"/>
        <w:rPr>
          <w:sz w:val="12"/>
        </w:r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634"/>
        <w:gridCol w:w="634"/>
        <w:gridCol w:w="2578"/>
        <w:gridCol w:w="583"/>
      </w:tblGrid>
      <w:tr>
        <w:trPr>
          <w:trHeight w:val="275" w:hRule="atLeast"/>
        </w:trPr>
        <w:tc>
          <w:tcPr>
            <w:tcW w:w="52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6"/>
              <w:rPr>
                <w:b/>
                <w:sz w:val="24"/>
              </w:rPr>
            </w:pPr>
            <w:r>
              <w:rPr>
                <w:b/>
                <w:color w:val="0000FF"/>
                <w:sz w:val="24"/>
              </w:rPr>
              <w:t>Chart 8: Regional unemployment rates</w:t>
            </w:r>
          </w:p>
        </w:tc>
      </w:tr>
      <w:tr>
        <w:trPr>
          <w:trHeight w:val="676" w:hRule="atLeast"/>
        </w:trPr>
        <w:tc>
          <w:tcPr>
            <w:tcW w:w="862" w:type="dxa"/>
            <w:tcBorders>
              <w:top w:val="single" w:sz="4" w:space="0" w:color="000000"/>
              <w:left w:val="single" w:sz="4" w:space="0" w:color="000000"/>
            </w:tcBorders>
          </w:tcPr>
          <w:p>
            <w:pPr>
              <w:pStyle w:val="TableParagraph"/>
              <w:rPr>
                <w:sz w:val="22"/>
              </w:rPr>
            </w:pPr>
          </w:p>
        </w:tc>
        <w:tc>
          <w:tcPr>
            <w:tcW w:w="634" w:type="dxa"/>
            <w:tcBorders>
              <w:top w:val="single" w:sz="4" w:space="0" w:color="000000"/>
            </w:tcBorders>
          </w:tcPr>
          <w:p>
            <w:pPr>
              <w:pStyle w:val="TableParagraph"/>
              <w:rPr>
                <w:sz w:val="22"/>
              </w:rPr>
            </w:pPr>
          </w:p>
        </w:tc>
        <w:tc>
          <w:tcPr>
            <w:tcW w:w="634" w:type="dxa"/>
            <w:tcBorders>
              <w:top w:val="single" w:sz="4" w:space="0" w:color="000000"/>
            </w:tcBorders>
          </w:tcPr>
          <w:p>
            <w:pPr>
              <w:pStyle w:val="TableParagraph"/>
              <w:rPr>
                <w:sz w:val="22"/>
              </w:rPr>
            </w:pPr>
          </w:p>
        </w:tc>
        <w:tc>
          <w:tcPr>
            <w:tcW w:w="2578" w:type="dxa"/>
            <w:vMerge w:val="restart"/>
            <w:tcBorders>
              <w:top w:val="single" w:sz="4" w:space="0" w:color="000000"/>
              <w:bottom w:val="single" w:sz="4" w:space="0" w:color="000000"/>
            </w:tcBorders>
          </w:tcPr>
          <w:p>
            <w:pPr>
              <w:pStyle w:val="TableParagraph"/>
              <w:spacing w:before="98"/>
              <w:ind w:right="28"/>
              <w:jc w:val="right"/>
              <w:rPr>
                <w:sz w:val="18"/>
              </w:rPr>
            </w:pPr>
            <w:r>
              <w:rPr>
                <w:sz w:val="18"/>
              </w:rPr>
              <w:t>Per cent</w:t>
            </w:r>
          </w:p>
          <w:p>
            <w:pPr>
              <w:pStyle w:val="TableParagraph"/>
              <w:spacing w:before="7"/>
              <w:rPr>
                <w:sz w:val="27"/>
              </w:rPr>
            </w:pPr>
          </w:p>
          <w:p>
            <w:pPr>
              <w:pStyle w:val="TableParagraph"/>
              <w:spacing w:line="268" w:lineRule="auto"/>
              <w:ind w:left="350" w:right="562"/>
              <w:rPr>
                <w:sz w:val="18"/>
              </w:rPr>
            </w:pPr>
            <w:r>
              <w:rPr>
                <w:color w:val="FF00FF"/>
                <w:sz w:val="18"/>
              </w:rPr>
              <w:t>Three highest unemployment</w:t>
            </w:r>
            <w:r>
              <w:rPr>
                <w:color w:val="FF00FF"/>
                <w:spacing w:val="-9"/>
                <w:sz w:val="18"/>
              </w:rPr>
              <w:t> </w:t>
            </w:r>
            <w:r>
              <w:rPr>
                <w:color w:val="FF00FF"/>
                <w:sz w:val="18"/>
              </w:rPr>
              <w:t>regions</w:t>
            </w:r>
          </w:p>
          <w:p>
            <w:pPr>
              <w:pStyle w:val="TableParagraph"/>
              <w:rPr>
                <w:sz w:val="20"/>
              </w:rPr>
            </w:pPr>
          </w:p>
          <w:p>
            <w:pPr>
              <w:pStyle w:val="TableParagraph"/>
              <w:rPr>
                <w:sz w:val="20"/>
              </w:rPr>
            </w:pPr>
          </w:p>
          <w:p>
            <w:pPr>
              <w:pStyle w:val="TableParagraph"/>
              <w:spacing w:before="6"/>
              <w:rPr>
                <w:sz w:val="26"/>
              </w:rPr>
            </w:pPr>
          </w:p>
          <w:p>
            <w:pPr>
              <w:pStyle w:val="TableParagraph"/>
              <w:ind w:left="1718"/>
              <w:rPr>
                <w:sz w:val="18"/>
              </w:rPr>
            </w:pPr>
            <w:r>
              <w:rPr>
                <w:color w:val="000080"/>
                <w:sz w:val="18"/>
              </w:rPr>
              <w:t>UK</w:t>
            </w:r>
          </w:p>
          <w:p>
            <w:pPr>
              <w:pStyle w:val="TableParagraph"/>
              <w:rPr>
                <w:sz w:val="20"/>
              </w:rPr>
            </w:pPr>
          </w:p>
          <w:p>
            <w:pPr>
              <w:pStyle w:val="TableParagraph"/>
              <w:rPr>
                <w:sz w:val="20"/>
              </w:rPr>
            </w:pPr>
          </w:p>
          <w:p>
            <w:pPr>
              <w:pStyle w:val="TableParagraph"/>
              <w:spacing w:before="5"/>
              <w:rPr>
                <w:sz w:val="29"/>
              </w:rPr>
            </w:pPr>
          </w:p>
          <w:p>
            <w:pPr>
              <w:pStyle w:val="TableParagraph"/>
              <w:spacing w:line="268" w:lineRule="auto"/>
              <w:ind w:left="350" w:right="562"/>
              <w:rPr>
                <w:sz w:val="18"/>
              </w:rPr>
            </w:pPr>
            <w:r>
              <w:rPr>
                <w:color w:val="FF0000"/>
                <w:sz w:val="18"/>
              </w:rPr>
              <w:t>Three lowest unemployment</w:t>
            </w:r>
            <w:r>
              <w:rPr>
                <w:color w:val="FF0000"/>
                <w:spacing w:val="-9"/>
                <w:sz w:val="18"/>
              </w:rPr>
              <w:t> </w:t>
            </w:r>
            <w:r>
              <w:rPr>
                <w:color w:val="FF0000"/>
                <w:sz w:val="18"/>
              </w:rPr>
              <w:t>regions</w:t>
            </w:r>
          </w:p>
          <w:p>
            <w:pPr>
              <w:pStyle w:val="TableParagraph"/>
              <w:spacing w:before="4"/>
              <w:rPr>
                <w:sz w:val="20"/>
              </w:rPr>
            </w:pPr>
          </w:p>
          <w:p>
            <w:pPr>
              <w:pStyle w:val="TableParagraph"/>
              <w:tabs>
                <w:tab w:pos="776" w:val="left" w:leader="none"/>
                <w:tab w:pos="1411" w:val="left" w:leader="none"/>
                <w:tab w:pos="2046" w:val="left" w:leader="none"/>
              </w:tabs>
              <w:ind w:left="141"/>
              <w:rPr>
                <w:sz w:val="18"/>
              </w:rPr>
            </w:pPr>
            <w:r>
              <w:rPr>
                <w:sz w:val="18"/>
              </w:rPr>
              <w:t>1990</w:t>
              <w:tab/>
              <w:t>1995</w:t>
              <w:tab/>
              <w:t>2000</w:t>
              <w:tab/>
              <w:t>2005</w:t>
            </w:r>
          </w:p>
        </w:tc>
        <w:tc>
          <w:tcPr>
            <w:tcW w:w="583" w:type="dxa"/>
            <w:tcBorders>
              <w:top w:val="single" w:sz="4" w:space="0" w:color="000000"/>
              <w:right w:val="single" w:sz="4" w:space="0" w:color="000000"/>
            </w:tcBorders>
          </w:tcPr>
          <w:p>
            <w:pPr>
              <w:pStyle w:val="TableParagraph"/>
              <w:spacing w:before="7"/>
              <w:rPr>
                <w:sz w:val="23"/>
              </w:rPr>
            </w:pPr>
          </w:p>
          <w:p>
            <w:pPr>
              <w:pStyle w:val="TableParagraph"/>
              <w:ind w:left="45"/>
              <w:rPr>
                <w:sz w:val="18"/>
              </w:rPr>
            </w:pPr>
            <w:r>
              <w:rPr>
                <w:sz w:val="18"/>
              </w:rPr>
              <w:t>15</w:t>
            </w:r>
          </w:p>
        </w:tc>
      </w:tr>
      <w:tr>
        <w:trPr>
          <w:trHeight w:val="592" w:hRule="atLeast"/>
        </w:trPr>
        <w:tc>
          <w:tcPr>
            <w:tcW w:w="862" w:type="dxa"/>
            <w:tcBorders>
              <w:left w:val="single" w:sz="4" w:space="0" w:color="000000"/>
            </w:tcBorders>
          </w:tcPr>
          <w:p>
            <w:pPr>
              <w:pStyle w:val="TableParagraph"/>
              <w:rPr>
                <w:sz w:val="22"/>
              </w:rPr>
            </w:pPr>
          </w:p>
        </w:tc>
        <w:tc>
          <w:tcPr>
            <w:tcW w:w="634" w:type="dxa"/>
          </w:tcPr>
          <w:p>
            <w:pPr>
              <w:pStyle w:val="TableParagraph"/>
              <w:rPr>
                <w:sz w:val="22"/>
              </w:rPr>
            </w:pPr>
          </w:p>
        </w:tc>
        <w:tc>
          <w:tcPr>
            <w:tcW w:w="634" w:type="dxa"/>
          </w:tcPr>
          <w:p>
            <w:pPr>
              <w:pStyle w:val="TableParagraph"/>
              <w:rPr>
                <w:sz w:val="22"/>
              </w:rPr>
            </w:pPr>
          </w:p>
        </w:tc>
        <w:tc>
          <w:tcPr>
            <w:tcW w:w="2578" w:type="dxa"/>
            <w:vMerge/>
            <w:tcBorders>
              <w:top w:val="nil"/>
              <w:bottom w:val="single" w:sz="4" w:space="0" w:color="000000"/>
            </w:tcBorders>
          </w:tcPr>
          <w:p>
            <w:pPr>
              <w:rPr>
                <w:sz w:val="2"/>
                <w:szCs w:val="2"/>
              </w:rPr>
            </w:pPr>
          </w:p>
        </w:tc>
        <w:tc>
          <w:tcPr>
            <w:tcW w:w="583" w:type="dxa"/>
            <w:tcBorders>
              <w:right w:val="single" w:sz="4" w:space="0" w:color="000000"/>
            </w:tcBorders>
          </w:tcPr>
          <w:p>
            <w:pPr>
              <w:pStyle w:val="TableParagraph"/>
              <w:spacing w:before="5"/>
              <w:rPr>
                <w:sz w:val="16"/>
              </w:rPr>
            </w:pPr>
          </w:p>
          <w:p>
            <w:pPr>
              <w:pStyle w:val="TableParagraph"/>
              <w:ind w:left="45"/>
              <w:rPr>
                <w:sz w:val="18"/>
              </w:rPr>
            </w:pPr>
            <w:r>
              <w:rPr>
                <w:sz w:val="18"/>
              </w:rPr>
              <w:t>12</w:t>
            </w:r>
          </w:p>
        </w:tc>
      </w:tr>
      <w:tr>
        <w:trPr>
          <w:trHeight w:val="592" w:hRule="atLeast"/>
        </w:trPr>
        <w:tc>
          <w:tcPr>
            <w:tcW w:w="862" w:type="dxa"/>
            <w:tcBorders>
              <w:left w:val="single" w:sz="4" w:space="0" w:color="000000"/>
            </w:tcBorders>
          </w:tcPr>
          <w:p>
            <w:pPr>
              <w:pStyle w:val="TableParagraph"/>
              <w:rPr>
                <w:sz w:val="22"/>
              </w:rPr>
            </w:pPr>
          </w:p>
        </w:tc>
        <w:tc>
          <w:tcPr>
            <w:tcW w:w="634" w:type="dxa"/>
          </w:tcPr>
          <w:p>
            <w:pPr>
              <w:pStyle w:val="TableParagraph"/>
              <w:rPr>
                <w:sz w:val="22"/>
              </w:rPr>
            </w:pPr>
          </w:p>
        </w:tc>
        <w:tc>
          <w:tcPr>
            <w:tcW w:w="634" w:type="dxa"/>
          </w:tcPr>
          <w:p>
            <w:pPr>
              <w:pStyle w:val="TableParagraph"/>
              <w:rPr>
                <w:sz w:val="22"/>
              </w:rPr>
            </w:pPr>
          </w:p>
        </w:tc>
        <w:tc>
          <w:tcPr>
            <w:tcW w:w="2578" w:type="dxa"/>
            <w:vMerge/>
            <w:tcBorders>
              <w:top w:val="nil"/>
              <w:bottom w:val="single" w:sz="4" w:space="0" w:color="000000"/>
            </w:tcBorders>
          </w:tcPr>
          <w:p>
            <w:pPr>
              <w:rPr>
                <w:sz w:val="2"/>
                <w:szCs w:val="2"/>
              </w:rPr>
            </w:pPr>
          </w:p>
        </w:tc>
        <w:tc>
          <w:tcPr>
            <w:tcW w:w="583" w:type="dxa"/>
            <w:tcBorders>
              <w:right w:val="single" w:sz="4" w:space="0" w:color="000000"/>
            </w:tcBorders>
          </w:tcPr>
          <w:p>
            <w:pPr>
              <w:pStyle w:val="TableParagraph"/>
              <w:spacing w:before="4"/>
              <w:rPr>
                <w:sz w:val="16"/>
              </w:rPr>
            </w:pPr>
          </w:p>
          <w:p>
            <w:pPr>
              <w:pStyle w:val="TableParagraph"/>
              <w:ind w:left="45"/>
              <w:rPr>
                <w:sz w:val="18"/>
              </w:rPr>
            </w:pPr>
            <w:r>
              <w:rPr>
                <w:w w:val="100"/>
                <w:sz w:val="18"/>
              </w:rPr>
              <w:t>9</w:t>
            </w:r>
          </w:p>
        </w:tc>
      </w:tr>
      <w:tr>
        <w:trPr>
          <w:trHeight w:val="592" w:hRule="atLeast"/>
        </w:trPr>
        <w:tc>
          <w:tcPr>
            <w:tcW w:w="862" w:type="dxa"/>
            <w:tcBorders>
              <w:left w:val="single" w:sz="4" w:space="0" w:color="000000"/>
            </w:tcBorders>
          </w:tcPr>
          <w:p>
            <w:pPr>
              <w:pStyle w:val="TableParagraph"/>
              <w:rPr>
                <w:sz w:val="22"/>
              </w:rPr>
            </w:pPr>
          </w:p>
        </w:tc>
        <w:tc>
          <w:tcPr>
            <w:tcW w:w="634" w:type="dxa"/>
          </w:tcPr>
          <w:p>
            <w:pPr>
              <w:pStyle w:val="TableParagraph"/>
              <w:rPr>
                <w:sz w:val="22"/>
              </w:rPr>
            </w:pPr>
          </w:p>
        </w:tc>
        <w:tc>
          <w:tcPr>
            <w:tcW w:w="634" w:type="dxa"/>
          </w:tcPr>
          <w:p>
            <w:pPr>
              <w:pStyle w:val="TableParagraph"/>
              <w:rPr>
                <w:sz w:val="22"/>
              </w:rPr>
            </w:pPr>
          </w:p>
        </w:tc>
        <w:tc>
          <w:tcPr>
            <w:tcW w:w="2578" w:type="dxa"/>
            <w:vMerge/>
            <w:tcBorders>
              <w:top w:val="nil"/>
              <w:bottom w:val="single" w:sz="4" w:space="0" w:color="000000"/>
            </w:tcBorders>
          </w:tcPr>
          <w:p>
            <w:pPr>
              <w:rPr>
                <w:sz w:val="2"/>
                <w:szCs w:val="2"/>
              </w:rPr>
            </w:pPr>
          </w:p>
        </w:tc>
        <w:tc>
          <w:tcPr>
            <w:tcW w:w="583" w:type="dxa"/>
            <w:tcBorders>
              <w:right w:val="single" w:sz="4" w:space="0" w:color="000000"/>
            </w:tcBorders>
          </w:tcPr>
          <w:p>
            <w:pPr>
              <w:pStyle w:val="TableParagraph"/>
              <w:spacing w:before="5"/>
              <w:rPr>
                <w:sz w:val="16"/>
              </w:rPr>
            </w:pPr>
          </w:p>
          <w:p>
            <w:pPr>
              <w:pStyle w:val="TableParagraph"/>
              <w:ind w:left="45"/>
              <w:rPr>
                <w:sz w:val="18"/>
              </w:rPr>
            </w:pPr>
            <w:r>
              <w:rPr>
                <w:w w:val="100"/>
                <w:sz w:val="18"/>
              </w:rPr>
              <w:t>6</w:t>
            </w:r>
          </w:p>
        </w:tc>
      </w:tr>
      <w:tr>
        <w:trPr>
          <w:trHeight w:val="592" w:hRule="atLeast"/>
        </w:trPr>
        <w:tc>
          <w:tcPr>
            <w:tcW w:w="862" w:type="dxa"/>
            <w:tcBorders>
              <w:left w:val="single" w:sz="4" w:space="0" w:color="000000"/>
            </w:tcBorders>
          </w:tcPr>
          <w:p>
            <w:pPr>
              <w:pStyle w:val="TableParagraph"/>
              <w:rPr>
                <w:sz w:val="22"/>
              </w:rPr>
            </w:pPr>
          </w:p>
        </w:tc>
        <w:tc>
          <w:tcPr>
            <w:tcW w:w="634" w:type="dxa"/>
          </w:tcPr>
          <w:p>
            <w:pPr>
              <w:pStyle w:val="TableParagraph"/>
              <w:rPr>
                <w:sz w:val="22"/>
              </w:rPr>
            </w:pPr>
          </w:p>
        </w:tc>
        <w:tc>
          <w:tcPr>
            <w:tcW w:w="634" w:type="dxa"/>
          </w:tcPr>
          <w:p>
            <w:pPr>
              <w:pStyle w:val="TableParagraph"/>
              <w:rPr>
                <w:sz w:val="22"/>
              </w:rPr>
            </w:pPr>
          </w:p>
        </w:tc>
        <w:tc>
          <w:tcPr>
            <w:tcW w:w="2578" w:type="dxa"/>
            <w:vMerge/>
            <w:tcBorders>
              <w:top w:val="nil"/>
              <w:bottom w:val="single" w:sz="4" w:space="0" w:color="000000"/>
            </w:tcBorders>
          </w:tcPr>
          <w:p>
            <w:pPr>
              <w:rPr>
                <w:sz w:val="2"/>
                <w:szCs w:val="2"/>
              </w:rPr>
            </w:pPr>
          </w:p>
        </w:tc>
        <w:tc>
          <w:tcPr>
            <w:tcW w:w="583" w:type="dxa"/>
            <w:tcBorders>
              <w:right w:val="single" w:sz="4" w:space="0" w:color="000000"/>
            </w:tcBorders>
          </w:tcPr>
          <w:p>
            <w:pPr>
              <w:pStyle w:val="TableParagraph"/>
              <w:spacing w:before="4"/>
              <w:rPr>
                <w:sz w:val="16"/>
              </w:rPr>
            </w:pPr>
          </w:p>
          <w:p>
            <w:pPr>
              <w:pStyle w:val="TableParagraph"/>
              <w:ind w:left="45"/>
              <w:rPr>
                <w:sz w:val="18"/>
              </w:rPr>
            </w:pPr>
            <w:r>
              <w:rPr>
                <w:w w:val="100"/>
                <w:sz w:val="18"/>
              </w:rPr>
              <w:t>3</w:t>
            </w:r>
          </w:p>
        </w:tc>
      </w:tr>
      <w:tr>
        <w:trPr>
          <w:trHeight w:val="426" w:hRule="atLeast"/>
        </w:trPr>
        <w:tc>
          <w:tcPr>
            <w:tcW w:w="862" w:type="dxa"/>
            <w:tcBorders>
              <w:left w:val="single" w:sz="4" w:space="0" w:color="000000"/>
            </w:tcBorders>
          </w:tcPr>
          <w:p>
            <w:pPr>
              <w:pStyle w:val="TableParagraph"/>
              <w:rPr>
                <w:sz w:val="22"/>
              </w:rPr>
            </w:pPr>
          </w:p>
        </w:tc>
        <w:tc>
          <w:tcPr>
            <w:tcW w:w="634" w:type="dxa"/>
          </w:tcPr>
          <w:p>
            <w:pPr>
              <w:pStyle w:val="TableParagraph"/>
              <w:rPr>
                <w:sz w:val="22"/>
              </w:rPr>
            </w:pPr>
          </w:p>
        </w:tc>
        <w:tc>
          <w:tcPr>
            <w:tcW w:w="634" w:type="dxa"/>
          </w:tcPr>
          <w:p>
            <w:pPr>
              <w:pStyle w:val="TableParagraph"/>
              <w:rPr>
                <w:sz w:val="22"/>
              </w:rPr>
            </w:pPr>
          </w:p>
        </w:tc>
        <w:tc>
          <w:tcPr>
            <w:tcW w:w="2578" w:type="dxa"/>
            <w:vMerge/>
            <w:tcBorders>
              <w:top w:val="nil"/>
              <w:bottom w:val="single" w:sz="4" w:space="0" w:color="000000"/>
            </w:tcBorders>
          </w:tcPr>
          <w:p>
            <w:pPr>
              <w:rPr>
                <w:sz w:val="2"/>
                <w:szCs w:val="2"/>
              </w:rPr>
            </w:pPr>
          </w:p>
        </w:tc>
        <w:tc>
          <w:tcPr>
            <w:tcW w:w="583" w:type="dxa"/>
            <w:tcBorders>
              <w:right w:val="single" w:sz="4" w:space="0" w:color="000000"/>
            </w:tcBorders>
          </w:tcPr>
          <w:p>
            <w:pPr>
              <w:pStyle w:val="TableParagraph"/>
              <w:spacing w:before="5"/>
              <w:rPr>
                <w:sz w:val="16"/>
              </w:rPr>
            </w:pPr>
          </w:p>
          <w:p>
            <w:pPr>
              <w:pStyle w:val="TableParagraph"/>
              <w:ind w:left="45"/>
              <w:rPr>
                <w:sz w:val="18"/>
              </w:rPr>
            </w:pPr>
            <w:r>
              <w:rPr>
                <w:w w:val="100"/>
                <w:sz w:val="18"/>
              </w:rPr>
              <w:t>0</w:t>
            </w:r>
          </w:p>
        </w:tc>
      </w:tr>
      <w:tr>
        <w:trPr>
          <w:trHeight w:val="378" w:hRule="atLeast"/>
        </w:trPr>
        <w:tc>
          <w:tcPr>
            <w:tcW w:w="862" w:type="dxa"/>
            <w:tcBorders>
              <w:left w:val="single" w:sz="4" w:space="0" w:color="000000"/>
              <w:bottom w:val="single" w:sz="4" w:space="0" w:color="000000"/>
            </w:tcBorders>
          </w:tcPr>
          <w:p>
            <w:pPr>
              <w:pStyle w:val="TableParagraph"/>
              <w:spacing w:before="22"/>
              <w:ind w:left="362"/>
              <w:rPr>
                <w:sz w:val="18"/>
              </w:rPr>
            </w:pPr>
            <w:r>
              <w:rPr>
                <w:sz w:val="18"/>
              </w:rPr>
              <w:t>1975</w:t>
            </w:r>
          </w:p>
        </w:tc>
        <w:tc>
          <w:tcPr>
            <w:tcW w:w="634" w:type="dxa"/>
            <w:tcBorders>
              <w:bottom w:val="single" w:sz="4" w:space="0" w:color="000000"/>
            </w:tcBorders>
          </w:tcPr>
          <w:p>
            <w:pPr>
              <w:pStyle w:val="TableParagraph"/>
              <w:spacing w:before="22"/>
              <w:ind w:left="140"/>
              <w:rPr>
                <w:sz w:val="18"/>
              </w:rPr>
            </w:pPr>
            <w:r>
              <w:rPr>
                <w:sz w:val="18"/>
              </w:rPr>
              <w:t>1980</w:t>
            </w:r>
          </w:p>
        </w:tc>
        <w:tc>
          <w:tcPr>
            <w:tcW w:w="634" w:type="dxa"/>
            <w:tcBorders>
              <w:bottom w:val="single" w:sz="4" w:space="0" w:color="000000"/>
            </w:tcBorders>
          </w:tcPr>
          <w:p>
            <w:pPr>
              <w:pStyle w:val="TableParagraph"/>
              <w:spacing w:before="22"/>
              <w:ind w:left="140"/>
              <w:rPr>
                <w:sz w:val="18"/>
              </w:rPr>
            </w:pPr>
            <w:r>
              <w:rPr>
                <w:sz w:val="18"/>
              </w:rPr>
              <w:t>1985</w:t>
            </w:r>
          </w:p>
        </w:tc>
        <w:tc>
          <w:tcPr>
            <w:tcW w:w="2578" w:type="dxa"/>
            <w:vMerge/>
            <w:tcBorders>
              <w:top w:val="nil"/>
              <w:bottom w:val="single" w:sz="4" w:space="0" w:color="000000"/>
            </w:tcBorders>
          </w:tcPr>
          <w:p>
            <w:pPr>
              <w:rPr>
                <w:sz w:val="2"/>
                <w:szCs w:val="2"/>
              </w:rPr>
            </w:pPr>
          </w:p>
        </w:tc>
        <w:tc>
          <w:tcPr>
            <w:tcW w:w="583" w:type="dxa"/>
            <w:tcBorders>
              <w:bottom w:val="single" w:sz="4" w:space="0" w:color="000000"/>
              <w:right w:val="single" w:sz="4" w:space="0" w:color="000000"/>
            </w:tcBorders>
          </w:tcPr>
          <w:p>
            <w:pPr>
              <w:pStyle w:val="TableParagraph"/>
              <w:rPr>
                <w:sz w:val="22"/>
              </w:rPr>
            </w:pPr>
          </w:p>
        </w:tc>
      </w:tr>
      <w:tr>
        <w:trPr>
          <w:trHeight w:val="920" w:hRule="atLeast"/>
        </w:trPr>
        <w:tc>
          <w:tcPr>
            <w:tcW w:w="52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Pr>
                <w:i/>
                <w:sz w:val="20"/>
              </w:rPr>
            </w:pPr>
            <w:r>
              <w:rPr>
                <w:i/>
                <w:sz w:val="20"/>
              </w:rPr>
              <w:t>Source: ONS</w:t>
            </w:r>
          </w:p>
          <w:p>
            <w:pPr>
              <w:pStyle w:val="TableParagraph"/>
              <w:ind w:left="106" w:right="283"/>
              <w:rPr>
                <w:i/>
                <w:sz w:val="20"/>
              </w:rPr>
            </w:pPr>
            <w:r>
              <w:rPr>
                <w:i/>
                <w:sz w:val="20"/>
              </w:rPr>
              <w:t>Note: Highest regions, based on 1990, are Northern Ireland, </w:t>
            </w:r>
            <w:r>
              <w:rPr>
                <w:i/>
                <w:sz w:val="20"/>
              </w:rPr>
              <w:t>North East and Scotland; lowest regions are South East,</w:t>
            </w:r>
          </w:p>
          <w:p>
            <w:pPr>
              <w:pStyle w:val="TableParagraph"/>
              <w:spacing w:line="213" w:lineRule="exact"/>
              <w:ind w:left="106"/>
              <w:rPr>
                <w:i/>
                <w:sz w:val="20"/>
              </w:rPr>
            </w:pPr>
            <w:r>
              <w:rPr>
                <w:i/>
                <w:sz w:val="20"/>
              </w:rPr>
              <w:t>Eastern England and South West</w:t>
            </w:r>
          </w:p>
        </w:tc>
      </w:tr>
    </w:tbl>
    <w:p>
      <w:pPr>
        <w:pStyle w:val="BodyText"/>
        <w:spacing w:before="10"/>
        <w:rPr>
          <w:sz w:val="27"/>
        </w:rPr>
      </w:pPr>
    </w:p>
    <w:p>
      <w:pPr>
        <w:pStyle w:val="BodyText"/>
        <w:spacing w:line="360" w:lineRule="auto" w:before="90"/>
        <w:ind w:left="221" w:right="111"/>
        <w:jc w:val="both"/>
      </w:pPr>
      <w:r>
        <w:rPr/>
        <w:t>This has created a very different feel as I have travelled round the country to my experience two decades ago. The differences in business mood, unemployment experience and industrial structure, which were so noticeable then in the traditional industrial regions of the UK, are now much less apparent.</w:t>
      </w:r>
    </w:p>
    <w:p>
      <w:pPr>
        <w:pStyle w:val="BodyText"/>
        <w:spacing w:before="2"/>
        <w:rPr>
          <w:sz w:val="36"/>
        </w:rPr>
      </w:pPr>
    </w:p>
    <w:p>
      <w:pPr>
        <w:pStyle w:val="Heading1"/>
        <w:spacing w:before="1"/>
      </w:pPr>
      <w:r>
        <w:rPr/>
        <w:t>Current business conditions</w:t>
      </w:r>
    </w:p>
    <w:p>
      <w:pPr>
        <w:pStyle w:val="BodyText"/>
        <w:rPr>
          <w:b/>
          <w:sz w:val="26"/>
        </w:rPr>
      </w:pPr>
    </w:p>
    <w:p>
      <w:pPr>
        <w:pStyle w:val="BodyText"/>
        <w:spacing w:before="9"/>
        <w:rPr>
          <w:b/>
          <w:sz w:val="21"/>
        </w:rPr>
      </w:pPr>
    </w:p>
    <w:p>
      <w:pPr>
        <w:pStyle w:val="BodyText"/>
        <w:spacing w:line="360" w:lineRule="auto"/>
        <w:ind w:left="221" w:right="109"/>
        <w:jc w:val="both"/>
      </w:pPr>
      <w:r>
        <w:rPr/>
        <w:t>These changes in industrial structure also help to explain an important feature of the current picture of the UK economy. While there are some variations across the regions of the UK, the picture presented by the Agents’ reports is fairly consistent across the different parts of the country. There are some idiosyncratic features – such as the rapid increases in property prices in Northern Ireland. And the buoyancy of global financial markets is having a bigger impact on the London economy than elsewhere</w:t>
      </w:r>
      <w:r>
        <w:rPr>
          <w:vertAlign w:val="superscript"/>
        </w:rPr>
        <w:t>12</w:t>
      </w:r>
      <w:r>
        <w:rPr>
          <w:vertAlign w:val="baseline"/>
        </w:rPr>
        <w:t>. But across manufacturing, services and construction, the picture for the first half of this year is of healthy growth across the UK as a whole.</w:t>
      </w:r>
    </w:p>
    <w:p>
      <w:pPr>
        <w:pStyle w:val="BodyText"/>
        <w:spacing w:before="1"/>
        <w:rPr>
          <w:sz w:val="15"/>
        </w:rPr>
      </w:pPr>
    </w:p>
    <w:p>
      <w:pPr>
        <w:spacing w:before="119"/>
        <w:ind w:left="221" w:right="307" w:firstLine="0"/>
        <w:jc w:val="left"/>
        <w:rPr>
          <w:sz w:val="20"/>
        </w:rPr>
      </w:pPr>
      <w:r>
        <w:rPr>
          <w:sz w:val="20"/>
        </w:rPr>
        <w:t>.</w:t>
      </w:r>
      <w:r>
        <w:rPr>
          <w:sz w:val="20"/>
          <w:vertAlign w:val="superscript"/>
        </w:rPr>
        <w:t>12</w:t>
      </w:r>
      <w:r>
        <w:rPr>
          <w:sz w:val="20"/>
          <w:vertAlign w:val="baseline"/>
        </w:rPr>
        <w:t> See Gieve (2007) for a discussion of this issue. The fact that the financial services industries have tended to be one of the more volatile sectors of the economy could be an issue for the London economy and for other financial centres (eg Edinburgh and Leeds) in the future.</w:t>
      </w:r>
    </w:p>
    <w:p>
      <w:pPr>
        <w:spacing w:after="0"/>
        <w:jc w:val="left"/>
        <w:rPr>
          <w:sz w:val="20"/>
        </w:rPr>
        <w:sectPr>
          <w:footerReference w:type="default" r:id="rId12"/>
          <w:pgSz w:w="11900" w:h="16840"/>
          <w:pgMar w:footer="710" w:header="0" w:top="1380" w:bottom="900" w:left="1480" w:right="1580"/>
        </w:sectPr>
      </w:pPr>
    </w:p>
    <w:p>
      <w:pPr>
        <w:pStyle w:val="BodyText"/>
        <w:spacing w:before="5" w:after="1"/>
        <w:rPr>
          <w:sz w:val="22"/>
        </w:r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20"/>
      </w:tblGrid>
      <w:tr>
        <w:trPr>
          <w:trHeight w:val="275" w:hRule="atLeast"/>
        </w:trPr>
        <w:tc>
          <w:tcPr>
            <w:tcW w:w="5220" w:type="dxa"/>
          </w:tcPr>
          <w:p>
            <w:pPr>
              <w:pStyle w:val="TableParagraph"/>
              <w:spacing w:line="256" w:lineRule="exact"/>
              <w:ind w:left="106"/>
              <w:rPr>
                <w:b/>
                <w:sz w:val="24"/>
              </w:rPr>
            </w:pPr>
            <w:r>
              <w:rPr>
                <w:b/>
                <w:color w:val="0000FF"/>
                <w:sz w:val="24"/>
              </w:rPr>
              <w:t>Chart 9: Alternative views on manufacturing</w:t>
            </w:r>
          </w:p>
        </w:tc>
      </w:tr>
      <w:tr>
        <w:trPr>
          <w:trHeight w:val="3881" w:hRule="atLeast"/>
        </w:trPr>
        <w:tc>
          <w:tcPr>
            <w:tcW w:w="5220" w:type="dxa"/>
          </w:tcPr>
          <w:p>
            <w:pPr>
              <w:pStyle w:val="TableParagraph"/>
              <w:tabs>
                <w:tab w:pos="3389" w:val="left" w:leader="none"/>
              </w:tabs>
              <w:spacing w:line="195" w:lineRule="exact" w:before="98"/>
              <w:ind w:left="476"/>
              <w:rPr>
                <w:sz w:val="18"/>
              </w:rPr>
            </w:pPr>
            <w:r>
              <w:rPr>
                <w:sz w:val="18"/>
              </w:rPr>
              <w:t>Three</w:t>
            </w:r>
            <w:r>
              <w:rPr>
                <w:spacing w:val="-2"/>
                <w:sz w:val="18"/>
              </w:rPr>
              <w:t> </w:t>
            </w:r>
            <w:r>
              <w:rPr>
                <w:sz w:val="18"/>
              </w:rPr>
              <w:t>months,</w:t>
            </w:r>
            <w:r>
              <w:rPr>
                <w:spacing w:val="1"/>
                <w:sz w:val="18"/>
              </w:rPr>
              <w:t> </w:t>
            </w:r>
            <w:r>
              <w:rPr>
                <w:sz w:val="18"/>
              </w:rPr>
              <w:t>percentage</w:t>
              <w:tab/>
              <w:t>Standard</w:t>
            </w:r>
            <w:r>
              <w:rPr>
                <w:spacing w:val="1"/>
                <w:sz w:val="18"/>
              </w:rPr>
              <w:t> </w:t>
            </w:r>
            <w:r>
              <w:rPr>
                <w:sz w:val="18"/>
              </w:rPr>
              <w:t>deviations</w:t>
            </w:r>
          </w:p>
          <w:p>
            <w:pPr>
              <w:pStyle w:val="TableParagraph"/>
              <w:tabs>
                <w:tab w:pos="623" w:val="left" w:leader="none"/>
                <w:tab w:pos="3389" w:val="left" w:leader="none"/>
                <w:tab w:pos="4792" w:val="right" w:leader="none"/>
              </w:tabs>
              <w:spacing w:line="244" w:lineRule="exact"/>
              <w:ind w:left="279"/>
              <w:rPr>
                <w:sz w:val="19"/>
              </w:rPr>
            </w:pPr>
            <w:r>
              <w:rPr>
                <w:position w:val="5"/>
                <w:sz w:val="17"/>
              </w:rPr>
              <w:t>5</w:t>
              <w:tab/>
            </w:r>
            <w:r>
              <w:rPr>
                <w:sz w:val="18"/>
              </w:rPr>
              <w:t>change on a</w:t>
            </w:r>
            <w:r>
              <w:rPr>
                <w:spacing w:val="-3"/>
                <w:sz w:val="18"/>
              </w:rPr>
              <w:t> </w:t>
            </w:r>
            <w:r>
              <w:rPr>
                <w:sz w:val="18"/>
              </w:rPr>
              <w:t>year</w:t>
            </w:r>
            <w:r>
              <w:rPr>
                <w:spacing w:val="-2"/>
                <w:sz w:val="18"/>
              </w:rPr>
              <w:t> </w:t>
            </w:r>
            <w:r>
              <w:rPr>
                <w:sz w:val="18"/>
              </w:rPr>
              <w:t>earlier</w:t>
              <w:tab/>
              <w:t>from</w:t>
            </w:r>
            <w:r>
              <w:rPr>
                <w:spacing w:val="-3"/>
                <w:sz w:val="18"/>
              </w:rPr>
              <w:t> </w:t>
            </w:r>
            <w:r>
              <w:rPr>
                <w:sz w:val="18"/>
              </w:rPr>
              <w:t>average</w:t>
              <w:tab/>
            </w:r>
            <w:r>
              <w:rPr>
                <w:position w:val="4"/>
                <w:sz w:val="19"/>
              </w:rPr>
              <w:t>3</w:t>
            </w:r>
          </w:p>
          <w:p>
            <w:pPr>
              <w:pStyle w:val="TableParagraph"/>
              <w:spacing w:line="193" w:lineRule="exact" w:before="45"/>
              <w:ind w:left="279"/>
              <w:rPr>
                <w:sz w:val="17"/>
              </w:rPr>
            </w:pPr>
            <w:r>
              <w:rPr>
                <w:w w:val="100"/>
                <w:sz w:val="17"/>
              </w:rPr>
              <w:t>4</w:t>
            </w:r>
          </w:p>
          <w:p>
            <w:pPr>
              <w:pStyle w:val="TableParagraph"/>
              <w:tabs>
                <w:tab w:pos="3272" w:val="left" w:leader="none"/>
                <w:tab w:pos="4792" w:val="right" w:leader="none"/>
              </w:tabs>
              <w:spacing w:line="289" w:lineRule="exact"/>
              <w:ind w:left="279"/>
              <w:rPr>
                <w:sz w:val="19"/>
              </w:rPr>
            </w:pPr>
            <w:r>
              <w:rPr>
                <w:position w:val="-4"/>
                <w:sz w:val="17"/>
              </w:rPr>
              <w:t>3</w:t>
              <w:tab/>
            </w:r>
            <w:r>
              <w:rPr>
                <w:color w:val="FF0000"/>
                <w:sz w:val="18"/>
              </w:rPr>
              <w:t>Agents</w:t>
              <w:tab/>
            </w:r>
            <w:r>
              <w:rPr>
                <w:position w:val="4"/>
                <w:sz w:val="19"/>
              </w:rPr>
              <w:t>2</w:t>
            </w:r>
          </w:p>
          <w:p>
            <w:pPr>
              <w:pStyle w:val="TableParagraph"/>
              <w:tabs>
                <w:tab w:pos="3272" w:val="left" w:leader="none"/>
              </w:tabs>
              <w:spacing w:line="151" w:lineRule="auto" w:before="10"/>
              <w:ind w:left="279"/>
              <w:rPr>
                <w:sz w:val="18"/>
              </w:rPr>
            </w:pPr>
            <w:r>
              <w:rPr>
                <w:position w:val="-10"/>
                <w:sz w:val="17"/>
              </w:rPr>
              <w:t>2</w:t>
              <w:tab/>
            </w:r>
            <w:r>
              <w:rPr>
                <w:color w:val="FF0000"/>
                <w:sz w:val="18"/>
              </w:rPr>
              <w:t>export</w:t>
            </w:r>
          </w:p>
          <w:p>
            <w:pPr>
              <w:pStyle w:val="TableParagraph"/>
              <w:tabs>
                <w:tab w:pos="4792" w:val="right" w:leader="none"/>
              </w:tabs>
              <w:spacing w:line="160" w:lineRule="exact"/>
              <w:ind w:left="1070"/>
              <w:rPr>
                <w:sz w:val="19"/>
              </w:rPr>
            </w:pPr>
            <w:r>
              <w:rPr>
                <w:color w:val="FF00FF"/>
                <w:position w:val="1"/>
                <w:sz w:val="18"/>
              </w:rPr>
              <w:t>Agents</w:t>
              <w:tab/>
            </w:r>
            <w:r>
              <w:rPr>
                <w:sz w:val="19"/>
              </w:rPr>
              <w:t>1</w:t>
            </w:r>
          </w:p>
          <w:p>
            <w:pPr>
              <w:pStyle w:val="TableParagraph"/>
              <w:tabs>
                <w:tab w:pos="1070" w:val="left" w:leader="none"/>
              </w:tabs>
              <w:spacing w:line="222" w:lineRule="exact"/>
              <w:ind w:left="279"/>
              <w:rPr>
                <w:sz w:val="18"/>
              </w:rPr>
            </w:pPr>
            <w:r>
              <w:rPr>
                <w:position w:val="3"/>
                <w:sz w:val="17"/>
              </w:rPr>
              <w:t>1</w:t>
              <w:tab/>
            </w:r>
            <w:r>
              <w:rPr>
                <w:color w:val="FF00FF"/>
                <w:sz w:val="18"/>
              </w:rPr>
              <w:t>domestic</w:t>
            </w:r>
          </w:p>
          <w:p>
            <w:pPr>
              <w:pStyle w:val="TableParagraph"/>
              <w:tabs>
                <w:tab w:pos="4697" w:val="left" w:leader="none"/>
              </w:tabs>
              <w:spacing w:before="58"/>
              <w:ind w:left="279"/>
              <w:rPr>
                <w:sz w:val="19"/>
              </w:rPr>
            </w:pPr>
            <w:r>
              <w:rPr>
                <w:position w:val="1"/>
                <w:sz w:val="17"/>
              </w:rPr>
              <w:t>0</w:t>
              <w:tab/>
            </w:r>
            <w:r>
              <w:rPr>
                <w:sz w:val="19"/>
              </w:rPr>
              <w:t>0</w:t>
            </w:r>
          </w:p>
          <w:p>
            <w:pPr>
              <w:pStyle w:val="TableParagraph"/>
              <w:spacing w:line="191" w:lineRule="exact" w:before="88"/>
              <w:ind w:left="221"/>
              <w:rPr>
                <w:sz w:val="17"/>
              </w:rPr>
            </w:pPr>
            <w:r>
              <w:rPr>
                <w:sz w:val="17"/>
              </w:rPr>
              <w:t>-1</w:t>
            </w:r>
          </w:p>
          <w:p>
            <w:pPr>
              <w:pStyle w:val="TableParagraph"/>
              <w:tabs>
                <w:tab w:pos="884" w:val="left" w:leader="none"/>
                <w:tab w:pos="4697" w:val="left" w:leader="none"/>
              </w:tabs>
              <w:spacing w:line="300" w:lineRule="exact"/>
              <w:ind w:left="221"/>
              <w:rPr>
                <w:sz w:val="19"/>
              </w:rPr>
            </w:pPr>
            <w:r>
              <w:rPr>
                <w:sz w:val="17"/>
              </w:rPr>
              <w:t>-2</w:t>
              <w:tab/>
            </w:r>
            <w:r>
              <w:rPr>
                <w:sz w:val="17"/>
                <w:u w:val="single" w:color="FF00FF"/>
              </w:rPr>
              <w:t> </w:t>
            </w:r>
            <w:r>
              <w:rPr>
                <w:sz w:val="17"/>
              </w:rPr>
              <w:tab/>
            </w:r>
            <w:r>
              <w:rPr>
                <w:position w:val="9"/>
                <w:sz w:val="19"/>
              </w:rPr>
              <w:t>-1</w:t>
            </w:r>
          </w:p>
          <w:p>
            <w:pPr>
              <w:pStyle w:val="TableParagraph"/>
              <w:spacing w:line="143" w:lineRule="exact" w:before="99"/>
              <w:ind w:left="221"/>
              <w:rPr>
                <w:sz w:val="17"/>
              </w:rPr>
            </w:pPr>
            <w:r>
              <w:rPr>
                <w:sz w:val="17"/>
              </w:rPr>
              <w:t>-3</w:t>
            </w:r>
          </w:p>
          <w:p>
            <w:pPr>
              <w:pStyle w:val="TableParagraph"/>
              <w:tabs>
                <w:tab w:pos="4697" w:val="left" w:leader="none"/>
              </w:tabs>
              <w:spacing w:line="196" w:lineRule="exact"/>
              <w:ind w:left="1608"/>
              <w:rPr>
                <w:sz w:val="19"/>
              </w:rPr>
            </w:pPr>
            <w:r>
              <w:rPr>
                <w:color w:val="000080"/>
                <w:sz w:val="18"/>
              </w:rPr>
              <w:t>ONS</w:t>
              <w:tab/>
            </w:r>
            <w:r>
              <w:rPr>
                <w:position w:val="8"/>
                <w:sz w:val="19"/>
              </w:rPr>
              <w:t>-2</w:t>
            </w:r>
          </w:p>
          <w:p>
            <w:pPr>
              <w:pStyle w:val="TableParagraph"/>
              <w:tabs>
                <w:tab w:pos="1608" w:val="left" w:leader="none"/>
              </w:tabs>
              <w:spacing w:line="261" w:lineRule="exact"/>
              <w:ind w:left="221"/>
              <w:rPr>
                <w:sz w:val="18"/>
              </w:rPr>
            </w:pPr>
            <w:r>
              <w:rPr>
                <w:position w:val="13"/>
                <w:sz w:val="17"/>
              </w:rPr>
              <w:t>-4</w:t>
              <w:tab/>
            </w:r>
            <w:r>
              <w:rPr>
                <w:color w:val="000080"/>
                <w:sz w:val="18"/>
              </w:rPr>
              <w:t>(left-hand side)</w:t>
            </w:r>
          </w:p>
          <w:p>
            <w:pPr>
              <w:pStyle w:val="TableParagraph"/>
              <w:tabs>
                <w:tab w:pos="4697" w:val="left" w:leader="none"/>
              </w:tabs>
              <w:spacing w:line="200" w:lineRule="exact"/>
              <w:ind w:left="221"/>
              <w:rPr>
                <w:sz w:val="19"/>
              </w:rPr>
            </w:pPr>
            <w:r>
              <w:rPr>
                <w:position w:val="1"/>
                <w:sz w:val="17"/>
              </w:rPr>
              <w:t>-5</w:t>
              <w:tab/>
            </w:r>
            <w:r>
              <w:rPr>
                <w:sz w:val="19"/>
              </w:rPr>
              <w:t>-3</w:t>
            </w:r>
          </w:p>
          <w:p>
            <w:pPr>
              <w:pStyle w:val="TableParagraph"/>
              <w:tabs>
                <w:tab w:pos="952" w:val="left" w:leader="none"/>
                <w:tab w:pos="1577" w:val="left" w:leader="none"/>
                <w:tab w:pos="2202" w:val="left" w:leader="none"/>
                <w:tab w:pos="2826" w:val="left" w:leader="none"/>
                <w:tab w:pos="3454" w:val="left" w:leader="none"/>
                <w:tab w:pos="4079" w:val="left" w:leader="none"/>
              </w:tabs>
              <w:spacing w:before="62"/>
              <w:ind w:left="327"/>
              <w:rPr>
                <w:sz w:val="19"/>
              </w:rPr>
            </w:pPr>
            <w:r>
              <w:rPr>
                <w:sz w:val="19"/>
              </w:rPr>
              <w:t>2001</w:t>
              <w:tab/>
              <w:t>2002</w:t>
              <w:tab/>
              <w:t>2003</w:t>
              <w:tab/>
              <w:t>2004</w:t>
              <w:tab/>
              <w:t>2005</w:t>
              <w:tab/>
              <w:t>2006</w:t>
              <w:tab/>
              <w:t>2007</w:t>
            </w:r>
          </w:p>
        </w:tc>
      </w:tr>
      <w:tr>
        <w:trPr>
          <w:trHeight w:val="230" w:hRule="atLeast"/>
        </w:trPr>
        <w:tc>
          <w:tcPr>
            <w:tcW w:w="5220" w:type="dxa"/>
          </w:tcPr>
          <w:p>
            <w:pPr>
              <w:pStyle w:val="TableParagraph"/>
              <w:spacing w:line="210" w:lineRule="exact"/>
              <w:ind w:left="106"/>
              <w:rPr>
                <w:i/>
                <w:sz w:val="20"/>
              </w:rPr>
            </w:pPr>
            <w:r>
              <w:rPr>
                <w:i/>
                <w:sz w:val="20"/>
              </w:rPr>
              <w:t>Source: Bank of England and ONS</w:t>
            </w:r>
          </w:p>
        </w:tc>
      </w:tr>
    </w:tbl>
    <w:p>
      <w:pPr>
        <w:pStyle w:val="BodyText"/>
        <w:spacing w:before="10"/>
        <w:rPr>
          <w:sz w:val="27"/>
        </w:rPr>
      </w:pPr>
    </w:p>
    <w:p>
      <w:pPr>
        <w:pStyle w:val="BodyText"/>
        <w:spacing w:line="360" w:lineRule="auto" w:before="90"/>
        <w:ind w:left="221" w:right="110"/>
        <w:jc w:val="both"/>
      </w:pPr>
      <w:r>
        <w:rPr/>
        <w:pict>
          <v:group style="position:absolute;margin-left:107.099998pt;margin-top:-202.846588pt;width:208.75pt;height:147.8pt;mso-position-horizontal-relative:page;mso-position-vertical-relative:paragraph;z-index:-254174208" coordorigin="2142,-4057" coordsize="4175,2956">
            <v:shape style="position:absolute;left:2194;top:-4057;width:4122;height:2955" coordorigin="2195,-4056" coordsize="4122,2955" path="m6259,-4056l6259,-1102m6259,-1102l6317,-1102m6259,-1595l6317,-1595m6259,-2086l6317,-2086m6259,-2579l6317,-2579m6259,-3072l6317,-3072m6259,-3563l6317,-3563m6259,-4056l6317,-4056m2195,-2579l6259,-2579m2195,-2579l2195,-2637m2820,-2579l2820,-2637m3445,-2579l3445,-2637m4069,-2579l4069,-2637m4697,-2579l4697,-2637m5322,-2579l5322,-2637m5947,-2579l5947,-2637e" filled="false" stroked="true" strokeweight=".06pt" strokecolor="#000000">
              <v:path arrowok="t"/>
              <v:stroke dashstyle="solid"/>
            </v:shape>
            <v:line style="position:absolute" from="2195,-2928" to="2221,-2868" stroked="true" strokeweight=".961pt" strokecolor="#ff00ff">
              <v:stroke dashstyle="solid"/>
            </v:line>
            <v:shape style="position:absolute;left:2221;top:-3592;width:3959;height:1809" coordorigin="2221,-3592" coordsize="3959,1809" path="m2221,-2868l2274,-2807m2274,-2807l2324,-2687m2324,-2687l2377,-2567,2430,-2447m2430,-2447l2480,-2325m2480,-2325l2533,-2204m2533,-2204l2586,-1964m2690,-1964l2743,-1784m2743,-1784l2794,-1844m2794,-1844l2846,-2024m2846,-2024l2899,-1844m2899,-1844l2950,-1964m2950,-1964l3002,-2084m3002,-2084l3055,-2264m3055,-2264l3106,-2325m3106,-2325l3158,-2447m3158,-2447l3211,-2507m3211,-2507l3262,-2447m3262,-2447l3314,-2507,3367,-2567m3367,-2567l3419,-2567m3419,-2567l3472,-2447m3472,-2447l3524,-2264m3524,-2264l3577,-2144m3577,-2144l3628,-2084m3628,-2084l3680,-2084m3680,-2084l3733,-2144m3733,-2144l3784,-2264m3784,-2264l3836,-2325m3836,-2325l3889,-2567m3889,-2567l3940,-2627m3940,-2627l3992,-2687,4045,-2747m4045,-2747l4096,-2747m4096,-2747l4148,-2807m4148,-2807l4201,-2868m4201,-2868l4253,-3048m4253,-3048l4306,-3351m4306,-3351l4358,-3412m4358,-3412l4409,-3412m4409,-3412l4462,-3592m4462,-3592l4514,-3412m4514,-3412l4565,-3228m4565,-3228l4618,-3108,4670,-2988m4670,-2988l4721,-2868m4721,-2868l4774,-2868m4774,-2868l4826,-2807m4826,-2807l4877,-2747m4877,-2747l4930,-2687m4930,-2687l4982,-2447m4982,-2447l5035,-2204m5035,-2204l5087,-2144m5087,-2144l5140,-2144,5192,-2144m5192,-2144l5243,-2264m5243,-2264l5296,-2325m5296,-2325l5348,-2325,5399,-2325m5399,-2325l5452,-2264m5452,-2264l5504,-2325m5504,-2325l5555,-2627m5555,-2627l5608,-2627m5608,-2627l5660,-2747m5660,-2747l5711,-2807m5711,-2807l5764,-2928m5764,-2928l5816,-3108m5816,-3108l5867,-3168m5867,-3168l5921,-3291m5921,-3291l5974,-3291m5974,-3291l6024,-3168m6024,-3168l6077,-3228m6077,-3228l6130,-3168m6130,-3168l6180,-3228e" filled="false" stroked="true" strokeweight=".961pt" strokecolor="#ff00ff">
              <v:path arrowok="t"/>
              <v:stroke dashstyle="solid"/>
            </v:shape>
            <v:line style="position:absolute" from="2195,-2895" to="2221,-2933" stroked="true" strokeweight=".961pt" strokecolor="#ff6500">
              <v:stroke dashstyle="solid"/>
            </v:line>
            <v:shape style="position:absolute;left:2221;top:-3487;width:3959;height:1856" coordorigin="2221,-3486" coordsize="3959,1856" path="m2221,-2933l2274,-2974m2274,-2974l2324,-2895m2324,-2895l2377,-2735m2377,-2735l2430,-2459m2430,-2459l2480,-2342m2480,-2342l2533,-2261m2533,-2261l2586,-2064m2586,-2064l2638,-1908m2638,-1908l2690,-1710m2690,-1710l2743,-1710m2743,-1710l2794,-1631m2794,-1631l2846,-1670m2846,-1670l2899,-1750m2899,-1750l2950,-1908m2950,-1908l3002,-2026m3002,-2026l3055,-2064m3055,-2064l3106,-2144m3106,-2144l3158,-2303m3158,-2303l3211,-2342m3211,-2342l3262,-2421m3262,-2421l3314,-2421m3314,-2421l3367,-2342m3367,-2342l3419,-2303m3419,-2303l3472,-2303m3472,-2303l3524,-2261m3524,-2261l3577,-2342m3577,-2342l3628,-2303m3628,-2303l3680,-2303m3680,-2303l3733,-2342m3733,-2342l3784,-2382m3784,-2382l3836,-2459m3836,-2459l3889,-2538m3889,-2538l3940,-2538m3940,-2538l3992,-2658m3992,-2658l4045,-2658,4096,-2658m4096,-2658l4148,-2735m4148,-2735l4201,-2814m4201,-2814l4253,-2933m4253,-2933l4306,-2974m4306,-2974l4358,-2974m4358,-2974l4409,-3012m4409,-3012l4462,-3132m4462,-3132l4514,-3132m4514,-3132l4565,-3012m4565,-3012l4618,-3012m4618,-3012l4670,-2933m4670,-2933l4721,-2814m4721,-2814l4774,-2856m4774,-2856l4826,-2895m4826,-2895l4877,-2776m4877,-2776l4930,-2697,4982,-2618m4982,-2618l5035,-2618m5035,-2618l5087,-2697m5087,-2697l5140,-2856m5140,-2856l5192,-2895m5192,-2895l5243,-2933m5243,-2933l5296,-3012m5296,-3012l5348,-2974m5348,-2974l5399,-3012m5399,-3012l5452,-3092m5452,-3092l5504,-3132m5504,-3132l5555,-3209m5555,-3209l5608,-3288m5608,-3288l5660,-3369m5660,-3369l5711,-3407m5711,-3407l5764,-3407m5764,-3407l5816,-3486m5816,-3486l5867,-3448m5867,-3448l5921,-3448m5921,-3448l5974,-3329m5974,-3329l6024,-3288m6024,-3288l6077,-3369m6077,-3369l6130,-3329m6130,-3329l6180,-3407e" filled="false" stroked="true" strokeweight=".961pt" strokecolor="#ff6500">
              <v:path arrowok="t"/>
              <v:stroke dashstyle="solid"/>
            </v:shape>
            <v:shape style="position:absolute;left:2142;top:-4057;width:53;height:2955" coordorigin="2142,-4056" coordsize="53,2955" path="m2195,-4056l2195,-1102m2142,-1102l2195,-1102m2142,-1398l2195,-1398m2142,-1694l2195,-1694m2142,-1988l2195,-1988m2142,-2284l2195,-2284m2142,-2579l2195,-2579m2142,-2876l2195,-2876m2142,-3171l2195,-3171m2142,-3465l2195,-3465m2142,-3760l2195,-3760m2142,-4056l2195,-4056e" filled="false" stroked="true" strokeweight=".06pt" strokecolor="#000000">
              <v:path arrowok="t"/>
              <v:stroke dashstyle="solid"/>
            </v:shape>
            <v:line style="position:absolute" from="2195,-3183" to="2221,-3240" stroked="true" strokeweight="1.922pt" strokecolor="#000080">
              <v:stroke dashstyle="solid"/>
            </v:line>
            <v:shape style="position:absolute;left:2221;top:-3241;width:1041;height:2061" coordorigin="2221,-3240" coordsize="1041,2061" path="m2221,-3240l2274,-3154m2274,-3154l2324,-2933m2324,-2933l2377,-2608m2377,-2608l2430,-2390m2430,-2390l2480,-2189m2480,-2189l2533,-2115m2533,-2115l2586,-2199m2586,-2199l2638,-2267m2638,-2267l2690,-2163m2690,-2163l2743,-1815m2743,-1815l2794,-1422m2794,-1422l2846,-1180m2846,-1180l2899,-1226m2899,-1226l2950,-1391m2950,-1391l3002,-1733m3002,-1733l3055,-2043m3055,-2043l3106,-1713m3106,-1713l3158,-1662m3158,-1662l3211,-1456m3211,-1456l3262,-1918e" filled="false" stroked="true" strokeweight="1.922pt" strokecolor="#000080">
              <v:path arrowok="t"/>
              <v:stroke dashstyle="solid"/>
            </v:shape>
            <v:shape style="position:absolute;left:3242;top:-2421;width:458;height:571" type="#_x0000_t75" stroked="false">
              <v:imagedata r:id="rId14" o:title=""/>
            </v:shape>
            <v:shape style="position:absolute;left:3680;top:-3482;width:885;height:1391" coordorigin="3680,-3482" coordsize="885,1391" path="m3680,-2091l3733,-2570m3733,-2570l3784,-2747m3784,-2747l3836,-2890m3836,-2890l3889,-2510m3889,-2510l3940,-2697m3940,-2697l3992,-2955m3992,-2955l4045,-3135m4045,-3135l4096,-3173m4096,-3173l4148,-3224m4148,-3224l4201,-3293m4201,-3293l4253,-3300m4253,-3300l4306,-3472m4306,-3472l4358,-3482m4358,-3482l4409,-3310m4409,-3310l4462,-3152m4462,-3152l4514,-3051m4514,-3051l4565,-2962e" filled="false" stroked="true" strokeweight="1.922pt" strokecolor="#000080">
              <v:path arrowok="t"/>
              <v:stroke dashstyle="solid"/>
            </v:shape>
            <v:line style="position:absolute" from="4546,-2961" to="4637,-2961" stroked="true" strokeweight="2.042000pt" strokecolor="#000080">
              <v:stroke dashstyle="solid"/>
            </v:line>
            <v:shape style="position:absolute;left:4617;top:-3356;width:1512;height:1421" coordorigin="4618,-3356" coordsize="1512,1421" path="m4618,-2960l4670,-2900m4670,-2900l4721,-2931m4721,-2931l4774,-2852m4774,-2852l4826,-2502m4826,-2502l4877,-2320m4877,-2320l4930,-2040m4930,-2040l4982,-2127m4982,-2127l5035,-2272m5035,-2272l5087,-2416m5087,-2416l5140,-2375m5140,-2375l5192,-2172m5192,-2172l5243,-1954m5243,-1954l5296,-1935m5296,-1935l5348,-2012m5348,-2012l5399,-2156m5399,-2156l5452,-2512m5452,-2512l5504,-2687m5504,-2687l5555,-2933m5555,-2933l5608,-2902m5608,-2902l5660,-2950m5660,-2950l5711,-2988m5711,-2988l5764,-3077m5764,-3077l5816,-3276m5816,-3276l5867,-3356m5867,-3356l5921,-3346m5921,-3346l5974,-3245m5974,-3245l6024,-3048m6024,-3048l6077,-2900m6077,-2900l6130,-2832e" filled="false" stroked="true" strokeweight="1.922pt" strokecolor="#000080">
              <v:path arrowok="t"/>
              <v:stroke dashstyle="solid"/>
            </v:shape>
            <w10:wrap type="none"/>
          </v:group>
        </w:pict>
      </w:r>
      <w:r>
        <w:rPr/>
        <w:t>Economic growth in the year to the first quarter of 2007 was a solid 3%, above the recent trend, and most of the evidence suggests that growth remained firm in the second quarter. Indeed, the picture presented by business surveys and the Bank’s</w:t>
      </w:r>
      <w:r>
        <w:rPr>
          <w:spacing w:val="35"/>
        </w:rPr>
        <w:t> </w:t>
      </w:r>
      <w:r>
        <w:rPr/>
        <w:t>Agents’ reports are stronger than that suggested by the official statistics, particularly in the manufacturing sector, as Chart 9 shows. This stronger tone from the business surveys and the Agents’ reports could be an indication that recent official data on economic growth is understating the strength of activity and demand. That would also </w:t>
      </w:r>
      <w:r>
        <w:rPr>
          <w:spacing w:val="-6"/>
        </w:rPr>
        <w:t>be </w:t>
      </w:r>
      <w:r>
        <w:rPr/>
        <w:t>consistent with survey data showing that capacity pressures have been increasing within firms over the past year, and would be an added reason for concern about the inflationary impact of current demand</w:t>
      </w:r>
      <w:r>
        <w:rPr>
          <w:spacing w:val="-4"/>
        </w:rPr>
        <w:t> </w:t>
      </w:r>
      <w:r>
        <w:rPr/>
        <w:t>conditions.</w:t>
      </w:r>
    </w:p>
    <w:p>
      <w:pPr>
        <w:pStyle w:val="BodyText"/>
        <w:rPr>
          <w:sz w:val="36"/>
        </w:rPr>
      </w:pPr>
    </w:p>
    <w:p>
      <w:pPr>
        <w:pStyle w:val="BodyText"/>
        <w:spacing w:line="360" w:lineRule="auto"/>
        <w:ind w:left="221" w:right="109"/>
        <w:jc w:val="both"/>
      </w:pPr>
      <w:r>
        <w:rPr/>
        <w:t>A key ingredient in this healthy economic picture is the current strength of the global economy. Though the US economy slowed last year and in the first quarter of this year, strong demand in Asia and a pick-up in European growth are providing continuing impetus to global demand. The economies of the Middle East are also strong, and oil money is flowing back into world markets through healthy export growth and through asset markets.</w:t>
      </w:r>
    </w:p>
    <w:p>
      <w:pPr>
        <w:pStyle w:val="BodyText"/>
        <w:rPr>
          <w:sz w:val="20"/>
        </w:rPr>
      </w:pPr>
    </w:p>
    <w:p>
      <w:pPr>
        <w:pStyle w:val="BodyText"/>
        <w:rPr>
          <w:sz w:val="20"/>
        </w:rPr>
      </w:pPr>
    </w:p>
    <w:p>
      <w:pPr>
        <w:pStyle w:val="BodyText"/>
        <w:rPr>
          <w:sz w:val="20"/>
        </w:rPr>
      </w:pPr>
    </w:p>
    <w:p>
      <w:pPr>
        <w:pStyle w:val="BodyText"/>
        <w:spacing w:before="4"/>
        <w:rPr>
          <w:sz w:val="12"/>
        </w:r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0"/>
      </w:tblGrid>
      <w:tr>
        <w:trPr>
          <w:trHeight w:val="275" w:hRule="atLeast"/>
        </w:trPr>
        <w:tc>
          <w:tcPr>
            <w:tcW w:w="5040" w:type="dxa"/>
          </w:tcPr>
          <w:p>
            <w:pPr>
              <w:pStyle w:val="TableParagraph"/>
              <w:spacing w:line="256" w:lineRule="exact"/>
              <w:ind w:left="106"/>
              <w:rPr>
                <w:b/>
                <w:sz w:val="24"/>
              </w:rPr>
            </w:pPr>
            <w:r>
              <w:rPr>
                <w:b/>
                <w:color w:val="0000FF"/>
                <w:sz w:val="24"/>
              </w:rPr>
              <w:t>Chart 10: World GDP growth</w:t>
            </w:r>
          </w:p>
        </w:tc>
      </w:tr>
    </w:tbl>
    <w:p>
      <w:pPr>
        <w:spacing w:after="0" w:line="256" w:lineRule="exact"/>
        <w:rPr>
          <w:sz w:val="24"/>
        </w:rPr>
        <w:sectPr>
          <w:footerReference w:type="default" r:id="rId13"/>
          <w:pgSz w:w="11900" w:h="16840"/>
          <w:pgMar w:footer="710" w:header="0" w:top="1600" w:bottom="900" w:left="1480" w:right="1580"/>
          <w:pgNumType w:start="13"/>
        </w:sect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63"/>
        <w:gridCol w:w="561"/>
        <w:gridCol w:w="562"/>
        <w:gridCol w:w="563"/>
        <w:gridCol w:w="1736"/>
        <w:gridCol w:w="385"/>
      </w:tblGrid>
      <w:tr>
        <w:trPr>
          <w:trHeight w:val="680" w:hRule="atLeast"/>
        </w:trPr>
        <w:tc>
          <w:tcPr>
            <w:tcW w:w="673" w:type="dxa"/>
            <w:tcBorders>
              <w:top w:val="single" w:sz="4" w:space="0" w:color="000000"/>
              <w:left w:val="single" w:sz="4" w:space="0" w:color="000000"/>
            </w:tcBorders>
          </w:tcPr>
          <w:p>
            <w:pPr>
              <w:pStyle w:val="TableParagraph"/>
              <w:rPr>
                <w:sz w:val="22"/>
              </w:rPr>
            </w:pPr>
          </w:p>
        </w:tc>
        <w:tc>
          <w:tcPr>
            <w:tcW w:w="563" w:type="dxa"/>
            <w:tcBorders>
              <w:top w:val="single" w:sz="4" w:space="0" w:color="000000"/>
            </w:tcBorders>
          </w:tcPr>
          <w:p>
            <w:pPr>
              <w:pStyle w:val="TableParagraph"/>
              <w:rPr>
                <w:sz w:val="22"/>
              </w:rPr>
            </w:pPr>
          </w:p>
        </w:tc>
        <w:tc>
          <w:tcPr>
            <w:tcW w:w="561" w:type="dxa"/>
            <w:tcBorders>
              <w:top w:val="single" w:sz="4" w:space="0" w:color="000000"/>
            </w:tcBorders>
          </w:tcPr>
          <w:p>
            <w:pPr>
              <w:pStyle w:val="TableParagraph"/>
              <w:rPr>
                <w:sz w:val="22"/>
              </w:rPr>
            </w:pPr>
          </w:p>
        </w:tc>
        <w:tc>
          <w:tcPr>
            <w:tcW w:w="562" w:type="dxa"/>
            <w:tcBorders>
              <w:top w:val="single" w:sz="4" w:space="0" w:color="000000"/>
            </w:tcBorders>
          </w:tcPr>
          <w:p>
            <w:pPr>
              <w:pStyle w:val="TableParagraph"/>
              <w:rPr>
                <w:sz w:val="22"/>
              </w:rPr>
            </w:pPr>
          </w:p>
        </w:tc>
        <w:tc>
          <w:tcPr>
            <w:tcW w:w="563" w:type="dxa"/>
            <w:tcBorders>
              <w:top w:val="single" w:sz="4" w:space="0" w:color="000000"/>
            </w:tcBorders>
          </w:tcPr>
          <w:p>
            <w:pPr>
              <w:pStyle w:val="TableParagraph"/>
              <w:rPr>
                <w:sz w:val="22"/>
              </w:rPr>
            </w:pPr>
          </w:p>
        </w:tc>
        <w:tc>
          <w:tcPr>
            <w:tcW w:w="1736" w:type="dxa"/>
            <w:vMerge w:val="restart"/>
            <w:tcBorders>
              <w:top w:val="single" w:sz="4" w:space="0" w:color="000000"/>
              <w:bottom w:val="single" w:sz="4" w:space="0" w:color="000000"/>
            </w:tcBorders>
          </w:tcPr>
          <w:p>
            <w:pPr>
              <w:pStyle w:val="TableParagraph"/>
              <w:spacing w:line="268" w:lineRule="auto" w:before="158"/>
              <w:ind w:left="232" w:right="59"/>
              <w:rPr>
                <w:sz w:val="18"/>
              </w:rPr>
            </w:pPr>
            <w:r>
              <w:rPr>
                <w:sz w:val="18"/>
              </w:rPr>
              <w:t>Percentage increase on a year earlier</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tabs>
                <w:tab w:pos="667" w:val="left" w:leader="none"/>
                <w:tab w:pos="1230" w:val="left" w:leader="none"/>
              </w:tabs>
              <w:spacing w:before="122"/>
              <w:ind w:left="108"/>
              <w:rPr>
                <w:sz w:val="17"/>
              </w:rPr>
            </w:pPr>
            <w:r>
              <w:rPr>
                <w:w w:val="105"/>
                <w:sz w:val="17"/>
              </w:rPr>
              <w:t>1995</w:t>
              <w:tab/>
              <w:t>2000</w:t>
              <w:tab/>
              <w:t>2005</w:t>
            </w:r>
          </w:p>
        </w:tc>
        <w:tc>
          <w:tcPr>
            <w:tcW w:w="385" w:type="dxa"/>
            <w:tcBorders>
              <w:top w:val="single" w:sz="4" w:space="0" w:color="000000"/>
              <w:right w:val="single" w:sz="4" w:space="0" w:color="000000"/>
            </w:tcBorders>
          </w:tcPr>
          <w:p>
            <w:pPr>
              <w:pStyle w:val="TableParagraph"/>
              <w:rPr>
                <w:sz w:val="18"/>
              </w:rPr>
            </w:pPr>
          </w:p>
          <w:p>
            <w:pPr>
              <w:pStyle w:val="TableParagraph"/>
              <w:spacing w:before="2"/>
              <w:rPr>
                <w:sz w:val="15"/>
              </w:rPr>
            </w:pPr>
          </w:p>
          <w:p>
            <w:pPr>
              <w:pStyle w:val="TableParagraph"/>
              <w:ind w:left="83"/>
              <w:rPr>
                <w:sz w:val="17"/>
              </w:rPr>
            </w:pPr>
            <w:r>
              <w:rPr>
                <w:w w:val="103"/>
                <w:sz w:val="17"/>
              </w:rPr>
              <w:t>7</w:t>
            </w:r>
          </w:p>
        </w:tc>
      </w:tr>
      <w:tr>
        <w:trPr>
          <w:trHeight w:val="398" w:hRule="atLeast"/>
        </w:trPr>
        <w:tc>
          <w:tcPr>
            <w:tcW w:w="673" w:type="dxa"/>
            <w:tcBorders>
              <w:left w:val="single" w:sz="4" w:space="0" w:color="000000"/>
            </w:tcBorders>
          </w:tcPr>
          <w:p>
            <w:pPr>
              <w:pStyle w:val="TableParagraph"/>
              <w:rPr>
                <w:sz w:val="22"/>
              </w:rPr>
            </w:pPr>
          </w:p>
        </w:tc>
        <w:tc>
          <w:tcPr>
            <w:tcW w:w="563" w:type="dxa"/>
          </w:tcPr>
          <w:p>
            <w:pPr>
              <w:pStyle w:val="TableParagraph"/>
              <w:rPr>
                <w:sz w:val="22"/>
              </w:rPr>
            </w:pPr>
          </w:p>
        </w:tc>
        <w:tc>
          <w:tcPr>
            <w:tcW w:w="561" w:type="dxa"/>
          </w:tcPr>
          <w:p>
            <w:pPr>
              <w:pStyle w:val="TableParagraph"/>
              <w:rPr>
                <w:sz w:val="22"/>
              </w:rPr>
            </w:pPr>
          </w:p>
        </w:tc>
        <w:tc>
          <w:tcPr>
            <w:tcW w:w="562" w:type="dxa"/>
          </w:tcPr>
          <w:p>
            <w:pPr>
              <w:pStyle w:val="TableParagraph"/>
              <w:rPr>
                <w:sz w:val="22"/>
              </w:rPr>
            </w:pPr>
          </w:p>
        </w:tc>
        <w:tc>
          <w:tcPr>
            <w:tcW w:w="563" w:type="dxa"/>
          </w:tcPr>
          <w:p>
            <w:pPr>
              <w:pStyle w:val="TableParagraph"/>
              <w:rPr>
                <w:sz w:val="22"/>
              </w:rPr>
            </w:pPr>
          </w:p>
        </w:tc>
        <w:tc>
          <w:tcPr>
            <w:tcW w:w="1736" w:type="dxa"/>
            <w:vMerge/>
            <w:tcBorders>
              <w:top w:val="nil"/>
              <w:bottom w:val="single" w:sz="4" w:space="0" w:color="000000"/>
            </w:tcBorders>
          </w:tcPr>
          <w:p>
            <w:pPr>
              <w:rPr>
                <w:sz w:val="2"/>
                <w:szCs w:val="2"/>
              </w:rPr>
            </w:pPr>
          </w:p>
        </w:tc>
        <w:tc>
          <w:tcPr>
            <w:tcW w:w="385" w:type="dxa"/>
            <w:tcBorders>
              <w:right w:val="single" w:sz="4" w:space="0" w:color="000000"/>
            </w:tcBorders>
          </w:tcPr>
          <w:p>
            <w:pPr>
              <w:pStyle w:val="TableParagraph"/>
              <w:spacing w:before="99"/>
              <w:ind w:left="83"/>
              <w:rPr>
                <w:sz w:val="17"/>
              </w:rPr>
            </w:pPr>
            <w:r>
              <w:rPr>
                <w:w w:val="103"/>
                <w:sz w:val="17"/>
              </w:rPr>
              <w:t>6</w:t>
            </w:r>
          </w:p>
        </w:tc>
      </w:tr>
      <w:tr>
        <w:trPr>
          <w:trHeight w:val="399" w:hRule="atLeast"/>
        </w:trPr>
        <w:tc>
          <w:tcPr>
            <w:tcW w:w="673" w:type="dxa"/>
            <w:tcBorders>
              <w:left w:val="single" w:sz="4" w:space="0" w:color="000000"/>
            </w:tcBorders>
          </w:tcPr>
          <w:p>
            <w:pPr>
              <w:pStyle w:val="TableParagraph"/>
              <w:rPr>
                <w:sz w:val="22"/>
              </w:rPr>
            </w:pPr>
          </w:p>
        </w:tc>
        <w:tc>
          <w:tcPr>
            <w:tcW w:w="563" w:type="dxa"/>
          </w:tcPr>
          <w:p>
            <w:pPr>
              <w:pStyle w:val="TableParagraph"/>
              <w:rPr>
                <w:sz w:val="22"/>
              </w:rPr>
            </w:pPr>
          </w:p>
        </w:tc>
        <w:tc>
          <w:tcPr>
            <w:tcW w:w="561" w:type="dxa"/>
          </w:tcPr>
          <w:p>
            <w:pPr>
              <w:pStyle w:val="TableParagraph"/>
              <w:rPr>
                <w:sz w:val="22"/>
              </w:rPr>
            </w:pPr>
          </w:p>
        </w:tc>
        <w:tc>
          <w:tcPr>
            <w:tcW w:w="562" w:type="dxa"/>
          </w:tcPr>
          <w:p>
            <w:pPr>
              <w:pStyle w:val="TableParagraph"/>
              <w:rPr>
                <w:sz w:val="22"/>
              </w:rPr>
            </w:pPr>
          </w:p>
        </w:tc>
        <w:tc>
          <w:tcPr>
            <w:tcW w:w="563" w:type="dxa"/>
          </w:tcPr>
          <w:p>
            <w:pPr>
              <w:pStyle w:val="TableParagraph"/>
              <w:rPr>
                <w:sz w:val="22"/>
              </w:rPr>
            </w:pPr>
          </w:p>
        </w:tc>
        <w:tc>
          <w:tcPr>
            <w:tcW w:w="1736" w:type="dxa"/>
            <w:vMerge/>
            <w:tcBorders>
              <w:top w:val="nil"/>
              <w:bottom w:val="single" w:sz="4" w:space="0" w:color="000000"/>
            </w:tcBorders>
          </w:tcPr>
          <w:p>
            <w:pPr>
              <w:rPr>
                <w:sz w:val="2"/>
                <w:szCs w:val="2"/>
              </w:rPr>
            </w:pPr>
          </w:p>
        </w:tc>
        <w:tc>
          <w:tcPr>
            <w:tcW w:w="385" w:type="dxa"/>
            <w:tcBorders>
              <w:right w:val="single" w:sz="4" w:space="0" w:color="000000"/>
            </w:tcBorders>
          </w:tcPr>
          <w:p>
            <w:pPr>
              <w:pStyle w:val="TableParagraph"/>
              <w:spacing w:before="100"/>
              <w:ind w:left="83"/>
              <w:rPr>
                <w:sz w:val="17"/>
              </w:rPr>
            </w:pPr>
            <w:r>
              <w:rPr>
                <w:w w:val="103"/>
                <w:sz w:val="17"/>
              </w:rPr>
              <w:t>5</w:t>
            </w:r>
          </w:p>
        </w:tc>
      </w:tr>
      <w:tr>
        <w:trPr>
          <w:trHeight w:val="398" w:hRule="atLeast"/>
        </w:trPr>
        <w:tc>
          <w:tcPr>
            <w:tcW w:w="673" w:type="dxa"/>
            <w:tcBorders>
              <w:left w:val="single" w:sz="4" w:space="0" w:color="000000"/>
            </w:tcBorders>
          </w:tcPr>
          <w:p>
            <w:pPr>
              <w:pStyle w:val="TableParagraph"/>
              <w:rPr>
                <w:sz w:val="22"/>
              </w:rPr>
            </w:pPr>
          </w:p>
        </w:tc>
        <w:tc>
          <w:tcPr>
            <w:tcW w:w="563" w:type="dxa"/>
          </w:tcPr>
          <w:p>
            <w:pPr>
              <w:pStyle w:val="TableParagraph"/>
              <w:rPr>
                <w:sz w:val="22"/>
              </w:rPr>
            </w:pPr>
          </w:p>
        </w:tc>
        <w:tc>
          <w:tcPr>
            <w:tcW w:w="561" w:type="dxa"/>
          </w:tcPr>
          <w:p>
            <w:pPr>
              <w:pStyle w:val="TableParagraph"/>
              <w:rPr>
                <w:sz w:val="22"/>
              </w:rPr>
            </w:pPr>
          </w:p>
        </w:tc>
        <w:tc>
          <w:tcPr>
            <w:tcW w:w="562" w:type="dxa"/>
          </w:tcPr>
          <w:p>
            <w:pPr>
              <w:pStyle w:val="TableParagraph"/>
              <w:rPr>
                <w:sz w:val="22"/>
              </w:rPr>
            </w:pPr>
          </w:p>
        </w:tc>
        <w:tc>
          <w:tcPr>
            <w:tcW w:w="563" w:type="dxa"/>
          </w:tcPr>
          <w:p>
            <w:pPr>
              <w:pStyle w:val="TableParagraph"/>
              <w:rPr>
                <w:sz w:val="22"/>
              </w:rPr>
            </w:pPr>
          </w:p>
        </w:tc>
        <w:tc>
          <w:tcPr>
            <w:tcW w:w="1736" w:type="dxa"/>
            <w:vMerge/>
            <w:tcBorders>
              <w:top w:val="nil"/>
              <w:bottom w:val="single" w:sz="4" w:space="0" w:color="000000"/>
            </w:tcBorders>
          </w:tcPr>
          <w:p>
            <w:pPr>
              <w:rPr>
                <w:sz w:val="2"/>
                <w:szCs w:val="2"/>
              </w:rPr>
            </w:pPr>
          </w:p>
        </w:tc>
        <w:tc>
          <w:tcPr>
            <w:tcW w:w="385" w:type="dxa"/>
            <w:tcBorders>
              <w:right w:val="single" w:sz="4" w:space="0" w:color="000000"/>
            </w:tcBorders>
          </w:tcPr>
          <w:p>
            <w:pPr>
              <w:pStyle w:val="TableParagraph"/>
              <w:spacing w:before="100"/>
              <w:ind w:left="83"/>
              <w:rPr>
                <w:sz w:val="17"/>
              </w:rPr>
            </w:pPr>
            <w:r>
              <w:rPr>
                <w:w w:val="103"/>
                <w:sz w:val="17"/>
              </w:rPr>
              <w:t>4</w:t>
            </w:r>
          </w:p>
        </w:tc>
      </w:tr>
      <w:tr>
        <w:trPr>
          <w:trHeight w:val="397" w:hRule="atLeast"/>
        </w:trPr>
        <w:tc>
          <w:tcPr>
            <w:tcW w:w="673" w:type="dxa"/>
            <w:tcBorders>
              <w:left w:val="single" w:sz="4" w:space="0" w:color="000000"/>
            </w:tcBorders>
          </w:tcPr>
          <w:p>
            <w:pPr>
              <w:pStyle w:val="TableParagraph"/>
              <w:rPr>
                <w:sz w:val="22"/>
              </w:rPr>
            </w:pPr>
          </w:p>
        </w:tc>
        <w:tc>
          <w:tcPr>
            <w:tcW w:w="563" w:type="dxa"/>
          </w:tcPr>
          <w:p>
            <w:pPr>
              <w:pStyle w:val="TableParagraph"/>
              <w:rPr>
                <w:sz w:val="22"/>
              </w:rPr>
            </w:pPr>
          </w:p>
        </w:tc>
        <w:tc>
          <w:tcPr>
            <w:tcW w:w="561" w:type="dxa"/>
          </w:tcPr>
          <w:p>
            <w:pPr>
              <w:pStyle w:val="TableParagraph"/>
              <w:rPr>
                <w:sz w:val="22"/>
              </w:rPr>
            </w:pPr>
          </w:p>
        </w:tc>
        <w:tc>
          <w:tcPr>
            <w:tcW w:w="562" w:type="dxa"/>
          </w:tcPr>
          <w:p>
            <w:pPr>
              <w:pStyle w:val="TableParagraph"/>
              <w:rPr>
                <w:sz w:val="22"/>
              </w:rPr>
            </w:pPr>
          </w:p>
        </w:tc>
        <w:tc>
          <w:tcPr>
            <w:tcW w:w="563" w:type="dxa"/>
          </w:tcPr>
          <w:p>
            <w:pPr>
              <w:pStyle w:val="TableParagraph"/>
              <w:rPr>
                <w:sz w:val="22"/>
              </w:rPr>
            </w:pPr>
          </w:p>
        </w:tc>
        <w:tc>
          <w:tcPr>
            <w:tcW w:w="1736" w:type="dxa"/>
            <w:vMerge/>
            <w:tcBorders>
              <w:top w:val="nil"/>
              <w:bottom w:val="single" w:sz="4" w:space="0" w:color="000000"/>
            </w:tcBorders>
          </w:tcPr>
          <w:p>
            <w:pPr>
              <w:rPr>
                <w:sz w:val="2"/>
                <w:szCs w:val="2"/>
              </w:rPr>
            </w:pPr>
          </w:p>
        </w:tc>
        <w:tc>
          <w:tcPr>
            <w:tcW w:w="385" w:type="dxa"/>
            <w:tcBorders>
              <w:right w:val="single" w:sz="4" w:space="0" w:color="000000"/>
            </w:tcBorders>
          </w:tcPr>
          <w:p>
            <w:pPr>
              <w:pStyle w:val="TableParagraph"/>
              <w:spacing w:before="99"/>
              <w:ind w:left="83"/>
              <w:rPr>
                <w:sz w:val="17"/>
              </w:rPr>
            </w:pPr>
            <w:r>
              <w:rPr>
                <w:w w:val="103"/>
                <w:sz w:val="17"/>
              </w:rPr>
              <w:t>3</w:t>
            </w:r>
          </w:p>
        </w:tc>
      </w:tr>
      <w:tr>
        <w:trPr>
          <w:trHeight w:val="398" w:hRule="atLeast"/>
        </w:trPr>
        <w:tc>
          <w:tcPr>
            <w:tcW w:w="673" w:type="dxa"/>
            <w:tcBorders>
              <w:left w:val="single" w:sz="4" w:space="0" w:color="000000"/>
            </w:tcBorders>
          </w:tcPr>
          <w:p>
            <w:pPr>
              <w:pStyle w:val="TableParagraph"/>
              <w:rPr>
                <w:sz w:val="22"/>
              </w:rPr>
            </w:pPr>
          </w:p>
        </w:tc>
        <w:tc>
          <w:tcPr>
            <w:tcW w:w="563" w:type="dxa"/>
          </w:tcPr>
          <w:p>
            <w:pPr>
              <w:pStyle w:val="TableParagraph"/>
              <w:rPr>
                <w:sz w:val="22"/>
              </w:rPr>
            </w:pPr>
          </w:p>
        </w:tc>
        <w:tc>
          <w:tcPr>
            <w:tcW w:w="561" w:type="dxa"/>
          </w:tcPr>
          <w:p>
            <w:pPr>
              <w:pStyle w:val="TableParagraph"/>
              <w:rPr>
                <w:sz w:val="22"/>
              </w:rPr>
            </w:pPr>
          </w:p>
        </w:tc>
        <w:tc>
          <w:tcPr>
            <w:tcW w:w="562" w:type="dxa"/>
          </w:tcPr>
          <w:p>
            <w:pPr>
              <w:pStyle w:val="TableParagraph"/>
              <w:rPr>
                <w:sz w:val="22"/>
              </w:rPr>
            </w:pPr>
          </w:p>
        </w:tc>
        <w:tc>
          <w:tcPr>
            <w:tcW w:w="563" w:type="dxa"/>
          </w:tcPr>
          <w:p>
            <w:pPr>
              <w:pStyle w:val="TableParagraph"/>
              <w:rPr>
                <w:sz w:val="22"/>
              </w:rPr>
            </w:pPr>
          </w:p>
        </w:tc>
        <w:tc>
          <w:tcPr>
            <w:tcW w:w="1736" w:type="dxa"/>
            <w:vMerge/>
            <w:tcBorders>
              <w:top w:val="nil"/>
              <w:bottom w:val="single" w:sz="4" w:space="0" w:color="000000"/>
            </w:tcBorders>
          </w:tcPr>
          <w:p>
            <w:pPr>
              <w:rPr>
                <w:sz w:val="2"/>
                <w:szCs w:val="2"/>
              </w:rPr>
            </w:pPr>
          </w:p>
        </w:tc>
        <w:tc>
          <w:tcPr>
            <w:tcW w:w="385" w:type="dxa"/>
            <w:tcBorders>
              <w:right w:val="single" w:sz="4" w:space="0" w:color="000000"/>
            </w:tcBorders>
          </w:tcPr>
          <w:p>
            <w:pPr>
              <w:pStyle w:val="TableParagraph"/>
              <w:spacing w:before="99"/>
              <w:ind w:left="83"/>
              <w:rPr>
                <w:sz w:val="17"/>
              </w:rPr>
            </w:pPr>
            <w:r>
              <w:rPr>
                <w:w w:val="103"/>
                <w:sz w:val="17"/>
              </w:rPr>
              <w:t>2</w:t>
            </w:r>
          </w:p>
        </w:tc>
      </w:tr>
      <w:tr>
        <w:trPr>
          <w:trHeight w:val="399" w:hRule="atLeast"/>
        </w:trPr>
        <w:tc>
          <w:tcPr>
            <w:tcW w:w="673" w:type="dxa"/>
            <w:tcBorders>
              <w:left w:val="single" w:sz="4" w:space="0" w:color="000000"/>
            </w:tcBorders>
          </w:tcPr>
          <w:p>
            <w:pPr>
              <w:pStyle w:val="TableParagraph"/>
              <w:rPr>
                <w:sz w:val="22"/>
              </w:rPr>
            </w:pPr>
          </w:p>
        </w:tc>
        <w:tc>
          <w:tcPr>
            <w:tcW w:w="563" w:type="dxa"/>
          </w:tcPr>
          <w:p>
            <w:pPr>
              <w:pStyle w:val="TableParagraph"/>
              <w:rPr>
                <w:sz w:val="22"/>
              </w:rPr>
            </w:pPr>
          </w:p>
        </w:tc>
        <w:tc>
          <w:tcPr>
            <w:tcW w:w="561" w:type="dxa"/>
          </w:tcPr>
          <w:p>
            <w:pPr>
              <w:pStyle w:val="TableParagraph"/>
              <w:rPr>
                <w:sz w:val="22"/>
              </w:rPr>
            </w:pPr>
          </w:p>
        </w:tc>
        <w:tc>
          <w:tcPr>
            <w:tcW w:w="562" w:type="dxa"/>
          </w:tcPr>
          <w:p>
            <w:pPr>
              <w:pStyle w:val="TableParagraph"/>
              <w:rPr>
                <w:sz w:val="22"/>
              </w:rPr>
            </w:pPr>
          </w:p>
        </w:tc>
        <w:tc>
          <w:tcPr>
            <w:tcW w:w="563" w:type="dxa"/>
          </w:tcPr>
          <w:p>
            <w:pPr>
              <w:pStyle w:val="TableParagraph"/>
              <w:rPr>
                <w:sz w:val="22"/>
              </w:rPr>
            </w:pPr>
          </w:p>
        </w:tc>
        <w:tc>
          <w:tcPr>
            <w:tcW w:w="1736" w:type="dxa"/>
            <w:vMerge/>
            <w:tcBorders>
              <w:top w:val="nil"/>
              <w:bottom w:val="single" w:sz="4" w:space="0" w:color="000000"/>
            </w:tcBorders>
          </w:tcPr>
          <w:p>
            <w:pPr>
              <w:rPr>
                <w:sz w:val="2"/>
                <w:szCs w:val="2"/>
              </w:rPr>
            </w:pPr>
          </w:p>
        </w:tc>
        <w:tc>
          <w:tcPr>
            <w:tcW w:w="385" w:type="dxa"/>
            <w:tcBorders>
              <w:right w:val="single" w:sz="4" w:space="0" w:color="000000"/>
            </w:tcBorders>
          </w:tcPr>
          <w:p>
            <w:pPr>
              <w:pStyle w:val="TableParagraph"/>
              <w:spacing w:before="100"/>
              <w:ind w:left="83"/>
              <w:rPr>
                <w:sz w:val="17"/>
              </w:rPr>
            </w:pPr>
            <w:r>
              <w:rPr>
                <w:w w:val="103"/>
                <w:sz w:val="17"/>
              </w:rPr>
              <w:t>1</w:t>
            </w:r>
          </w:p>
        </w:tc>
      </w:tr>
      <w:tr>
        <w:trPr>
          <w:trHeight w:val="325" w:hRule="atLeast"/>
        </w:trPr>
        <w:tc>
          <w:tcPr>
            <w:tcW w:w="673" w:type="dxa"/>
            <w:tcBorders>
              <w:left w:val="single" w:sz="4" w:space="0" w:color="000000"/>
            </w:tcBorders>
          </w:tcPr>
          <w:p>
            <w:pPr>
              <w:pStyle w:val="TableParagraph"/>
              <w:rPr>
                <w:sz w:val="22"/>
              </w:rPr>
            </w:pPr>
          </w:p>
        </w:tc>
        <w:tc>
          <w:tcPr>
            <w:tcW w:w="563" w:type="dxa"/>
          </w:tcPr>
          <w:p>
            <w:pPr>
              <w:pStyle w:val="TableParagraph"/>
              <w:rPr>
                <w:sz w:val="22"/>
              </w:rPr>
            </w:pPr>
          </w:p>
        </w:tc>
        <w:tc>
          <w:tcPr>
            <w:tcW w:w="561" w:type="dxa"/>
          </w:tcPr>
          <w:p>
            <w:pPr>
              <w:pStyle w:val="TableParagraph"/>
              <w:rPr>
                <w:sz w:val="22"/>
              </w:rPr>
            </w:pPr>
          </w:p>
        </w:tc>
        <w:tc>
          <w:tcPr>
            <w:tcW w:w="562" w:type="dxa"/>
          </w:tcPr>
          <w:p>
            <w:pPr>
              <w:pStyle w:val="TableParagraph"/>
              <w:rPr>
                <w:sz w:val="22"/>
              </w:rPr>
            </w:pPr>
          </w:p>
        </w:tc>
        <w:tc>
          <w:tcPr>
            <w:tcW w:w="563" w:type="dxa"/>
          </w:tcPr>
          <w:p>
            <w:pPr>
              <w:pStyle w:val="TableParagraph"/>
              <w:rPr>
                <w:sz w:val="22"/>
              </w:rPr>
            </w:pPr>
          </w:p>
        </w:tc>
        <w:tc>
          <w:tcPr>
            <w:tcW w:w="1736" w:type="dxa"/>
            <w:vMerge/>
            <w:tcBorders>
              <w:top w:val="nil"/>
              <w:bottom w:val="single" w:sz="4" w:space="0" w:color="000000"/>
            </w:tcBorders>
          </w:tcPr>
          <w:p>
            <w:pPr>
              <w:rPr>
                <w:sz w:val="2"/>
                <w:szCs w:val="2"/>
              </w:rPr>
            </w:pPr>
          </w:p>
        </w:tc>
        <w:tc>
          <w:tcPr>
            <w:tcW w:w="385" w:type="dxa"/>
            <w:tcBorders>
              <w:right w:val="single" w:sz="4" w:space="0" w:color="000000"/>
            </w:tcBorders>
          </w:tcPr>
          <w:p>
            <w:pPr>
              <w:pStyle w:val="TableParagraph"/>
              <w:spacing w:before="100"/>
              <w:ind w:left="83"/>
              <w:rPr>
                <w:sz w:val="17"/>
              </w:rPr>
            </w:pPr>
            <w:r>
              <w:rPr>
                <w:w w:val="103"/>
                <w:sz w:val="17"/>
              </w:rPr>
              <w:t>0</w:t>
            </w:r>
          </w:p>
        </w:tc>
      </w:tr>
      <w:tr>
        <w:trPr>
          <w:trHeight w:val="372" w:hRule="atLeast"/>
        </w:trPr>
        <w:tc>
          <w:tcPr>
            <w:tcW w:w="673" w:type="dxa"/>
            <w:tcBorders>
              <w:left w:val="single" w:sz="4" w:space="0" w:color="000000"/>
              <w:bottom w:val="single" w:sz="4" w:space="0" w:color="000000"/>
            </w:tcBorders>
          </w:tcPr>
          <w:p>
            <w:pPr>
              <w:pStyle w:val="TableParagraph"/>
              <w:spacing w:before="26"/>
              <w:ind w:left="214"/>
              <w:rPr>
                <w:sz w:val="17"/>
              </w:rPr>
            </w:pPr>
            <w:r>
              <w:rPr>
                <w:w w:val="105"/>
                <w:sz w:val="17"/>
              </w:rPr>
              <w:t>1970</w:t>
            </w:r>
          </w:p>
        </w:tc>
        <w:tc>
          <w:tcPr>
            <w:tcW w:w="563" w:type="dxa"/>
            <w:tcBorders>
              <w:bottom w:val="single" w:sz="4" w:space="0" w:color="000000"/>
            </w:tcBorders>
          </w:tcPr>
          <w:p>
            <w:pPr>
              <w:pStyle w:val="TableParagraph"/>
              <w:spacing w:before="26"/>
              <w:ind w:left="109"/>
              <w:rPr>
                <w:sz w:val="17"/>
              </w:rPr>
            </w:pPr>
            <w:r>
              <w:rPr>
                <w:w w:val="105"/>
                <w:sz w:val="17"/>
              </w:rPr>
              <w:t>1975</w:t>
            </w:r>
          </w:p>
        </w:tc>
        <w:tc>
          <w:tcPr>
            <w:tcW w:w="561" w:type="dxa"/>
            <w:tcBorders>
              <w:bottom w:val="single" w:sz="4" w:space="0" w:color="000000"/>
            </w:tcBorders>
          </w:tcPr>
          <w:p>
            <w:pPr>
              <w:pStyle w:val="TableParagraph"/>
              <w:spacing w:before="26"/>
              <w:ind w:left="109"/>
              <w:rPr>
                <w:sz w:val="17"/>
              </w:rPr>
            </w:pPr>
            <w:r>
              <w:rPr>
                <w:w w:val="105"/>
                <w:sz w:val="17"/>
              </w:rPr>
              <w:t>1980</w:t>
            </w:r>
          </w:p>
        </w:tc>
        <w:tc>
          <w:tcPr>
            <w:tcW w:w="562" w:type="dxa"/>
            <w:tcBorders>
              <w:bottom w:val="single" w:sz="4" w:space="0" w:color="000000"/>
            </w:tcBorders>
          </w:tcPr>
          <w:p>
            <w:pPr>
              <w:pStyle w:val="TableParagraph"/>
              <w:spacing w:before="26"/>
              <w:ind w:left="107"/>
              <w:rPr>
                <w:sz w:val="17"/>
              </w:rPr>
            </w:pPr>
            <w:r>
              <w:rPr>
                <w:w w:val="105"/>
                <w:sz w:val="17"/>
              </w:rPr>
              <w:t>1985</w:t>
            </w:r>
          </w:p>
        </w:tc>
        <w:tc>
          <w:tcPr>
            <w:tcW w:w="563" w:type="dxa"/>
            <w:tcBorders>
              <w:bottom w:val="single" w:sz="4" w:space="0" w:color="000000"/>
            </w:tcBorders>
          </w:tcPr>
          <w:p>
            <w:pPr>
              <w:pStyle w:val="TableParagraph"/>
              <w:spacing w:before="26"/>
              <w:ind w:left="108"/>
              <w:rPr>
                <w:sz w:val="17"/>
              </w:rPr>
            </w:pPr>
            <w:r>
              <w:rPr>
                <w:w w:val="105"/>
                <w:sz w:val="17"/>
              </w:rPr>
              <w:t>1990</w:t>
            </w:r>
          </w:p>
        </w:tc>
        <w:tc>
          <w:tcPr>
            <w:tcW w:w="1736" w:type="dxa"/>
            <w:vMerge/>
            <w:tcBorders>
              <w:top w:val="nil"/>
              <w:bottom w:val="single" w:sz="4" w:space="0" w:color="000000"/>
            </w:tcBorders>
          </w:tcPr>
          <w:p>
            <w:pPr>
              <w:rPr>
                <w:sz w:val="2"/>
                <w:szCs w:val="2"/>
              </w:rPr>
            </w:pPr>
          </w:p>
        </w:tc>
        <w:tc>
          <w:tcPr>
            <w:tcW w:w="385" w:type="dxa"/>
            <w:tcBorders>
              <w:bottom w:val="single" w:sz="4" w:space="0" w:color="000000"/>
              <w:right w:val="single" w:sz="4" w:space="0" w:color="000000"/>
            </w:tcBorders>
          </w:tcPr>
          <w:p>
            <w:pPr>
              <w:pStyle w:val="TableParagraph"/>
              <w:rPr>
                <w:sz w:val="22"/>
              </w:rPr>
            </w:pPr>
          </w:p>
        </w:tc>
      </w:tr>
      <w:tr>
        <w:trPr>
          <w:trHeight w:val="460" w:hRule="atLeast"/>
        </w:trPr>
        <w:tc>
          <w:tcPr>
            <w:tcW w:w="5043"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Pr>
                <w:sz w:val="20"/>
              </w:rPr>
            </w:pPr>
            <w:r>
              <w:rPr>
                <w:i/>
                <w:sz w:val="20"/>
              </w:rPr>
              <w:t>Source: IMF </w:t>
            </w:r>
            <w:r>
              <w:rPr>
                <w:sz w:val="20"/>
              </w:rPr>
              <w:t>World Economic Outlook</w:t>
            </w:r>
          </w:p>
          <w:p>
            <w:pPr>
              <w:pStyle w:val="TableParagraph"/>
              <w:spacing w:line="213" w:lineRule="exact"/>
              <w:ind w:left="106"/>
              <w:rPr>
                <w:i/>
                <w:sz w:val="20"/>
              </w:rPr>
            </w:pPr>
            <w:r>
              <w:rPr>
                <w:i/>
                <w:sz w:val="20"/>
              </w:rPr>
              <w:t>Note: 2007 figure is forecast</w:t>
            </w:r>
          </w:p>
        </w:tc>
      </w:tr>
    </w:tbl>
    <w:p>
      <w:pPr>
        <w:pStyle w:val="BodyText"/>
        <w:spacing w:before="3"/>
        <w:rPr>
          <w:sz w:val="28"/>
        </w:rPr>
      </w:pPr>
    </w:p>
    <w:p>
      <w:pPr>
        <w:pStyle w:val="BodyText"/>
        <w:spacing w:line="360" w:lineRule="auto" w:before="90"/>
        <w:ind w:left="221" w:right="109"/>
        <w:jc w:val="both"/>
      </w:pPr>
      <w:r>
        <w:rPr/>
        <w:pict>
          <v:group style="position:absolute;margin-left:101.910004pt;margin-top:-208.066574pt;width:216.1pt;height:143.15pt;mso-position-horizontal-relative:page;mso-position-vertical-relative:paragraph;z-index:-254173184" coordorigin="2038,-4161" coordsize="4322,2863">
            <v:line style="position:absolute" from="2094,-3395" to="2094,-1300" stroked="true" strokeweight="3.36pt" strokecolor="#4e38b4">
              <v:stroke dashstyle="solid"/>
            </v:line>
            <v:line style="position:absolute" from="2206,-3143" to="2206,-1300" stroked="true" strokeweight="3.24pt" strokecolor="#4e38b4">
              <v:stroke dashstyle="solid"/>
            </v:line>
            <v:shape style="position:absolute;left:2317;top:-4095;width:226;height:2795" coordorigin="2317,-4095" coordsize="226,2795" path="m2317,-3484l2317,-1300m2430,-4095l2430,-1300m2543,-2426l2543,-1300e" filled="false" stroked="true" strokeweight="3.36pt" strokecolor="#4e38b4">
              <v:path arrowok="t"/>
              <v:stroke dashstyle="solid"/>
            </v:shape>
            <v:line style="position:absolute" from="2656,-2082" to="2656,-1300" stroked="true" strokeweight="3.24pt" strokecolor="#4e38b4">
              <v:stroke dashstyle="solid"/>
            </v:line>
            <v:shape style="position:absolute;left:2767;top:-3379;width:226;height:2079" coordorigin="2767,-3378" coordsize="226,2079" path="m2767,-3378l2767,-1300m2880,-3088l2880,-1300m2993,-3162l2993,-1300e" filled="false" stroked="true" strokeweight="3.36pt" strokecolor="#4e38b4">
              <v:path arrowok="t"/>
              <v:stroke dashstyle="solid"/>
            </v:shape>
            <v:line style="position:absolute" from="3104,-2830" to="3104,-1300" stroked="true" strokeweight="3.24pt" strokecolor="#4e38b4">
              <v:stroke dashstyle="solid"/>
            </v:line>
            <v:shape style="position:absolute;left:3216;top:-2193;width:113;height:893" coordorigin="3216,-2193" coordsize="113,893" path="m3216,-2193l3216,-1300m3329,-2193l3329,-1300e" filled="false" stroked="true" strokeweight="3.36pt" strokecolor="#4e38b4">
              <v:path arrowok="t"/>
              <v:stroke dashstyle="solid"/>
            </v:shape>
            <v:line style="position:absolute" from="3442,-1762" to="3442,-1300" stroked="true" strokeweight="3.42pt" strokecolor="#4e38b4">
              <v:stroke dashstyle="solid"/>
            </v:line>
            <v:line style="position:absolute" from="3554,-2535" to="3554,-1300" stroked="true" strokeweight="3.24pt" strokecolor="#4e38b4">
              <v:stroke dashstyle="solid"/>
            </v:line>
            <v:shape style="position:absolute;left:3666;top:-3237;width:226;height:1937" coordorigin="3666,-3237" coordsize="226,1937" path="m3666,-3237l3666,-1300m3779,-2849l3779,-1300m3892,-2806l3892,-1300e" filled="false" stroked="true" strokeweight="3.36pt" strokecolor="#4e38b4">
              <v:path arrowok="t"/>
              <v:stroke dashstyle="solid"/>
            </v:shape>
            <v:line style="position:absolute" from="4003,-2895" to="4003,-1300" stroked="true" strokeweight="3.24pt" strokecolor="#4e38b4">
              <v:stroke dashstyle="solid"/>
            </v:line>
            <v:line style="position:absolute" from="4115,-3232" to="4115,-1300" stroked="true" strokeweight="3.36pt" strokecolor="#4e38b4">
              <v:stroke dashstyle="solid"/>
            </v:line>
            <v:line style="position:absolute" from="4228,-2847" to="4228,-1300" stroked="true" strokeweight="3.42pt" strokecolor="#4e38b4">
              <v:stroke dashstyle="solid"/>
            </v:line>
            <v:line style="position:absolute" from="4340,-2501" to="4340,-1300" stroked="true" strokeweight="3.24pt" strokecolor="#4e38b4">
              <v:stroke dashstyle="solid"/>
            </v:line>
            <v:shape style="position:absolute;left:4452;top:-2299;width:226;height:999" coordorigin="4452,-2298" coordsize="226,999" path="m4452,-1974l4452,-1300m4565,-2277l4565,-1300m4678,-2298l4678,-1300e" filled="false" stroked="true" strokeweight="3.36pt" strokecolor="#4e38b4">
              <v:path arrowok="t"/>
              <v:stroke dashstyle="solid"/>
            </v:shape>
            <v:line style="position:absolute" from="4789,-2856" to="4789,-1300" stroked="true" strokeweight="3.24pt" strokecolor="#4e38b4">
              <v:stroke dashstyle="solid"/>
            </v:line>
            <v:shape style="position:absolute;left:4900;top:-3024;width:227;height:1724" coordorigin="4901,-3023" coordsize="227,1724" path="m4901,-2811l4901,-1300m5014,-2962l5014,-1300m5128,-3023l5128,-1300e" filled="false" stroked="true" strokeweight="3.36pt" strokecolor="#4e38b4">
              <v:path arrowok="t"/>
              <v:stroke dashstyle="solid"/>
            </v:shape>
            <v:line style="position:absolute" from="5239,-2414" to="5239,-1300" stroked="true" strokeweight="3.24pt" strokecolor="#4e38b4">
              <v:stroke dashstyle="solid"/>
            </v:line>
            <v:shape style="position:absolute;left:5350;top:-3276;width:226;height:1976" coordorigin="5351,-3275" coordsize="226,1976" path="m5351,-2828l5351,-1300m5464,-3275l5464,-1300m5576,-2342l5576,-1300e" filled="false" stroked="true" strokeweight="3.36pt" strokecolor="#4e38b4">
              <v:path arrowok="t"/>
              <v:stroke dashstyle="solid"/>
            </v:shape>
            <v:line style="position:absolute" from="5688,-2566" to="5688,-1300" stroked="true" strokeweight="3.24pt" strokecolor="#4e38b4">
              <v:stroke dashstyle="solid"/>
            </v:line>
            <v:line style="position:absolute" from="5800,-2952" to="5800,-1300" stroked="true" strokeweight="3.36pt" strokecolor="#4e38b4">
              <v:stroke dashstyle="solid"/>
            </v:line>
            <v:line style="position:absolute" from="5913,-3462" to="5913,-1300" stroked="true" strokeweight="3.42pt" strokecolor="#4e38b4">
              <v:stroke dashstyle="solid"/>
            </v:line>
            <v:line style="position:absolute" from="6026,-3292" to="6026,-1300" stroked="true" strokeweight="3.36pt" strokecolor="#4e38b4">
              <v:stroke dashstyle="solid"/>
            </v:line>
            <v:line style="position:absolute" from="6138,-3501" to="6138,-1300" stroked="true" strokeweight="3.24pt" strokecolor="#4e38b4">
              <v:stroke dashstyle="solid"/>
            </v:line>
            <v:shape style="position:absolute;left:6217;top:-3318;width:68;height:2019" type="#_x0000_t75" stroked="false">
              <v:imagedata r:id="rId15" o:title=""/>
            </v:shape>
            <v:shape style="position:absolute;left:6307;top:-4161;width:53;height:2861" coordorigin="6307,-4161" coordsize="53,2861" path="m6307,-4161l6307,-1300m6307,-1300l6360,-1300m6307,-1709l6360,-1709m6307,-2118l6360,-2118m6307,-2528l6360,-2528m6307,-2933l6360,-2933m6307,-3342l6360,-3342m6307,-3752l6360,-3752m6307,-4161l6360,-4161e" filled="false" stroked="true" strokeweight=".06pt" strokecolor="#04741f">
              <v:path arrowok="t"/>
              <v:stroke dashstyle="solid"/>
            </v:shape>
            <v:shape style="position:absolute;left:2038;top:-1354;width:4269;height:54" coordorigin="2039,-1354" coordsize="4269,54" path="m2039,-1300l6307,-1300m2039,-1300l2039,-1354m2600,-1300l2600,-1354m3161,-1300l3161,-1354m3724,-1300l3724,-1354m4286,-1300l4286,-1354m4846,-1300l4846,-1354m5408,-1300l5408,-1354m5971,-1300l5971,-1354e" filled="false" stroked="true" strokeweight=".06pt" strokecolor="#000000">
              <v:path arrowok="t"/>
              <v:stroke dashstyle="solid"/>
            </v:shape>
            <w10:wrap type="none"/>
          </v:group>
        </w:pict>
      </w:r>
      <w:r>
        <w:rPr/>
        <w:t>Chart 10 shows that this is the fourth calendar year of world growth at around 5%, using the IMF’s data and forecasts. We have to look back over thirty years to find a period of such strong and persistent expansion in the global economy.</w:t>
      </w:r>
    </w:p>
    <w:p>
      <w:pPr>
        <w:pStyle w:val="BodyText"/>
        <w:rPr>
          <w:sz w:val="36"/>
        </w:rPr>
      </w:pPr>
    </w:p>
    <w:p>
      <w:pPr>
        <w:pStyle w:val="BodyText"/>
        <w:tabs>
          <w:tab w:pos="2494" w:val="left" w:leader="none"/>
        </w:tabs>
        <w:spacing w:line="360" w:lineRule="auto"/>
        <w:ind w:left="221" w:right="145"/>
      </w:pPr>
      <w:r>
        <w:rPr/>
        <w:t>A couple of years ago, this strong global growth was a welcome addition to UK demand, offsetting a slowdown in consumer spending and against a backdrop of subdued</w:t>
      </w:r>
      <w:r>
        <w:rPr>
          <w:spacing w:val="59"/>
        </w:rPr>
        <w:t> </w:t>
      </w:r>
      <w:r>
        <w:rPr/>
        <w:t>investment.</w:t>
        <w:tab/>
        <w:t>However, these two key elements of domestic demand have turned around over the past two years. Consumer spending is now growing roughly in line with historic trends, while business investment is enjoying a strong recovery, as Chart 11</w:t>
      </w:r>
      <w:r>
        <w:rPr>
          <w:spacing w:val="-1"/>
        </w:rPr>
        <w:t> </w:t>
      </w:r>
      <w:r>
        <w:rPr/>
        <w:t>shows.</w:t>
      </w:r>
    </w:p>
    <w:p>
      <w:pPr>
        <w:spacing w:after="0" w:line="360" w:lineRule="auto"/>
        <w:sectPr>
          <w:pgSz w:w="11900" w:h="16840"/>
          <w:pgMar w:header="0" w:footer="710" w:top="1440" w:bottom="960" w:left="1480" w:right="1580"/>
        </w:sect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54"/>
      </w:tblGrid>
      <w:tr>
        <w:trPr>
          <w:trHeight w:val="551" w:hRule="atLeast"/>
        </w:trPr>
        <w:tc>
          <w:tcPr>
            <w:tcW w:w="5054" w:type="dxa"/>
          </w:tcPr>
          <w:p>
            <w:pPr>
              <w:pStyle w:val="TableParagraph"/>
              <w:spacing w:line="276" w:lineRule="exact" w:before="2"/>
              <w:ind w:left="106" w:right="456"/>
              <w:rPr>
                <w:b/>
                <w:sz w:val="24"/>
              </w:rPr>
            </w:pPr>
            <w:r>
              <w:rPr>
                <w:b/>
                <w:color w:val="0000FF"/>
                <w:sz w:val="24"/>
              </w:rPr>
              <w:t>Chart 11: Consumer spending and business investment</w:t>
            </w:r>
          </w:p>
        </w:tc>
      </w:tr>
      <w:tr>
        <w:trPr>
          <w:trHeight w:val="3862" w:hRule="atLeast"/>
        </w:trPr>
        <w:tc>
          <w:tcPr>
            <w:tcW w:w="5054" w:type="dxa"/>
          </w:tcPr>
          <w:p>
            <w:pPr>
              <w:pStyle w:val="TableParagraph"/>
              <w:tabs>
                <w:tab w:pos="3209" w:val="left" w:leader="none"/>
              </w:tabs>
              <w:spacing w:before="95"/>
              <w:ind w:left="410"/>
              <w:rPr>
                <w:sz w:val="18"/>
              </w:rPr>
            </w:pPr>
            <w:r>
              <w:rPr>
                <w:sz w:val="18"/>
              </w:rPr>
              <w:t>Percentage</w:t>
            </w:r>
            <w:r>
              <w:rPr>
                <w:spacing w:val="-2"/>
                <w:sz w:val="18"/>
              </w:rPr>
              <w:t> </w:t>
            </w:r>
            <w:r>
              <w:rPr>
                <w:sz w:val="18"/>
              </w:rPr>
              <w:t>increase</w:t>
              <w:tab/>
              <w:t>Percentage</w:t>
            </w:r>
            <w:r>
              <w:rPr>
                <w:spacing w:val="-1"/>
                <w:sz w:val="18"/>
              </w:rPr>
              <w:t> </w:t>
            </w:r>
            <w:r>
              <w:rPr>
                <w:sz w:val="18"/>
              </w:rPr>
              <w:t>increase</w:t>
            </w:r>
          </w:p>
          <w:p>
            <w:pPr>
              <w:pStyle w:val="TableParagraph"/>
              <w:tabs>
                <w:tab w:pos="672" w:val="left" w:leader="none"/>
                <w:tab w:pos="3255" w:val="left" w:leader="none"/>
                <w:tab w:pos="4692" w:val="left" w:leader="none"/>
              </w:tabs>
              <w:spacing w:before="25"/>
              <w:ind w:left="223"/>
              <w:rPr>
                <w:sz w:val="17"/>
              </w:rPr>
            </w:pPr>
            <w:r>
              <w:rPr>
                <w:position w:val="-9"/>
                <w:sz w:val="17"/>
              </w:rPr>
              <w:t>15</w:t>
              <w:tab/>
            </w:r>
            <w:r>
              <w:rPr>
                <w:sz w:val="18"/>
              </w:rPr>
              <w:t>on a</w:t>
            </w:r>
            <w:r>
              <w:rPr>
                <w:spacing w:val="-1"/>
                <w:sz w:val="18"/>
              </w:rPr>
              <w:t> </w:t>
            </w:r>
            <w:r>
              <w:rPr>
                <w:sz w:val="18"/>
              </w:rPr>
              <w:t>year</w:t>
            </w:r>
            <w:r>
              <w:rPr>
                <w:spacing w:val="-1"/>
                <w:sz w:val="18"/>
              </w:rPr>
              <w:t> </w:t>
            </w:r>
            <w:r>
              <w:rPr>
                <w:sz w:val="18"/>
              </w:rPr>
              <w:t>earlier</w:t>
              <w:tab/>
              <w:t>on a</w:t>
            </w:r>
            <w:r>
              <w:rPr>
                <w:spacing w:val="-2"/>
                <w:sz w:val="18"/>
              </w:rPr>
              <w:t> </w:t>
            </w:r>
            <w:r>
              <w:rPr>
                <w:sz w:val="18"/>
              </w:rPr>
              <w:t>year</w:t>
            </w:r>
            <w:r>
              <w:rPr>
                <w:spacing w:val="-1"/>
                <w:sz w:val="18"/>
              </w:rPr>
              <w:t> </w:t>
            </w:r>
            <w:r>
              <w:rPr>
                <w:sz w:val="18"/>
              </w:rPr>
              <w:t>earlier</w:t>
              <w:tab/>
            </w:r>
            <w:r>
              <w:rPr>
                <w:position w:val="-9"/>
                <w:sz w:val="17"/>
              </w:rPr>
              <w:t>6</w:t>
            </w:r>
          </w:p>
          <w:p>
            <w:pPr>
              <w:pStyle w:val="TableParagraph"/>
              <w:spacing w:before="244"/>
              <w:ind w:left="2266"/>
              <w:rPr>
                <w:sz w:val="18"/>
              </w:rPr>
            </w:pPr>
            <w:r>
              <w:rPr>
                <w:color w:val="FF0000"/>
                <w:sz w:val="18"/>
              </w:rPr>
              <w:t>Consumer spending</w:t>
            </w:r>
          </w:p>
          <w:p>
            <w:pPr>
              <w:pStyle w:val="TableParagraph"/>
              <w:tabs>
                <w:tab w:pos="2266" w:val="left" w:leader="none"/>
                <w:tab w:pos="4780" w:val="right" w:leader="none"/>
              </w:tabs>
              <w:spacing w:before="23"/>
              <w:ind w:left="223"/>
              <w:rPr>
                <w:sz w:val="17"/>
              </w:rPr>
            </w:pPr>
            <w:r>
              <w:rPr>
                <w:position w:val="-2"/>
                <w:sz w:val="17"/>
              </w:rPr>
              <w:t>10</w:t>
              <w:tab/>
            </w:r>
            <w:r>
              <w:rPr>
                <w:color w:val="FF0000"/>
                <w:sz w:val="18"/>
              </w:rPr>
              <w:t>(right-hand</w:t>
            </w:r>
            <w:r>
              <w:rPr>
                <w:color w:val="FF0000"/>
                <w:spacing w:val="1"/>
                <w:sz w:val="18"/>
              </w:rPr>
              <w:t> </w:t>
            </w:r>
            <w:r>
              <w:rPr>
                <w:color w:val="FF0000"/>
                <w:sz w:val="18"/>
              </w:rPr>
              <w:t>side)</w:t>
              <w:tab/>
            </w:r>
            <w:r>
              <w:rPr>
                <w:position w:val="-2"/>
                <w:sz w:val="17"/>
              </w:rPr>
              <w:t>4</w:t>
            </w:r>
          </w:p>
          <w:p>
            <w:pPr>
              <w:pStyle w:val="TableParagraph"/>
              <w:rPr>
                <w:sz w:val="22"/>
              </w:rPr>
            </w:pPr>
          </w:p>
          <w:p>
            <w:pPr>
              <w:pStyle w:val="TableParagraph"/>
              <w:spacing w:before="11"/>
              <w:rPr>
                <w:sz w:val="21"/>
              </w:rPr>
            </w:pPr>
          </w:p>
          <w:p>
            <w:pPr>
              <w:pStyle w:val="TableParagraph"/>
              <w:tabs>
                <w:tab w:pos="4692" w:val="left" w:leader="none"/>
              </w:tabs>
              <w:ind w:left="311"/>
              <w:rPr>
                <w:sz w:val="17"/>
              </w:rPr>
            </w:pPr>
            <w:r>
              <w:rPr>
                <w:w w:val="105"/>
                <w:sz w:val="17"/>
              </w:rPr>
              <w:t>5</w:t>
              <w:tab/>
              <w:t>2</w:t>
            </w:r>
          </w:p>
          <w:p>
            <w:pPr>
              <w:pStyle w:val="TableParagraph"/>
              <w:rPr>
                <w:sz w:val="18"/>
              </w:rPr>
            </w:pPr>
          </w:p>
          <w:p>
            <w:pPr>
              <w:pStyle w:val="TableParagraph"/>
              <w:spacing w:before="2"/>
              <w:rPr>
                <w:sz w:val="26"/>
              </w:rPr>
            </w:pPr>
          </w:p>
          <w:p>
            <w:pPr>
              <w:pStyle w:val="TableParagraph"/>
              <w:tabs>
                <w:tab w:pos="4692" w:val="left" w:leader="none"/>
              </w:tabs>
              <w:ind w:left="311"/>
              <w:rPr>
                <w:sz w:val="17"/>
              </w:rPr>
            </w:pPr>
            <w:r>
              <w:rPr>
                <w:w w:val="105"/>
                <w:sz w:val="17"/>
              </w:rPr>
              <w:t>0</w:t>
              <w:tab/>
              <w:t>0</w:t>
            </w:r>
          </w:p>
          <w:p>
            <w:pPr>
              <w:pStyle w:val="TableParagraph"/>
              <w:spacing w:before="10"/>
              <w:rPr>
                <w:sz w:val="14"/>
              </w:rPr>
            </w:pPr>
          </w:p>
          <w:p>
            <w:pPr>
              <w:pStyle w:val="TableParagraph"/>
              <w:spacing w:before="1"/>
              <w:ind w:left="2944"/>
              <w:rPr>
                <w:sz w:val="18"/>
              </w:rPr>
            </w:pPr>
            <w:r>
              <w:rPr>
                <w:color w:val="000080"/>
                <w:sz w:val="18"/>
              </w:rPr>
              <w:t>Business investment</w:t>
            </w:r>
          </w:p>
          <w:p>
            <w:pPr>
              <w:pStyle w:val="TableParagraph"/>
              <w:tabs>
                <w:tab w:pos="2944" w:val="left" w:leader="none"/>
                <w:tab w:pos="4692" w:val="left" w:leader="none"/>
              </w:tabs>
              <w:spacing w:before="24"/>
              <w:ind w:left="254"/>
              <w:rPr>
                <w:sz w:val="17"/>
              </w:rPr>
            </w:pPr>
            <w:r>
              <w:rPr>
                <w:position w:val="-9"/>
                <w:sz w:val="17"/>
              </w:rPr>
              <w:t>-5</w:t>
              <w:tab/>
            </w:r>
            <w:r>
              <w:rPr>
                <w:color w:val="000080"/>
                <w:sz w:val="18"/>
              </w:rPr>
              <w:t>(left-hand</w:t>
            </w:r>
            <w:r>
              <w:rPr>
                <w:color w:val="000080"/>
                <w:spacing w:val="-1"/>
                <w:sz w:val="18"/>
              </w:rPr>
              <w:t> </w:t>
            </w:r>
            <w:r>
              <w:rPr>
                <w:color w:val="000080"/>
                <w:sz w:val="18"/>
              </w:rPr>
              <w:t>side)</w:t>
              <w:tab/>
            </w:r>
            <w:r>
              <w:rPr>
                <w:position w:val="-9"/>
                <w:sz w:val="17"/>
              </w:rPr>
              <w:t>-2</w:t>
            </w:r>
          </w:p>
          <w:p>
            <w:pPr>
              <w:pStyle w:val="TableParagraph"/>
              <w:tabs>
                <w:tab w:pos="1372" w:val="left" w:leader="none"/>
                <w:tab w:pos="2369" w:val="left" w:leader="none"/>
                <w:tab w:pos="3365" w:val="left" w:leader="none"/>
                <w:tab w:pos="4362" w:val="left" w:leader="none"/>
              </w:tabs>
              <w:spacing w:before="64"/>
              <w:ind w:left="374"/>
              <w:rPr>
                <w:sz w:val="17"/>
              </w:rPr>
            </w:pPr>
            <w:r>
              <w:rPr>
                <w:w w:val="105"/>
                <w:sz w:val="17"/>
              </w:rPr>
              <w:t>1999</w:t>
              <w:tab/>
              <w:t>2001</w:t>
              <w:tab/>
              <w:t>2003</w:t>
              <w:tab/>
              <w:t>2005</w:t>
              <w:tab/>
              <w:t>2007</w:t>
            </w:r>
          </w:p>
        </w:tc>
      </w:tr>
      <w:tr>
        <w:trPr>
          <w:trHeight w:val="460" w:hRule="atLeast"/>
        </w:trPr>
        <w:tc>
          <w:tcPr>
            <w:tcW w:w="5054" w:type="dxa"/>
          </w:tcPr>
          <w:p>
            <w:pPr>
              <w:pStyle w:val="TableParagraph"/>
              <w:spacing w:line="226" w:lineRule="exact"/>
              <w:ind w:left="106"/>
              <w:rPr>
                <w:i/>
                <w:sz w:val="20"/>
              </w:rPr>
            </w:pPr>
            <w:r>
              <w:rPr>
                <w:i/>
                <w:sz w:val="20"/>
              </w:rPr>
              <w:t>Source: ONS</w:t>
            </w:r>
          </w:p>
          <w:p>
            <w:pPr>
              <w:pStyle w:val="TableParagraph"/>
              <w:spacing w:line="214" w:lineRule="exact"/>
              <w:ind w:left="106"/>
              <w:rPr>
                <w:i/>
                <w:sz w:val="20"/>
              </w:rPr>
            </w:pPr>
            <w:r>
              <w:rPr>
                <w:i/>
                <w:sz w:val="20"/>
              </w:rPr>
              <w:t>Note: Business investment smoothed over two quarters</w:t>
            </w:r>
          </w:p>
        </w:tc>
      </w:tr>
    </w:tbl>
    <w:p>
      <w:pPr>
        <w:pStyle w:val="BodyText"/>
        <w:spacing w:before="3"/>
        <w:rPr>
          <w:sz w:val="28"/>
        </w:rPr>
      </w:pPr>
    </w:p>
    <w:p>
      <w:pPr>
        <w:pStyle w:val="BodyText"/>
        <w:spacing w:line="360" w:lineRule="auto" w:before="90"/>
        <w:ind w:left="221" w:right="110"/>
        <w:jc w:val="both"/>
      </w:pPr>
      <w:r>
        <w:rPr/>
        <w:pict>
          <v:group style="position:absolute;margin-left:108.959999pt;margin-top:-205.906586pt;width:206.9pt;height:140.9pt;mso-position-horizontal-relative:page;mso-position-vertical-relative:paragraph;z-index:-254171136" coordorigin="2179,-4118" coordsize="4138,2818">
            <v:shape style="position:absolute;left:2232;top:-4118;width:4085;height:2817" coordorigin="2232,-4118" coordsize="4085,2817" path="m6264,-4118l6264,-1301m6264,-1301l6317,-1301m6264,-2007l6317,-2007m6264,-2709l6317,-2709m6264,-3413l6317,-3413m6264,-4118l6317,-4118m2232,-2007l6264,-2007m2730,-2007l2730,-2048m3727,-2007l3727,-2048m4726,-2007l4726,-2048m5723,-2007l5723,-2048m2232,-2007l2232,-2060m3230,-2007l3230,-2060m4228,-2007l4228,-2060m5226,-2007l5226,-2060m6223,-2007l6223,-2060e" filled="false" stroked="true" strokeweight=".06pt" strokecolor="#000000">
              <v:path arrowok="t"/>
              <v:stroke dashstyle="solid"/>
            </v:shape>
            <v:line style="position:absolute" from="2234,-3534" to="2398,-3534" stroked="true" strokeweight="2.282pt" strokecolor="#ff0000">
              <v:stroke dashstyle="solid"/>
            </v:line>
            <v:shape style="position:absolute;left:2378;top:-4068;width:1246;height:1299" coordorigin="2378,-4067" coordsize="1246,1299" path="m2378,-3531l2502,-3449m2502,-3449l2627,-3846m2627,-3846l2752,-4067m2752,-4067l2876,-3719m2876,-3719l3001,-3671m3001,-3671l3126,-3087m3126,-3087l3252,-2769m3252,-2769l3374,-2982m3374,-2982l3499,-3132m3499,-3132l3624,-3322e" filled="false" stroked="true" strokeweight="1.922pt" strokecolor="#ff0000">
              <v:path arrowok="t"/>
              <v:stroke dashstyle="solid"/>
            </v:shape>
            <v:line style="position:absolute" from="3605,-3321" to="3768,-3321" stroked="true" strokeweight="2.042000pt" strokecolor="#ff0000">
              <v:stroke dashstyle="solid"/>
            </v:line>
            <v:shape style="position:absolute;left:3748;top:-3346;width:623;height:467" coordorigin="3749,-3346" coordsize="623,467" path="m3749,-3320l3875,-3346m3875,-3346l4000,-3140m4000,-3140l4124,-3082m4124,-3082l4249,-2879m4249,-2879l4372,-3082e" filled="false" stroked="true" strokeweight="1.922pt" strokecolor="#ff0000">
              <v:path arrowok="t"/>
              <v:stroke dashstyle="solid"/>
            </v:shape>
            <v:line style="position:absolute" from="4352,-3084" to="4516,-3084" stroked="true" strokeweight="2.162pt" strokecolor="#ff0000">
              <v:stroke dashstyle="solid"/>
            </v:line>
            <v:shape style="position:absolute;left:4496;top:-3258;width:501;height:208" coordorigin="4496,-3257" coordsize="501,208" path="m4496,-3087l4622,-3050m4622,-3050l4747,-3257m4747,-3257l4872,-3221m4872,-3221l4997,-3154e" filled="false" stroked="true" strokeweight="1.922pt" strokecolor="#ff0000">
              <v:path arrowok="t"/>
              <v:stroke dashstyle="solid"/>
            </v:shape>
            <v:line style="position:absolute" from="4978,-3147" to="5141,-3147" stroked="true" strokeweight="2.642pt" strokecolor="#ff0000">
              <v:stroke dashstyle="solid"/>
            </v:line>
            <v:shape style="position:absolute;left:5121;top:-3140;width:1121;height:735" coordorigin="5122,-3140" coordsize="1121,735" path="m5122,-3140l5245,-2850m5245,-2850l5370,-2405m5370,-2405l5495,-2446m5495,-2446l5620,-2468m5620,-2468l5744,-2412m5744,-2412l5869,-2817m5869,-2817l5995,-2754m5995,-2754l6118,-2966m6118,-2966l6242,-3045e" filled="false" stroked="true" strokeweight="1.922pt" strokecolor="#ff0000">
              <v:path arrowok="t"/>
              <v:stroke dashstyle="solid"/>
            </v:shape>
            <v:shape style="position:absolute;left:2179;top:-4118;width:53;height:2817" coordorigin="2179,-4118" coordsize="53,2817" path="m2232,-4118l2232,-1301m2179,-1301l2232,-1301m2179,-2007l2232,-2007m2179,-2709l2232,-2709m2179,-3413l2232,-3413m2179,-4118l2232,-4118e" filled="false" stroked="true" strokeweight=".06pt" strokecolor="#000000">
              <v:path arrowok="t"/>
              <v:stroke dashstyle="solid"/>
            </v:shape>
            <v:shape style="position:absolute;left:2253;top:-3895;width:3989;height:2450" coordorigin="2254,-3894" coordsize="3989,2450" path="m2254,-3894l2378,-2922m2378,-2922l2502,-2451m2502,-2451l2627,-2261m2627,-2261l2752,-2079m2752,-2079l2876,-2338m2876,-2338l3001,-2591m3001,-2591l3126,-2918m3126,-2918l3252,-3144m3252,-3144l3374,-2831m3374,-2831l3499,-2417m3499,-2417l3624,-1650m3624,-1650l3749,-1445m3749,-1445l3875,-1850m3875,-1850l4000,-1934m4000,-1934l4124,-2496m4124,-2496l4249,-2516m4249,-2516l4372,-1995m4372,-1995l4496,-1900m4496,-1900l4622,-1744m4622,-1744l4747,-1922m4747,-1922l4872,-2182m4872,-2182l4997,-2577m4997,-2577l5122,-2492m5122,-2492l5245,-2331m5245,-2331l5370,-2579m5370,-2579l5495,-2364m5495,-2364l5620,-2280m5620,-2280l5744,-2482m5744,-2482l5869,-2675m5869,-2675l5995,-2961m5995,-2961l6118,-3485m6118,-3485l6242,-3567e" filled="false" stroked="true" strokeweight="1.922pt" strokecolor="#000080">
              <v:path arrowok="t"/>
              <v:stroke dashstyle="solid"/>
            </v:shape>
            <w10:wrap type="none"/>
          </v:group>
        </w:pict>
      </w:r>
      <w:r>
        <w:rPr/>
        <w:t>This pick-up in demand in itself would provide a good reason for some tightening in monetary policy. However, we have also seen a dramatic change in the global inflation environment over the past few years. In the earlier years of this decade, particularly in the period 2001 to 2003, the global economy was weak and there was a considerable amount of excess capacity in global markets. At this time, therefore, global pricing pressures were exerting a strong downward influence on UK inflation.</w:t>
      </w:r>
      <w:r>
        <w:rPr>
          <w:vertAlign w:val="superscript"/>
        </w:rPr>
        <w:t>13</w:t>
      </w:r>
      <w:r>
        <w:rPr>
          <w:vertAlign w:val="baseline"/>
        </w:rPr>
        <w:t> That situation has turned around quite dramatically in recent years. Robust global demand is now putting upward pressure on a wide range of energy and commodity prices, including the price of oil and many foodstuffs. This upward pressure on inflation is being  experienced in many countries, and it is particularly affecting the prices of</w:t>
      </w:r>
      <w:r>
        <w:rPr>
          <w:spacing w:val="-8"/>
          <w:vertAlign w:val="baseline"/>
        </w:rPr>
        <w:t> </w:t>
      </w:r>
      <w:r>
        <w:rPr>
          <w:vertAlign w:val="baseline"/>
        </w:rPr>
        <w:t>goods.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r>
        <w:rPr/>
        <w:pict>
          <v:shape style="position:absolute;margin-left:85.080002pt;margin-top:11.566479pt;width:144pt;height:.1pt;mso-position-horizontal-relative:page;mso-position-vertical-relative:paragraph;z-index:-251636736;mso-wrap-distance-left:0;mso-wrap-distance-right:0" coordorigin="1702,231" coordsize="2880,0" path="m1702,231l4582,231e" filled="false" stroked="true" strokeweight=".600010pt" strokecolor="#000000">
            <v:path arrowok="t"/>
            <v:stroke dashstyle="solid"/>
            <w10:wrap type="topAndBottom"/>
          </v:shape>
        </w:pict>
      </w:r>
    </w:p>
    <w:p>
      <w:pPr>
        <w:spacing w:before="49"/>
        <w:ind w:left="221" w:right="145" w:firstLine="0"/>
        <w:jc w:val="left"/>
        <w:rPr>
          <w:sz w:val="20"/>
        </w:rPr>
      </w:pPr>
      <w:r>
        <w:rPr>
          <w:position w:val="9"/>
          <w:sz w:val="13"/>
        </w:rPr>
        <w:t>13 </w:t>
      </w:r>
      <w:r>
        <w:rPr>
          <w:sz w:val="20"/>
        </w:rPr>
        <w:t>See Bean (2006), for example, for a discussion of the impact of globalisation on industrialised countries’ inflation processes.</w:t>
      </w:r>
    </w:p>
    <w:p>
      <w:pPr>
        <w:spacing w:after="0"/>
        <w:jc w:val="left"/>
        <w:rPr>
          <w:sz w:val="20"/>
        </w:rPr>
        <w:sectPr>
          <w:pgSz w:w="11900" w:h="16840"/>
          <w:pgMar w:header="0" w:footer="710" w:top="1440" w:bottom="900" w:left="1480" w:right="1580"/>
        </w:sect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7"/>
        <w:gridCol w:w="1016"/>
        <w:gridCol w:w="460"/>
        <w:gridCol w:w="802"/>
        <w:gridCol w:w="1572"/>
        <w:gridCol w:w="411"/>
      </w:tblGrid>
      <w:tr>
        <w:trPr>
          <w:trHeight w:val="275" w:hRule="atLeast"/>
        </w:trPr>
        <w:tc>
          <w:tcPr>
            <w:tcW w:w="5038" w:type="dxa"/>
            <w:gridSpan w:val="6"/>
          </w:tcPr>
          <w:p>
            <w:pPr>
              <w:pStyle w:val="TableParagraph"/>
              <w:spacing w:line="256" w:lineRule="exact"/>
              <w:ind w:left="106"/>
              <w:rPr>
                <w:b/>
                <w:sz w:val="24"/>
              </w:rPr>
            </w:pPr>
            <w:r>
              <w:rPr>
                <w:b/>
                <w:color w:val="0000FF"/>
                <w:sz w:val="24"/>
              </w:rPr>
              <w:t>Chart 12: Goods and services inflation</w:t>
            </w:r>
          </w:p>
        </w:tc>
      </w:tr>
      <w:tr>
        <w:trPr>
          <w:trHeight w:val="3840" w:hRule="atLeast"/>
        </w:trPr>
        <w:tc>
          <w:tcPr>
            <w:tcW w:w="777" w:type="dxa"/>
            <w:tcBorders>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1"/>
              </w:rPr>
            </w:pPr>
          </w:p>
          <w:p>
            <w:pPr>
              <w:pStyle w:val="TableParagraph"/>
              <w:ind w:left="242"/>
              <w:rPr>
                <w:sz w:val="18"/>
              </w:rPr>
            </w:pPr>
            <w:r>
              <w:rPr>
                <w:w w:val="105"/>
                <w:sz w:val="18"/>
              </w:rPr>
              <w:t>1997</w:t>
            </w:r>
          </w:p>
        </w:tc>
        <w:tc>
          <w:tcPr>
            <w:tcW w:w="1016"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spacing w:before="127"/>
              <w:ind w:left="174"/>
              <w:rPr>
                <w:sz w:val="18"/>
              </w:rPr>
            </w:pPr>
            <w:r>
              <w:rPr>
                <w:color w:val="FF00FF"/>
                <w:w w:val="105"/>
                <w:sz w:val="18"/>
              </w:rPr>
              <w:t>Services</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7"/>
              <w:ind w:left="518"/>
              <w:rPr>
                <w:sz w:val="18"/>
              </w:rPr>
            </w:pPr>
            <w:r>
              <w:rPr>
                <w:color w:val="FF0000"/>
                <w:w w:val="105"/>
                <w:sz w:val="18"/>
              </w:rPr>
              <w:t>Goods</w:t>
            </w:r>
          </w:p>
          <w:p>
            <w:pPr>
              <w:pStyle w:val="TableParagraph"/>
              <w:rPr>
                <w:sz w:val="20"/>
              </w:rPr>
            </w:pPr>
          </w:p>
          <w:p>
            <w:pPr>
              <w:pStyle w:val="TableParagraph"/>
              <w:spacing w:before="7"/>
              <w:rPr>
                <w:sz w:val="24"/>
              </w:rPr>
            </w:pPr>
          </w:p>
          <w:p>
            <w:pPr>
              <w:pStyle w:val="TableParagraph"/>
              <w:ind w:left="264"/>
              <w:rPr>
                <w:sz w:val="18"/>
              </w:rPr>
            </w:pPr>
            <w:r>
              <w:rPr>
                <w:w w:val="105"/>
                <w:sz w:val="18"/>
              </w:rPr>
              <w:t>1999</w:t>
            </w:r>
          </w:p>
        </w:tc>
        <w:tc>
          <w:tcPr>
            <w:tcW w:w="460"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1"/>
              </w:rPr>
            </w:pPr>
          </w:p>
          <w:p>
            <w:pPr>
              <w:pStyle w:val="TableParagraph"/>
              <w:ind w:left="28"/>
              <w:rPr>
                <w:sz w:val="18"/>
              </w:rPr>
            </w:pPr>
            <w:r>
              <w:rPr>
                <w:w w:val="105"/>
                <w:sz w:val="18"/>
              </w:rPr>
              <w:t>2001</w:t>
            </w:r>
          </w:p>
        </w:tc>
        <w:tc>
          <w:tcPr>
            <w:tcW w:w="802"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ind w:left="78"/>
              <w:rPr>
                <w:sz w:val="18"/>
              </w:rPr>
            </w:pPr>
            <w:r>
              <w:rPr>
                <w:color w:val="000080"/>
                <w:w w:val="105"/>
                <w:sz w:val="18"/>
              </w:rPr>
              <w:t>CPI</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6"/>
              </w:rPr>
            </w:pPr>
          </w:p>
          <w:p>
            <w:pPr>
              <w:pStyle w:val="TableParagraph"/>
              <w:ind w:left="363"/>
              <w:rPr>
                <w:sz w:val="18"/>
              </w:rPr>
            </w:pPr>
            <w:r>
              <w:rPr>
                <w:w w:val="105"/>
                <w:sz w:val="18"/>
              </w:rPr>
              <w:t>2003</w:t>
            </w:r>
          </w:p>
        </w:tc>
        <w:tc>
          <w:tcPr>
            <w:tcW w:w="1572" w:type="dxa"/>
            <w:tcBorders>
              <w:left w:val="nil"/>
              <w:right w:val="nil"/>
            </w:tcBorders>
          </w:tcPr>
          <w:p>
            <w:pPr>
              <w:pStyle w:val="TableParagraph"/>
              <w:spacing w:line="276" w:lineRule="auto" w:before="98"/>
              <w:ind w:left="86"/>
              <w:rPr>
                <w:sz w:val="18"/>
              </w:rPr>
            </w:pPr>
            <w:r>
              <w:rPr>
                <w:spacing w:val="-7"/>
                <w:w w:val="105"/>
                <w:sz w:val="18"/>
              </w:rPr>
              <w:t>Percentage </w:t>
            </w:r>
            <w:r>
              <w:rPr>
                <w:spacing w:val="-9"/>
                <w:w w:val="105"/>
                <w:sz w:val="18"/>
              </w:rPr>
              <w:t>increases </w:t>
            </w:r>
            <w:r>
              <w:rPr>
                <w:spacing w:val="-3"/>
                <w:w w:val="105"/>
                <w:sz w:val="18"/>
              </w:rPr>
              <w:t>on </w:t>
            </w:r>
            <w:r>
              <w:rPr>
                <w:w w:val="105"/>
                <w:sz w:val="18"/>
              </w:rPr>
              <w:t>a </w:t>
            </w:r>
            <w:r>
              <w:rPr>
                <w:spacing w:val="-3"/>
                <w:w w:val="105"/>
                <w:sz w:val="18"/>
              </w:rPr>
              <w:t>year </w:t>
            </w:r>
            <w:r>
              <w:rPr>
                <w:spacing w:val="-9"/>
                <w:w w:val="105"/>
                <w:sz w:val="18"/>
              </w:rPr>
              <w:t>earlier</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tabs>
                <w:tab w:pos="1136" w:val="left" w:leader="none"/>
              </w:tabs>
              <w:spacing w:before="137"/>
              <w:ind w:left="356"/>
              <w:rPr>
                <w:sz w:val="18"/>
              </w:rPr>
            </w:pPr>
            <w:r>
              <w:rPr>
                <w:spacing w:val="-5"/>
                <w:w w:val="105"/>
                <w:sz w:val="18"/>
              </w:rPr>
              <w:t>2005</w:t>
              <w:tab/>
            </w:r>
            <w:r>
              <w:rPr>
                <w:spacing w:val="-6"/>
                <w:w w:val="105"/>
                <w:sz w:val="18"/>
              </w:rPr>
              <w:t>2007</w:t>
            </w:r>
          </w:p>
        </w:tc>
        <w:tc>
          <w:tcPr>
            <w:tcW w:w="411" w:type="dxa"/>
            <w:tcBorders>
              <w:left w:val="nil"/>
            </w:tcBorders>
          </w:tcPr>
          <w:p>
            <w:pPr>
              <w:pStyle w:val="TableParagraph"/>
              <w:rPr>
                <w:sz w:val="20"/>
              </w:rPr>
            </w:pPr>
          </w:p>
          <w:p>
            <w:pPr>
              <w:pStyle w:val="TableParagraph"/>
              <w:spacing w:before="137"/>
              <w:ind w:left="44"/>
              <w:rPr>
                <w:sz w:val="18"/>
              </w:rPr>
            </w:pPr>
            <w:r>
              <w:rPr>
                <w:w w:val="105"/>
                <w:sz w:val="18"/>
              </w:rPr>
              <w:t>6</w:t>
            </w:r>
          </w:p>
          <w:p>
            <w:pPr>
              <w:pStyle w:val="TableParagraph"/>
              <w:spacing w:before="108"/>
              <w:ind w:left="44"/>
              <w:rPr>
                <w:sz w:val="18"/>
              </w:rPr>
            </w:pPr>
            <w:r>
              <w:rPr>
                <w:w w:val="105"/>
                <w:sz w:val="18"/>
              </w:rPr>
              <w:t>5</w:t>
            </w:r>
          </w:p>
          <w:p>
            <w:pPr>
              <w:pStyle w:val="TableParagraph"/>
              <w:spacing w:before="108"/>
              <w:ind w:left="44"/>
              <w:rPr>
                <w:sz w:val="18"/>
              </w:rPr>
            </w:pPr>
            <w:r>
              <w:rPr>
                <w:w w:val="105"/>
                <w:sz w:val="18"/>
              </w:rPr>
              <w:t>4</w:t>
            </w:r>
          </w:p>
          <w:p>
            <w:pPr>
              <w:pStyle w:val="TableParagraph"/>
              <w:spacing w:before="108"/>
              <w:ind w:left="44"/>
              <w:rPr>
                <w:sz w:val="18"/>
              </w:rPr>
            </w:pPr>
            <w:r>
              <w:rPr>
                <w:w w:val="105"/>
                <w:sz w:val="18"/>
              </w:rPr>
              <w:t>3</w:t>
            </w:r>
          </w:p>
          <w:p>
            <w:pPr>
              <w:pStyle w:val="TableParagraph"/>
              <w:spacing w:before="108"/>
              <w:ind w:left="44"/>
              <w:rPr>
                <w:sz w:val="18"/>
              </w:rPr>
            </w:pPr>
            <w:r>
              <w:rPr>
                <w:w w:val="105"/>
                <w:sz w:val="18"/>
              </w:rPr>
              <w:t>2</w:t>
            </w:r>
          </w:p>
          <w:p>
            <w:pPr>
              <w:pStyle w:val="TableParagraph"/>
              <w:spacing w:before="93"/>
              <w:ind w:left="44"/>
              <w:rPr>
                <w:sz w:val="18"/>
              </w:rPr>
            </w:pPr>
            <w:r>
              <w:rPr>
                <w:w w:val="105"/>
                <w:sz w:val="18"/>
              </w:rPr>
              <w:t>1</w:t>
            </w:r>
          </w:p>
          <w:p>
            <w:pPr>
              <w:pStyle w:val="TableParagraph"/>
              <w:spacing w:before="107"/>
              <w:ind w:left="44"/>
              <w:rPr>
                <w:sz w:val="18"/>
              </w:rPr>
            </w:pPr>
            <w:r>
              <w:rPr>
                <w:w w:val="105"/>
                <w:sz w:val="18"/>
              </w:rPr>
              <w:t>0</w:t>
            </w:r>
          </w:p>
          <w:p>
            <w:pPr>
              <w:pStyle w:val="TableParagraph"/>
              <w:spacing w:before="109"/>
              <w:ind w:left="44"/>
              <w:rPr>
                <w:sz w:val="18"/>
              </w:rPr>
            </w:pPr>
            <w:r>
              <w:rPr>
                <w:spacing w:val="-4"/>
                <w:w w:val="105"/>
                <w:sz w:val="18"/>
              </w:rPr>
              <w:t>-1</w:t>
            </w:r>
          </w:p>
          <w:p>
            <w:pPr>
              <w:pStyle w:val="TableParagraph"/>
              <w:spacing w:before="107"/>
              <w:ind w:left="44"/>
              <w:rPr>
                <w:sz w:val="18"/>
              </w:rPr>
            </w:pPr>
            <w:r>
              <w:rPr>
                <w:spacing w:val="-4"/>
                <w:w w:val="105"/>
                <w:sz w:val="18"/>
              </w:rPr>
              <w:t>-2</w:t>
            </w:r>
          </w:p>
          <w:p>
            <w:pPr>
              <w:pStyle w:val="TableParagraph"/>
              <w:spacing w:before="109"/>
              <w:ind w:left="44"/>
              <w:rPr>
                <w:sz w:val="18"/>
              </w:rPr>
            </w:pPr>
            <w:r>
              <w:rPr>
                <w:spacing w:val="-4"/>
                <w:w w:val="105"/>
                <w:sz w:val="18"/>
              </w:rPr>
              <w:t>-3</w:t>
            </w:r>
          </w:p>
        </w:tc>
      </w:tr>
      <w:tr>
        <w:trPr>
          <w:trHeight w:val="230" w:hRule="atLeast"/>
        </w:trPr>
        <w:tc>
          <w:tcPr>
            <w:tcW w:w="5038" w:type="dxa"/>
            <w:gridSpan w:val="6"/>
          </w:tcPr>
          <w:p>
            <w:pPr>
              <w:pStyle w:val="TableParagraph"/>
              <w:spacing w:line="210" w:lineRule="exact"/>
              <w:ind w:left="106"/>
              <w:rPr>
                <w:i/>
                <w:sz w:val="20"/>
              </w:rPr>
            </w:pPr>
            <w:r>
              <w:rPr>
                <w:i/>
                <w:sz w:val="20"/>
              </w:rPr>
              <w:t>Source: ONS</w:t>
            </w:r>
          </w:p>
        </w:tc>
      </w:tr>
    </w:tbl>
    <w:p>
      <w:pPr>
        <w:pStyle w:val="BodyText"/>
        <w:rPr>
          <w:sz w:val="20"/>
        </w:rPr>
      </w:pPr>
    </w:p>
    <w:p>
      <w:pPr>
        <w:pStyle w:val="BodyText"/>
        <w:rPr>
          <w:sz w:val="20"/>
        </w:rPr>
      </w:pPr>
    </w:p>
    <w:p>
      <w:pPr>
        <w:pStyle w:val="BodyText"/>
        <w:spacing w:before="3"/>
      </w:pPr>
    </w:p>
    <w:p>
      <w:pPr>
        <w:pStyle w:val="BodyText"/>
        <w:spacing w:line="360" w:lineRule="auto" w:before="90"/>
        <w:ind w:left="221" w:right="109"/>
        <w:jc w:val="both"/>
      </w:pPr>
      <w:r>
        <w:rPr/>
        <w:pict>
          <v:group style="position:absolute;margin-left:105.389999pt;margin-top:-216.586578pt;width:208.5pt;height:141pt;mso-position-horizontal-relative:page;mso-position-vertical-relative:paragraph;z-index:-254170112" coordorigin="2108,-4332" coordsize="4170,2820">
            <v:shape style="position:absolute;left:6217;top:-4332;width:60;height:2819" coordorigin="6217,-4331" coordsize="60,2819" path="m6217,-4331l6217,-1512m6217,-1512l6277,-1512m6217,-1827l6277,-1827m6217,-2142l6277,-2142m6217,-2457l6277,-2457m6217,-2772l6277,-2772m6217,-3071l6277,-3071m6217,-3387l6277,-3387m6217,-3701l6277,-3701m6217,-4017l6277,-4017m6217,-4331l6277,-4331e" filled="false" stroked="true" strokeweight=".06pt" strokecolor="#04741f">
              <v:path arrowok="t"/>
              <v:stroke dashstyle="solid"/>
            </v:shape>
            <v:shape style="position:absolute;left:2108;top:-2517;width:4109;height:60" coordorigin="2108,-2517" coordsize="4109,60" path="m2108,-2457l6217,-2457m2497,-2457l2497,-2502m3293,-2457l3293,-2502m4087,-2457l4087,-2502m4867,-2457l4867,-2502m5663,-2457l5663,-2502m2108,-2457l2108,-2517m2903,-2457l2903,-2517m3683,-2457l3683,-2517m4477,-2457l4477,-2517m5257,-2457l5257,-2517m6053,-2457l6053,-2517e" filled="false" stroked="true" strokeweight=".06pt" strokecolor="#000000">
              <v:path arrowok="t"/>
              <v:stroke dashstyle="solid"/>
            </v:shape>
            <v:line style="position:absolute" from="2123,-2861" to="2153,-2727" stroked="true" strokeweight="1.499pt" strokecolor="#ff0000">
              <v:stroke dashstyle="solid"/>
            </v:line>
            <v:shape style="position:absolute;left:2152;top:-2802;width:2040;height:795" coordorigin="2153,-2801" coordsize="2040,795" path="m2153,-2727l2183,-2637m2183,-2637l2227,-2577m2227,-2577l2257,-2577m2257,-2577l2287,-2637m2287,-2637l2317,-2801m2317,-2801l2347,-2772m2347,-2772l2393,-2697m2393,-2697l2423,-2667m2423,-2667l2453,-2697m2453,-2697l2483,-2607,2513,-2517m2513,-2517l2557,-2577m2557,-2577l2587,-2577m2587,-2577l2617,-2667m2617,-2667l2647,-2772m2647,-2772l2677,-2607m2677,-2607l2723,-2517m2723,-2517l2753,-2457m2753,-2457l2783,-2487m2783,-2487l2813,-2487,2843,-2487m2843,-2487l2887,-2577m2887,-2577l2917,-2577m2917,-2577l2947,-2517m2947,-2517l2977,-2637m2977,-2637l3007,-2577m3007,-2577l3037,-2487m3037,-2487l3083,-2487m3083,-2487l3113,-2457,3143,-2427m3143,-2427l3173,-2427m3173,-2427l3203,-2382m3203,-2382l3247,-2427m3247,-2427l3277,-2382m3277,-2382l3307,-2202m3307,-2202l3337,-2262m3337,-2262l3367,-2112m3367,-2112l3413,-2172m3413,-2172l3443,-2142m3443,-2142l3473,-2262m3473,-2262l3503,-2232m3503,-2232l3533,-2082m3533,-2082l3577,-2232m3577,-2232l3607,-2232m3607,-2232l3637,-2292m3637,-2292l3667,-2142m3667,-2142l3697,-2142,3743,-2142m3743,-2142l3773,-2202m3773,-2202l3803,-2142m3803,-2142l3833,-2382m3833,-2382l3863,-2382m3863,-2382l3893,-2172m3893,-2172l3937,-2322m3937,-2322l3967,-2232m3967,-2232l3997,-2202m3997,-2202l4027,-2007m4027,-2007l4057,-2082m4057,-2082l4103,-2382m4103,-2382l4133,-2292m4133,-2292l4163,-2262m4163,-2262l4193,-2202e" filled="false" stroked="true" strokeweight="1.499pt" strokecolor="#ff0000">
              <v:path arrowok="t"/>
              <v:stroke dashstyle="solid"/>
            </v:shape>
            <v:line style="position:absolute" from="4208,-2217" to="4208,-1902" stroked="true" strokeweight="2.999pt" strokecolor="#ff0000">
              <v:stroke dashstyle="solid"/>
            </v:line>
            <v:shape style="position:absolute;left:4222;top:-2203;width:300;height:466" coordorigin="4223,-2202" coordsize="300,466" path="m4223,-1917l4267,-1737m4267,-1737l4297,-1977m4297,-1977l4327,-1917m4327,-1917l4357,-1977m4357,-1977l4387,-2082m4387,-2082l4433,-2172m4433,-2172l4463,-2082m4463,-2082l4493,-2082m4493,-2082l4523,-2202e" filled="false" stroked="true" strokeweight="1.499pt" strokecolor="#ff0000">
              <v:path arrowok="t"/>
              <v:stroke dashstyle="solid"/>
            </v:shape>
            <v:line style="position:absolute" from="4508,-2202" to="4672,-2202" stroked="true" strokeweight="1.499pt" strokecolor="#ff0000">
              <v:stroke dashstyle="solid"/>
            </v:line>
            <v:shape style="position:absolute;left:4657;top:-3237;width:1546;height:1035" coordorigin="4657,-3237" coordsize="1546,1035" path="m4657,-2202l4687,-2262m4687,-2262l4717,-2427m4717,-2427l4747,-2352m4747,-2352l4793,-2382m4793,-2382l4823,-2352m4823,-2352l4853,-2427m4853,-2427l4883,-2427m4883,-2427l4913,-2322m4913,-2322l4957,-2262m4957,-2262l4987,-2292m4987,-2292l5017,-2427m5017,-2427l5047,-2487m5047,-2487l5077,-2352m5077,-2352l5123,-2262m5123,-2262l5153,-2202m5153,-2202l5183,-2262m5183,-2262l5213,-2352m5213,-2352l5243,-2427m5243,-2427l5287,-2382m5287,-2382l5317,-2382m5317,-2382l5347,-2517m5347,-2517l5377,-2487m5377,-2487l5407,-2427m5407,-2427l5437,-2517m5437,-2517l5483,-2607m5483,-2607l5513,-2637,5543,-2667m5543,-2667l5573,-2637m5573,-2637l5603,-2577m5603,-2577l5647,-2547m5647,-2547l5677,-2547m5677,-2547l5707,-2637m5707,-2637l5737,-2517m5737,-2517l5767,-2607m5767,-2607l5813,-2861m5813,-2861l5843,-2981m5843,-2981l5873,-3011m5873,-3011l5903,-3147m5903,-3147l5933,-3011m5933,-3011l5977,-2921m5977,-2921l6007,-3011m6007,-3011l6037,-3177m6037,-3177l6067,-3071m6067,-3071l6097,-3071m6097,-3071l6143,-3237m6143,-3237l6173,-3177m6173,-3177l6203,-2951e" filled="false" stroked="true" strokeweight="1.499pt" strokecolor="#ff0000">
              <v:path arrowok="t"/>
              <v:stroke dashstyle="solid"/>
            </v:shape>
            <v:line style="position:absolute" from="2123,-3581" to="2153,-3611" stroked="true" strokeweight="1.499pt" strokecolor="#ff00ff">
              <v:stroke dashstyle="solid"/>
            </v:line>
            <v:shape style="position:absolute;left:2152;top:-3702;width:960;height:180" coordorigin="2153,-3701" coordsize="960,180" path="m2153,-3611l2183,-3581m2183,-3581l2227,-3611m2227,-3611l2257,-3611,2287,-3611m2287,-3611l2317,-3581m2317,-3581l2347,-3611m2347,-3611l2393,-3641m2393,-3641l2423,-3701m2423,-3701l2453,-3701m2453,-3701l2483,-3641m2483,-3641l2513,-3671m2513,-3671l2557,-3641m2557,-3641l2587,-3671m2587,-3671l2617,-3641m2617,-3641l2647,-3671m2647,-3671l2677,-3641m2677,-3641l2723,-3641m2723,-3641l2753,-3611m2753,-3611l2783,-3641m2783,-3641l2813,-3611,2843,-3581m2843,-3581l2887,-3611m2887,-3611l2917,-3581,2947,-3551m2947,-3551l2977,-3551m2977,-3551l3007,-3581m3007,-3581l3037,-3521m3037,-3521l3083,-3551m3083,-3551l3113,-3521e" filled="false" stroked="true" strokeweight="1.499pt" strokecolor="#ff00ff">
              <v:path arrowok="t"/>
              <v:stroke dashstyle="solid"/>
            </v:shape>
            <v:line style="position:absolute" from="3098,-3521" to="3382,-3521" stroked="true" strokeweight="1.499pt" strokecolor="#ff00ff">
              <v:stroke dashstyle="solid"/>
            </v:line>
            <v:shape style="position:absolute;left:3367;top:-4047;width:2836;height:720" coordorigin="3367,-4047" coordsize="2836,720" path="m3367,-3521l3413,-3357m3413,-3357l3443,-3387m3443,-3387l3473,-3387m3473,-3387l3503,-3461m3503,-3461l3533,-3491m3533,-3491l3577,-3521m3577,-3521l3607,-3551m3607,-3551l3637,-3521m3637,-3521l3667,-3521,3697,-3521m3697,-3521l3743,-3491m3743,-3491l3773,-3491m3773,-3491l3803,-3761m3803,-3761l3833,-3791m3833,-3791l3863,-3791m3863,-3791l3893,-3867m3893,-3867l3937,-3927m3937,-3927l3967,-3701m3967,-3701l3997,-3671m3997,-3671l4027,-3611m4027,-3611l4057,-3701m4057,-3701l4103,-3701m4103,-3701l4133,-3731m4133,-3731l4163,-3791m4163,-3791l4193,-3731m4193,-3731l4223,-3701m4223,-3701l4267,-3791m4267,-3791l4297,-3761m4297,-3761l4327,-3791m4327,-3791l4357,-3731m4357,-3731l4387,-3867m4387,-3867l4433,-3867m4433,-3867l4463,-4047m4463,-4047l4493,-3837m4493,-3837l4523,-3837m4523,-3837l4553,-3791m4553,-3791l4583,-3731m4583,-3731l4627,-3611m4627,-3611l4657,-3491m4657,-3491l4687,-3551m4687,-3551l4717,-3417m4717,-3417l4747,-3521m4747,-3521l4793,-3461m4793,-3461l4823,-3461m4823,-3461l4853,-3327m4853,-3327l4883,-3417m4883,-3417l4913,-3461m4913,-3461l4957,-3417,4987,-3387m4987,-3387l5017,-3491m5017,-3491l5047,-3491m5047,-3491l5077,-3521m5077,-3521l5123,-3551m5123,-3551l5153,-3461m5153,-3461l5183,-3461m5183,-3461l5213,-3551m5213,-3551l5243,-3611m5243,-3611l5287,-3611m5287,-3611l5317,-3641,5347,-3671,5377,-3701m5377,-3701l5407,-3761m5407,-3761l5437,-3731m5437,-3731l5483,-3867m5483,-3867l5513,-3897m5513,-3897l5543,-3867,5573,-3837m5573,-3837l5603,-3731m5603,-3731l5647,-3641m5647,-3641l5677,-3671m5677,-3671l5707,-3611m5707,-3611l5737,-3611m5737,-3611l5767,-3641m5767,-3641l5813,-3491m5813,-3491l5843,-3521m5843,-3521l5873,-3461m5873,-3461l5903,-3357m5903,-3357l5933,-3461m5933,-3461l5977,-3581m5977,-3581l6007,-3611,6037,-3641m6037,-3641l6067,-3581m6067,-3581l6097,-3641m6097,-3641l6143,-3611m6143,-3611l6173,-3491m6173,-3491l6203,-3581e" filled="false" stroked="true" strokeweight="1.499pt" strokecolor="#ff00ff">
              <v:path arrowok="t"/>
              <v:stroke dashstyle="solid"/>
            </v:shape>
            <v:line style="position:absolute" from="2123,-3117" to="2153,-3041" stroked="true" strokeweight="1.499pt" strokecolor="#000080">
              <v:stroke dashstyle="solid"/>
            </v:line>
            <v:shape style="position:absolute;left:2152;top:-3417;width:4050;height:810" coordorigin="2153,-3417" coordsize="4050,810" path="m2153,-3041l2183,-2981m2183,-2981l2227,-2951m2227,-2951l2257,-2951m2257,-2951l2287,-2981m2287,-2981l2317,-3071m2317,-3071l2347,-3071m2347,-3071l2393,-3011m2393,-3011l2423,-3041m2423,-3041l2453,-3041m2453,-3041l2483,-2981,2513,-2921m2513,-2921l2557,-2951m2557,-2951l2587,-2981,2617,-3011m2617,-3011l2647,-3071m2647,-3071l2677,-2981m2677,-2981l2723,-2891m2723,-2891l2753,-2861m2753,-2861l2783,-2891m2783,-2891l2813,-2891,2843,-2891m2843,-2891l2887,-2951m2887,-2951l2917,-2951m2917,-2951l2947,-2891m2947,-2891l2977,-2981m2977,-2981l3007,-2921,3037,-2861m3037,-2861l3083,-2861,3113,-2861m3113,-2861l3143,-2831m3143,-2831l3173,-2831m3173,-2831l3203,-2801m3203,-2801l3247,-2831m3247,-2831l3277,-2801m3277,-2801l3307,-2697m3307,-2697l3337,-2727m3337,-2727l3367,-2637m3367,-2637l3413,-2637m3413,-2637l3443,-2607m3443,-2607l3473,-2697m3473,-2697l3503,-2727m3503,-2727l3533,-2637m3533,-2637l3577,-2772m3577,-2772l3607,-2772m3607,-2772l3637,-2801m3637,-2801l3667,-2697m3667,-2697l3697,-2727m3697,-2727l3743,-2697m3743,-2697l3773,-2727m3773,-2727l3803,-2831m3803,-2831l3833,-2981m3833,-2981l3863,-2981m3863,-2981l3893,-2891m3893,-2891l3937,-3011m3937,-3011l3967,-2861m3967,-2861l3997,-2831m3997,-2831l4027,-2697m4027,-2697l4057,-2801m4057,-2801l4103,-2951m4103,-2951l4133,-2921m4133,-2921l4163,-2921m4163,-2921l4193,-2891m4193,-2891l4223,-2697m4223,-2697l4267,-2637m4267,-2637l4297,-2801m4297,-2801l4327,-2772m4327,-2772l4357,-2772m4357,-2772l4387,-2891m4387,-2891l4433,-2921m4433,-2921l4463,-2981m4463,-2981l4493,-2861m4493,-2861l4523,-2951m4523,-2951l4553,-2921,4583,-2891m4583,-2891l4627,-2861m4627,-2861l4657,-2801m4657,-2801l4687,-2861m4687,-2861l4717,-2891m4717,-2891l4747,-2891,4793,-2891m4793,-2891l4823,-2861m4823,-2861l4853,-2861m4853,-2861l4883,-2891m4883,-2891l4913,-2861m4913,-2861l4957,-2801m4957,-2801l4987,-2801m4987,-2801l5017,-2921m5017,-2921l5047,-2951m5047,-2951l5077,-2891m5077,-2891l5123,-2861m5123,-2861l5153,-2801m5153,-2801l5183,-2831m5183,-2831l5213,-2921m5213,-2921l5243,-2981m5243,-2981l5287,-2951m5287,-2951l5317,-2981m5317,-2981l5347,-3041m5347,-3041l5377,-3041,5407,-3041m5407,-3041l5437,-3071m5437,-3071l5483,-3177m5483,-3177l5513,-3207,5543,-3237m5543,-3237l5573,-3177,5603,-3117m5603,-3117l5647,-3041m5647,-3041l5677,-3041m5677,-3041l5707,-3071m5707,-3071l5737,-3011m5737,-3011l5767,-3071m5767,-3071l5813,-3147m5813,-3147l5843,-3237m5843,-3237l5873,-3207m5873,-3207l5903,-3237m5903,-3237l5933,-3207m5933,-3207l5977,-3207m5977,-3207l6007,-3297,6037,-3387m6037,-3387l6067,-3297m6067,-3297l6097,-3327m6097,-3327l6143,-3417m6143,-3417l6173,-3327m6173,-3327l6203,-3237e" filled="false" stroked="true" strokeweight="1.499pt" strokecolor="#000080">
              <v:path arrowok="t"/>
              <v:stroke dashstyle="solid"/>
            </v:shape>
            <w10:wrap type="none"/>
          </v:group>
        </w:pict>
      </w:r>
      <w:r>
        <w:rPr/>
        <w:t>As Chart 12 shows, for most of the period that the MPC has been in charge of monetary policy, goods prices were flat or falling, offsetting the fact that services inflation was running at 3-4%, and therefore helping to keep overall inflation on target. However, goods price inflation has now replaced deflation, as energy prices have picked up, and the recent official data and business surveys show more inflation in the pipeline in the manufacturing sector. Falling gas and electricity prices (counted as “goods” in the CPI) may help to moderate inflation in the short-term, though recent oil price movements remind us that further upward shocks to energy prices are also possible. To bring inflation back to target over the medium-term, we either need to see goods price inflation fall back again, or an offsetting fall in services</w:t>
      </w:r>
      <w:r>
        <w:rPr>
          <w:spacing w:val="-11"/>
        </w:rPr>
        <w:t> </w:t>
      </w:r>
      <w:r>
        <w:rPr/>
        <w:t>inflation.</w:t>
      </w:r>
    </w:p>
    <w:p>
      <w:pPr>
        <w:pStyle w:val="BodyText"/>
        <w:rPr>
          <w:sz w:val="26"/>
        </w:rPr>
      </w:pPr>
    </w:p>
    <w:p>
      <w:pPr>
        <w:pStyle w:val="BodyText"/>
        <w:rPr>
          <w:sz w:val="26"/>
        </w:rPr>
      </w:pPr>
    </w:p>
    <w:p>
      <w:pPr>
        <w:pStyle w:val="Heading1"/>
        <w:spacing w:before="233"/>
      </w:pPr>
      <w:r>
        <w:rPr/>
        <w:t>UK monetary policy: Good for business?</w:t>
      </w:r>
    </w:p>
    <w:p>
      <w:pPr>
        <w:pStyle w:val="BodyText"/>
        <w:rPr>
          <w:b/>
          <w:sz w:val="26"/>
        </w:rPr>
      </w:pPr>
    </w:p>
    <w:p>
      <w:pPr>
        <w:pStyle w:val="BodyText"/>
        <w:spacing w:before="9"/>
        <w:rPr>
          <w:b/>
          <w:sz w:val="21"/>
        </w:rPr>
      </w:pPr>
    </w:p>
    <w:p>
      <w:pPr>
        <w:pStyle w:val="BodyText"/>
        <w:spacing w:line="360" w:lineRule="auto"/>
        <w:ind w:left="221" w:right="109"/>
        <w:jc w:val="both"/>
      </w:pPr>
      <w:r>
        <w:rPr/>
        <w:t>To achieve either result, we are likely to need some slowdown in demand growth. The challenge for monetary policy is to gauge the right level of interest rates to achieve the necessary degree of restraint to keep inflation at its target level over the medium term.</w:t>
      </w:r>
    </w:p>
    <w:p>
      <w:pPr>
        <w:pStyle w:val="BodyText"/>
        <w:spacing w:before="11"/>
        <w:rPr>
          <w:sz w:val="35"/>
        </w:rPr>
      </w:pPr>
    </w:p>
    <w:p>
      <w:pPr>
        <w:pStyle w:val="BodyText"/>
        <w:spacing w:line="360" w:lineRule="auto"/>
        <w:ind w:left="221" w:right="110"/>
        <w:jc w:val="both"/>
      </w:pPr>
      <w:r>
        <w:rPr/>
        <w:t>Across the Monetary Policy Committee there has been a spectrum of opinion on the pace and the extent of policy tightening needed over the past year. As my voting record shows, I have been one of those most anxious to raise interest rates earlier rather than later.</w:t>
      </w:r>
      <w:r>
        <w:rPr>
          <w:spacing w:val="11"/>
        </w:rPr>
        <w:t> </w:t>
      </w:r>
      <w:r>
        <w:rPr/>
        <w:t>This</w:t>
      </w:r>
      <w:r>
        <w:rPr>
          <w:spacing w:val="6"/>
        </w:rPr>
        <w:t> </w:t>
      </w:r>
      <w:r>
        <w:rPr/>
        <w:t>was</w:t>
      </w:r>
      <w:r>
        <w:rPr>
          <w:spacing w:val="6"/>
        </w:rPr>
        <w:t> </w:t>
      </w:r>
      <w:r>
        <w:rPr/>
        <w:t>contrary</w:t>
      </w:r>
      <w:r>
        <w:rPr>
          <w:spacing w:val="6"/>
        </w:rPr>
        <w:t> </w:t>
      </w:r>
      <w:r>
        <w:rPr/>
        <w:t>to</w:t>
      </w:r>
      <w:r>
        <w:rPr>
          <w:spacing w:val="6"/>
        </w:rPr>
        <w:t> </w:t>
      </w:r>
      <w:r>
        <w:rPr/>
        <w:t>the</w:t>
      </w:r>
      <w:r>
        <w:rPr>
          <w:spacing w:val="6"/>
        </w:rPr>
        <w:t> </w:t>
      </w:r>
      <w:r>
        <w:rPr/>
        <w:t>expectation</w:t>
      </w:r>
      <w:r>
        <w:rPr>
          <w:spacing w:val="6"/>
        </w:rPr>
        <w:t> </w:t>
      </w:r>
      <w:r>
        <w:rPr/>
        <w:t>when</w:t>
      </w:r>
      <w:r>
        <w:rPr>
          <w:spacing w:val="6"/>
        </w:rPr>
        <w:t> </w:t>
      </w:r>
      <w:r>
        <w:rPr/>
        <w:t>I</w:t>
      </w:r>
      <w:r>
        <w:rPr>
          <w:spacing w:val="7"/>
        </w:rPr>
        <w:t> </w:t>
      </w:r>
      <w:r>
        <w:rPr/>
        <w:t>was</w:t>
      </w:r>
      <w:r>
        <w:rPr>
          <w:spacing w:val="6"/>
        </w:rPr>
        <w:t> </w:t>
      </w:r>
      <w:r>
        <w:rPr/>
        <w:t>appointed</w:t>
      </w:r>
      <w:r>
        <w:rPr>
          <w:spacing w:val="6"/>
        </w:rPr>
        <w:t> </w:t>
      </w:r>
      <w:r>
        <w:rPr/>
        <w:t>to</w:t>
      </w:r>
      <w:r>
        <w:rPr>
          <w:spacing w:val="6"/>
        </w:rPr>
        <w:t> </w:t>
      </w:r>
      <w:r>
        <w:rPr/>
        <w:t>the</w:t>
      </w:r>
      <w:r>
        <w:rPr>
          <w:spacing w:val="5"/>
        </w:rPr>
        <w:t> </w:t>
      </w:r>
      <w:r>
        <w:rPr/>
        <w:t>Committee</w:t>
      </w:r>
      <w:r>
        <w:rPr>
          <w:spacing w:val="7"/>
        </w:rPr>
        <w:t> </w:t>
      </w:r>
      <w:r>
        <w:rPr/>
        <w:t>that</w:t>
      </w:r>
    </w:p>
    <w:p>
      <w:pPr>
        <w:spacing w:after="0" w:line="360" w:lineRule="auto"/>
        <w:jc w:val="both"/>
        <w:sectPr>
          <w:pgSz w:w="11900" w:h="16840"/>
          <w:pgMar w:header="0" w:footer="710" w:top="1440" w:bottom="960" w:left="1480" w:right="1580"/>
        </w:sectPr>
      </w:pPr>
    </w:p>
    <w:p>
      <w:pPr>
        <w:pStyle w:val="BodyText"/>
        <w:spacing w:line="360" w:lineRule="auto" w:before="61"/>
        <w:ind w:left="221" w:right="111"/>
        <w:jc w:val="both"/>
      </w:pPr>
      <w:r>
        <w:rPr/>
        <w:t>I would – in the words of The Times newspaper – “take on the mantle of the leading dove” because of my business background.</w:t>
      </w:r>
    </w:p>
    <w:p>
      <w:pPr>
        <w:pStyle w:val="BodyText"/>
        <w:rPr>
          <w:sz w:val="36"/>
        </w:rPr>
      </w:pPr>
    </w:p>
    <w:p>
      <w:pPr>
        <w:pStyle w:val="BodyText"/>
        <w:spacing w:line="360" w:lineRule="auto"/>
        <w:ind w:left="221" w:right="109"/>
        <w:jc w:val="both"/>
      </w:pPr>
      <w:r>
        <w:rPr/>
        <w:t>However, as I have argued earlier in this speech, the business interest lies in the lasting stability which comes from low inflation over the medium term. My concern over the nine months I have been on the Committee has been to respond to strengthening demand and a rise in inflationary pressures in a timely way. Failure to do that would create the risk that there might need to be even higher interest rates and a more pronounced slowdown further down the track. At the same time, the consistently healthy picture presented by the business surveys and the Agents’ reports across a wide range of business sectors, coupled with the buoyancy of the global economy, have suggested so far that the risk of overkill in restraining demand in the short-term was low.</w:t>
      </w:r>
    </w:p>
    <w:p>
      <w:pPr>
        <w:pStyle w:val="BodyText"/>
        <w:spacing w:before="1"/>
        <w:rPr>
          <w:sz w:val="36"/>
        </w:rPr>
      </w:pPr>
    </w:p>
    <w:p>
      <w:pPr>
        <w:pStyle w:val="BodyText"/>
        <w:spacing w:line="360" w:lineRule="auto"/>
        <w:ind w:left="221" w:right="111"/>
        <w:jc w:val="both"/>
      </w:pPr>
      <w:r>
        <w:rPr/>
        <w:t>Within the business community, I sense no desire to take risks with inflation – given the damage it has created in the past and the benefits we have seen from our recent experience of much greater price stability. Indeed, many of the business contacts I have met around the country have emphasised the need for the Monetary Policy Committee not to let inflation “get out of the bag” once again.</w:t>
      </w:r>
    </w:p>
    <w:p>
      <w:pPr>
        <w:spacing w:after="0" w:line="360" w:lineRule="auto"/>
        <w:jc w:val="both"/>
        <w:sectPr>
          <w:pgSz w:w="11900" w:h="16840"/>
          <w:pgMar w:header="0" w:footer="710" w:top="1380" w:bottom="960" w:left="1480" w:right="1580"/>
        </w:sect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558"/>
        <w:gridCol w:w="801"/>
        <w:gridCol w:w="536"/>
        <w:gridCol w:w="1415"/>
        <w:gridCol w:w="969"/>
      </w:tblGrid>
      <w:tr>
        <w:trPr>
          <w:trHeight w:val="275" w:hRule="atLeast"/>
        </w:trPr>
        <w:tc>
          <w:tcPr>
            <w:tcW w:w="50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6"/>
              <w:rPr>
                <w:b/>
                <w:sz w:val="24"/>
              </w:rPr>
            </w:pPr>
            <w:r>
              <w:rPr>
                <w:b/>
                <w:color w:val="0000FF"/>
                <w:sz w:val="24"/>
              </w:rPr>
              <w:t>Chart 13: Business concerns about inflation</w:t>
            </w:r>
          </w:p>
        </w:tc>
      </w:tr>
      <w:tr>
        <w:trPr>
          <w:trHeight w:val="299" w:hRule="atLeast"/>
        </w:trPr>
        <w:tc>
          <w:tcPr>
            <w:tcW w:w="760" w:type="dxa"/>
            <w:tcBorders>
              <w:top w:val="single" w:sz="4" w:space="0" w:color="000000"/>
              <w:left w:val="single" w:sz="4" w:space="0" w:color="000000"/>
            </w:tcBorders>
          </w:tcPr>
          <w:p>
            <w:pPr>
              <w:pStyle w:val="TableParagraph"/>
              <w:rPr>
                <w:sz w:val="22"/>
              </w:rPr>
            </w:pPr>
          </w:p>
        </w:tc>
        <w:tc>
          <w:tcPr>
            <w:tcW w:w="558" w:type="dxa"/>
            <w:tcBorders>
              <w:top w:val="single" w:sz="4" w:space="0" w:color="000000"/>
            </w:tcBorders>
          </w:tcPr>
          <w:p>
            <w:pPr>
              <w:pStyle w:val="TableParagraph"/>
              <w:rPr>
                <w:sz w:val="22"/>
              </w:rPr>
            </w:pPr>
          </w:p>
        </w:tc>
        <w:tc>
          <w:tcPr>
            <w:tcW w:w="801" w:type="dxa"/>
            <w:tcBorders>
              <w:top w:val="single" w:sz="4" w:space="0" w:color="000000"/>
            </w:tcBorders>
          </w:tcPr>
          <w:p>
            <w:pPr>
              <w:pStyle w:val="TableParagraph"/>
              <w:rPr>
                <w:sz w:val="22"/>
              </w:rPr>
            </w:pPr>
          </w:p>
        </w:tc>
        <w:tc>
          <w:tcPr>
            <w:tcW w:w="536" w:type="dxa"/>
            <w:tcBorders>
              <w:top w:val="single" w:sz="4" w:space="0" w:color="000000"/>
            </w:tcBorders>
          </w:tcPr>
          <w:p>
            <w:pPr>
              <w:pStyle w:val="TableParagraph"/>
              <w:rPr>
                <w:sz w:val="22"/>
              </w:rPr>
            </w:pPr>
          </w:p>
        </w:tc>
        <w:tc>
          <w:tcPr>
            <w:tcW w:w="1415" w:type="dxa"/>
            <w:tcBorders>
              <w:top w:val="single" w:sz="4" w:space="0" w:color="000000"/>
            </w:tcBorders>
          </w:tcPr>
          <w:p>
            <w:pPr>
              <w:pStyle w:val="TableParagraph"/>
              <w:rPr>
                <w:sz w:val="22"/>
              </w:rPr>
            </w:pPr>
          </w:p>
        </w:tc>
        <w:tc>
          <w:tcPr>
            <w:tcW w:w="969" w:type="dxa"/>
            <w:tcBorders>
              <w:top w:val="single" w:sz="4" w:space="0" w:color="000000"/>
              <w:right w:val="single" w:sz="4" w:space="0" w:color="000000"/>
            </w:tcBorders>
          </w:tcPr>
          <w:p>
            <w:pPr>
              <w:pStyle w:val="TableParagraph"/>
              <w:spacing w:line="167" w:lineRule="exact" w:before="112"/>
              <w:ind w:left="79"/>
              <w:rPr>
                <w:sz w:val="18"/>
              </w:rPr>
            </w:pPr>
            <w:r>
              <w:rPr>
                <w:sz w:val="18"/>
              </w:rPr>
              <w:t>Per cent</w:t>
            </w:r>
          </w:p>
        </w:tc>
      </w:tr>
      <w:tr>
        <w:trPr>
          <w:trHeight w:val="375" w:hRule="atLeast"/>
        </w:trPr>
        <w:tc>
          <w:tcPr>
            <w:tcW w:w="760" w:type="dxa"/>
            <w:tcBorders>
              <w:left w:val="single" w:sz="4" w:space="0" w:color="000000"/>
            </w:tcBorders>
          </w:tcPr>
          <w:p>
            <w:pPr>
              <w:pStyle w:val="TableParagraph"/>
              <w:rPr>
                <w:sz w:val="22"/>
              </w:rPr>
            </w:pPr>
          </w:p>
        </w:tc>
        <w:tc>
          <w:tcPr>
            <w:tcW w:w="558" w:type="dxa"/>
          </w:tcPr>
          <w:p>
            <w:pPr>
              <w:pStyle w:val="TableParagraph"/>
              <w:rPr>
                <w:sz w:val="22"/>
              </w:rPr>
            </w:pPr>
          </w:p>
        </w:tc>
        <w:tc>
          <w:tcPr>
            <w:tcW w:w="801" w:type="dxa"/>
          </w:tcPr>
          <w:p>
            <w:pPr>
              <w:pStyle w:val="TableParagraph"/>
              <w:rPr>
                <w:sz w:val="22"/>
              </w:rPr>
            </w:pPr>
          </w:p>
        </w:tc>
        <w:tc>
          <w:tcPr>
            <w:tcW w:w="536" w:type="dxa"/>
          </w:tcPr>
          <w:p>
            <w:pPr>
              <w:pStyle w:val="TableParagraph"/>
              <w:rPr>
                <w:sz w:val="22"/>
              </w:rPr>
            </w:pPr>
          </w:p>
        </w:tc>
        <w:tc>
          <w:tcPr>
            <w:tcW w:w="1415" w:type="dxa"/>
          </w:tcPr>
          <w:p>
            <w:pPr>
              <w:pStyle w:val="TableParagraph"/>
              <w:rPr>
                <w:sz w:val="22"/>
              </w:rPr>
            </w:pPr>
          </w:p>
        </w:tc>
        <w:tc>
          <w:tcPr>
            <w:tcW w:w="969" w:type="dxa"/>
            <w:tcBorders>
              <w:right w:val="single" w:sz="4" w:space="0" w:color="000000"/>
            </w:tcBorders>
          </w:tcPr>
          <w:p>
            <w:pPr>
              <w:pStyle w:val="TableParagraph"/>
              <w:spacing w:line="180" w:lineRule="exact"/>
              <w:ind w:right="203"/>
              <w:jc w:val="right"/>
              <w:rPr>
                <w:sz w:val="18"/>
              </w:rPr>
            </w:pPr>
            <w:r>
              <w:rPr>
                <w:sz w:val="18"/>
              </w:rPr>
              <w:t>50</w:t>
            </w:r>
          </w:p>
        </w:tc>
      </w:tr>
      <w:tr>
        <w:trPr>
          <w:trHeight w:val="587" w:hRule="atLeast"/>
        </w:trPr>
        <w:tc>
          <w:tcPr>
            <w:tcW w:w="760" w:type="dxa"/>
            <w:tcBorders>
              <w:left w:val="single" w:sz="4" w:space="0" w:color="000000"/>
            </w:tcBorders>
          </w:tcPr>
          <w:p>
            <w:pPr>
              <w:pStyle w:val="TableParagraph"/>
              <w:rPr>
                <w:sz w:val="22"/>
              </w:rPr>
            </w:pPr>
          </w:p>
        </w:tc>
        <w:tc>
          <w:tcPr>
            <w:tcW w:w="558" w:type="dxa"/>
          </w:tcPr>
          <w:p>
            <w:pPr>
              <w:pStyle w:val="TableParagraph"/>
              <w:rPr>
                <w:sz w:val="22"/>
              </w:rPr>
            </w:pPr>
          </w:p>
        </w:tc>
        <w:tc>
          <w:tcPr>
            <w:tcW w:w="801" w:type="dxa"/>
          </w:tcPr>
          <w:p>
            <w:pPr>
              <w:pStyle w:val="TableParagraph"/>
              <w:rPr>
                <w:sz w:val="22"/>
              </w:rPr>
            </w:pPr>
          </w:p>
        </w:tc>
        <w:tc>
          <w:tcPr>
            <w:tcW w:w="536" w:type="dxa"/>
          </w:tcPr>
          <w:p>
            <w:pPr>
              <w:pStyle w:val="TableParagraph"/>
              <w:rPr>
                <w:sz w:val="22"/>
              </w:rPr>
            </w:pPr>
          </w:p>
        </w:tc>
        <w:tc>
          <w:tcPr>
            <w:tcW w:w="1415" w:type="dxa"/>
          </w:tcPr>
          <w:p>
            <w:pPr>
              <w:pStyle w:val="TableParagraph"/>
              <w:rPr>
                <w:sz w:val="22"/>
              </w:rPr>
            </w:pPr>
          </w:p>
        </w:tc>
        <w:tc>
          <w:tcPr>
            <w:tcW w:w="969" w:type="dxa"/>
            <w:tcBorders>
              <w:right w:val="single" w:sz="4" w:space="0" w:color="000000"/>
            </w:tcBorders>
          </w:tcPr>
          <w:p>
            <w:pPr>
              <w:pStyle w:val="TableParagraph"/>
              <w:spacing w:before="4"/>
              <w:rPr>
                <w:sz w:val="16"/>
              </w:rPr>
            </w:pPr>
          </w:p>
          <w:p>
            <w:pPr>
              <w:pStyle w:val="TableParagraph"/>
              <w:ind w:right="203"/>
              <w:jc w:val="right"/>
              <w:rPr>
                <w:sz w:val="18"/>
              </w:rPr>
            </w:pPr>
            <w:r>
              <w:rPr>
                <w:sz w:val="18"/>
              </w:rPr>
              <w:t>40</w:t>
            </w:r>
          </w:p>
        </w:tc>
      </w:tr>
      <w:tr>
        <w:trPr>
          <w:trHeight w:val="592" w:hRule="atLeast"/>
        </w:trPr>
        <w:tc>
          <w:tcPr>
            <w:tcW w:w="760" w:type="dxa"/>
            <w:tcBorders>
              <w:left w:val="single" w:sz="4" w:space="0" w:color="000000"/>
            </w:tcBorders>
          </w:tcPr>
          <w:p>
            <w:pPr>
              <w:pStyle w:val="TableParagraph"/>
              <w:rPr>
                <w:sz w:val="22"/>
              </w:rPr>
            </w:pPr>
          </w:p>
        </w:tc>
        <w:tc>
          <w:tcPr>
            <w:tcW w:w="558" w:type="dxa"/>
          </w:tcPr>
          <w:p>
            <w:pPr>
              <w:pStyle w:val="TableParagraph"/>
              <w:rPr>
                <w:sz w:val="22"/>
              </w:rPr>
            </w:pPr>
          </w:p>
        </w:tc>
        <w:tc>
          <w:tcPr>
            <w:tcW w:w="801" w:type="dxa"/>
          </w:tcPr>
          <w:p>
            <w:pPr>
              <w:pStyle w:val="TableParagraph"/>
              <w:spacing w:before="1"/>
              <w:rPr>
                <w:sz w:val="16"/>
              </w:rPr>
            </w:pPr>
          </w:p>
          <w:p>
            <w:pPr>
              <w:pStyle w:val="TableParagraph"/>
              <w:ind w:right="148"/>
              <w:jc w:val="right"/>
              <w:rPr>
                <w:sz w:val="18"/>
              </w:rPr>
            </w:pPr>
            <w:r>
              <w:rPr>
                <w:color w:val="FF00FF"/>
                <w:sz w:val="18"/>
              </w:rPr>
              <w:t>Services</w:t>
            </w:r>
          </w:p>
        </w:tc>
        <w:tc>
          <w:tcPr>
            <w:tcW w:w="536" w:type="dxa"/>
          </w:tcPr>
          <w:p>
            <w:pPr>
              <w:pStyle w:val="TableParagraph"/>
              <w:rPr>
                <w:sz w:val="22"/>
              </w:rPr>
            </w:pPr>
          </w:p>
        </w:tc>
        <w:tc>
          <w:tcPr>
            <w:tcW w:w="1415" w:type="dxa"/>
          </w:tcPr>
          <w:p>
            <w:pPr>
              <w:pStyle w:val="TableParagraph"/>
              <w:spacing w:before="1"/>
              <w:rPr>
                <w:sz w:val="16"/>
              </w:rPr>
            </w:pPr>
          </w:p>
          <w:p>
            <w:pPr>
              <w:pStyle w:val="TableParagraph"/>
              <w:ind w:left="23"/>
              <w:rPr>
                <w:sz w:val="18"/>
              </w:rPr>
            </w:pPr>
            <w:r>
              <w:rPr>
                <w:color w:val="000080"/>
                <w:sz w:val="18"/>
              </w:rPr>
              <w:t>Manufacturing</w:t>
            </w:r>
          </w:p>
        </w:tc>
        <w:tc>
          <w:tcPr>
            <w:tcW w:w="969" w:type="dxa"/>
            <w:tcBorders>
              <w:right w:val="single" w:sz="4" w:space="0" w:color="000000"/>
            </w:tcBorders>
          </w:tcPr>
          <w:p>
            <w:pPr>
              <w:pStyle w:val="TableParagraph"/>
              <w:spacing w:before="5"/>
              <w:rPr>
                <w:sz w:val="16"/>
              </w:rPr>
            </w:pPr>
          </w:p>
          <w:p>
            <w:pPr>
              <w:pStyle w:val="TableParagraph"/>
              <w:spacing w:before="1"/>
              <w:ind w:right="203"/>
              <w:jc w:val="right"/>
              <w:rPr>
                <w:sz w:val="18"/>
              </w:rPr>
            </w:pPr>
            <w:r>
              <w:rPr>
                <w:sz w:val="18"/>
              </w:rPr>
              <w:t>30</w:t>
            </w:r>
          </w:p>
        </w:tc>
      </w:tr>
      <w:tr>
        <w:trPr>
          <w:trHeight w:val="590" w:hRule="atLeast"/>
        </w:trPr>
        <w:tc>
          <w:tcPr>
            <w:tcW w:w="760" w:type="dxa"/>
            <w:tcBorders>
              <w:left w:val="single" w:sz="4" w:space="0" w:color="000000"/>
            </w:tcBorders>
          </w:tcPr>
          <w:p>
            <w:pPr>
              <w:pStyle w:val="TableParagraph"/>
              <w:rPr>
                <w:sz w:val="22"/>
              </w:rPr>
            </w:pPr>
          </w:p>
        </w:tc>
        <w:tc>
          <w:tcPr>
            <w:tcW w:w="558" w:type="dxa"/>
          </w:tcPr>
          <w:p>
            <w:pPr>
              <w:pStyle w:val="TableParagraph"/>
              <w:rPr>
                <w:sz w:val="22"/>
              </w:rPr>
            </w:pPr>
          </w:p>
        </w:tc>
        <w:tc>
          <w:tcPr>
            <w:tcW w:w="801" w:type="dxa"/>
          </w:tcPr>
          <w:p>
            <w:pPr>
              <w:pStyle w:val="TableParagraph"/>
              <w:rPr>
                <w:sz w:val="22"/>
              </w:rPr>
            </w:pPr>
          </w:p>
        </w:tc>
        <w:tc>
          <w:tcPr>
            <w:tcW w:w="536" w:type="dxa"/>
          </w:tcPr>
          <w:p>
            <w:pPr>
              <w:pStyle w:val="TableParagraph"/>
              <w:rPr>
                <w:sz w:val="22"/>
              </w:rPr>
            </w:pPr>
          </w:p>
        </w:tc>
        <w:tc>
          <w:tcPr>
            <w:tcW w:w="1415" w:type="dxa"/>
          </w:tcPr>
          <w:p>
            <w:pPr>
              <w:pStyle w:val="TableParagraph"/>
              <w:rPr>
                <w:sz w:val="22"/>
              </w:rPr>
            </w:pPr>
          </w:p>
        </w:tc>
        <w:tc>
          <w:tcPr>
            <w:tcW w:w="969" w:type="dxa"/>
            <w:tcBorders>
              <w:right w:val="single" w:sz="4" w:space="0" w:color="000000"/>
            </w:tcBorders>
          </w:tcPr>
          <w:p>
            <w:pPr>
              <w:pStyle w:val="TableParagraph"/>
              <w:spacing w:before="4"/>
              <w:rPr>
                <w:sz w:val="16"/>
              </w:rPr>
            </w:pPr>
          </w:p>
          <w:p>
            <w:pPr>
              <w:pStyle w:val="TableParagraph"/>
              <w:ind w:right="203"/>
              <w:jc w:val="right"/>
              <w:rPr>
                <w:sz w:val="18"/>
              </w:rPr>
            </w:pPr>
            <w:r>
              <w:rPr>
                <w:sz w:val="18"/>
              </w:rPr>
              <w:t>20</w:t>
            </w:r>
          </w:p>
        </w:tc>
      </w:tr>
      <w:tr>
        <w:trPr>
          <w:trHeight w:val="590" w:hRule="atLeast"/>
        </w:trPr>
        <w:tc>
          <w:tcPr>
            <w:tcW w:w="760" w:type="dxa"/>
            <w:tcBorders>
              <w:left w:val="single" w:sz="4" w:space="0" w:color="000000"/>
            </w:tcBorders>
          </w:tcPr>
          <w:p>
            <w:pPr>
              <w:pStyle w:val="TableParagraph"/>
              <w:rPr>
                <w:sz w:val="22"/>
              </w:rPr>
            </w:pPr>
          </w:p>
        </w:tc>
        <w:tc>
          <w:tcPr>
            <w:tcW w:w="558" w:type="dxa"/>
          </w:tcPr>
          <w:p>
            <w:pPr>
              <w:pStyle w:val="TableParagraph"/>
              <w:rPr>
                <w:sz w:val="22"/>
              </w:rPr>
            </w:pPr>
          </w:p>
        </w:tc>
        <w:tc>
          <w:tcPr>
            <w:tcW w:w="801" w:type="dxa"/>
          </w:tcPr>
          <w:p>
            <w:pPr>
              <w:pStyle w:val="TableParagraph"/>
              <w:rPr>
                <w:sz w:val="22"/>
              </w:rPr>
            </w:pPr>
          </w:p>
        </w:tc>
        <w:tc>
          <w:tcPr>
            <w:tcW w:w="536" w:type="dxa"/>
          </w:tcPr>
          <w:p>
            <w:pPr>
              <w:pStyle w:val="TableParagraph"/>
              <w:rPr>
                <w:sz w:val="22"/>
              </w:rPr>
            </w:pPr>
          </w:p>
        </w:tc>
        <w:tc>
          <w:tcPr>
            <w:tcW w:w="1415" w:type="dxa"/>
          </w:tcPr>
          <w:p>
            <w:pPr>
              <w:pStyle w:val="TableParagraph"/>
              <w:rPr>
                <w:sz w:val="22"/>
              </w:rPr>
            </w:pPr>
          </w:p>
        </w:tc>
        <w:tc>
          <w:tcPr>
            <w:tcW w:w="969" w:type="dxa"/>
            <w:tcBorders>
              <w:right w:val="single" w:sz="4" w:space="0" w:color="000000"/>
            </w:tcBorders>
          </w:tcPr>
          <w:p>
            <w:pPr>
              <w:pStyle w:val="TableParagraph"/>
              <w:spacing w:before="3"/>
              <w:rPr>
                <w:sz w:val="16"/>
              </w:rPr>
            </w:pPr>
          </w:p>
          <w:p>
            <w:pPr>
              <w:pStyle w:val="TableParagraph"/>
              <w:ind w:right="203"/>
              <w:jc w:val="right"/>
              <w:rPr>
                <w:sz w:val="18"/>
              </w:rPr>
            </w:pPr>
            <w:r>
              <w:rPr>
                <w:sz w:val="18"/>
              </w:rPr>
              <w:t>10</w:t>
            </w:r>
          </w:p>
        </w:tc>
      </w:tr>
      <w:tr>
        <w:trPr>
          <w:trHeight w:val="430" w:hRule="atLeast"/>
        </w:trPr>
        <w:tc>
          <w:tcPr>
            <w:tcW w:w="760" w:type="dxa"/>
            <w:tcBorders>
              <w:left w:val="single" w:sz="4" w:space="0" w:color="000000"/>
            </w:tcBorders>
          </w:tcPr>
          <w:p>
            <w:pPr>
              <w:pStyle w:val="TableParagraph"/>
              <w:rPr>
                <w:sz w:val="22"/>
              </w:rPr>
            </w:pPr>
          </w:p>
        </w:tc>
        <w:tc>
          <w:tcPr>
            <w:tcW w:w="558" w:type="dxa"/>
          </w:tcPr>
          <w:p>
            <w:pPr>
              <w:pStyle w:val="TableParagraph"/>
              <w:rPr>
                <w:sz w:val="22"/>
              </w:rPr>
            </w:pPr>
          </w:p>
        </w:tc>
        <w:tc>
          <w:tcPr>
            <w:tcW w:w="801" w:type="dxa"/>
          </w:tcPr>
          <w:p>
            <w:pPr>
              <w:pStyle w:val="TableParagraph"/>
              <w:rPr>
                <w:sz w:val="22"/>
              </w:rPr>
            </w:pPr>
          </w:p>
        </w:tc>
        <w:tc>
          <w:tcPr>
            <w:tcW w:w="536" w:type="dxa"/>
          </w:tcPr>
          <w:p>
            <w:pPr>
              <w:pStyle w:val="TableParagraph"/>
              <w:rPr>
                <w:sz w:val="22"/>
              </w:rPr>
            </w:pPr>
          </w:p>
        </w:tc>
        <w:tc>
          <w:tcPr>
            <w:tcW w:w="1415" w:type="dxa"/>
          </w:tcPr>
          <w:p>
            <w:pPr>
              <w:pStyle w:val="TableParagraph"/>
              <w:rPr>
                <w:sz w:val="22"/>
              </w:rPr>
            </w:pPr>
          </w:p>
        </w:tc>
        <w:tc>
          <w:tcPr>
            <w:tcW w:w="969" w:type="dxa"/>
            <w:tcBorders>
              <w:right w:val="single" w:sz="4" w:space="0" w:color="000000"/>
            </w:tcBorders>
          </w:tcPr>
          <w:p>
            <w:pPr>
              <w:pStyle w:val="TableParagraph"/>
              <w:spacing w:before="4"/>
              <w:rPr>
                <w:sz w:val="16"/>
              </w:rPr>
            </w:pPr>
          </w:p>
          <w:p>
            <w:pPr>
              <w:pStyle w:val="TableParagraph"/>
              <w:ind w:left="577"/>
              <w:rPr>
                <w:sz w:val="18"/>
              </w:rPr>
            </w:pPr>
            <w:r>
              <w:rPr>
                <w:w w:val="100"/>
                <w:sz w:val="18"/>
              </w:rPr>
              <w:t>0</w:t>
            </w:r>
          </w:p>
        </w:tc>
      </w:tr>
      <w:tr>
        <w:trPr>
          <w:trHeight w:val="382" w:hRule="atLeast"/>
        </w:trPr>
        <w:tc>
          <w:tcPr>
            <w:tcW w:w="760" w:type="dxa"/>
            <w:tcBorders>
              <w:left w:val="single" w:sz="4" w:space="0" w:color="000000"/>
              <w:bottom w:val="single" w:sz="4" w:space="0" w:color="000000"/>
            </w:tcBorders>
          </w:tcPr>
          <w:p>
            <w:pPr>
              <w:pStyle w:val="TableParagraph"/>
              <w:spacing w:before="27"/>
              <w:ind w:left="238"/>
              <w:rPr>
                <w:sz w:val="18"/>
              </w:rPr>
            </w:pPr>
            <w:r>
              <w:rPr>
                <w:sz w:val="18"/>
              </w:rPr>
              <w:t>1995</w:t>
            </w:r>
          </w:p>
        </w:tc>
        <w:tc>
          <w:tcPr>
            <w:tcW w:w="558" w:type="dxa"/>
            <w:tcBorders>
              <w:bottom w:val="single" w:sz="4" w:space="0" w:color="000000"/>
            </w:tcBorders>
          </w:tcPr>
          <w:p>
            <w:pPr>
              <w:pStyle w:val="TableParagraph"/>
              <w:spacing w:before="27"/>
              <w:ind w:left="161"/>
              <w:rPr>
                <w:sz w:val="18"/>
              </w:rPr>
            </w:pPr>
            <w:r>
              <w:rPr>
                <w:sz w:val="18"/>
              </w:rPr>
              <w:t>1997</w:t>
            </w:r>
          </w:p>
        </w:tc>
        <w:tc>
          <w:tcPr>
            <w:tcW w:w="801" w:type="dxa"/>
            <w:tcBorders>
              <w:bottom w:val="single" w:sz="4" w:space="0" w:color="000000"/>
            </w:tcBorders>
          </w:tcPr>
          <w:p>
            <w:pPr>
              <w:pStyle w:val="TableParagraph"/>
              <w:spacing w:before="27"/>
              <w:ind w:right="150"/>
              <w:jc w:val="right"/>
              <w:rPr>
                <w:sz w:val="18"/>
              </w:rPr>
            </w:pPr>
            <w:r>
              <w:rPr>
                <w:sz w:val="18"/>
              </w:rPr>
              <w:t>1999</w:t>
            </w:r>
          </w:p>
        </w:tc>
        <w:tc>
          <w:tcPr>
            <w:tcW w:w="536" w:type="dxa"/>
            <w:tcBorders>
              <w:bottom w:val="single" w:sz="4" w:space="0" w:color="000000"/>
            </w:tcBorders>
          </w:tcPr>
          <w:p>
            <w:pPr>
              <w:pStyle w:val="TableParagraph"/>
              <w:spacing w:before="27"/>
              <w:ind w:left="161"/>
              <w:rPr>
                <w:sz w:val="18"/>
              </w:rPr>
            </w:pPr>
            <w:r>
              <w:rPr>
                <w:sz w:val="18"/>
              </w:rPr>
              <w:t>2001</w:t>
            </w:r>
          </w:p>
        </w:tc>
        <w:tc>
          <w:tcPr>
            <w:tcW w:w="1415" w:type="dxa"/>
            <w:tcBorders>
              <w:bottom w:val="single" w:sz="4" w:space="0" w:color="000000"/>
            </w:tcBorders>
          </w:tcPr>
          <w:p>
            <w:pPr>
              <w:pStyle w:val="TableParagraph"/>
              <w:tabs>
                <w:tab w:pos="982" w:val="left" w:leader="none"/>
              </w:tabs>
              <w:spacing w:before="27"/>
              <w:ind w:left="301"/>
              <w:rPr>
                <w:sz w:val="18"/>
              </w:rPr>
            </w:pPr>
            <w:r>
              <w:rPr>
                <w:sz w:val="18"/>
              </w:rPr>
              <w:t>2003</w:t>
              <w:tab/>
              <w:t>2005</w:t>
            </w:r>
          </w:p>
        </w:tc>
        <w:tc>
          <w:tcPr>
            <w:tcW w:w="969" w:type="dxa"/>
            <w:tcBorders>
              <w:bottom w:val="single" w:sz="4" w:space="0" w:color="000000"/>
              <w:right w:val="single" w:sz="4" w:space="0" w:color="000000"/>
            </w:tcBorders>
          </w:tcPr>
          <w:p>
            <w:pPr>
              <w:pStyle w:val="TableParagraph"/>
              <w:spacing w:before="27"/>
              <w:ind w:left="245"/>
              <w:rPr>
                <w:sz w:val="18"/>
              </w:rPr>
            </w:pPr>
            <w:r>
              <w:rPr>
                <w:sz w:val="18"/>
              </w:rPr>
              <w:t>2007</w:t>
            </w:r>
          </w:p>
        </w:tc>
      </w:tr>
      <w:tr>
        <w:trPr>
          <w:trHeight w:val="690" w:hRule="atLeast"/>
        </w:trPr>
        <w:tc>
          <w:tcPr>
            <w:tcW w:w="50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Pr>
                <w:i/>
                <w:sz w:val="20"/>
              </w:rPr>
            </w:pPr>
            <w:r>
              <w:rPr>
                <w:i/>
                <w:sz w:val="20"/>
              </w:rPr>
              <w:t>Source: British Chambers of Commerce</w:t>
            </w:r>
          </w:p>
          <w:p>
            <w:pPr>
              <w:pStyle w:val="TableParagraph"/>
              <w:spacing w:line="230" w:lineRule="atLeast"/>
              <w:ind w:left="106" w:right="114"/>
              <w:rPr>
                <w:i/>
                <w:sz w:val="20"/>
              </w:rPr>
            </w:pPr>
            <w:r>
              <w:rPr>
                <w:i/>
                <w:sz w:val="20"/>
              </w:rPr>
              <w:t>Note: Balance of businesses reporting that inflation is more </w:t>
            </w:r>
            <w:r>
              <w:rPr>
                <w:i/>
                <w:sz w:val="20"/>
              </w:rPr>
              <w:t>of a concern than three months ago</w:t>
            </w:r>
          </w:p>
        </w:tc>
      </w:tr>
    </w:tbl>
    <w:p>
      <w:pPr>
        <w:pStyle w:val="BodyText"/>
        <w:spacing w:before="3"/>
        <w:rPr>
          <w:sz w:val="28"/>
        </w:rPr>
      </w:pPr>
    </w:p>
    <w:p>
      <w:pPr>
        <w:pStyle w:val="BodyText"/>
        <w:spacing w:line="360" w:lineRule="auto" w:before="90"/>
        <w:ind w:left="221" w:right="107"/>
        <w:jc w:val="both"/>
      </w:pPr>
      <w:r>
        <w:rPr/>
        <w:pict>
          <v:group style="position:absolute;margin-left:105.179001pt;margin-top:-224.746567pt;width:208.05pt;height:147.8pt;mso-position-horizontal-relative:page;mso-position-vertical-relative:paragraph;z-index:-254169088" coordorigin="2104,-4495" coordsize="4161,2956">
            <v:shape style="position:absolute;left:2108;top:-4495;width:4156;height:2955" coordorigin="2108,-4494" coordsize="4156,2955" path="m6209,-4494l6209,-1540m6209,-1540l6264,-1540m6209,-2132l6264,-2132m6209,-2722l6264,-2722m6209,-3314l6264,-3314m6209,-3903l6264,-3903m6209,-4494l6264,-4494m2108,-1540l6209,-1540m2108,-1540l2108,-1596m2786,-1540l2786,-1596m3467,-1540l3467,-1596m4144,-1540l4144,-1596m4822,-1540l4822,-1596m5502,-1540l5502,-1596m6180,-1540l6180,-1596e" filled="false" stroked="true" strokeweight=".06pt" strokecolor="#000000">
              <v:path arrowok="t"/>
              <v:stroke dashstyle="solid"/>
            </v:shape>
            <v:line style="position:absolute" from="2123,-3784" to="2207,-3666" stroked="true" strokeweight="1.922pt" strokecolor="#000080">
              <v:stroke dashstyle="solid"/>
            </v:line>
            <v:shape style="position:absolute;left:2206;top:-3963;width:3904;height:2009" coordorigin="2207,-3963" coordsize="3904,2009" path="m2207,-3666l2291,-3489m2291,-3489l2377,-3903m2377,-3903l2461,-3726m2461,-3726l2545,-3431m2545,-3431l2633,-3609m2633,-3609l2717,-3963m2717,-3963l2801,-3726m2801,-3726l2887,-3017m2887,-3017l2971,-2663m2971,-2663l3055,-2603m3055,-2603l3139,-2250m3139,-2250l3226,-2782m3226,-2782l3310,-2486m3310,-2486l3394,-2250m3394,-2250l3481,-2190m3481,-2190l3565,-1954m3565,-1954l3649,-2250m3649,-2250l3736,-2368m3736,-2368l3820,-2486m3820,-2486l3904,-2132m3904,-2132l3988,-2368m3988,-2368l4074,-2426m4074,-2426l4158,-2190m4158,-2190l4242,-2368m4242,-2368l4330,-2368m4330,-2368l4414,-2132m4414,-2132l4498,-2308m4498,-2308l4582,-2426m4582,-2426l4668,-2250m4668,-2250l4752,-2250m4752,-2250l4836,-2308m4836,-2308l4922,-2603m4922,-2603l5006,-2308m5006,-2308l5092,-2900m5092,-2900l5178,-2072m5178,-2072l5262,-3195m5262,-3195l5346,-3077m5346,-3077l5430,-2900m5430,-2900l5516,-2782m5516,-2782l5600,-2782m5600,-2782l5684,-3195m5684,-3195l5771,-3135m5771,-3135l5855,-2840m5855,-2840l5940,-2957m5940,-2957l6026,-3254m6026,-3254l6110,-3314e" filled="false" stroked="true" strokeweight="1.922pt" strokecolor="#000080">
              <v:path arrowok="t"/>
              <v:stroke dashstyle="solid"/>
            </v:shape>
            <v:line style="position:absolute" from="6110,-3314" to="6194,-3963" stroked="true" strokeweight="1.922pt" strokecolor="#000080">
              <v:stroke dashstyle="solid"/>
            </v:line>
            <v:line style="position:absolute" from="2123,-3489" to="2207,-3489" stroked="true" strokeweight="1.922pt" strokecolor="#ff00ff">
              <v:stroke dashstyle="solid"/>
            </v:line>
            <v:shape style="position:absolute;left:2206;top:-3903;width:3904;height:1713" coordorigin="2207,-3903" coordsize="3904,1713" path="m2207,-3489l2291,-3314m2291,-3314l2377,-3017m2377,-3017l2461,-3784m2461,-3784l2545,-3314m2545,-3314l2633,-3609m2633,-3609l2717,-3903m2717,-3903l2801,-3726m2801,-3726l2887,-3195m2887,-3195l2971,-2900m2971,-2900l3055,-2957m3055,-2957l3139,-2663m3139,-2663l3226,-3135m3226,-3135l3310,-2840m3310,-2840l3394,-2603m3394,-2603l3481,-2308m3481,-2308l3565,-2190m3565,-2190l3649,-2426m3649,-2426l3736,-2308m3736,-2308l3820,-2250m3820,-2250l3904,-2308m3904,-2308l3988,-2250m3988,-2250l4074,-2368m4074,-2368l4158,-2250m4158,-2250l4242,-2426m4242,-2426l4330,-2486m4330,-2486l4414,-2190m4414,-2190l4498,-2546m4498,-2546l4582,-2603m4582,-2603l4668,-2722m4668,-2722l4752,-2782m4752,-2782l4836,-2368m4836,-2368l4922,-2308m4922,-2308l5006,-2486m5006,-2486l5092,-2782m5092,-2782l5178,-2663m5178,-2663l5262,-2957m5262,-2957l5346,-2840m5346,-2840l5430,-2900m5430,-2900l5516,-2722m5516,-2722l5600,-3077m5600,-3077l5684,-3135m5684,-3135l5771,-2957m5771,-2957l5855,-2603m5855,-2603l5940,-2663m5940,-2663l6026,-3431m6026,-3431l6110,-3431e" filled="false" stroked="true" strokeweight="1.922pt" strokecolor="#ff00ff">
              <v:path arrowok="t"/>
              <v:stroke dashstyle="solid"/>
            </v:shape>
            <v:line style="position:absolute" from="6110,-3431" to="6194,-3489" stroked="true" strokeweight="1.922pt" strokecolor="#ff00ff">
              <v:stroke dashstyle="solid"/>
            </v:line>
            <w10:wrap type="none"/>
          </v:group>
        </w:pict>
      </w:r>
      <w:r>
        <w:rPr/>
        <w:t>Survey evidence supports this view of rising business concern about inflation, which  has coincided with the increased inflationary impetus we have seen from the global economy over the past few years. Chart 13 – based on responses to the British Chamber of Commerce surveys around the country – shows that this concern is particularly noticeable in the recent responses from manufacturers, who are more heavily exposed to the impact of rising energy and commodity</w:t>
      </w:r>
      <w:r>
        <w:rPr>
          <w:spacing w:val="-1"/>
        </w:rPr>
        <w:t> </w:t>
      </w:r>
      <w:r>
        <w:rPr/>
        <w:t>prices.</w:t>
      </w:r>
    </w:p>
    <w:p>
      <w:pPr>
        <w:pStyle w:val="BodyText"/>
        <w:rPr>
          <w:sz w:val="36"/>
        </w:rPr>
      </w:pPr>
    </w:p>
    <w:p>
      <w:pPr>
        <w:pStyle w:val="BodyText"/>
        <w:spacing w:line="360" w:lineRule="auto" w:before="1"/>
        <w:ind w:left="221" w:right="110"/>
        <w:jc w:val="both"/>
      </w:pPr>
      <w:r>
        <w:rPr/>
        <w:t>In the past there have been concerns that monetary tightening would be “bad for business” because it would bear disproportionately on the manufacturing sector and on the traditional industrial regions. These concerns have often surrounded the impact that a strong or sharply appreciating exchange rate would have on manufacturers and exporters. This was certainly a big issue in the late 1980s, leading the CBI and other business organisations to support ERM membership as the appropriate framework for monetary policy. Exchange rate concerns were also a feature of the early days of the MPC, in the wake of the appreciation of the pound, particularly against the European currencies, in 1996 and</w:t>
      </w:r>
      <w:r>
        <w:rPr>
          <w:spacing w:val="-4"/>
        </w:rPr>
        <w:t> </w:t>
      </w:r>
      <w:r>
        <w:rPr/>
        <w:t>1997.</w:t>
      </w:r>
    </w:p>
    <w:p>
      <w:pPr>
        <w:spacing w:after="0" w:line="360" w:lineRule="auto"/>
        <w:jc w:val="both"/>
        <w:sectPr>
          <w:pgSz w:w="11900" w:h="16840"/>
          <w:pgMar w:header="0" w:footer="710" w:top="1440" w:bottom="960" w:left="1480" w:right="1580"/>
        </w:sectPr>
      </w:pPr>
    </w:p>
    <w:tbl>
      <w:tblPr>
        <w:tblW w:w="0" w:type="auto"/>
        <w:jc w:val="left"/>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705"/>
        <w:gridCol w:w="608"/>
        <w:gridCol w:w="705"/>
        <w:gridCol w:w="2438"/>
      </w:tblGrid>
      <w:tr>
        <w:trPr>
          <w:trHeight w:val="275" w:hRule="atLeast"/>
        </w:trPr>
        <w:tc>
          <w:tcPr>
            <w:tcW w:w="52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6"/>
              <w:rPr>
                <w:b/>
                <w:sz w:val="24"/>
              </w:rPr>
            </w:pPr>
            <w:r>
              <w:rPr>
                <w:b/>
                <w:color w:val="0000FF"/>
                <w:sz w:val="24"/>
              </w:rPr>
              <w:t>Chart 14: Movements in sterling since 1990</w:t>
            </w:r>
          </w:p>
        </w:tc>
      </w:tr>
      <w:tr>
        <w:trPr>
          <w:trHeight w:val="353" w:hRule="atLeast"/>
        </w:trPr>
        <w:tc>
          <w:tcPr>
            <w:tcW w:w="766" w:type="dxa"/>
            <w:tcBorders>
              <w:top w:val="single" w:sz="4" w:space="0" w:color="000000"/>
              <w:left w:val="single" w:sz="4" w:space="0" w:color="000000"/>
            </w:tcBorders>
          </w:tcPr>
          <w:p>
            <w:pPr>
              <w:pStyle w:val="TableParagraph"/>
              <w:rPr>
                <w:sz w:val="22"/>
              </w:rPr>
            </w:pPr>
          </w:p>
        </w:tc>
        <w:tc>
          <w:tcPr>
            <w:tcW w:w="705" w:type="dxa"/>
            <w:tcBorders>
              <w:top w:val="single" w:sz="4" w:space="0" w:color="000000"/>
            </w:tcBorders>
          </w:tcPr>
          <w:p>
            <w:pPr>
              <w:pStyle w:val="TableParagraph"/>
              <w:rPr>
                <w:sz w:val="22"/>
              </w:rPr>
            </w:pPr>
          </w:p>
        </w:tc>
        <w:tc>
          <w:tcPr>
            <w:tcW w:w="608" w:type="dxa"/>
            <w:tcBorders>
              <w:top w:val="single" w:sz="4" w:space="0" w:color="000000"/>
            </w:tcBorders>
          </w:tcPr>
          <w:p>
            <w:pPr>
              <w:pStyle w:val="TableParagraph"/>
              <w:rPr>
                <w:sz w:val="22"/>
              </w:rPr>
            </w:pPr>
          </w:p>
        </w:tc>
        <w:tc>
          <w:tcPr>
            <w:tcW w:w="705" w:type="dxa"/>
            <w:tcBorders>
              <w:top w:val="single" w:sz="4" w:space="0" w:color="000000"/>
            </w:tcBorders>
          </w:tcPr>
          <w:p>
            <w:pPr>
              <w:pStyle w:val="TableParagraph"/>
              <w:rPr>
                <w:sz w:val="22"/>
              </w:rPr>
            </w:pPr>
          </w:p>
        </w:tc>
        <w:tc>
          <w:tcPr>
            <w:tcW w:w="2438" w:type="dxa"/>
            <w:tcBorders>
              <w:top w:val="single" w:sz="4" w:space="0" w:color="000000"/>
              <w:right w:val="single" w:sz="4" w:space="0" w:color="000000"/>
            </w:tcBorders>
          </w:tcPr>
          <w:p>
            <w:pPr>
              <w:pStyle w:val="TableParagraph"/>
              <w:spacing w:before="118"/>
              <w:ind w:right="425"/>
              <w:jc w:val="right"/>
              <w:rPr>
                <w:sz w:val="16"/>
              </w:rPr>
            </w:pPr>
            <w:r>
              <w:rPr>
                <w:w w:val="110"/>
                <w:sz w:val="16"/>
              </w:rPr>
              <w:t>Index, Q1 1990 = 100</w:t>
            </w:r>
          </w:p>
        </w:tc>
      </w:tr>
      <w:tr>
        <w:trPr>
          <w:trHeight w:val="421" w:hRule="atLeast"/>
        </w:trPr>
        <w:tc>
          <w:tcPr>
            <w:tcW w:w="766" w:type="dxa"/>
            <w:tcBorders>
              <w:left w:val="single" w:sz="4" w:space="0" w:color="000000"/>
            </w:tcBorders>
          </w:tcPr>
          <w:p>
            <w:pPr>
              <w:pStyle w:val="TableParagraph"/>
              <w:rPr>
                <w:sz w:val="22"/>
              </w:rPr>
            </w:pPr>
          </w:p>
        </w:tc>
        <w:tc>
          <w:tcPr>
            <w:tcW w:w="705" w:type="dxa"/>
          </w:tcPr>
          <w:p>
            <w:pPr>
              <w:pStyle w:val="TableParagraph"/>
              <w:rPr>
                <w:sz w:val="22"/>
              </w:rPr>
            </w:pPr>
          </w:p>
        </w:tc>
        <w:tc>
          <w:tcPr>
            <w:tcW w:w="608" w:type="dxa"/>
          </w:tcPr>
          <w:p>
            <w:pPr>
              <w:pStyle w:val="TableParagraph"/>
              <w:rPr>
                <w:sz w:val="22"/>
              </w:rPr>
            </w:pPr>
          </w:p>
        </w:tc>
        <w:tc>
          <w:tcPr>
            <w:tcW w:w="705" w:type="dxa"/>
          </w:tcPr>
          <w:p>
            <w:pPr>
              <w:pStyle w:val="TableParagraph"/>
              <w:rPr>
                <w:sz w:val="22"/>
              </w:rPr>
            </w:pPr>
          </w:p>
        </w:tc>
        <w:tc>
          <w:tcPr>
            <w:tcW w:w="2438" w:type="dxa"/>
            <w:tcBorders>
              <w:right w:val="single" w:sz="4" w:space="0" w:color="000000"/>
            </w:tcBorders>
          </w:tcPr>
          <w:p>
            <w:pPr>
              <w:pStyle w:val="TableParagraph"/>
              <w:spacing w:before="47"/>
              <w:ind w:right="380"/>
              <w:jc w:val="right"/>
              <w:rPr>
                <w:sz w:val="19"/>
              </w:rPr>
            </w:pPr>
            <w:r>
              <w:rPr>
                <w:w w:val="105"/>
                <w:sz w:val="19"/>
              </w:rPr>
              <w:t>130</w:t>
            </w:r>
          </w:p>
        </w:tc>
      </w:tr>
      <w:tr>
        <w:trPr>
          <w:trHeight w:val="1513" w:hRule="atLeast"/>
        </w:trPr>
        <w:tc>
          <w:tcPr>
            <w:tcW w:w="766" w:type="dxa"/>
            <w:tcBorders>
              <w:left w:val="single" w:sz="4" w:space="0" w:color="000000"/>
            </w:tcBorders>
          </w:tcPr>
          <w:p>
            <w:pPr>
              <w:pStyle w:val="TableParagraph"/>
              <w:rPr>
                <w:sz w:val="22"/>
              </w:rPr>
            </w:pPr>
          </w:p>
        </w:tc>
        <w:tc>
          <w:tcPr>
            <w:tcW w:w="705" w:type="dxa"/>
          </w:tcPr>
          <w:p>
            <w:pPr>
              <w:pStyle w:val="TableParagraph"/>
              <w:rPr>
                <w:sz w:val="22"/>
              </w:rPr>
            </w:pPr>
          </w:p>
        </w:tc>
        <w:tc>
          <w:tcPr>
            <w:tcW w:w="608" w:type="dxa"/>
          </w:tcPr>
          <w:p>
            <w:pPr>
              <w:pStyle w:val="TableParagraph"/>
              <w:rPr>
                <w:sz w:val="22"/>
              </w:rPr>
            </w:pPr>
          </w:p>
        </w:tc>
        <w:tc>
          <w:tcPr>
            <w:tcW w:w="705" w:type="dxa"/>
          </w:tcPr>
          <w:p>
            <w:pPr>
              <w:pStyle w:val="TableParagraph"/>
              <w:spacing w:before="151"/>
              <w:ind w:right="92"/>
              <w:jc w:val="right"/>
              <w:rPr>
                <w:sz w:val="19"/>
              </w:rPr>
            </w:pPr>
            <w:r>
              <w:rPr>
                <w:color w:val="FF6500"/>
                <w:w w:val="105"/>
                <w:sz w:val="19"/>
              </w:rPr>
              <w:t>£/Euro</w:t>
            </w:r>
          </w:p>
        </w:tc>
        <w:tc>
          <w:tcPr>
            <w:tcW w:w="2438" w:type="dxa"/>
            <w:tcBorders>
              <w:right w:val="single" w:sz="4" w:space="0" w:color="000000"/>
            </w:tcBorders>
          </w:tcPr>
          <w:p>
            <w:pPr>
              <w:pStyle w:val="TableParagraph"/>
              <w:spacing w:before="181"/>
              <w:ind w:left="1782"/>
              <w:rPr>
                <w:sz w:val="19"/>
              </w:rPr>
            </w:pPr>
            <w:r>
              <w:rPr>
                <w:spacing w:val="-14"/>
                <w:w w:val="110"/>
                <w:sz w:val="19"/>
              </w:rPr>
              <w:t>120</w:t>
            </w:r>
          </w:p>
          <w:p>
            <w:pPr>
              <w:pStyle w:val="TableParagraph"/>
              <w:spacing w:before="6"/>
              <w:rPr>
                <w:sz w:val="30"/>
              </w:rPr>
            </w:pPr>
          </w:p>
          <w:p>
            <w:pPr>
              <w:pStyle w:val="TableParagraph"/>
              <w:ind w:left="1782"/>
              <w:rPr>
                <w:sz w:val="19"/>
              </w:rPr>
            </w:pPr>
            <w:r>
              <w:rPr>
                <w:spacing w:val="-14"/>
                <w:w w:val="110"/>
                <w:sz w:val="19"/>
              </w:rPr>
              <w:t>110</w:t>
            </w:r>
          </w:p>
          <w:p>
            <w:pPr>
              <w:pStyle w:val="TableParagraph"/>
              <w:tabs>
                <w:tab w:pos="2051" w:val="right" w:leader="none"/>
              </w:tabs>
              <w:spacing w:line="196" w:lineRule="auto" w:before="242"/>
              <w:ind w:left="71"/>
              <w:rPr>
                <w:sz w:val="19"/>
              </w:rPr>
            </w:pPr>
            <w:r>
              <w:rPr>
                <w:color w:val="000080"/>
                <w:w w:val="110"/>
                <w:sz w:val="16"/>
              </w:rPr>
              <w:t>£</w:t>
            </w:r>
            <w:r>
              <w:rPr>
                <w:color w:val="000080"/>
                <w:spacing w:val="3"/>
                <w:w w:val="110"/>
                <w:sz w:val="16"/>
              </w:rPr>
              <w:t> </w:t>
            </w:r>
            <w:r>
              <w:rPr>
                <w:color w:val="000080"/>
                <w:spacing w:val="-6"/>
                <w:w w:val="110"/>
                <w:sz w:val="16"/>
              </w:rPr>
              <w:t>ERI</w:t>
              <w:tab/>
            </w:r>
            <w:r>
              <w:rPr>
                <w:spacing w:val="-14"/>
                <w:w w:val="110"/>
                <w:position w:val="-12"/>
                <w:sz w:val="19"/>
              </w:rPr>
              <w:t>100</w:t>
            </w:r>
          </w:p>
        </w:tc>
      </w:tr>
      <w:tr>
        <w:trPr>
          <w:trHeight w:val="353" w:hRule="atLeast"/>
        </w:trPr>
        <w:tc>
          <w:tcPr>
            <w:tcW w:w="766" w:type="dxa"/>
            <w:tcBorders>
              <w:left w:val="single" w:sz="4" w:space="0" w:color="000000"/>
            </w:tcBorders>
          </w:tcPr>
          <w:p>
            <w:pPr>
              <w:pStyle w:val="TableParagraph"/>
              <w:rPr>
                <w:sz w:val="22"/>
              </w:rPr>
            </w:pPr>
          </w:p>
        </w:tc>
        <w:tc>
          <w:tcPr>
            <w:tcW w:w="705" w:type="dxa"/>
          </w:tcPr>
          <w:p>
            <w:pPr>
              <w:pStyle w:val="TableParagraph"/>
              <w:rPr>
                <w:sz w:val="22"/>
              </w:rPr>
            </w:pPr>
          </w:p>
        </w:tc>
        <w:tc>
          <w:tcPr>
            <w:tcW w:w="608" w:type="dxa"/>
          </w:tcPr>
          <w:p>
            <w:pPr>
              <w:pStyle w:val="TableParagraph"/>
              <w:rPr>
                <w:sz w:val="22"/>
              </w:rPr>
            </w:pPr>
          </w:p>
        </w:tc>
        <w:tc>
          <w:tcPr>
            <w:tcW w:w="705" w:type="dxa"/>
          </w:tcPr>
          <w:p>
            <w:pPr>
              <w:pStyle w:val="TableParagraph"/>
              <w:rPr>
                <w:sz w:val="22"/>
              </w:rPr>
            </w:pPr>
          </w:p>
        </w:tc>
        <w:tc>
          <w:tcPr>
            <w:tcW w:w="2438" w:type="dxa"/>
            <w:tcBorders>
              <w:right w:val="single" w:sz="4" w:space="0" w:color="000000"/>
            </w:tcBorders>
          </w:tcPr>
          <w:p>
            <w:pPr>
              <w:pStyle w:val="TableParagraph"/>
              <w:spacing w:line="212" w:lineRule="exact" w:before="122"/>
              <w:ind w:left="833" w:right="1292"/>
              <w:jc w:val="center"/>
              <w:rPr>
                <w:sz w:val="19"/>
              </w:rPr>
            </w:pPr>
            <w:r>
              <w:rPr>
                <w:color w:val="008000"/>
                <w:w w:val="110"/>
                <w:sz w:val="19"/>
              </w:rPr>
              <w:t>£/$</w:t>
            </w:r>
          </w:p>
        </w:tc>
      </w:tr>
      <w:tr>
        <w:trPr>
          <w:trHeight w:val="397" w:hRule="atLeast"/>
        </w:trPr>
        <w:tc>
          <w:tcPr>
            <w:tcW w:w="766" w:type="dxa"/>
            <w:tcBorders>
              <w:left w:val="single" w:sz="4" w:space="0" w:color="000000"/>
            </w:tcBorders>
          </w:tcPr>
          <w:p>
            <w:pPr>
              <w:pStyle w:val="TableParagraph"/>
              <w:rPr>
                <w:sz w:val="22"/>
              </w:rPr>
            </w:pPr>
          </w:p>
        </w:tc>
        <w:tc>
          <w:tcPr>
            <w:tcW w:w="705" w:type="dxa"/>
          </w:tcPr>
          <w:p>
            <w:pPr>
              <w:pStyle w:val="TableParagraph"/>
              <w:rPr>
                <w:sz w:val="22"/>
              </w:rPr>
            </w:pPr>
          </w:p>
        </w:tc>
        <w:tc>
          <w:tcPr>
            <w:tcW w:w="608" w:type="dxa"/>
          </w:tcPr>
          <w:p>
            <w:pPr>
              <w:pStyle w:val="TableParagraph"/>
              <w:rPr>
                <w:sz w:val="22"/>
              </w:rPr>
            </w:pPr>
          </w:p>
        </w:tc>
        <w:tc>
          <w:tcPr>
            <w:tcW w:w="705" w:type="dxa"/>
          </w:tcPr>
          <w:p>
            <w:pPr>
              <w:pStyle w:val="TableParagraph"/>
              <w:rPr>
                <w:sz w:val="22"/>
              </w:rPr>
            </w:pPr>
          </w:p>
        </w:tc>
        <w:tc>
          <w:tcPr>
            <w:tcW w:w="2438" w:type="dxa"/>
            <w:tcBorders>
              <w:right w:val="single" w:sz="4" w:space="0" w:color="000000"/>
            </w:tcBorders>
          </w:tcPr>
          <w:p>
            <w:pPr>
              <w:pStyle w:val="TableParagraph"/>
              <w:spacing w:before="8"/>
              <w:ind w:right="470"/>
              <w:jc w:val="right"/>
              <w:rPr>
                <w:sz w:val="19"/>
              </w:rPr>
            </w:pPr>
            <w:r>
              <w:rPr>
                <w:w w:val="105"/>
                <w:sz w:val="19"/>
              </w:rPr>
              <w:t>90</w:t>
            </w:r>
          </w:p>
        </w:tc>
      </w:tr>
      <w:tr>
        <w:trPr>
          <w:trHeight w:val="419" w:hRule="atLeast"/>
        </w:trPr>
        <w:tc>
          <w:tcPr>
            <w:tcW w:w="766" w:type="dxa"/>
            <w:tcBorders>
              <w:left w:val="single" w:sz="4" w:space="0" w:color="000000"/>
            </w:tcBorders>
          </w:tcPr>
          <w:p>
            <w:pPr>
              <w:pStyle w:val="TableParagraph"/>
              <w:rPr>
                <w:sz w:val="22"/>
              </w:rPr>
            </w:pPr>
          </w:p>
        </w:tc>
        <w:tc>
          <w:tcPr>
            <w:tcW w:w="705" w:type="dxa"/>
          </w:tcPr>
          <w:p>
            <w:pPr>
              <w:pStyle w:val="TableParagraph"/>
              <w:rPr>
                <w:sz w:val="22"/>
              </w:rPr>
            </w:pPr>
          </w:p>
        </w:tc>
        <w:tc>
          <w:tcPr>
            <w:tcW w:w="608" w:type="dxa"/>
          </w:tcPr>
          <w:p>
            <w:pPr>
              <w:pStyle w:val="TableParagraph"/>
              <w:rPr>
                <w:sz w:val="22"/>
              </w:rPr>
            </w:pPr>
          </w:p>
        </w:tc>
        <w:tc>
          <w:tcPr>
            <w:tcW w:w="705" w:type="dxa"/>
          </w:tcPr>
          <w:p>
            <w:pPr>
              <w:pStyle w:val="TableParagraph"/>
              <w:rPr>
                <w:sz w:val="22"/>
              </w:rPr>
            </w:pPr>
          </w:p>
        </w:tc>
        <w:tc>
          <w:tcPr>
            <w:tcW w:w="2438" w:type="dxa"/>
            <w:tcBorders>
              <w:right w:val="single" w:sz="4" w:space="0" w:color="000000"/>
            </w:tcBorders>
          </w:tcPr>
          <w:p>
            <w:pPr>
              <w:pStyle w:val="TableParagraph"/>
              <w:spacing w:before="166"/>
              <w:ind w:right="470"/>
              <w:jc w:val="right"/>
              <w:rPr>
                <w:sz w:val="19"/>
              </w:rPr>
            </w:pPr>
            <w:r>
              <w:rPr>
                <w:w w:val="105"/>
                <w:sz w:val="19"/>
              </w:rPr>
              <w:t>80</w:t>
            </w:r>
          </w:p>
        </w:tc>
      </w:tr>
      <w:tr>
        <w:trPr>
          <w:trHeight w:val="394" w:hRule="atLeast"/>
        </w:trPr>
        <w:tc>
          <w:tcPr>
            <w:tcW w:w="766" w:type="dxa"/>
            <w:tcBorders>
              <w:left w:val="single" w:sz="4" w:space="0" w:color="000000"/>
              <w:bottom w:val="single" w:sz="4" w:space="0" w:color="000000"/>
            </w:tcBorders>
          </w:tcPr>
          <w:p>
            <w:pPr>
              <w:pStyle w:val="TableParagraph"/>
              <w:spacing w:before="30"/>
              <w:ind w:left="226"/>
              <w:rPr>
                <w:sz w:val="19"/>
              </w:rPr>
            </w:pPr>
            <w:r>
              <w:rPr>
                <w:w w:val="110"/>
                <w:sz w:val="19"/>
              </w:rPr>
              <w:t>1990</w:t>
            </w:r>
          </w:p>
        </w:tc>
        <w:tc>
          <w:tcPr>
            <w:tcW w:w="705" w:type="dxa"/>
            <w:tcBorders>
              <w:bottom w:val="single" w:sz="4" w:space="0" w:color="000000"/>
            </w:tcBorders>
          </w:tcPr>
          <w:p>
            <w:pPr>
              <w:pStyle w:val="TableParagraph"/>
              <w:spacing w:before="30"/>
              <w:ind w:left="169"/>
              <w:rPr>
                <w:sz w:val="19"/>
              </w:rPr>
            </w:pPr>
            <w:r>
              <w:rPr>
                <w:w w:val="110"/>
                <w:sz w:val="19"/>
              </w:rPr>
              <w:t>1993</w:t>
            </w:r>
          </w:p>
        </w:tc>
        <w:tc>
          <w:tcPr>
            <w:tcW w:w="608" w:type="dxa"/>
            <w:tcBorders>
              <w:bottom w:val="single" w:sz="4" w:space="0" w:color="000000"/>
            </w:tcBorders>
          </w:tcPr>
          <w:p>
            <w:pPr>
              <w:pStyle w:val="TableParagraph"/>
              <w:spacing w:before="30"/>
              <w:ind w:left="170"/>
              <w:rPr>
                <w:sz w:val="19"/>
              </w:rPr>
            </w:pPr>
            <w:r>
              <w:rPr>
                <w:w w:val="110"/>
                <w:sz w:val="19"/>
              </w:rPr>
              <w:t>1996</w:t>
            </w:r>
          </w:p>
        </w:tc>
        <w:tc>
          <w:tcPr>
            <w:tcW w:w="705" w:type="dxa"/>
            <w:tcBorders>
              <w:bottom w:val="single" w:sz="4" w:space="0" w:color="000000"/>
            </w:tcBorders>
          </w:tcPr>
          <w:p>
            <w:pPr>
              <w:pStyle w:val="TableParagraph"/>
              <w:spacing w:before="30"/>
              <w:ind w:right="76"/>
              <w:jc w:val="right"/>
              <w:rPr>
                <w:sz w:val="19"/>
              </w:rPr>
            </w:pPr>
            <w:r>
              <w:rPr>
                <w:w w:val="105"/>
                <w:sz w:val="19"/>
              </w:rPr>
              <w:t>1999</w:t>
            </w:r>
          </w:p>
        </w:tc>
        <w:tc>
          <w:tcPr>
            <w:tcW w:w="2438" w:type="dxa"/>
            <w:tcBorders>
              <w:bottom w:val="single" w:sz="4" w:space="0" w:color="000000"/>
              <w:right w:val="single" w:sz="4" w:space="0" w:color="000000"/>
            </w:tcBorders>
          </w:tcPr>
          <w:p>
            <w:pPr>
              <w:pStyle w:val="TableParagraph"/>
              <w:tabs>
                <w:tab w:pos="986" w:val="left" w:leader="none"/>
              </w:tabs>
              <w:spacing w:before="30"/>
              <w:ind w:left="267"/>
              <w:rPr>
                <w:sz w:val="19"/>
              </w:rPr>
            </w:pPr>
            <w:r>
              <w:rPr>
                <w:spacing w:val="-11"/>
                <w:w w:val="110"/>
                <w:sz w:val="19"/>
              </w:rPr>
              <w:t>2002</w:t>
              <w:tab/>
            </w:r>
            <w:r>
              <w:rPr>
                <w:spacing w:val="-14"/>
                <w:w w:val="110"/>
                <w:sz w:val="19"/>
              </w:rPr>
              <w:t>2005</w:t>
            </w:r>
          </w:p>
        </w:tc>
      </w:tr>
      <w:tr>
        <w:trPr>
          <w:trHeight w:val="460" w:hRule="atLeast"/>
        </w:trPr>
        <w:tc>
          <w:tcPr>
            <w:tcW w:w="52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6"/>
              <w:rPr>
                <w:i/>
                <w:sz w:val="20"/>
              </w:rPr>
            </w:pPr>
            <w:r>
              <w:rPr>
                <w:i/>
                <w:sz w:val="20"/>
              </w:rPr>
              <w:t>Source: Bank of England and Eurostat</w:t>
            </w:r>
          </w:p>
          <w:p>
            <w:pPr>
              <w:pStyle w:val="TableParagraph"/>
              <w:spacing w:line="213" w:lineRule="exact"/>
              <w:ind w:left="106"/>
              <w:rPr>
                <w:i/>
                <w:sz w:val="20"/>
              </w:rPr>
            </w:pPr>
            <w:r>
              <w:rPr>
                <w:i/>
                <w:sz w:val="20"/>
              </w:rPr>
              <w:t>Note: ECU exchange rate shown before 1999</w:t>
            </w:r>
          </w:p>
        </w:tc>
      </w:tr>
    </w:tbl>
    <w:p>
      <w:pPr>
        <w:pStyle w:val="BodyText"/>
        <w:spacing w:before="3"/>
        <w:rPr>
          <w:sz w:val="28"/>
        </w:rPr>
      </w:pPr>
    </w:p>
    <w:p>
      <w:pPr>
        <w:pStyle w:val="BodyText"/>
        <w:spacing w:line="360" w:lineRule="auto" w:before="90"/>
        <w:ind w:left="221" w:right="110"/>
        <w:jc w:val="both"/>
      </w:pPr>
      <w:r>
        <w:rPr/>
        <w:pict>
          <v:group style="position:absolute;margin-left:104.610001pt;margin-top:-207.406586pt;width:204pt;height:140.35pt;mso-position-horizontal-relative:page;mso-position-vertical-relative:paragraph;z-index:-254168064" coordorigin="2092,-4148" coordsize="4080,2807">
            <v:shape style="position:absolute;left:2107;top:-4148;width:4065;height:2806" coordorigin="2107,-4148" coordsize="4065,2806" path="m6112,-4148l6112,-1342m6112,-1342l6172,-1342m6112,-1898l6172,-1898m6112,-2468l6172,-2468m6112,-3022l6172,-3022m6112,-3592l6172,-3592m6112,-4148l6172,-4148m2107,-1342l6112,-1342m2107,-1342l2107,-1402m2813,-1342l2813,-1402m3517,-1342l3517,-1402m4223,-1342l4223,-1402m4927,-1342l4927,-1402m5647,-1342l5647,-1402e" filled="false" stroked="true" strokeweight=".06pt" strokecolor="#000000">
              <v:path arrowok="t"/>
              <v:stroke dashstyle="solid"/>
            </v:shape>
            <v:line style="position:absolute" from="2107,-2468" to="2167,-2528" stroked="true" strokeweight="1.5pt" strokecolor="#008000">
              <v:stroke dashstyle="solid"/>
            </v:line>
            <v:line style="position:absolute" from="2197,-3173" to="2197,-2513" stroked="true" strokeweight="4.5pt" strokecolor="#008000">
              <v:stroke dashstyle="solid"/>
            </v:line>
            <v:shape style="position:absolute;left:2227;top:-3442;width:120;height:285" coordorigin="2227,-3442" coordsize="120,285" path="m2227,-3158l2287,-3442m2287,-3442l2347,-3308e" filled="false" stroked="true" strokeweight="1.5pt" strokecolor="#008000">
              <v:path arrowok="t"/>
              <v:stroke dashstyle="solid"/>
            </v:shape>
            <v:line style="position:absolute" from="2377,-3323" to="2377,-2617" stroked="true" strokeweight="4.5pt" strokecolor="#008000">
              <v:stroke dashstyle="solid"/>
            </v:line>
            <v:shape style="position:absolute;left:2407;top:-3308;width:286;height:750" coordorigin="2407,-3308" coordsize="286,750" path="m2407,-2632l2467,-2558m2467,-2558l2513,-2858m2513,-2858l2573,-2842m2573,-2842l2633,-2978m2633,-2978l2693,-3308e" filled="false" stroked="true" strokeweight="1.5pt" strokecolor="#008000">
              <v:path arrowok="t"/>
              <v:stroke dashstyle="solid"/>
            </v:shape>
            <v:line style="position:absolute" from="2723,-3323" to="2723,-2737" stroked="true" strokeweight="4.5pt" strokecolor="#008000">
              <v:stroke dashstyle="solid"/>
            </v:line>
            <v:shape style="position:absolute;left:2752;top:-3082;width:2655;height:1425" coordorigin="2753,-3082" coordsize="2655,1425" path="m2753,-2198l2813,-1852m2813,-1852l2873,-2048m2873,-2048l2933,-1942m2933,-1942l2993,-1898m2993,-1898l3053,-1898m3053,-1898l3113,-1942m3113,-1942l3173,-2108m3173,-2108l3233,-2212m3233,-2212l3293,-2212m3293,-2212l3337,-2258m3337,-2258l3397,-2182m3397,-2182l3457,-2138m3457,-2138l3517,-2032m3517,-2032l3577,-2018m3577,-2018l3637,-2122m3637,-2122l3697,-2392m3697,-2392l3757,-2378m3757,-2378l3817,-2392m3817,-2392l3877,-2348m3877,-2348l3937,-2468m3937,-2468l3997,-2422m3997,-2422l4057,-2452m4057,-2452l4117,-2452m4117,-2452l4163,-2528m4163,-2528l4223,-2378m4223,-2378l4283,-2288m4283,-2288l4343,-2272m4343,-2272l4403,-2378m4403,-2378l4463,-2288m4463,-2288l4523,-2048m4523,-2048l4583,-1852m4583,-1852l4643,-1748m4643,-1748l4703,-1792m4703,-1792l4763,-1658m4763,-1658l4823,-1718m4823,-1718l4882,-1732m4882,-1732l4927,-1688m4927,-1688l4987,-1808m4987,-1808l5047,-2092m5047,-2092l5107,-2168m5107,-2168l5167,-2272m5167,-2272l5227,-2332m5227,-2332l5287,-2302m5287,-2302l5347,-2632m5347,-2632l5407,-3082e" filled="false" stroked="true" strokeweight="1.5pt" strokecolor="#008000">
              <v:path arrowok="t"/>
              <v:stroke dashstyle="solid"/>
            </v:shape>
            <v:shape style="position:absolute;left:5392;top:-3487;width:735;height:735" type="#_x0000_t75" stroked="false">
              <v:imagedata r:id="rId16" o:title=""/>
            </v:shape>
            <v:line style="position:absolute" from="2107,-2468" to="2167,-2498" stroked="true" strokeweight="1.5pt" strokecolor="#000080">
              <v:stroke dashstyle="solid"/>
            </v:line>
            <v:line style="position:absolute" from="2167,-2498" to="2227,-2888" stroked="true" strokeweight="1.5pt" strokecolor="#000080">
              <v:stroke dashstyle="solid"/>
            </v:line>
            <v:shape style="position:absolute;left:2212;top:-2917;width:496;height:270" type="#_x0000_t75" stroked="false">
              <v:imagedata r:id="rId17" o:title=""/>
            </v:shape>
            <v:line style="position:absolute" from="2723,-2737" to="2723,-1987" stroked="true" strokeweight="4.5pt" strokecolor="#000080">
              <v:stroke dashstyle="solid"/>
            </v:line>
            <v:shape style="position:absolute;left:2752;top:-3188;width:3359;height:1426" coordorigin="2753,-3188" coordsize="3359,1426" path="m2753,-2002l2813,-1912m2813,-1912l2873,-2032m2873,-2032l2933,-2108m2933,-2108l2993,-2092m2993,-2092l3053,-2108m3053,-2108l3113,-2048m3113,-2048l3173,-2002m3173,-2002l3233,-2062m3233,-2062l3293,-1958m3293,-1958l3337,-1808m3337,-1808l3397,-1808m3397,-1808l3457,-1762m3457,-1762l3517,-1762m3517,-1762l3577,-1822,3637,-1882m3637,-1882l3697,-2212m3697,-2212l3757,-2482m3757,-2482l3817,-2618m3817,-2618l3877,-2752m3877,-2752l3937,-2828m3937,-2828l3997,-2962m3997,-2962l4057,-2962m4057,-2962l4117,-2932m4117,-2932l4163,-2752m4163,-2752l4223,-2768m4223,-2768l4283,-2872m4283,-2872l4343,-2858m4343,-2858l4403,-2962m4403,-2962l4463,-3068m4463,-3068l4523,-2992m4523,-2992l4583,-2888m4583,-2888l4643,-2948m4643,-2948l4703,-2812m4703,-2812l4763,-2888m4763,-2888l4823,-2888m4823,-2888l4882,-2902m4882,-2902l4927,-2948m4927,-2948l4987,-2888m4987,-2888l5047,-2948m5047,-2948l5107,-2978m5107,-2978l5167,-2812m5167,-2812l5227,-2648m5227,-2648l5287,-2648m5287,-2648l5347,-2752m5347,-2752l5407,-3008m5407,-3008l5467,-3052m5467,-3052l5527,-3038m5527,-3038l5587,-2918m5587,-2918l5647,-2948m5647,-2948l5707,-3008m5707,-3008l5752,-2902m5752,-2902l5812,-2888m5812,-2888l5872,-2842m5872,-2842l5932,-2918m5932,-2918l5992,-3038m5992,-3038l6052,-3112m6052,-3112l6112,-3188e" filled="false" stroked="true" strokeweight="1.5pt" strokecolor="#000080">
              <v:path arrowok="t"/>
              <v:stroke dashstyle="solid"/>
            </v:shape>
            <v:line style="position:absolute" from="2107,-2468" to="2167,-2452" stroked="true" strokeweight="1.5pt" strokecolor="#ff6500">
              <v:stroke dashstyle="solid"/>
            </v:line>
            <v:shape style="position:absolute;left:2167;top:-3652;width:3945;height:1965" coordorigin="2167,-3652" coordsize="3945,1965" path="m2167,-2452l2227,-2722m2227,-2722l2287,-2678m2287,-2678l2347,-2678m2347,-2678l2407,-2738m2407,-2738l2467,-2692m2467,-2692l2513,-2632m2513,-2632l2573,-2588m2573,-2588l2633,-2662m2633,-2662l2693,-2468m2693,-2468l2753,-1942m2753,-1942l2813,-1912m2813,-1912l2873,-2048m2873,-2048l2933,-2198m2933,-2198l2993,-2198m2993,-2198l3053,-2258m3053,-2258l3113,-2138,3173,-2018m3173,-2018l3233,-2078m3233,-2078l3293,-1928m3293,-1928l3337,-1748m3337,-1748l3397,-1748m3397,-1748l3457,-1688m3457,-1688l3517,-1718m3517,-1718l3577,-1822m3577,-1822l3637,-1838m3637,-1838l3697,-2138m3697,-2138l3757,-2512m3757,-2512l3817,-2692m3817,-2692l3877,-2932m3877,-2932l3937,-2888m3937,-2888l3997,-3038m3997,-3038l4057,-2992m4057,-2992l4117,-2902m4117,-2902l4163,-2662m4163,-2662l4223,-2798m4223,-2798l4283,-3068m4283,-3068l4343,-3098m4343,-3098l4403,-3278m4403,-3278l4463,-3502m4463,-3502l4523,-3548m4523,-3548l4583,-3518m4583,-3518l4643,-3652m4643,-3652l4703,-3308m4703,-3308l4763,-3502m4763,-3502l4823,-3442m4823,-3442l4882,-3428m4882,-3428l4927,-3502m4927,-3502l4987,-3352m4987,-3352l5047,-3278m5047,-3278l5107,-3278m5107,-3278l5167,-2948m5167,-2948l5227,-2678m5227,-2678l5287,-2692m5287,-2692l5347,-2708m5347,-2708l5407,-2858m5407,-2858l5467,-2978m5467,-2978l5527,-2932m5527,-2932l5587,-2738m5587,-2738l5647,-2738m5647,-2738l5707,-2872m5707,-2872l5752,-2828m5752,-2828l5812,-2858m5812,-2858l5872,-2812m5872,-2812l5932,-2798m5932,-2798l5992,-2858,6052,-2918m6052,-2918l6112,-2948e" filled="false" stroked="true" strokeweight="1.5pt" strokecolor="#ff6500">
              <v:path arrowok="t"/>
              <v:stroke dashstyle="solid"/>
            </v:shape>
            <w10:wrap type="none"/>
          </v:group>
        </w:pict>
      </w:r>
      <w:r>
        <w:rPr/>
        <w:t>The pound has once more been in the headlines, recently reaching a 26-year high against the dollar. However, as Chart 14 shows, the UK’s trade-weighted exchange rate basket has been more stable and is currently around 4 to 5% above its average for the period since 1997 (ie while the MPC has been in charge of monetary policy). Against the euro, which is the most significant currency for UK exporters, the pound has been stable at around the current rate since 2002 and is actually 10% or so weaker than around the turn of the decade. In addition, increased flexibility which manufacturers have gained by outsourcing and focussing their businesses on high value-added and niche markets should reduce the direct impact of exchange rate movements. A strong pound against the dollar can also help businesses offset rising costs from dollar-based suppliers.</w:t>
      </w:r>
    </w:p>
    <w:p>
      <w:pPr>
        <w:spacing w:after="0" w:line="360" w:lineRule="auto"/>
        <w:jc w:val="both"/>
        <w:sectPr>
          <w:pgSz w:w="11900" w:h="16840"/>
          <w:pgMar w:header="0" w:footer="710" w:top="1440" w:bottom="960" w:left="1480" w:right="1580"/>
        </w:sectPr>
      </w:pPr>
    </w:p>
    <w:tbl>
      <w:tblPr>
        <w:tblW w:w="0" w:type="auto"/>
        <w:jc w:val="left"/>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6"/>
      </w:tblGrid>
      <w:tr>
        <w:trPr>
          <w:trHeight w:val="275" w:hRule="atLeast"/>
        </w:trPr>
        <w:tc>
          <w:tcPr>
            <w:tcW w:w="5046" w:type="dxa"/>
          </w:tcPr>
          <w:p>
            <w:pPr>
              <w:pStyle w:val="TableParagraph"/>
              <w:spacing w:line="256" w:lineRule="exact"/>
              <w:ind w:left="106"/>
              <w:rPr>
                <w:b/>
                <w:sz w:val="24"/>
              </w:rPr>
            </w:pPr>
            <w:r>
              <w:rPr>
                <w:b/>
                <w:color w:val="0000FF"/>
                <w:sz w:val="24"/>
              </w:rPr>
              <w:t>Chart 15: Are prices constraining UK exports?</w:t>
            </w:r>
          </w:p>
        </w:tc>
      </w:tr>
      <w:tr>
        <w:trPr>
          <w:trHeight w:val="3855" w:hRule="atLeast"/>
        </w:trPr>
        <w:tc>
          <w:tcPr>
            <w:tcW w:w="5046" w:type="dxa"/>
          </w:tcPr>
          <w:p>
            <w:pPr>
              <w:pStyle w:val="TableParagraph"/>
              <w:tabs>
                <w:tab w:pos="3465" w:val="left" w:leader="none"/>
                <w:tab w:pos="4830" w:val="right" w:leader="none"/>
              </w:tabs>
              <w:spacing w:line="256" w:lineRule="auto" w:before="116"/>
              <w:ind w:left="226" w:right="204" w:firstLine="180"/>
              <w:rPr>
                <w:sz w:val="19"/>
              </w:rPr>
            </w:pPr>
            <w:r>
              <w:rPr>
                <w:spacing w:val="-4"/>
                <w:w w:val="110"/>
                <w:position w:val="-4"/>
                <w:sz w:val="19"/>
              </w:rPr>
              <w:t>Survey</w:t>
            </w:r>
            <w:r>
              <w:rPr>
                <w:spacing w:val="-7"/>
                <w:w w:val="110"/>
                <w:position w:val="-4"/>
                <w:sz w:val="19"/>
              </w:rPr>
              <w:t> </w:t>
            </w:r>
            <w:r>
              <w:rPr>
                <w:spacing w:val="-3"/>
                <w:w w:val="110"/>
                <w:position w:val="-4"/>
                <w:sz w:val="19"/>
              </w:rPr>
              <w:t>balance</w:t>
              <w:tab/>
            </w:r>
            <w:r>
              <w:rPr>
                <w:spacing w:val="-6"/>
                <w:w w:val="110"/>
                <w:sz w:val="19"/>
              </w:rPr>
              <w:t>Index,</w:t>
            </w:r>
            <w:r>
              <w:rPr>
                <w:spacing w:val="-19"/>
                <w:w w:val="110"/>
                <w:sz w:val="19"/>
              </w:rPr>
              <w:t> </w:t>
            </w:r>
            <w:r>
              <w:rPr>
                <w:spacing w:val="-11"/>
                <w:w w:val="110"/>
                <w:sz w:val="19"/>
              </w:rPr>
              <w:t>2000</w:t>
            </w:r>
            <w:r>
              <w:rPr>
                <w:spacing w:val="-26"/>
                <w:w w:val="110"/>
                <w:sz w:val="19"/>
              </w:rPr>
              <w:t> </w:t>
            </w:r>
            <w:r>
              <w:rPr>
                <w:w w:val="110"/>
                <w:sz w:val="19"/>
              </w:rPr>
              <w:t>=</w:t>
            </w:r>
            <w:r>
              <w:rPr>
                <w:spacing w:val="-22"/>
                <w:w w:val="110"/>
                <w:sz w:val="19"/>
              </w:rPr>
              <w:t> </w:t>
            </w:r>
            <w:r>
              <w:rPr>
                <w:spacing w:val="-10"/>
                <w:w w:val="110"/>
                <w:sz w:val="19"/>
              </w:rPr>
              <w:t>100 </w:t>
            </w:r>
            <w:r>
              <w:rPr>
                <w:spacing w:val="-14"/>
                <w:w w:val="110"/>
                <w:sz w:val="19"/>
              </w:rPr>
              <w:t>100</w:t>
              <w:tab/>
              <w:tab/>
              <w:t>120</w:t>
            </w:r>
          </w:p>
          <w:p>
            <w:pPr>
              <w:pStyle w:val="TableParagraph"/>
              <w:spacing w:line="280" w:lineRule="auto" w:before="7"/>
              <w:ind w:left="2656" w:right="967" w:firstLine="284"/>
              <w:rPr>
                <w:sz w:val="19"/>
              </w:rPr>
            </w:pPr>
            <w:r>
              <w:rPr>
                <w:color w:val="FF00FF"/>
                <w:w w:val="110"/>
                <w:sz w:val="19"/>
              </w:rPr>
              <w:t>Real £ERI (right-hand side)</w:t>
            </w:r>
          </w:p>
          <w:p>
            <w:pPr>
              <w:pStyle w:val="TableParagraph"/>
              <w:tabs>
                <w:tab w:pos="4560" w:val="left" w:leader="none"/>
              </w:tabs>
              <w:spacing w:line="173" w:lineRule="exact"/>
              <w:ind w:left="316"/>
              <w:rPr>
                <w:sz w:val="19"/>
              </w:rPr>
            </w:pPr>
            <w:r>
              <w:rPr>
                <w:spacing w:val="-7"/>
                <w:w w:val="110"/>
                <w:sz w:val="19"/>
              </w:rPr>
              <w:t>80</w:t>
              <w:tab/>
            </w:r>
            <w:r>
              <w:rPr>
                <w:spacing w:val="-14"/>
                <w:w w:val="110"/>
                <w:sz w:val="19"/>
              </w:rPr>
              <w:t>100</w:t>
            </w:r>
          </w:p>
          <w:p>
            <w:pPr>
              <w:pStyle w:val="TableParagraph"/>
              <w:rPr>
                <w:sz w:val="22"/>
              </w:rPr>
            </w:pPr>
          </w:p>
          <w:p>
            <w:pPr>
              <w:pStyle w:val="TableParagraph"/>
              <w:spacing w:before="3"/>
              <w:rPr>
                <w:sz w:val="20"/>
              </w:rPr>
            </w:pPr>
          </w:p>
          <w:p>
            <w:pPr>
              <w:pStyle w:val="TableParagraph"/>
              <w:tabs>
                <w:tab w:pos="4265" w:val="left" w:leader="none"/>
              </w:tabs>
              <w:ind w:left="21"/>
              <w:jc w:val="center"/>
              <w:rPr>
                <w:sz w:val="19"/>
              </w:rPr>
            </w:pPr>
            <w:r>
              <w:rPr>
                <w:spacing w:val="-7"/>
                <w:w w:val="110"/>
                <w:sz w:val="19"/>
              </w:rPr>
              <w:t>60</w:t>
              <w:tab/>
            </w:r>
            <w:r>
              <w:rPr>
                <w:spacing w:val="-14"/>
                <w:w w:val="110"/>
                <w:sz w:val="19"/>
              </w:rPr>
              <w:t>80</w:t>
            </w:r>
          </w:p>
          <w:p>
            <w:pPr>
              <w:pStyle w:val="TableParagraph"/>
              <w:rPr>
                <w:sz w:val="22"/>
              </w:rPr>
            </w:pPr>
          </w:p>
          <w:p>
            <w:pPr>
              <w:pStyle w:val="TableParagraph"/>
              <w:spacing w:before="7"/>
              <w:rPr>
                <w:sz w:val="18"/>
              </w:rPr>
            </w:pPr>
          </w:p>
          <w:p>
            <w:pPr>
              <w:pStyle w:val="TableParagraph"/>
              <w:tabs>
                <w:tab w:pos="2970" w:val="left" w:leader="none"/>
                <w:tab w:pos="4560" w:val="left" w:leader="none"/>
              </w:tabs>
              <w:ind w:left="316"/>
              <w:rPr>
                <w:sz w:val="19"/>
              </w:rPr>
            </w:pPr>
            <w:r>
              <w:rPr>
                <w:spacing w:val="-7"/>
                <w:w w:val="110"/>
                <w:position w:val="8"/>
                <w:sz w:val="19"/>
              </w:rPr>
              <w:t>40</w:t>
              <w:tab/>
            </w:r>
            <w:r>
              <w:rPr>
                <w:color w:val="0F0080"/>
                <w:spacing w:val="-12"/>
                <w:w w:val="110"/>
                <w:sz w:val="19"/>
              </w:rPr>
              <w:t>CBI</w:t>
            </w:r>
            <w:r>
              <w:rPr>
                <w:color w:val="0F0080"/>
                <w:spacing w:val="-19"/>
                <w:w w:val="110"/>
                <w:sz w:val="19"/>
              </w:rPr>
              <w:t> </w:t>
            </w:r>
            <w:r>
              <w:rPr>
                <w:color w:val="0F0080"/>
                <w:w w:val="110"/>
                <w:sz w:val="19"/>
              </w:rPr>
              <w:t>survey</w:t>
              <w:tab/>
            </w:r>
            <w:r>
              <w:rPr>
                <w:spacing w:val="-14"/>
                <w:w w:val="110"/>
                <w:position w:val="8"/>
                <w:sz w:val="19"/>
              </w:rPr>
              <w:t>60</w:t>
            </w:r>
          </w:p>
          <w:p>
            <w:pPr>
              <w:pStyle w:val="TableParagraph"/>
              <w:spacing w:before="36"/>
              <w:ind w:left="2806"/>
              <w:rPr>
                <w:sz w:val="19"/>
              </w:rPr>
            </w:pPr>
            <w:r>
              <w:rPr>
                <w:color w:val="0F0080"/>
                <w:w w:val="110"/>
                <w:sz w:val="19"/>
              </w:rPr>
              <w:t>(left-hand side)</w:t>
            </w:r>
          </w:p>
          <w:p>
            <w:pPr>
              <w:pStyle w:val="TableParagraph"/>
              <w:tabs>
                <w:tab w:pos="4265" w:val="left" w:leader="none"/>
              </w:tabs>
              <w:spacing w:before="157"/>
              <w:ind w:left="21"/>
              <w:jc w:val="center"/>
              <w:rPr>
                <w:sz w:val="19"/>
              </w:rPr>
            </w:pPr>
            <w:r>
              <w:rPr>
                <w:spacing w:val="-7"/>
                <w:w w:val="110"/>
                <w:sz w:val="19"/>
              </w:rPr>
              <w:t>20</w:t>
              <w:tab/>
            </w:r>
            <w:r>
              <w:rPr>
                <w:spacing w:val="-14"/>
                <w:w w:val="110"/>
                <w:sz w:val="19"/>
              </w:rPr>
              <w:t>40</w:t>
            </w:r>
          </w:p>
          <w:p>
            <w:pPr>
              <w:pStyle w:val="TableParagraph"/>
              <w:spacing w:before="66"/>
              <w:ind w:left="21"/>
              <w:jc w:val="center"/>
              <w:rPr>
                <w:sz w:val="19"/>
              </w:rPr>
            </w:pPr>
            <w:r>
              <w:rPr>
                <w:w w:val="110"/>
                <w:sz w:val="19"/>
              </w:rPr>
              <w:t>1975 1979 1983 1987 1991 1995 1999 2003 2007</w:t>
            </w:r>
          </w:p>
        </w:tc>
      </w:tr>
      <w:tr>
        <w:trPr>
          <w:trHeight w:val="460" w:hRule="atLeast"/>
        </w:trPr>
        <w:tc>
          <w:tcPr>
            <w:tcW w:w="5046" w:type="dxa"/>
          </w:tcPr>
          <w:p>
            <w:pPr>
              <w:pStyle w:val="TableParagraph"/>
              <w:spacing w:line="227" w:lineRule="exact"/>
              <w:ind w:left="106"/>
              <w:rPr>
                <w:i/>
                <w:sz w:val="20"/>
              </w:rPr>
            </w:pPr>
            <w:r>
              <w:rPr>
                <w:i/>
                <w:sz w:val="20"/>
              </w:rPr>
              <w:t>Source: CBI and IMF</w:t>
            </w:r>
          </w:p>
          <w:p>
            <w:pPr>
              <w:pStyle w:val="TableParagraph"/>
              <w:spacing w:line="213" w:lineRule="exact"/>
              <w:ind w:left="106"/>
              <w:rPr>
                <w:i/>
                <w:sz w:val="20"/>
              </w:rPr>
            </w:pPr>
            <w:r>
              <w:rPr>
                <w:i/>
                <w:sz w:val="20"/>
              </w:rPr>
              <w:t>Note: Real exchange rate index calculated using CPI</w:t>
            </w:r>
          </w:p>
        </w:tc>
      </w:tr>
    </w:tbl>
    <w:p>
      <w:pPr>
        <w:pStyle w:val="BodyText"/>
        <w:spacing w:before="3"/>
        <w:rPr>
          <w:sz w:val="28"/>
        </w:rPr>
      </w:pPr>
    </w:p>
    <w:p>
      <w:pPr>
        <w:pStyle w:val="BodyText"/>
        <w:spacing w:line="360" w:lineRule="auto" w:before="90"/>
        <w:ind w:left="221" w:right="110"/>
        <w:jc w:val="both"/>
      </w:pPr>
      <w:r>
        <w:rPr/>
        <w:pict>
          <v:group style="position:absolute;margin-left:114.360001pt;margin-top:-207.406586pt;width:194.25pt;height:140.35pt;mso-position-horizontal-relative:page;mso-position-vertical-relative:paragraph;z-index:-254166016" coordorigin="2287,-4148" coordsize="3885,2807">
            <v:shape style="position:absolute;left:2347;top:-4148;width:3825;height:2806" coordorigin="2347,-4148" coordsize="3825,2806" path="m6112,-4148l6112,-1342m6112,-1342l6172,-1342m6112,-2048l6172,-2048m6112,-2738l6172,-2738m6112,-3442l6172,-3442m6112,-4148l6172,-4148m2347,-1342l6112,-1342m2347,-1342l2347,-1402m2813,-1342l2813,-1402m3293,-1342l3293,-1402m3757,-1342l3757,-1402m4237,-1342l4237,-1402m4703,-1342l4703,-1402m5167,-1342l5167,-1402m5647,-1342l5647,-1402m6112,-1342l6112,-1402e" filled="false" stroked="true" strokeweight=".06pt" strokecolor="#000000">
              <v:path arrowok="t"/>
              <v:stroke dashstyle="solid"/>
            </v:shape>
            <v:shape style="position:absolute;left:2377;top:-3008;width:330;height:450" coordorigin="2377,-3008" coordsize="330,450" path="m2377,-3008l2407,-2992m2407,-2992l2437,-2962m2437,-2962l2467,-2978m2467,-2978l2497,-2738m2497,-2738l2527,-2708m2527,-2708l2557,-2558m2557,-2558l2587,-2722m2587,-2722l2617,-2752,2647,-2782m2647,-2782l2677,-2858m2677,-2858l2707,-2932e" filled="false" stroked="true" strokeweight="1.5pt" strokecolor="#ff00ff">
              <v:path arrowok="t"/>
              <v:stroke dashstyle="solid"/>
            </v:shape>
            <v:line style="position:absolute" from="2715,-2947" to="2715,-2753" stroked="true" strokeweight="2.280pt" strokecolor="#ff00ff">
              <v:stroke dashstyle="solid"/>
            </v:line>
            <v:shape style="position:absolute;left:2722;top:-2828;width:60;height:60" coordorigin="2723,-2828" coordsize="60,60" path="m2723,-2768l2753,-2812m2753,-2812l2783,-2828e" filled="false" stroked="true" strokeweight="1.5pt" strokecolor="#ff00ff">
              <v:path arrowok="t"/>
              <v:stroke dashstyle="solid"/>
            </v:shape>
            <v:line style="position:absolute" from="2798,-2843" to="2798,-2543" stroked="true" strokeweight="3pt" strokecolor="#ff00ff">
              <v:stroke dashstyle="solid"/>
            </v:line>
            <v:shape style="position:absolute;left:2812;top:-3548;width:450;height:990" coordorigin="2813,-3548" coordsize="450,990" path="m2813,-2558l2843,-2708m2843,-2708l2873,-2962m2873,-2962l2903,-2872m2903,-2872l2933,-3082m2933,-3082l2963,-3202m2963,-3202l2993,-3292m2993,-3292l3023,-3458m3023,-3458l3053,-3548m3053,-3548l3083,-3472m3083,-3472l3113,-3218m3113,-3218l3143,-3202m3143,-3202l3173,-3278m3173,-3278l3203,-3248m3203,-3248l3233,-3262m3233,-3262l3263,-3172e" filled="false" stroked="true" strokeweight="1.5pt" strokecolor="#ff00ff">
              <v:path arrowok="t"/>
              <v:stroke dashstyle="solid"/>
            </v:shape>
            <v:line style="position:absolute" from="3278,-3187" to="3278,-2843" stroked="true" strokeweight="3pt" strokecolor="#ff00ff">
              <v:stroke dashstyle="solid"/>
            </v:line>
            <v:shape style="position:absolute;left:3292;top:-3038;width:225;height:390" coordorigin="3293,-3038" coordsize="225,390" path="m3293,-2858l3323,-2992m3323,-2992l3353,-3038m3353,-3038l3383,-2992m3383,-2992l3413,-2932m3413,-2932l3443,-2858m3443,-2858l3473,-2828m3473,-2828l3487,-2738m3487,-2738l3517,-2648e" filled="false" stroked="true" strokeweight="1.5pt" strokecolor="#ff00ff">
              <v:path arrowok="t"/>
              <v:stroke dashstyle="solid"/>
            </v:shape>
            <v:line style="position:absolute" from="3532,-2947" to="3532,-2633" stroked="true" strokeweight="3pt" strokecolor="#ff00ff">
              <v:stroke dashstyle="solid"/>
            </v:line>
            <v:shape style="position:absolute;left:3547;top:-3262;width:856;height:750" coordorigin="3547,-3262" coordsize="856,750" path="m3547,-2932l3577,-3038m3577,-3038l3607,-2948m3607,-2948l3637,-2768m3637,-2768l3667,-2812m3667,-2812l3697,-2662,3727,-2512m3727,-2512l3757,-2588m3757,-2588l3787,-2692m3787,-2692l3817,-2692m3817,-2692l3847,-2768m3847,-2768l3877,-2798m3877,-2798l3907,-2918m3907,-2918l3937,-2902m3937,-2902l3967,-2978m3967,-2978l3997,-3022m3997,-3022l4027,-2932m4027,-2932l4057,-2888m4057,-2888l4087,-2798m4087,-2798l4117,-2902m4117,-2902l4147,-2992m4147,-2992l4177,-3218m4177,-3218l4207,-3232m4207,-3232l4237,-3262m4237,-3262l4253,-3188m4253,-3188l4283,-3158m4283,-3158l4313,-3158,4343,-3158m4343,-3158l4373,-3218m4373,-3218l4403,-3172e" filled="false" stroked="true" strokeweight="1.5pt" strokecolor="#ff00ff">
              <v:path arrowok="t"/>
              <v:stroke dashstyle="solid"/>
            </v:shape>
            <v:line style="position:absolute" from="4418,-3187" to="4418,-2753" stroked="true" strokeweight="3pt" strokecolor="#ff00ff">
              <v:stroke dashstyle="solid"/>
            </v:line>
            <v:shape style="position:absolute;left:4432;top:-3488;width:1305;height:870" coordorigin="4433,-3488" coordsize="1305,870" path="m4433,-2768l4463,-2692m4463,-2692l4493,-2752m4493,-2752l4523,-2782m4523,-2782l4553,-2782m4553,-2782l4583,-2798m4583,-2798l4613,-2752m4613,-2752l4643,-2722m4643,-2722l4673,-2768m4673,-2768l4703,-2722m4703,-2722l4733,-2632m4733,-2632l4763,-2648m4763,-2648l4793,-2618m4793,-2618l4823,-2618m4823,-2618l4852,-2648m4852,-2648l4882,-2678m4882,-2678l4912,-2858m4912,-2858l4942,-3022m4942,-3022l4972,-3112m4972,-3112l4987,-3218m4987,-3218l5017,-3278m5017,-3278l5047,-3382m5047,-3382l5077,-3398m5077,-3398l5107,-3382m5107,-3382l5137,-3278m5137,-3278l5167,-3278m5167,-3278l5197,-3352m5197,-3352l5227,-3352m5227,-3352l5257,-3428m5257,-3428l5287,-3488m5287,-3488l5317,-3472m5317,-3472l5347,-3398m5347,-3398l5377,-3428m5377,-3428l5407,-3352m5407,-3352l5437,-3382m5437,-3382l5467,-3382,5497,-3382m5497,-3382l5527,-3398m5527,-3398l5557,-3368m5557,-3368l5587,-3398m5587,-3398l5617,-3442m5617,-3442l5647,-3352m5647,-3352l5677,-3278m5677,-3278l5707,-3278m5707,-3278l5737,-3338e" filled="false" stroked="true" strokeweight="1.5pt" strokecolor="#ff00ff">
              <v:path arrowok="t"/>
              <v:stroke dashstyle="solid"/>
            </v:shape>
            <v:line style="position:absolute" from="5744,-3503" to="5744,-3323" stroked="true" strokeweight="2.220pt" strokecolor="#ff00ff">
              <v:stroke dashstyle="solid"/>
            </v:line>
            <v:shape style="position:absolute;left:5751;top:-3742;width:360;height:285" coordorigin="5752,-3742" coordsize="360,285" path="m5752,-3488l5782,-3518m5782,-3518l5812,-3532m5812,-3532l5842,-3502m5842,-3502l5872,-3488m5872,-3488l5902,-3532m5902,-3532l5932,-3472m5932,-3472l5962,-3472m5962,-3472l5992,-3458m5992,-3458l6022,-3502m6022,-3502l6052,-3592,6082,-3682m6082,-3682l6112,-3742e" filled="false" stroked="true" strokeweight="1.5pt" strokecolor="#ff00ff">
              <v:path arrowok="t"/>
              <v:stroke dashstyle="solid"/>
            </v:shape>
            <v:shape style="position:absolute;left:2287;top:-4148;width:60;height:2806" coordorigin="2287,-4148" coordsize="60,2806" path="m2347,-4148l2347,-1342m2287,-1342l2347,-1342m2287,-2048l2347,-2048m2287,-2738l2347,-2738m2287,-3442l2347,-3442m2287,-4148l2347,-4148e" filled="false" stroked="true" strokeweight=".06pt" strokecolor="#000000">
              <v:path arrowok="t"/>
              <v:stroke dashstyle="solid"/>
            </v:shape>
            <v:line style="position:absolute" from="2347,-2678" to="2377,-2678" stroked="true" strokeweight="1.5pt" strokecolor="#000080">
              <v:stroke dashstyle="solid"/>
            </v:line>
            <v:shape style="position:absolute;left:2377;top:-2858;width:60;height:180" coordorigin="2377,-2858" coordsize="60,180" path="m2377,-2678l2407,-2858m2407,-2858l2437,-2782e" filled="false" stroked="true" strokeweight="1.5pt" strokecolor="#000080">
              <v:path arrowok="t"/>
              <v:stroke dashstyle="solid"/>
            </v:shape>
            <v:line style="position:absolute" from="2452,-2797" to="2452,-2303" stroked="true" strokeweight="3pt" strokecolor="#000080">
              <v:stroke dashstyle="solid"/>
            </v:line>
            <v:shape style="position:absolute;left:2467;top:-2318;width:60;height:316" coordorigin="2467,-2318" coordsize="60,316" path="m2467,-2318l2497,-2258m2497,-2258l2527,-2002e" filled="false" stroked="true" strokeweight="1.5pt" strokecolor="#000080">
              <v:path arrowok="t"/>
              <v:stroke dashstyle="solid"/>
            </v:shape>
            <v:shape style="position:absolute;left:2542;top:-2617;width:30;height:630" coordorigin="2542,-2617" coordsize="30,630" path="m2542,-2303l2542,-1987m2572,-2617l2572,-2273e" filled="false" stroked="true" strokeweight="3.0pt" strokecolor="#000080">
              <v:path arrowok="t"/>
              <v:stroke dashstyle="solid"/>
            </v:shape>
            <v:shape style="position:absolute;left:2587;top:-2962;width:120;height:360" coordorigin="2587,-2962" coordsize="120,360" path="m2587,-2602l2617,-2602m2617,-2602l2647,-2782m2647,-2782l2677,-2858m2677,-2858l2707,-2962e" filled="false" stroked="true" strokeweight="1.5pt" strokecolor="#000080">
              <v:path arrowok="t"/>
              <v:stroke dashstyle="solid"/>
            </v:shape>
            <v:line style="position:absolute" from="2715,-2977" to="2715,-2617" stroked="true" strokeweight="2.280pt" strokecolor="#000080">
              <v:stroke dashstyle="solid"/>
            </v:line>
            <v:line style="position:absolute" from="2738,-2933" to="2738,-2617" stroked="true" strokeweight="3pt" strokecolor="#000080">
              <v:stroke dashstyle="solid"/>
            </v:line>
            <v:line style="position:absolute" from="2753,-2918" to="2783,-2678" stroked="true" strokeweight="1.5pt" strokecolor="#000080">
              <v:stroke dashstyle="solid"/>
            </v:line>
            <v:line style="position:absolute" from="2798,-3007" to="2798,-2663" stroked="true" strokeweight="3pt" strokecolor="#000080">
              <v:stroke dashstyle="solid"/>
            </v:line>
            <v:shape style="position:absolute;left:2812;top:-3622;width:240;height:630" coordorigin="2813,-3622" coordsize="240,630" path="m2813,-2992l2843,-3068m2843,-3068l2873,-3308m2873,-3308l2903,-3308m2903,-3308l2933,-3412m2933,-3412l2963,-3548m2963,-3548l2993,-3518,3023,-3488m3023,-3488l3053,-3622e" filled="false" stroked="true" strokeweight="1.5pt" strokecolor="#000080">
              <v:path arrowok="t"/>
              <v:stroke dashstyle="solid"/>
            </v:shape>
            <v:line style="position:absolute" from="3068,-3637" to="3068,-3323" stroked="true" strokeweight="3pt" strokecolor="#000080">
              <v:stroke dashstyle="solid"/>
            </v:line>
            <v:shape style="position:absolute;left:3082;top:-3338;width:150;height:316" coordorigin="3083,-3338" coordsize="150,316" path="m3083,-3338l3113,-3128m3113,-3128l3143,-3202m3143,-3202l3173,-3022m3173,-3022l3203,-3068m3203,-3068l3233,-3022e" filled="false" stroked="true" strokeweight="1.5pt" strokecolor="#000080">
              <v:path arrowok="t"/>
              <v:stroke dashstyle="solid"/>
            </v:shape>
            <v:line style="position:absolute" from="3248,-3037" to="3248,-2723" stroked="true" strokeweight="3pt" strokecolor="#000080">
              <v:stroke dashstyle="solid"/>
            </v:line>
            <v:line style="position:absolute" from="3263,-2738" to="3293,-2498" stroked="true" strokeweight="1.5pt" strokecolor="#000080">
              <v:stroke dashstyle="solid"/>
            </v:line>
            <v:line style="position:absolute" from="3308,-2827" to="3308,-2483" stroked="true" strokeweight="3pt" strokecolor="#000080">
              <v:stroke dashstyle="solid"/>
            </v:line>
            <v:shape style="position:absolute;left:3322;top:-2962;width:150;height:150" coordorigin="3323,-2962" coordsize="150,150" path="m3323,-2812l3353,-2812m3353,-2812l3383,-2962m3383,-2962l3413,-2858m3413,-2858l3443,-2858,3473,-2858e" filled="false" stroked="true" strokeweight="1.5pt" strokecolor="#000080">
              <v:path arrowok="t"/>
              <v:stroke dashstyle="solid"/>
            </v:shape>
            <v:line style="position:absolute" from="3480,-2873" to="3480,-2723" stroked="true" strokeweight="2.220pt" strokecolor="#000080">
              <v:stroke dashstyle="solid"/>
            </v:line>
            <v:shape style="position:absolute;left:3487;top:-3128;width:360;height:526" coordorigin="3487,-3128" coordsize="360,526" path="m3487,-2738l3517,-2782m3517,-2782l3547,-2962m3547,-2962l3577,-3128m3577,-3128l3607,-3098m3607,-3098l3637,-2918,3667,-2738m3667,-2738l3697,-2782m3697,-2782l3727,-2782m3727,-2782l3757,-2708m3757,-2708l3787,-2738m3787,-2738l3817,-2602m3817,-2602l3847,-2602e" filled="false" stroked="true" strokeweight="1.5pt" strokecolor="#000080">
              <v:path arrowok="t"/>
              <v:stroke dashstyle="solid"/>
            </v:shape>
            <v:shape style="position:absolute;left:3862;top:-3113;width:30;height:526" coordorigin="3862,-3113" coordsize="30,526" path="m3862,-3113l3862,-2587m3892,-3113l3892,-2767e" filled="false" stroked="true" strokeweight="3pt" strokecolor="#000080">
              <v:path arrowok="t"/>
              <v:stroke dashstyle="solid"/>
            </v:shape>
            <v:shape style="position:absolute;left:3907;top:-2782;width:60;height:2" coordorigin="3907,-2782" coordsize="60,0" path="m3907,-2782l3937,-2782,3967,-2782e" filled="false" stroked="true" strokeweight="1.5pt" strokecolor="#000080">
              <v:path arrowok="t"/>
              <v:stroke dashstyle="solid"/>
            </v:shape>
            <v:shape style="position:absolute;left:3982;top:-3113;width:30;height:346" coordorigin="3982,-3113" coordsize="30,346" path="m3982,-3113l3982,-2767m4012,-3113l4012,-2797e" filled="false" stroked="true" strokeweight="3pt" strokecolor="#000080">
              <v:path arrowok="t"/>
              <v:stroke dashstyle="solid"/>
            </v:shape>
            <v:shape style="position:absolute;left:4027;top:-2992;width:210;height:210" coordorigin="4027,-2992" coordsize="210,210" path="m4027,-2812l4057,-2992m4057,-2992l4087,-2782m4087,-2782l4117,-2858m4117,-2858l4147,-2888m4147,-2888l4177,-2858m4177,-2858l4207,-2962m4207,-2962l4237,-2812e" filled="false" stroked="true" strokeweight="1.5pt" strokecolor="#000080">
              <v:path arrowok="t"/>
              <v:stroke dashstyle="solid"/>
            </v:shape>
            <v:line style="position:absolute" from="4245,-2827" to="4245,-2587" stroked="true" strokeweight="2.280pt" strokecolor="#000080">
              <v:stroke dashstyle="solid"/>
            </v:line>
            <v:shape style="position:absolute;left:4252;top:-2918;width:629;height:526" coordorigin="4253,-2918" coordsize="629,526" path="m4253,-2602l4283,-2782m4283,-2782l4313,-2708m4313,-2708l4343,-2782m4343,-2782l4373,-2738m4373,-2738l4403,-2602m4403,-2602l4433,-2468m4433,-2468l4463,-2392m4463,-2392l4493,-2468m4493,-2468l4523,-2498m4523,-2498l4553,-2602m4553,-2602l4583,-2632m4583,-2632l4613,-2632m4613,-2632l4643,-2782m4643,-2782l4673,-2888m4673,-2888l4703,-2632m4703,-2632l4733,-2782m4733,-2782l4763,-2918m4763,-2918l4793,-2858m4793,-2858l4823,-2738m4823,-2738l4852,-2708m4852,-2708l4882,-2572e" filled="false" stroked="true" strokeweight="1.5pt" strokecolor="#000080">
              <v:path arrowok="t"/>
              <v:stroke dashstyle="solid"/>
            </v:shape>
            <v:line style="position:absolute" from="4897,-3007" to="4897,-2557" stroked="true" strokeweight="3pt" strokecolor="#000080">
              <v:stroke dashstyle="solid"/>
            </v:line>
            <v:shape style="position:absolute;left:4896;top:-3457;width:436;height:480" type="#_x0000_t75" stroked="false">
              <v:imagedata r:id="rId18" o:title=""/>
            </v:shape>
            <v:line style="position:absolute" from="5332,-3397" to="5332,-2903" stroked="true" strokeweight="3pt" strokecolor="#000080">
              <v:stroke dashstyle="solid"/>
            </v:line>
            <v:shape style="position:absolute;left:5332;top:-3113;width:300;height:630" type="#_x0000_t75" stroked="false">
              <v:imagedata r:id="rId19" o:title=""/>
            </v:shape>
            <v:shape style="position:absolute;left:5617;top:-2782;width:60;height:630" coordorigin="5617,-2782" coordsize="60,630" path="m5617,-2782l5647,-2152m5647,-2152l5677,-2738e" filled="false" stroked="true" strokeweight="1.5pt" strokecolor="#000080">
              <v:path arrowok="t"/>
              <v:stroke dashstyle="solid"/>
            </v:shape>
            <v:line style="position:absolute" from="5692,-2753" to="5692,-2377" stroked="true" strokeweight="3pt" strokecolor="#000080">
              <v:stroke dashstyle="solid"/>
            </v:line>
            <v:line style="position:absolute" from="5707,-2392" to="5737,-2602" stroked="true" strokeweight="1.5pt" strokecolor="#000080">
              <v:stroke dashstyle="solid"/>
            </v:line>
            <v:line style="position:absolute" from="5744,-2933" to="5744,-2587" stroked="true" strokeweight="2.220pt" strokecolor="#000080">
              <v:stroke dashstyle="solid"/>
            </v:line>
            <v:line style="position:absolute" from="5752,-2918" to="5782,-2812" stroked="true" strokeweight="1.5pt" strokecolor="#000080">
              <v:stroke dashstyle="solid"/>
            </v:line>
            <v:shape style="position:absolute;left:5796;top:-2903;width:30;height:420" coordorigin="5797,-2903" coordsize="30,420" path="m5797,-2827l5797,-2483m5827,-2903l5827,-2483e" filled="false" stroked="true" strokeweight="3pt" strokecolor="#000080">
              <v:path arrowok="t"/>
              <v:stroke dashstyle="solid"/>
            </v:shape>
            <v:shape style="position:absolute;left:5826;top:-2903;width:90;height:450" coordorigin="5827,-2903" coordsize="90,450" path="m5917,-2903l5887,-2903,5857,-2903,5827,-2903,5827,-2453,5857,-2453,5887,-2453,5917,-2453,5917,-2903e" filled="true" fillcolor="#000080" stroked="false">
              <v:path arrowok="t"/>
              <v:fill type="solid"/>
            </v:shape>
            <v:shape style="position:absolute;left:5886;top:-2933;width:240;height:346" type="#_x0000_t75" stroked="false">
              <v:imagedata r:id="rId20" o:title=""/>
            </v:shape>
            <w10:wrap type="none"/>
          </v:group>
        </w:pict>
      </w:r>
      <w:r>
        <w:rPr/>
        <w:t>So while exchange rate movements are always a source of concern to some businesses, survey-based measures – such as the CBI measure of prices as a constraint on export orders shown in Chart 15 – indicate a relatively subdued impact of recent currency movements on export competitiveness.</w:t>
      </w:r>
      <w:r>
        <w:rPr>
          <w:vertAlign w:val="superscript"/>
        </w:rPr>
        <w:t>14</w:t>
      </w:r>
      <w:r>
        <w:rPr>
          <w:vertAlign w:val="baseline"/>
        </w:rPr>
        <w:t> Indeed, based on historical trends, the chart suggests we should have expected to see much more concern being registered by manufacturers at the current level of the exchange rate. This muted response may reflect strong global demand helping to offset the negative impact of the exchange rate on competitiveness. But it is also likely to reflect some of the structural changes in manufacturing which have taken place over the last decade, which mean that exporters are now better able to compete at current exchange rate levels.</w:t>
      </w:r>
    </w:p>
    <w:p>
      <w:pPr>
        <w:pStyle w:val="BodyText"/>
        <w:rPr>
          <w:sz w:val="36"/>
        </w:rPr>
      </w:pPr>
    </w:p>
    <w:p>
      <w:pPr>
        <w:pStyle w:val="BodyText"/>
        <w:spacing w:line="360" w:lineRule="auto" w:before="1"/>
        <w:ind w:left="221" w:right="110"/>
        <w:jc w:val="both"/>
      </w:pPr>
      <w:r>
        <w:rPr/>
        <w:t>If I have detected a concern about the uneven sectoral impact of recent</w:t>
      </w:r>
      <w:r>
        <w:rPr>
          <w:spacing w:val="12"/>
        </w:rPr>
        <w:t> </w:t>
      </w:r>
      <w:r>
        <w:rPr/>
        <w:t>monetary tightening in the business community, it is that activities linked to the UK consumer spending and the housing market will bear a disproportionate share of a future slowdown in demand. However, it is important to see this in context. Over the decade from the mid-1990s to the mid-2000s, the consumer side of the economy enjoyed an exceptional period of strong growth. As I pointed out in a speech earlier this year</w:t>
      </w:r>
      <w:r>
        <w:rPr>
          <w:vertAlign w:val="superscript"/>
        </w:rPr>
        <w:t>15</w:t>
      </w:r>
      <w:r>
        <w:rPr>
          <w:vertAlign w:val="baseline"/>
        </w:rPr>
        <w:t>, a period of rebalancing of the sources of UK growth may now need to take place, with a larger contribution from the world economy and investment and hence a</w:t>
      </w:r>
      <w:r>
        <w:rPr>
          <w:spacing w:val="-22"/>
          <w:vertAlign w:val="baseline"/>
        </w:rPr>
        <w:t> </w:t>
      </w:r>
      <w:r>
        <w:rPr>
          <w:vertAlign w:val="baseline"/>
        </w:rPr>
        <w:t>relatively</w:t>
      </w:r>
    </w:p>
    <w:p>
      <w:pPr>
        <w:pStyle w:val="BodyText"/>
        <w:spacing w:before="10"/>
        <w:rPr>
          <w:sz w:val="16"/>
        </w:rPr>
      </w:pPr>
      <w:r>
        <w:rPr/>
        <w:pict>
          <v:shape style="position:absolute;margin-left:85.080002pt;margin-top:11.99472pt;width:144pt;height:.1pt;mso-position-horizontal-relative:page;mso-position-vertical-relative:paragraph;z-index:-251631616;mso-wrap-distance-left:0;mso-wrap-distance-right:0" coordorigin="1702,240" coordsize="2880,0" path="m1702,240l4582,240e" filled="false" stroked="true" strokeweight=".600010pt" strokecolor="#000000">
            <v:path arrowok="t"/>
            <v:stroke dashstyle="solid"/>
            <w10:wrap type="topAndBottom"/>
          </v:shape>
        </w:pict>
      </w:r>
    </w:p>
    <w:p>
      <w:pPr>
        <w:spacing w:before="49"/>
        <w:ind w:left="221" w:right="229" w:firstLine="0"/>
        <w:jc w:val="left"/>
        <w:rPr>
          <w:sz w:val="20"/>
        </w:rPr>
      </w:pPr>
      <w:r>
        <w:rPr>
          <w:position w:val="9"/>
          <w:sz w:val="13"/>
        </w:rPr>
        <w:t>14 </w:t>
      </w:r>
      <w:r>
        <w:rPr>
          <w:sz w:val="20"/>
        </w:rPr>
        <w:t>The CBI Quarterly </w:t>
      </w:r>
      <w:r>
        <w:rPr>
          <w:i/>
          <w:sz w:val="20"/>
        </w:rPr>
        <w:t>Industrial Trends </w:t>
      </w:r>
      <w:r>
        <w:rPr>
          <w:sz w:val="20"/>
        </w:rPr>
        <w:t>survey asks manufacturers whether prices are expected to limit export orders over the next three months. The responses to this question should indicate the extent to which businesses are concerned about the impact of the exchange rate on their competitiveness in export markets.</w:t>
      </w:r>
    </w:p>
    <w:p>
      <w:pPr>
        <w:spacing w:line="229" w:lineRule="exact" w:before="0"/>
        <w:ind w:left="221" w:right="0" w:firstLine="0"/>
        <w:jc w:val="left"/>
        <w:rPr>
          <w:sz w:val="20"/>
        </w:rPr>
      </w:pPr>
      <w:r>
        <w:rPr>
          <w:position w:val="9"/>
          <w:sz w:val="13"/>
        </w:rPr>
        <w:t>15 </w:t>
      </w:r>
      <w:r>
        <w:rPr>
          <w:sz w:val="20"/>
        </w:rPr>
        <w:t>Sentance (2007b).</w:t>
      </w:r>
    </w:p>
    <w:p>
      <w:pPr>
        <w:spacing w:after="0" w:line="229" w:lineRule="exact"/>
        <w:jc w:val="left"/>
        <w:rPr>
          <w:sz w:val="20"/>
        </w:rPr>
        <w:sectPr>
          <w:pgSz w:w="11900" w:h="16840"/>
          <w:pgMar w:header="0" w:footer="710" w:top="1440" w:bottom="900" w:left="1480" w:right="1580"/>
        </w:sectPr>
      </w:pPr>
    </w:p>
    <w:p>
      <w:pPr>
        <w:pStyle w:val="BodyText"/>
        <w:spacing w:line="360" w:lineRule="auto" w:before="61"/>
        <w:ind w:left="221" w:right="109"/>
        <w:jc w:val="both"/>
      </w:pPr>
      <w:r>
        <w:rPr/>
        <w:t>smaller contribution from the consumer. Against this background, consumer-facing businesses should be prepared to adjust to a period of slower consumption growth, particularly in relation to the strong trend over the last decade.</w:t>
      </w:r>
    </w:p>
    <w:p>
      <w:pPr>
        <w:pStyle w:val="BodyText"/>
        <w:rPr>
          <w:sz w:val="36"/>
        </w:rPr>
      </w:pPr>
    </w:p>
    <w:p>
      <w:pPr>
        <w:pStyle w:val="BodyText"/>
        <w:spacing w:line="360" w:lineRule="auto"/>
        <w:ind w:left="221" w:right="108"/>
        <w:jc w:val="both"/>
      </w:pPr>
      <w:r>
        <w:rPr/>
        <w:t>So, to return to the question I posed in my title this evening. The job of monetary policy is to keep the temperature of the economy about right, once we have taken account of shocks to demand, supply, costs and prices. The benefits which business should look  for from the successful conduct of monetary policy lie not in a temporary respite from higher interest rates, but in achieving a sustained climate of low inflation and economic stability. In that respect, the record of the MPC has been a good one to date, and if we can keep the economy on the same steady track, UK monetary policy should continue to be “Good for business.”</w:t>
      </w:r>
    </w:p>
    <w:p>
      <w:pPr>
        <w:spacing w:after="0" w:line="360" w:lineRule="auto"/>
        <w:jc w:val="both"/>
        <w:sectPr>
          <w:pgSz w:w="11900" w:h="16840"/>
          <w:pgMar w:header="0" w:footer="710" w:top="1380" w:bottom="960" w:left="1480" w:right="1580"/>
        </w:sectPr>
      </w:pPr>
    </w:p>
    <w:p>
      <w:pPr>
        <w:spacing w:before="64"/>
        <w:ind w:left="221" w:right="0" w:firstLine="0"/>
        <w:jc w:val="left"/>
        <w:rPr>
          <w:b/>
          <w:sz w:val="24"/>
        </w:rPr>
      </w:pPr>
      <w:r>
        <w:rPr>
          <w:b/>
          <w:sz w:val="24"/>
          <w:u w:val="thick"/>
        </w:rPr>
        <w:t>References</w:t>
      </w:r>
    </w:p>
    <w:p>
      <w:pPr>
        <w:pStyle w:val="BodyText"/>
        <w:rPr>
          <w:b/>
          <w:sz w:val="20"/>
        </w:rPr>
      </w:pPr>
    </w:p>
    <w:p>
      <w:pPr>
        <w:pStyle w:val="BodyText"/>
        <w:spacing w:before="11"/>
        <w:rPr>
          <w:b/>
          <w:sz w:val="19"/>
        </w:rPr>
      </w:pPr>
    </w:p>
    <w:p>
      <w:pPr>
        <w:spacing w:before="90"/>
        <w:ind w:left="221" w:right="0" w:firstLine="0"/>
        <w:jc w:val="left"/>
        <w:rPr>
          <w:sz w:val="24"/>
        </w:rPr>
      </w:pPr>
      <w:r>
        <w:rPr>
          <w:b/>
          <w:sz w:val="24"/>
        </w:rPr>
        <w:t>Bank of England (2004), </w:t>
      </w:r>
      <w:r>
        <w:rPr>
          <w:i/>
          <w:sz w:val="24"/>
        </w:rPr>
        <w:t>Low inflation and business</w:t>
      </w:r>
      <w:r>
        <w:rPr>
          <w:sz w:val="24"/>
        </w:rPr>
        <w:t>, mimeo.</w:t>
      </w:r>
    </w:p>
    <w:p>
      <w:pPr>
        <w:pStyle w:val="BodyText"/>
      </w:pPr>
    </w:p>
    <w:p>
      <w:pPr>
        <w:spacing w:before="0"/>
        <w:ind w:left="221" w:right="340" w:firstLine="0"/>
        <w:jc w:val="left"/>
        <w:rPr>
          <w:sz w:val="24"/>
        </w:rPr>
      </w:pPr>
      <w:r>
        <w:rPr>
          <w:b/>
          <w:sz w:val="24"/>
        </w:rPr>
        <w:t>Bank of England (2007), </w:t>
      </w:r>
      <w:r>
        <w:rPr>
          <w:sz w:val="24"/>
        </w:rPr>
        <w:t>‘The Monetary Policy Committee of the Bank of England: ten years on’, </w:t>
      </w:r>
      <w:r>
        <w:rPr>
          <w:i/>
          <w:sz w:val="24"/>
        </w:rPr>
        <w:t>Bank of England Quarterly Bulletin</w:t>
      </w:r>
      <w:r>
        <w:rPr>
          <w:sz w:val="24"/>
        </w:rPr>
        <w:t>, Volume 47, Number</w:t>
      </w:r>
      <w:r>
        <w:rPr>
          <w:spacing w:val="-4"/>
          <w:sz w:val="24"/>
        </w:rPr>
        <w:t> </w:t>
      </w:r>
      <w:r>
        <w:rPr>
          <w:sz w:val="24"/>
        </w:rPr>
        <w:t>1.</w:t>
      </w:r>
    </w:p>
    <w:p>
      <w:pPr>
        <w:pStyle w:val="BodyText"/>
      </w:pPr>
    </w:p>
    <w:p>
      <w:pPr>
        <w:spacing w:before="0"/>
        <w:ind w:left="221" w:right="0" w:firstLine="0"/>
        <w:jc w:val="left"/>
        <w:rPr>
          <w:sz w:val="24"/>
        </w:rPr>
      </w:pPr>
      <w:r>
        <w:rPr>
          <w:b/>
          <w:sz w:val="24"/>
        </w:rPr>
        <w:t>Bean, C (2006), </w:t>
      </w:r>
      <w:r>
        <w:rPr>
          <w:sz w:val="24"/>
        </w:rPr>
        <w:t>‘Globalisation and inflation’, </w:t>
      </w:r>
      <w:r>
        <w:rPr>
          <w:i/>
          <w:sz w:val="24"/>
        </w:rPr>
        <w:t>Bank of England Quarterly Bulletin</w:t>
      </w:r>
      <w:r>
        <w:rPr>
          <w:sz w:val="24"/>
        </w:rPr>
        <w:t>, Q4.</w:t>
      </w:r>
    </w:p>
    <w:p>
      <w:pPr>
        <w:pStyle w:val="BodyText"/>
      </w:pPr>
    </w:p>
    <w:p>
      <w:pPr>
        <w:spacing w:before="0"/>
        <w:ind w:left="221" w:right="0" w:firstLine="0"/>
        <w:jc w:val="left"/>
        <w:rPr>
          <w:sz w:val="24"/>
        </w:rPr>
      </w:pPr>
      <w:r>
        <w:rPr>
          <w:b/>
          <w:sz w:val="24"/>
        </w:rPr>
        <w:t>Benati, L (2005), </w:t>
      </w:r>
      <w:r>
        <w:rPr>
          <w:sz w:val="24"/>
        </w:rPr>
        <w:t>‘The inflation-targeting framework from an historical perspective’,</w:t>
      </w:r>
    </w:p>
    <w:p>
      <w:pPr>
        <w:spacing w:before="0"/>
        <w:ind w:left="221" w:right="0" w:firstLine="0"/>
        <w:jc w:val="left"/>
        <w:rPr>
          <w:sz w:val="24"/>
        </w:rPr>
      </w:pPr>
      <w:r>
        <w:rPr>
          <w:i/>
          <w:sz w:val="24"/>
        </w:rPr>
        <w:t>Bank of England Quarterly Bulletin</w:t>
      </w:r>
      <w:r>
        <w:rPr>
          <w:sz w:val="24"/>
        </w:rPr>
        <w:t>, Volume 45, Number 2.</w:t>
      </w:r>
    </w:p>
    <w:p>
      <w:pPr>
        <w:pStyle w:val="BodyText"/>
      </w:pPr>
    </w:p>
    <w:p>
      <w:pPr>
        <w:spacing w:before="0"/>
        <w:ind w:left="221" w:right="107" w:firstLine="0"/>
        <w:jc w:val="left"/>
        <w:rPr>
          <w:sz w:val="24"/>
        </w:rPr>
      </w:pPr>
      <w:r>
        <w:rPr>
          <w:b/>
          <w:sz w:val="24"/>
        </w:rPr>
        <w:t>Besley, T (2007), </w:t>
      </w:r>
      <w:r>
        <w:rPr>
          <w:sz w:val="24"/>
        </w:rPr>
        <w:t>‘Inflation and the service sector’, </w:t>
      </w:r>
      <w:r>
        <w:rPr>
          <w:i/>
          <w:sz w:val="24"/>
        </w:rPr>
        <w:t>Bank of England Quarterly Bulletin</w:t>
      </w:r>
      <w:r>
        <w:rPr>
          <w:sz w:val="24"/>
        </w:rPr>
        <w:t>, Volume 47, Number 1.</w:t>
      </w:r>
    </w:p>
    <w:p>
      <w:pPr>
        <w:pStyle w:val="BodyText"/>
      </w:pPr>
    </w:p>
    <w:p>
      <w:pPr>
        <w:spacing w:before="0"/>
        <w:ind w:left="221" w:right="145" w:firstLine="0"/>
        <w:jc w:val="left"/>
        <w:rPr>
          <w:sz w:val="24"/>
        </w:rPr>
      </w:pPr>
      <w:r>
        <w:rPr>
          <w:b/>
          <w:sz w:val="24"/>
        </w:rPr>
        <w:t>Blanchflower, D (2007), </w:t>
      </w:r>
      <w:r>
        <w:rPr>
          <w:sz w:val="24"/>
        </w:rPr>
        <w:t>‘Recent developments in the UK labour market’, </w:t>
      </w:r>
      <w:r>
        <w:rPr>
          <w:i/>
          <w:sz w:val="24"/>
        </w:rPr>
        <w:t>Bank of </w:t>
      </w:r>
      <w:r>
        <w:rPr>
          <w:i/>
          <w:sz w:val="24"/>
        </w:rPr>
        <w:t>England Quarterly Bulletin</w:t>
      </w:r>
      <w:r>
        <w:rPr>
          <w:sz w:val="24"/>
        </w:rPr>
        <w:t>, Volume 47, Number 1.</w:t>
      </w:r>
    </w:p>
    <w:p>
      <w:pPr>
        <w:pStyle w:val="BodyText"/>
      </w:pPr>
    </w:p>
    <w:p>
      <w:pPr>
        <w:pStyle w:val="BodyText"/>
        <w:ind w:left="221" w:right="145"/>
      </w:pPr>
      <w:r>
        <w:rPr>
          <w:b/>
        </w:rPr>
        <w:t>CBI (2007), </w:t>
      </w:r>
      <w:r>
        <w:rPr/>
        <w:t>Memorandum submitted to the Treasury Select Committee inquiry ‘The Monetary Policy Committee of the Bank of England: ten years on’.</w:t>
      </w:r>
    </w:p>
    <w:p>
      <w:pPr>
        <w:pStyle w:val="BodyText"/>
      </w:pPr>
    </w:p>
    <w:p>
      <w:pPr>
        <w:spacing w:before="0"/>
        <w:ind w:left="221" w:right="107" w:firstLine="0"/>
        <w:jc w:val="left"/>
        <w:rPr>
          <w:sz w:val="24"/>
        </w:rPr>
      </w:pPr>
      <w:r>
        <w:rPr>
          <w:b/>
          <w:sz w:val="24"/>
        </w:rPr>
        <w:t>Eckersley P, and Webber, P (2003), </w:t>
      </w:r>
      <w:r>
        <w:rPr>
          <w:sz w:val="24"/>
        </w:rPr>
        <w:t>‘The Bank’s regional Agencies’, </w:t>
      </w:r>
      <w:r>
        <w:rPr>
          <w:i/>
          <w:sz w:val="24"/>
        </w:rPr>
        <w:t>Bank of England </w:t>
      </w:r>
      <w:r>
        <w:rPr>
          <w:i/>
          <w:sz w:val="24"/>
        </w:rPr>
        <w:t>Quarterly Bulletin</w:t>
      </w:r>
      <w:r>
        <w:rPr>
          <w:sz w:val="24"/>
        </w:rPr>
        <w:t>, Volume 43, Number 1</w:t>
      </w:r>
    </w:p>
    <w:p>
      <w:pPr>
        <w:pStyle w:val="BodyText"/>
      </w:pPr>
    </w:p>
    <w:p>
      <w:pPr>
        <w:spacing w:before="0"/>
        <w:ind w:left="221" w:right="145" w:firstLine="0"/>
        <w:jc w:val="left"/>
        <w:rPr>
          <w:sz w:val="24"/>
        </w:rPr>
      </w:pPr>
      <w:r>
        <w:rPr>
          <w:b/>
          <w:sz w:val="24"/>
        </w:rPr>
        <w:t>Ellis, C and Pike, T (2005), </w:t>
      </w:r>
      <w:r>
        <w:rPr>
          <w:sz w:val="24"/>
        </w:rPr>
        <w:t>‘Introducing the Agents’ scores’, </w:t>
      </w:r>
      <w:r>
        <w:rPr>
          <w:i/>
          <w:sz w:val="24"/>
        </w:rPr>
        <w:t>Bank of England </w:t>
      </w:r>
      <w:r>
        <w:rPr>
          <w:i/>
          <w:sz w:val="24"/>
        </w:rPr>
        <w:t>Quarterly Bulletin</w:t>
      </w:r>
      <w:r>
        <w:rPr>
          <w:sz w:val="24"/>
        </w:rPr>
        <w:t>, Volume 45, Number 4.</w:t>
      </w:r>
    </w:p>
    <w:p>
      <w:pPr>
        <w:pStyle w:val="BodyText"/>
      </w:pPr>
    </w:p>
    <w:p>
      <w:pPr>
        <w:pStyle w:val="BodyText"/>
        <w:ind w:left="221" w:right="145"/>
      </w:pPr>
      <w:r>
        <w:rPr>
          <w:b/>
        </w:rPr>
        <w:t>Gieve, J (2007), ‘</w:t>
      </w:r>
      <w:r>
        <w:rPr/>
        <w:t>London, Money and the UK Economy’ Speech at the University of Surrey, Guildford, 26 June 2007, mimeo</w:t>
      </w:r>
    </w:p>
    <w:p>
      <w:pPr>
        <w:pStyle w:val="BodyText"/>
      </w:pPr>
    </w:p>
    <w:p>
      <w:pPr>
        <w:spacing w:before="0"/>
        <w:ind w:left="221" w:right="0" w:firstLine="0"/>
        <w:jc w:val="left"/>
        <w:rPr>
          <w:sz w:val="24"/>
        </w:rPr>
      </w:pPr>
      <w:r>
        <w:rPr>
          <w:b/>
          <w:sz w:val="24"/>
        </w:rPr>
        <w:t>King, M (2007a), </w:t>
      </w:r>
      <w:r>
        <w:rPr>
          <w:sz w:val="24"/>
        </w:rPr>
        <w:t>‘The MPC ten years on’, </w:t>
      </w:r>
      <w:r>
        <w:rPr>
          <w:i/>
          <w:sz w:val="24"/>
        </w:rPr>
        <w:t>Bank of England Quarterly Bulletin</w:t>
      </w:r>
      <w:r>
        <w:rPr>
          <w:sz w:val="24"/>
        </w:rPr>
        <w:t>, Q2.</w:t>
      </w:r>
    </w:p>
    <w:p>
      <w:pPr>
        <w:pStyle w:val="BodyText"/>
        <w:spacing w:before="11"/>
        <w:rPr>
          <w:sz w:val="23"/>
        </w:rPr>
      </w:pPr>
    </w:p>
    <w:p>
      <w:pPr>
        <w:spacing w:before="0"/>
        <w:ind w:left="221" w:right="0" w:firstLine="0"/>
        <w:jc w:val="left"/>
        <w:rPr>
          <w:sz w:val="24"/>
        </w:rPr>
      </w:pPr>
      <w:r>
        <w:rPr>
          <w:b/>
          <w:sz w:val="24"/>
        </w:rPr>
        <w:t>King, M (2007b), </w:t>
      </w:r>
      <w:r>
        <w:rPr>
          <w:sz w:val="24"/>
        </w:rPr>
        <w:t>Speech to a CBI Dinner, Wales, 11 June 2007, mimeo</w:t>
      </w:r>
    </w:p>
    <w:p>
      <w:pPr>
        <w:pStyle w:val="BodyText"/>
      </w:pPr>
    </w:p>
    <w:p>
      <w:pPr>
        <w:spacing w:before="0"/>
        <w:ind w:left="221" w:right="145" w:firstLine="0"/>
        <w:jc w:val="left"/>
        <w:rPr>
          <w:sz w:val="24"/>
        </w:rPr>
      </w:pPr>
      <w:r>
        <w:rPr>
          <w:b/>
          <w:sz w:val="24"/>
        </w:rPr>
        <w:t>Sentance, A (2007a)</w:t>
      </w:r>
      <w:r>
        <w:rPr>
          <w:sz w:val="24"/>
        </w:rPr>
        <w:t>, ‘Inflation and the supply side of the UK economy’, </w:t>
      </w:r>
      <w:r>
        <w:rPr>
          <w:i/>
          <w:sz w:val="24"/>
        </w:rPr>
        <w:t>Bank of </w:t>
      </w:r>
      <w:r>
        <w:rPr>
          <w:i/>
          <w:sz w:val="24"/>
        </w:rPr>
        <w:t>England Quarterly Bulletin</w:t>
      </w:r>
      <w:r>
        <w:rPr>
          <w:sz w:val="24"/>
        </w:rPr>
        <w:t>, Volume 47, Number 1.</w:t>
      </w:r>
    </w:p>
    <w:p>
      <w:pPr>
        <w:pStyle w:val="BodyText"/>
      </w:pPr>
    </w:p>
    <w:p>
      <w:pPr>
        <w:spacing w:before="0"/>
        <w:ind w:left="221" w:right="145" w:firstLine="0"/>
        <w:jc w:val="left"/>
        <w:rPr>
          <w:sz w:val="24"/>
        </w:rPr>
      </w:pPr>
      <w:r>
        <w:rPr>
          <w:b/>
          <w:sz w:val="24"/>
        </w:rPr>
        <w:t>Sentance, A (2007b)</w:t>
      </w:r>
      <w:r>
        <w:rPr>
          <w:sz w:val="24"/>
        </w:rPr>
        <w:t>, ‘The changing pattern of savings: Implications for growth and inflation’, </w:t>
      </w:r>
      <w:r>
        <w:rPr>
          <w:i/>
          <w:sz w:val="24"/>
        </w:rPr>
        <w:t>Bank of England Quarterly Bulletin</w:t>
      </w:r>
      <w:r>
        <w:rPr>
          <w:sz w:val="24"/>
        </w:rPr>
        <w:t>, Volume 47, Number 2.</w:t>
      </w:r>
    </w:p>
    <w:sectPr>
      <w:pgSz w:w="11900" w:h="16840"/>
      <w:pgMar w:header="0" w:footer="710" w:top="1380" w:bottom="960" w:left="14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066345pt;width:12pt;height:15.3pt;mso-position-horizontal-relative:page;mso-position-vertical-relative:page;z-index:-2541936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60004pt;margin-top:792.066345pt;width:8pt;height:15.3pt;mso-position-horizontal-relative:page;mso-position-vertical-relative:page;z-index:-254192640" type="#_x0000_t202" filled="false" stroked="false">
          <v:textbox inset="0,0,0,0">
            <w:txbxContent>
              <w:p>
                <w:pPr>
                  <w:pStyle w:val="BodyText"/>
                  <w:spacing w:before="10"/>
                  <w:ind w:left="20"/>
                </w:pPr>
                <w:r>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pt;mso-position-horizontal-relative:page;mso-position-vertical-relative:page;z-index:-2541916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190592" from="85.080002pt,752.580017pt" to="229.080002pt,752.580017pt" stroked="true" strokeweight=".600010pt" strokecolor="#000000">
          <v:stroke dashstyle="solid"/>
          <w10:wrap type="none"/>
        </v:line>
      </w:pict>
    </w:r>
    <w:r>
      <w:rPr/>
      <w:pict>
        <v:shape style="position:absolute;margin-left:290.660004pt;margin-top:792.066345pt;width:14pt;height:15.3pt;mso-position-horizontal-relative:page;mso-position-vertical-relative:page;z-index:-254189568" type="#_x0000_t202" filled="false" stroked="false">
          <v:textbox inset="0,0,0,0">
            <w:txbxContent>
              <w:p>
                <w:pPr>
                  <w:pStyle w:val="BodyText"/>
                  <w:spacing w:before="10"/>
                  <w:ind w:left="20"/>
                </w:pPr>
                <w:r>
                  <w:rPr/>
                  <w:t>12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pt;mso-position-horizontal-relative:page;mso-position-vertical-relative:page;z-index:-254188544" type="#_x0000_t202" filled="false" stroked="false">
          <v:textbox inset="0,0,0,0">
            <w:txbxContent>
              <w:p>
                <w:pPr>
                  <w:pStyle w:val="BodyText"/>
                  <w:spacing w:before="10"/>
                  <w:ind w:left="60"/>
                </w:pPr>
                <w:r>
                  <w:rPr/>
                  <w:fldChar w:fldCharType="begin"/>
                </w:r>
                <w:r>
                  <w:rPr/>
                  <w:instrText> PAGE </w:instrText>
                </w:r>
                <w:r>
                  <w:rPr/>
                  <w:fldChar w:fldCharType="separate"/>
                </w:r>
                <w:r>
                  <w:rPr/>
                  <w:t>15</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21"/>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UK Monetary Policy: Good for business?  Speech by Andrew Sentance hosted by Dow Jones 10 July 2007</dc:subject>
  <dc:title>UK Monetary Policy: Good for business? Speech by Andrew Sentance hosted by Dow Jones</dc:title>
  <dcterms:created xsi:type="dcterms:W3CDTF">2020-06-02T19:01:06Z</dcterms:created>
  <dcterms:modified xsi:type="dcterms:W3CDTF">2020-06-02T19:01:06Z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2007-07-10T00:00:00Z</vt:filetime>
  </property>
  <property fmtid="{D5CDD505-2E9C-101B-9397-08002B2CF9AE}" pid="3" name="Creator">
    <vt:lpwstr>PScript5.dll Version 5.2</vt:lpwstr>
  </property>
  <property fmtid="{D5CDD505-2E9C-101B-9397-08002B2CF9AE}" pid="4" name="LastSaved">
    <vt:filetime>2020-06-02T00:00:00Z</vt:filetime>
  </property>
</Properties>
</file>