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Uncertainty, Policy and Financial Markets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352" w:right="4642"/>
        <w:rPr>
          <w:rFonts w:ascii="Arial"/>
        </w:rPr>
      </w:pPr>
      <w:r>
        <w:rPr>
          <w:rFonts w:ascii="Arial"/>
        </w:rPr>
        <w:t>Market News event, Barbican Centre, London 24 July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2"/>
        </w:rPr>
      </w:pPr>
    </w:p>
    <w:p>
      <w:pPr>
        <w:pStyle w:val="Heading5"/>
        <w:spacing w:before="90"/>
        <w:rPr>
          <w:u w:val="none"/>
        </w:rPr>
      </w:pPr>
      <w:r>
        <w:rPr>
          <w:u w:val="thick"/>
        </w:rPr>
        <w:t>Introduction</w:t>
      </w:r>
    </w:p>
    <w:p>
      <w:pPr>
        <w:pStyle w:val="BodyText"/>
        <w:rPr>
          <w:b/>
          <w:sz w:val="20"/>
        </w:rPr>
      </w:pPr>
    </w:p>
    <w:p>
      <w:pPr>
        <w:pStyle w:val="BodyText"/>
        <w:rPr>
          <w:b/>
          <w:sz w:val="20"/>
        </w:rPr>
      </w:pPr>
    </w:p>
    <w:p>
      <w:pPr>
        <w:pStyle w:val="BodyText"/>
        <w:rPr>
          <w:b/>
        </w:rPr>
      </w:pPr>
    </w:p>
    <w:p>
      <w:pPr>
        <w:pStyle w:val="BodyText"/>
        <w:spacing w:line="480" w:lineRule="auto" w:before="90"/>
        <w:ind w:left="477" w:right="1392"/>
      </w:pPr>
      <w:r>
        <w:rPr/>
        <w:t>When I took on this job last year, interest rates had moved only twice in 24 months – once up by 25bp and once back down again. Elsewhere we had seen, both in the US and the EU, two years in which rates had been on a well signalled upwards path, while interest rates in Japan remained anchored to zero. The ‘Great Stability’ seemed to have reached its zenith of total predictability.</w:t>
      </w:r>
    </w:p>
    <w:p>
      <w:pPr>
        <w:pStyle w:val="BodyText"/>
        <w:rPr>
          <w:sz w:val="26"/>
        </w:rPr>
      </w:pPr>
    </w:p>
    <w:p>
      <w:pPr>
        <w:pStyle w:val="BodyText"/>
        <w:spacing w:before="10"/>
        <w:rPr>
          <w:sz w:val="21"/>
        </w:rPr>
      </w:pPr>
    </w:p>
    <w:p>
      <w:pPr>
        <w:pStyle w:val="BodyText"/>
        <w:spacing w:line="480" w:lineRule="auto" w:before="1"/>
        <w:ind w:left="477" w:right="1331"/>
      </w:pPr>
      <w:r>
        <w:rPr/>
        <w:t>However, one of the things that struck me from the outset in the MPC was that the predictability outside was not matched by any complacency or self certainty inside. There was a vigorous debate underway about the state of the economy and the policy response. At that stage, some members of the committee doubted that the economy and employment would recover from the slowdown in 2005 without a further reduction in rates, while others, notably David Walton, saw emerging dangers on the other side.</w:t>
      </w:r>
    </w:p>
    <w:p>
      <w:pPr>
        <w:pStyle w:val="BodyText"/>
        <w:rPr>
          <w:sz w:val="26"/>
        </w:rPr>
      </w:pPr>
    </w:p>
    <w:p>
      <w:pPr>
        <w:pStyle w:val="BodyText"/>
        <w:rPr>
          <w:sz w:val="22"/>
        </w:rPr>
      </w:pPr>
    </w:p>
    <w:p>
      <w:pPr>
        <w:pStyle w:val="BodyText"/>
        <w:spacing w:line="480" w:lineRule="auto"/>
        <w:ind w:left="477" w:right="1326"/>
      </w:pPr>
      <w:r>
        <w:rPr/>
        <w:t>The economy has strengthened since then and we have had to raise interest rates 5 times in the last year. One thing that has not changed is the vigour of the internal debate. This is not (only) because economists are famously argumentative. As someone once noted, economics is the only field in which two people can get a Nobel prize for saying opposing things! Instead, the level of debate reflects genuine and unavoidable uncertainty about the economy which was disguised by the stability of rates but never went away. The fact is that we can never be sure we</w:t>
      </w:r>
    </w:p>
    <w:p>
      <w:pPr>
        <w:spacing w:after="0" w:line="480" w:lineRule="auto"/>
        <w:sectPr>
          <w:footerReference w:type="default" r:id="rId7"/>
          <w:pgSz w:w="11900" w:h="16840"/>
          <w:pgMar w:footer="779" w:header="0" w:top="1600" w:bottom="960" w:left="1680" w:right="480"/>
          <w:pgNumType w:start="2"/>
        </w:sectPr>
      </w:pPr>
    </w:p>
    <w:p>
      <w:pPr>
        <w:pStyle w:val="BodyText"/>
        <w:spacing w:line="480" w:lineRule="auto" w:before="76"/>
        <w:ind w:left="477" w:right="2179"/>
      </w:pPr>
      <w:r>
        <w:rPr/>
        <w:t>have interpreted the past correctly – there are always alternative plausible interpretations– and we know the future will contain surprises.</w:t>
      </w:r>
    </w:p>
    <w:p>
      <w:pPr>
        <w:pStyle w:val="BodyText"/>
        <w:rPr>
          <w:sz w:val="26"/>
        </w:rPr>
      </w:pPr>
    </w:p>
    <w:p>
      <w:pPr>
        <w:pStyle w:val="BodyText"/>
        <w:rPr>
          <w:sz w:val="22"/>
        </w:rPr>
      </w:pPr>
    </w:p>
    <w:p>
      <w:pPr>
        <w:pStyle w:val="BodyText"/>
        <w:spacing w:line="480" w:lineRule="auto" w:before="1"/>
        <w:ind w:left="477" w:right="1331"/>
      </w:pPr>
      <w:r>
        <w:rPr/>
        <w:t>I want to start today by discussing that range of uncertainty. I will then look at three uncertainties affecting financial markets at the moment: the losses in the US sub prime market, the significance of influential investors including sovereign wealth funds, and the state of the credit cycle.</w:t>
      </w:r>
    </w:p>
    <w:p>
      <w:pPr>
        <w:pStyle w:val="BodyText"/>
        <w:rPr>
          <w:sz w:val="26"/>
        </w:rPr>
      </w:pPr>
    </w:p>
    <w:p>
      <w:pPr>
        <w:pStyle w:val="BodyText"/>
        <w:spacing w:before="2"/>
        <w:rPr>
          <w:sz w:val="22"/>
        </w:rPr>
      </w:pPr>
    </w:p>
    <w:p>
      <w:pPr>
        <w:pStyle w:val="Heading5"/>
        <w:rPr>
          <w:u w:val="none"/>
        </w:rPr>
      </w:pPr>
      <w:r>
        <w:rPr>
          <w:u w:val="thick"/>
        </w:rPr>
        <w:t>The range of uncertainty</w:t>
      </w:r>
    </w:p>
    <w:p>
      <w:pPr>
        <w:pStyle w:val="BodyText"/>
        <w:rPr>
          <w:b/>
          <w:sz w:val="20"/>
        </w:rPr>
      </w:pPr>
    </w:p>
    <w:p>
      <w:pPr>
        <w:pStyle w:val="BodyText"/>
        <w:rPr>
          <w:b/>
          <w:sz w:val="20"/>
        </w:rPr>
      </w:pPr>
    </w:p>
    <w:p>
      <w:pPr>
        <w:pStyle w:val="BodyText"/>
        <w:rPr>
          <w:b/>
        </w:rPr>
      </w:pPr>
    </w:p>
    <w:p>
      <w:pPr>
        <w:pStyle w:val="BodyText"/>
        <w:spacing w:line="480" w:lineRule="auto" w:before="90"/>
        <w:ind w:left="477" w:right="1372"/>
        <w:rPr>
          <w:b/>
        </w:rPr>
      </w:pPr>
      <w:r>
        <w:rPr/>
        <w:t>The last ten years have become known as the ‘Great Stability’. Certainly that has been true for the UK. The last quarter was the 60th of uninterrupted positive growth and it was a touch above the average for the last 10 years. On inflation too we saw this month another step back towards target and in 10 years we have only seen one month when the CPI has been more than 1 percentage point away from target </w:t>
      </w:r>
      <w:r>
        <w:rPr>
          <w:b/>
        </w:rPr>
        <w:t>(Chart 1).</w:t>
      </w:r>
    </w:p>
    <w:p>
      <w:pPr>
        <w:pStyle w:val="BodyText"/>
        <w:rPr>
          <w:b/>
          <w:sz w:val="26"/>
        </w:rPr>
      </w:pPr>
    </w:p>
    <w:p>
      <w:pPr>
        <w:pStyle w:val="BodyText"/>
        <w:spacing w:before="10"/>
        <w:rPr>
          <w:b/>
          <w:sz w:val="21"/>
        </w:rPr>
      </w:pPr>
    </w:p>
    <w:p>
      <w:pPr>
        <w:pStyle w:val="BodyText"/>
        <w:spacing w:line="480" w:lineRule="auto" w:before="1"/>
        <w:ind w:left="477" w:right="1384"/>
      </w:pPr>
      <w:r>
        <w:rPr/>
        <w:t>For anyone, like me, who was in the Treasury through the late 70s and 80s, this looks like the promised land; a degree of stability we did not think was attainable. Looking back we can see that it was the pains and problems of those decades culminating in being forced out of the ERM that produced a broad political consensus on a new approach to monetary policy and the independence of the Bank. And my predecessors can take great credit for the success of recent years. We have also been benefiting from benign world conditions with the emergence of low cost producers in the Far East and strong world GDP growth, which has</w:t>
      </w:r>
    </w:p>
    <w:p>
      <w:pPr>
        <w:spacing w:after="0" w:line="480" w:lineRule="auto"/>
        <w:sectPr>
          <w:pgSz w:w="11900" w:h="16840"/>
          <w:pgMar w:header="0" w:footer="779" w:top="1360" w:bottom="960" w:left="1680" w:right="480"/>
        </w:sectPr>
      </w:pPr>
    </w:p>
    <w:p>
      <w:pPr>
        <w:pStyle w:val="BodyText"/>
        <w:spacing w:line="480" w:lineRule="auto" w:before="76"/>
        <w:ind w:left="477" w:right="1707"/>
      </w:pPr>
      <w:r>
        <w:rPr/>
        <w:t>been over 5 % in the last 3 years, the strongest 3-year period of growth since 1968-70, and there is every reason to hope that this benign trend will continue.</w:t>
      </w:r>
    </w:p>
    <w:p>
      <w:pPr>
        <w:pStyle w:val="BodyText"/>
        <w:rPr>
          <w:sz w:val="26"/>
        </w:rPr>
      </w:pPr>
    </w:p>
    <w:p>
      <w:pPr>
        <w:pStyle w:val="BodyText"/>
        <w:rPr>
          <w:sz w:val="22"/>
        </w:rPr>
      </w:pPr>
    </w:p>
    <w:p>
      <w:pPr>
        <w:pStyle w:val="BodyText"/>
        <w:spacing w:line="480" w:lineRule="auto" w:before="1"/>
        <w:ind w:left="477" w:right="1291"/>
      </w:pPr>
      <w:r>
        <w:rPr/>
        <w:t>However it is important not to exaggerate this stability or to forget the substantial uncertainties that still exist. The last decade has seen some big and unanticipated changes. Since 1999, oil prices have risen from below $20 a barrel to over $70 a barrel, the US Fed funds rate has varied between 1% and 6.5%, and the stock market has experienced its post dotcom boom, bust and recovery, with the FTSE All Share falling from its 2000 high of over 3200 to below 1660 in 2003 before now recovering to over 3400. We have seen 9/11 and the onset of a new form of international terrorism, the explosive growth of new financial instruments and new players to exploit them, and we have seen the emergence of China and India into major forces in the world economy.</w:t>
      </w:r>
    </w:p>
    <w:p>
      <w:pPr>
        <w:pStyle w:val="BodyText"/>
        <w:rPr>
          <w:sz w:val="26"/>
        </w:rPr>
      </w:pPr>
    </w:p>
    <w:p>
      <w:pPr>
        <w:pStyle w:val="BodyText"/>
        <w:spacing w:before="10"/>
        <w:rPr>
          <w:sz w:val="21"/>
        </w:rPr>
      </w:pPr>
    </w:p>
    <w:p>
      <w:pPr>
        <w:pStyle w:val="BodyText"/>
        <w:spacing w:line="480" w:lineRule="auto"/>
        <w:ind w:left="477" w:right="1331"/>
      </w:pPr>
      <w:r>
        <w:rPr/>
        <w:t>But uncertainties arise not just because there will always be unexpected events, changes of technology and taste. We also continually review and update our views on the underlying relationships between countries, firms and people. And of course we are constantly learning more about the past not least as the statistics get revised.</w:t>
      </w:r>
    </w:p>
    <w:p>
      <w:pPr>
        <w:pStyle w:val="BodyText"/>
        <w:rPr>
          <w:sz w:val="26"/>
        </w:rPr>
      </w:pPr>
    </w:p>
    <w:p>
      <w:pPr>
        <w:pStyle w:val="BodyText"/>
        <w:rPr>
          <w:sz w:val="22"/>
        </w:rPr>
      </w:pPr>
    </w:p>
    <w:p>
      <w:pPr>
        <w:pStyle w:val="BodyText"/>
        <w:spacing w:line="480" w:lineRule="auto" w:before="1"/>
        <w:ind w:left="477" w:right="1431"/>
      </w:pPr>
      <w:r>
        <w:rPr/>
        <w:t>We try to emphasise those uncertainties by always publishing our forecasts in the form of fan charts which show not just a central projection but a probability distribution around it.</w:t>
      </w:r>
    </w:p>
    <w:p>
      <w:pPr>
        <w:spacing w:after="0" w:line="480" w:lineRule="auto"/>
        <w:sectPr>
          <w:pgSz w:w="11900" w:h="16840"/>
          <w:pgMar w:header="0" w:footer="779" w:top="1360" w:bottom="960" w:left="1680" w:right="480"/>
        </w:sectPr>
      </w:pPr>
    </w:p>
    <w:p>
      <w:pPr>
        <w:pStyle w:val="BodyText"/>
        <w:spacing w:line="480" w:lineRule="auto" w:before="76"/>
        <w:ind w:left="477" w:right="1331" w:firstLine="59"/>
      </w:pPr>
      <w:r>
        <w:rPr/>
        <w:t>If you go back a year to May 2006, our central projections for Q2 2007 were for growth of about 3% and inflation of around 2%. But we also showed about a one in four chance that growth would be a percentage point or more away and that inflation would be half a percentage point from the central projections (</w:t>
      </w:r>
      <w:r>
        <w:rPr>
          <w:b/>
        </w:rPr>
        <w:t>Chart 2</w:t>
      </w:r>
      <w:r>
        <w:rPr/>
        <w:t>). It follows that there is also a range of uncertainty around the right path for interest rates. The story of the last year has been that growth has been stable (between 0.7 and 0.8% each quarter) and kept quite close to that central projection but only on the basis of substantially higher interest rates than our forecasts were based on; inflation has been higher than we projected again despite the successive rises in rates.</w:t>
      </w:r>
    </w:p>
    <w:p>
      <w:pPr>
        <w:pStyle w:val="BodyText"/>
        <w:rPr>
          <w:sz w:val="26"/>
        </w:rPr>
      </w:pPr>
    </w:p>
    <w:p>
      <w:pPr>
        <w:pStyle w:val="BodyText"/>
        <w:spacing w:before="1"/>
        <w:rPr>
          <w:sz w:val="22"/>
        </w:rPr>
      </w:pPr>
    </w:p>
    <w:p>
      <w:pPr>
        <w:pStyle w:val="BodyText"/>
        <w:spacing w:line="480" w:lineRule="auto"/>
        <w:ind w:left="477" w:right="1331"/>
      </w:pPr>
      <w:r>
        <w:rPr/>
        <w:t>You might expect this range of uncertainty to be reflected in a range of independent forecasts, but you would be disappointed. Most forecasters operate models much like ours and, of course, they use the same data. It is perhaps not a great surprise then that their central projections tend to cluster in a remarkably narrow range. For example, take the forecasters who were surveyed by Reuters prior to the July MPC meeting last year. At that point there were only two out of 47 who expected interest rates to rise above 5% by now and only one expected them to be below 4.25%. Fast forward to the most recent survey and you will see that none of the 52 expect rates to go above 6% in the next year and only two expect rates to go below 5.5%. To gauge the real range of uncertainty you need to look beyond the central forecasts at the full probability distribution of possible outcomes. The fact that most forecasters agree on the prospect does not mean it is likely to happen.</w:t>
      </w:r>
    </w:p>
    <w:p>
      <w:pPr>
        <w:spacing w:after="0" w:line="480" w:lineRule="auto"/>
        <w:sectPr>
          <w:pgSz w:w="11900" w:h="16840"/>
          <w:pgMar w:header="0" w:footer="779" w:top="1360" w:bottom="960" w:left="1680" w:right="480"/>
        </w:sectPr>
      </w:pPr>
    </w:p>
    <w:p>
      <w:pPr>
        <w:pStyle w:val="BodyText"/>
        <w:spacing w:line="480" w:lineRule="auto" w:before="76"/>
        <w:ind w:left="477" w:right="1359"/>
      </w:pPr>
      <w:r>
        <w:rPr/>
        <w:t>Central banks need to be particularly cautious in putting weight on market expectations and outside forecasts because they are based at least in part on judgements about what we will do. In my view it is sensible for independent forecasters to assume that we will do our job and keep inflation low; but we can’t take comfort from the fact that most external forecasters therefore expect inflation to return and stay around target – its our job to justify their faith and keep their confidence. We must avoid chasing our own tail.</w:t>
      </w:r>
    </w:p>
    <w:p>
      <w:pPr>
        <w:pStyle w:val="BodyText"/>
        <w:rPr>
          <w:sz w:val="26"/>
        </w:rPr>
      </w:pPr>
    </w:p>
    <w:p>
      <w:pPr>
        <w:pStyle w:val="BodyText"/>
        <w:spacing w:before="1"/>
        <w:rPr>
          <w:sz w:val="22"/>
        </w:rPr>
      </w:pPr>
    </w:p>
    <w:p>
      <w:pPr>
        <w:pStyle w:val="BodyText"/>
        <w:spacing w:line="480" w:lineRule="auto"/>
        <w:ind w:left="477" w:right="1353"/>
      </w:pPr>
      <w:r>
        <w:rPr/>
        <w:t>Of course, the uncertainty of the future and of the past is a factor in our decisions on interest rates. When we are feeling our way in trying to assess the pressure of demand in the economy, it can often be sensible to move rates gradually so that we can gather more information as we go on the effect of past rises. But, of course, we all know that if we get behind the curve, gradualism could compound the problems. The pace as well as the direction of any change is therefore a matter for discussion in most MPC meetings.</w:t>
      </w:r>
    </w:p>
    <w:p>
      <w:pPr>
        <w:pStyle w:val="BodyText"/>
        <w:rPr>
          <w:sz w:val="26"/>
        </w:rPr>
      </w:pPr>
    </w:p>
    <w:p>
      <w:pPr>
        <w:pStyle w:val="BodyText"/>
        <w:spacing w:before="10"/>
        <w:rPr>
          <w:sz w:val="21"/>
        </w:rPr>
      </w:pPr>
    </w:p>
    <w:p>
      <w:pPr>
        <w:pStyle w:val="BodyText"/>
        <w:spacing w:line="480" w:lineRule="auto"/>
        <w:ind w:left="477" w:right="1452"/>
      </w:pPr>
      <w:r>
        <w:rPr/>
        <w:t>Looking at the economy today there are as wide a range of uncertainties as ever, for example about the level of slack in the labour market, the pricing pressures in companies, the future path of oil prices and the strength of monetary growth. I want to discuss three which arise from developments in financial markets, and which are relevant to both the Bank’s core purposes: monetary stability and financial stability.</w:t>
      </w:r>
    </w:p>
    <w:p>
      <w:pPr>
        <w:spacing w:after="0" w:line="480" w:lineRule="auto"/>
        <w:sectPr>
          <w:pgSz w:w="11900" w:h="16840"/>
          <w:pgMar w:header="0" w:footer="779" w:top="1360" w:bottom="960" w:left="1680" w:right="480"/>
        </w:sectPr>
      </w:pPr>
    </w:p>
    <w:p>
      <w:pPr>
        <w:pStyle w:val="Heading5"/>
        <w:spacing w:before="79"/>
        <w:rPr>
          <w:u w:val="none"/>
        </w:rPr>
      </w:pPr>
      <w:r>
        <w:rPr>
          <w:u w:val="thick"/>
        </w:rPr>
        <w:t>Sub prime and the credit markets</w:t>
      </w:r>
    </w:p>
    <w:p>
      <w:pPr>
        <w:pStyle w:val="BodyText"/>
        <w:rPr>
          <w:b/>
          <w:sz w:val="20"/>
        </w:rPr>
      </w:pPr>
    </w:p>
    <w:p>
      <w:pPr>
        <w:pStyle w:val="BodyText"/>
        <w:rPr>
          <w:b/>
          <w:sz w:val="20"/>
        </w:rPr>
      </w:pPr>
    </w:p>
    <w:p>
      <w:pPr>
        <w:pStyle w:val="BodyText"/>
        <w:rPr>
          <w:b/>
        </w:rPr>
      </w:pPr>
    </w:p>
    <w:p>
      <w:pPr>
        <w:pStyle w:val="BodyText"/>
        <w:spacing w:line="480" w:lineRule="auto" w:before="90"/>
        <w:ind w:left="477" w:right="1393"/>
      </w:pPr>
      <w:r>
        <w:rPr/>
        <w:t>Let’s start with the credit markets. The backwash from defaults in the US sub prime market has been seen not just in the recent problems faced by some hedge funds</w:t>
      </w:r>
      <w:r>
        <w:rPr>
          <w:vertAlign w:val="superscript"/>
        </w:rPr>
        <w:t>1</w:t>
      </w:r>
      <w:r>
        <w:rPr>
          <w:vertAlign w:val="baseline"/>
        </w:rPr>
        <w:t> exposed to this sector but in credit markets more widely. Credit spreads have widened especially for riskier bonds (</w:t>
      </w:r>
      <w:r>
        <w:rPr>
          <w:b/>
          <w:vertAlign w:val="baseline"/>
        </w:rPr>
        <w:t>Chart 3</w:t>
      </w:r>
      <w:r>
        <w:rPr>
          <w:vertAlign w:val="baseline"/>
        </w:rPr>
        <w:t>), the covenant lite loans on offer a few weeks ago are off the table, and the leveraged loans in the warehouses are reported to be moving more slowly. And this has happened at a time when long term interest rates have been rising.</w:t>
      </w:r>
    </w:p>
    <w:p>
      <w:pPr>
        <w:pStyle w:val="BodyText"/>
        <w:rPr>
          <w:sz w:val="26"/>
        </w:rPr>
      </w:pPr>
    </w:p>
    <w:p>
      <w:pPr>
        <w:pStyle w:val="BodyText"/>
        <w:rPr>
          <w:sz w:val="22"/>
        </w:rPr>
      </w:pPr>
    </w:p>
    <w:p>
      <w:pPr>
        <w:pStyle w:val="BodyText"/>
        <w:spacing w:line="480" w:lineRule="auto"/>
        <w:ind w:left="477" w:right="1492"/>
      </w:pPr>
      <w:r>
        <w:rPr/>
        <w:t>We have seen shocks to credit markets in the last two summers which were swiftly reversed. Could recent events be the beginning of a more lasting change?</w:t>
      </w:r>
    </w:p>
    <w:p>
      <w:pPr>
        <w:pStyle w:val="BodyText"/>
        <w:rPr>
          <w:sz w:val="26"/>
        </w:rPr>
      </w:pPr>
    </w:p>
    <w:p>
      <w:pPr>
        <w:pStyle w:val="BodyText"/>
        <w:spacing w:before="10"/>
        <w:rPr>
          <w:sz w:val="21"/>
        </w:rPr>
      </w:pPr>
    </w:p>
    <w:p>
      <w:pPr>
        <w:pStyle w:val="BodyText"/>
        <w:spacing w:line="480" w:lineRule="auto"/>
        <w:ind w:left="477" w:right="1355"/>
      </w:pPr>
      <w:r>
        <w:rPr/>
        <w:t>There are some good reasons for doubting it. First the underlying economic and corporate fundamentals remain encouraging. Not only is world growth running at over 5% but it seems better balanced with the recovery of Germany and Japan and slightly lower growth in the US (although one of the explanations for the rise in longer term risk free rates has been a more optimistic view on US growth prospects). In the corporate sector overall gearing is not unusual, pension deficits have diminished, and profitability is high.  Defaults in the prime housing market in the US have not shown dramatic increases. Losses on mortgage lending in the UK are still very low and there seems no prospect of a significant rise in unemployment that led to sharp rises in repossessions and defaults in the</w:t>
      </w:r>
      <w:r>
        <w:rPr>
          <w:spacing w:val="-12"/>
        </w:rPr>
        <w:t> </w:t>
      </w:r>
      <w:r>
        <w:rPr/>
        <w:t>past.</w:t>
      </w:r>
    </w:p>
    <w:p>
      <w:pPr>
        <w:pStyle w:val="BodyText"/>
        <w:rPr>
          <w:sz w:val="20"/>
        </w:rPr>
      </w:pPr>
    </w:p>
    <w:p>
      <w:pPr>
        <w:pStyle w:val="BodyText"/>
        <w:rPr>
          <w:sz w:val="20"/>
        </w:rPr>
      </w:pPr>
    </w:p>
    <w:p>
      <w:pPr>
        <w:pStyle w:val="BodyText"/>
        <w:spacing w:before="6"/>
        <w:rPr>
          <w:sz w:val="16"/>
        </w:rPr>
      </w:pPr>
      <w:r>
        <w:rPr/>
        <w:pict>
          <v:shape style="position:absolute;margin-left:89.879997pt;margin-top:11.780415pt;width:144pt;height:.1pt;mso-position-horizontal-relative:page;mso-position-vertical-relative:paragraph;z-index:-251656192;mso-wrap-distance-left:0;mso-wrap-distance-right:0" coordorigin="1798,236" coordsize="2880,0" path="m1798,236l4678,236e" filled="false" stroked="true" strokeweight=".600010pt" strokecolor="#000000">
            <v:path arrowok="t"/>
            <v:stroke dashstyle="solid"/>
            <w10:wrap type="topAndBottom"/>
          </v:shape>
        </w:pict>
      </w:r>
    </w:p>
    <w:p>
      <w:pPr>
        <w:spacing w:before="49"/>
        <w:ind w:left="117" w:right="1392" w:firstLine="0"/>
        <w:jc w:val="left"/>
        <w:rPr>
          <w:sz w:val="20"/>
        </w:rPr>
      </w:pPr>
      <w:r>
        <w:rPr>
          <w:position w:val="9"/>
          <w:sz w:val="13"/>
        </w:rPr>
        <w:t>1 </w:t>
      </w:r>
      <w:r>
        <w:rPr>
          <w:sz w:val="20"/>
        </w:rPr>
        <w:t>In particular, the High-grade Structured Credit Enhanced Leverage Fund and the Higfh-grade Structured Credit Fund both managed by Bear Stearns Asset Management (BSAM).</w:t>
      </w:r>
    </w:p>
    <w:p>
      <w:pPr>
        <w:spacing w:after="0"/>
        <w:jc w:val="left"/>
        <w:rPr>
          <w:sz w:val="20"/>
        </w:rPr>
        <w:sectPr>
          <w:pgSz w:w="11900" w:h="16840"/>
          <w:pgMar w:header="0" w:footer="779" w:top="1360" w:bottom="960" w:left="1680" w:right="480"/>
        </w:sectPr>
      </w:pPr>
    </w:p>
    <w:p>
      <w:pPr>
        <w:pStyle w:val="BodyText"/>
        <w:spacing w:line="480" w:lineRule="auto" w:before="76"/>
        <w:ind w:left="477" w:right="1298"/>
      </w:pPr>
      <w:r>
        <w:rPr/>
        <w:t>Equity markets remain strong at multiples of earnings which are little above average. Again, within financial markets, liquidity remains high overall (</w:t>
      </w:r>
      <w:r>
        <w:rPr>
          <w:b/>
        </w:rPr>
        <w:t>Chart 4</w:t>
      </w:r>
      <w:r>
        <w:rPr/>
        <w:t>).</w:t>
      </w:r>
    </w:p>
    <w:p>
      <w:pPr>
        <w:pStyle w:val="BodyText"/>
        <w:rPr>
          <w:sz w:val="26"/>
        </w:rPr>
      </w:pPr>
    </w:p>
    <w:p>
      <w:pPr>
        <w:pStyle w:val="BodyText"/>
        <w:rPr>
          <w:sz w:val="22"/>
        </w:rPr>
      </w:pPr>
    </w:p>
    <w:p>
      <w:pPr>
        <w:pStyle w:val="BodyText"/>
        <w:spacing w:line="480" w:lineRule="auto" w:before="1"/>
        <w:ind w:left="477" w:right="1392"/>
      </w:pPr>
      <w:r>
        <w:rPr/>
        <w:t>Against that background, there is a risk of becoming alarmed by good news. In our last </w:t>
      </w:r>
      <w:r>
        <w:rPr>
          <w:i/>
        </w:rPr>
        <w:t>Financial Stability Report </w:t>
      </w:r>
      <w:r>
        <w:rPr/>
        <w:t>we identified the low risk premia in credit markets as the principal vulnerability in financial markets because of the risk it carried of a swift and disorderly return to more normal levels. The rise since then has not been large in a longer context (</w:t>
      </w:r>
      <w:r>
        <w:rPr>
          <w:b/>
        </w:rPr>
        <w:t>Chart 5</w:t>
      </w:r>
      <w:r>
        <w:rPr/>
        <w:t>) but in itself it is a healthy correction. At the same time we have seen a fall in the dollar over recent months which should tend to reduce the risk of a sudden correction of global imbalances, another of the key vulnerabilities we have been monitoring in recent years.</w:t>
      </w:r>
    </w:p>
    <w:p>
      <w:pPr>
        <w:pStyle w:val="BodyText"/>
        <w:rPr>
          <w:sz w:val="26"/>
        </w:rPr>
      </w:pPr>
    </w:p>
    <w:p>
      <w:pPr>
        <w:pStyle w:val="BodyText"/>
        <w:rPr>
          <w:sz w:val="22"/>
        </w:rPr>
      </w:pPr>
    </w:p>
    <w:p>
      <w:pPr>
        <w:pStyle w:val="BodyText"/>
        <w:spacing w:line="480" w:lineRule="auto"/>
        <w:ind w:left="477" w:right="1424"/>
      </w:pPr>
      <w:r>
        <w:rPr/>
        <w:t>But the story of the sub prime market is not yet over and it certainly does point to some vulnerabilities in modern financial markets which need to be factored into financial firms’ risk management.</w:t>
      </w:r>
    </w:p>
    <w:p>
      <w:pPr>
        <w:pStyle w:val="BodyText"/>
        <w:rPr>
          <w:sz w:val="26"/>
        </w:rPr>
      </w:pPr>
    </w:p>
    <w:p>
      <w:pPr>
        <w:pStyle w:val="BodyText"/>
        <w:spacing w:before="10"/>
        <w:rPr>
          <w:sz w:val="21"/>
        </w:rPr>
      </w:pPr>
    </w:p>
    <w:p>
      <w:pPr>
        <w:pStyle w:val="BodyText"/>
        <w:spacing w:line="480" w:lineRule="auto"/>
        <w:ind w:left="477" w:right="1472"/>
      </w:pPr>
      <w:r>
        <w:rPr/>
        <w:t>First, this was a layered market in which many originators had an incentive to maximise volumes, where the loans were then securitised and the securities were in turn combined into CDOs for onward distribution.</w:t>
      </w:r>
    </w:p>
    <w:p>
      <w:pPr>
        <w:pStyle w:val="BodyText"/>
        <w:rPr>
          <w:sz w:val="26"/>
        </w:rPr>
      </w:pPr>
    </w:p>
    <w:p>
      <w:pPr>
        <w:pStyle w:val="BodyText"/>
        <w:rPr>
          <w:sz w:val="22"/>
        </w:rPr>
      </w:pPr>
    </w:p>
    <w:p>
      <w:pPr>
        <w:pStyle w:val="BodyText"/>
        <w:spacing w:line="480" w:lineRule="auto" w:before="1"/>
        <w:ind w:left="477" w:right="1331"/>
      </w:pPr>
      <w:r>
        <w:rPr/>
        <w:t>One risk in such markets is that there is a loss of information along the chain and that incentives become misaligned; in particular the quality of credit monitoring and credit assessment declines. It is difficult to avoid the conclusion that occurred in 2006 in the sub prime markets. </w:t>
      </w:r>
      <w:r>
        <w:rPr>
          <w:b/>
        </w:rPr>
        <w:t>Chart 6 </w:t>
      </w:r>
      <w:r>
        <w:rPr/>
        <w:t>shows the arrears on successive</w:t>
      </w:r>
    </w:p>
    <w:p>
      <w:pPr>
        <w:spacing w:after="0" w:line="480" w:lineRule="auto"/>
        <w:sectPr>
          <w:pgSz w:w="11900" w:h="16840"/>
          <w:pgMar w:header="0" w:footer="779" w:top="1360" w:bottom="960" w:left="1680" w:right="480"/>
        </w:sectPr>
      </w:pPr>
    </w:p>
    <w:p>
      <w:pPr>
        <w:pStyle w:val="BodyText"/>
        <w:spacing w:line="480" w:lineRule="auto" w:before="76"/>
        <w:ind w:left="477" w:right="1791"/>
      </w:pPr>
      <w:r>
        <w:rPr/>
        <w:t>tranches of loans and shows that the quality declined over time particularly in 2005 and 2006.</w:t>
      </w:r>
    </w:p>
    <w:p>
      <w:pPr>
        <w:pStyle w:val="BodyText"/>
        <w:rPr>
          <w:sz w:val="26"/>
        </w:rPr>
      </w:pPr>
    </w:p>
    <w:p>
      <w:pPr>
        <w:pStyle w:val="BodyText"/>
        <w:rPr>
          <w:sz w:val="22"/>
        </w:rPr>
      </w:pPr>
    </w:p>
    <w:p>
      <w:pPr>
        <w:pStyle w:val="BodyText"/>
        <w:spacing w:line="480" w:lineRule="auto" w:before="1"/>
        <w:ind w:left="477" w:right="1492"/>
      </w:pPr>
      <w:r>
        <w:rPr/>
        <w:t>Second, the new derivatives markets change the way in which credit losses hit balance sheets. In the world of on–balance-sheet lending, when defaults begin to turn up, there can be scope for rescheduling and for discussing with your accountants what provisions are prudent. We saw that impact on a few of the big banks earlier this year. In the securitised markets, the pace can look slower to begin with but then comes in a rush. </w:t>
      </w:r>
      <w:r>
        <w:rPr>
          <w:b/>
        </w:rPr>
        <w:t>Chart 7 </w:t>
      </w:r>
      <w:r>
        <w:rPr/>
        <w:t>shows the spreads on different tranches of the ABX index, the main benchmark index for sub prime securities. What is remarkable here first is how slow the spreads were to move at all. Of course, the predicted losses on particular tranches do no move smoothly with rising defaults, but throughout 2006 the economic press was a buzz with worry about the US housing market; sentiment changed several times on whether the housing downturn would lead to a general recession. Throughout this period the originators continued to write new sub prime loans and the prices of the ABX scarcely quivered.</w:t>
      </w:r>
    </w:p>
    <w:p>
      <w:pPr>
        <w:pStyle w:val="BodyText"/>
        <w:rPr>
          <w:sz w:val="26"/>
        </w:rPr>
      </w:pPr>
    </w:p>
    <w:p>
      <w:pPr>
        <w:pStyle w:val="BodyText"/>
        <w:spacing w:before="10"/>
        <w:rPr>
          <w:sz w:val="21"/>
        </w:rPr>
      </w:pPr>
    </w:p>
    <w:p>
      <w:pPr>
        <w:pStyle w:val="BodyText"/>
        <w:spacing w:line="480" w:lineRule="auto" w:before="1"/>
        <w:ind w:left="477" w:right="1351"/>
      </w:pPr>
      <w:r>
        <w:rPr/>
        <w:t>But since January the story has been quite different with two dramatic hikes in the spreads first of BBB and then of the A-rated index. In total, the spread for BBB has gone from 500 basis points at the turn of the year to over 3000 basis points.</w:t>
      </w:r>
    </w:p>
    <w:p>
      <w:pPr>
        <w:pStyle w:val="BodyText"/>
        <w:spacing w:line="480" w:lineRule="auto"/>
        <w:ind w:left="477" w:right="1392"/>
      </w:pPr>
      <w:r>
        <w:rPr/>
        <w:t>Each of these steps has left casualties. Many of the originators were forced into bankruptcy at the start of the year and in the last few weeks we have seen Bear Stearns’ announcement that two of its funds have lost all or nearly all of their investors’ money. I suspect the speed and scale of the changes were outside most</w:t>
      </w:r>
    </w:p>
    <w:p>
      <w:pPr>
        <w:spacing w:after="0" w:line="480" w:lineRule="auto"/>
        <w:sectPr>
          <w:pgSz w:w="11900" w:h="16840"/>
          <w:pgMar w:header="0" w:footer="779" w:top="1360" w:bottom="960" w:left="1680" w:right="480"/>
        </w:sectPr>
      </w:pPr>
    </w:p>
    <w:p>
      <w:pPr>
        <w:pStyle w:val="BodyText"/>
        <w:spacing w:line="480" w:lineRule="auto" w:before="76"/>
        <w:ind w:left="477" w:right="1444"/>
      </w:pPr>
      <w:r>
        <w:rPr/>
        <w:t>stress test simulations. And while the most dramatic changes may have happened there will now be a long period as the implications work through the ratings of other derivatives and the full range of instruments are marked to market.</w:t>
      </w:r>
    </w:p>
    <w:p>
      <w:pPr>
        <w:pStyle w:val="BodyText"/>
        <w:rPr>
          <w:sz w:val="26"/>
        </w:rPr>
      </w:pPr>
    </w:p>
    <w:p>
      <w:pPr>
        <w:pStyle w:val="BodyText"/>
        <w:rPr>
          <w:sz w:val="22"/>
        </w:rPr>
      </w:pPr>
    </w:p>
    <w:p>
      <w:pPr>
        <w:pStyle w:val="BodyText"/>
        <w:spacing w:line="480" w:lineRule="auto" w:before="1"/>
        <w:ind w:left="477" w:right="1318"/>
      </w:pPr>
      <w:r>
        <w:rPr/>
        <w:t>A related lesson is about liquidity in new markets. The worry has been that at times of stress, liquidity would dry up and it would be impossible to trade out of positions. That would not just lock firms into losses but would disrupt strategies which require continuous dynamic hedging – for example, strategies such as constant proportion portfolio insurance (CPPI). Again that has been a feature of recent weeks. It has been widely reported that a couple of the lenders to the BSAM funds put their collateral on the market but were not able to sell as much</w:t>
      </w:r>
      <w:r>
        <w:rPr>
          <w:spacing w:val="-15"/>
        </w:rPr>
        <w:t> </w:t>
      </w:r>
      <w:r>
        <w:rPr/>
        <w:t>as they wanted.</w:t>
      </w:r>
    </w:p>
    <w:p>
      <w:pPr>
        <w:pStyle w:val="BodyText"/>
        <w:rPr>
          <w:sz w:val="26"/>
        </w:rPr>
      </w:pPr>
    </w:p>
    <w:p>
      <w:pPr>
        <w:pStyle w:val="BodyText"/>
        <w:spacing w:before="10"/>
        <w:rPr>
          <w:sz w:val="21"/>
        </w:rPr>
      </w:pPr>
    </w:p>
    <w:p>
      <w:pPr>
        <w:pStyle w:val="BodyText"/>
        <w:spacing w:line="480" w:lineRule="auto"/>
        <w:ind w:left="477" w:right="1392"/>
      </w:pPr>
      <w:r>
        <w:rPr/>
        <w:t>That is connected to the fourth lesson, the vulnerability of valuations in sophisticated derivatives. These are not widely traded so valuations are usually based not on market prices but on models which draw in turn on correlations established over the recent past. This is a fundamental and unavoidable feature of new products and markets. There simply has not been a full cycle’s experience to draw on.</w:t>
      </w:r>
    </w:p>
    <w:p>
      <w:pPr>
        <w:pStyle w:val="BodyText"/>
        <w:rPr>
          <w:sz w:val="26"/>
        </w:rPr>
      </w:pPr>
    </w:p>
    <w:p>
      <w:pPr>
        <w:pStyle w:val="BodyText"/>
        <w:rPr>
          <w:sz w:val="22"/>
        </w:rPr>
      </w:pPr>
    </w:p>
    <w:p>
      <w:pPr>
        <w:pStyle w:val="BodyText"/>
        <w:spacing w:line="480" w:lineRule="auto" w:before="1"/>
        <w:ind w:left="477" w:right="1525"/>
      </w:pPr>
      <w:r>
        <w:rPr/>
        <w:t>When we published </w:t>
      </w:r>
      <w:r>
        <w:rPr>
          <w:i/>
        </w:rPr>
        <w:t>our Financial Stability Report </w:t>
      </w:r>
      <w:r>
        <w:rPr/>
        <w:t>in April we drew attention to the sub prime history as a warning of what could go wrong in bigger and more central credit markets. Developments since then underline that message. If some of the price moves in the sub prime CDOs have spread to CLOs based on</w:t>
      </w:r>
    </w:p>
    <w:p>
      <w:pPr>
        <w:spacing w:after="0" w:line="480" w:lineRule="auto"/>
        <w:sectPr>
          <w:pgSz w:w="11900" w:h="16840"/>
          <w:pgMar w:header="0" w:footer="779" w:top="1360" w:bottom="960" w:left="1680" w:right="480"/>
        </w:sectPr>
      </w:pPr>
    </w:p>
    <w:p>
      <w:pPr>
        <w:pStyle w:val="BodyText"/>
        <w:spacing w:line="480" w:lineRule="auto" w:before="76"/>
        <w:ind w:left="477" w:right="1431"/>
      </w:pPr>
      <w:r>
        <w:rPr/>
        <w:t>leveraged loans and buy-outs, that is hardly a surprise given recent growth in that market (</w:t>
      </w:r>
      <w:r>
        <w:rPr>
          <w:b/>
        </w:rPr>
        <w:t>Chart 8</w:t>
      </w:r>
      <w:r>
        <w:rPr/>
        <w:t>).</w:t>
      </w:r>
    </w:p>
    <w:p>
      <w:pPr>
        <w:pStyle w:val="BodyText"/>
        <w:rPr>
          <w:sz w:val="26"/>
        </w:rPr>
      </w:pPr>
    </w:p>
    <w:p>
      <w:pPr>
        <w:pStyle w:val="BodyText"/>
        <w:rPr>
          <w:sz w:val="22"/>
        </w:rPr>
      </w:pPr>
    </w:p>
    <w:p>
      <w:pPr>
        <w:pStyle w:val="BodyText"/>
        <w:spacing w:line="480" w:lineRule="auto" w:before="1"/>
        <w:ind w:left="477" w:right="1392"/>
      </w:pPr>
      <w:r>
        <w:rPr/>
        <w:t>There are signs that the speed with which the pipeline of leveraged deals is being warehoused has slowed down at least temporarily and the terms of some of the lending has tightened a little. But that said there are some significant differences between the sub prime and corporate loan markets. First corporate profits remain robust and there has not been the step up in defaults that ushered in the sub prime crisis. Second while the total size of the corporate bond market dwarfs the sub prime mortgages market that is not true of the leveraged corporate loan market </w:t>
      </w:r>
      <w:r>
        <w:rPr>
          <w:b/>
        </w:rPr>
        <w:t>(Chart 9)</w:t>
      </w:r>
      <w:r>
        <w:rPr/>
        <w:t>.</w:t>
      </w:r>
    </w:p>
    <w:p>
      <w:pPr>
        <w:pStyle w:val="BodyText"/>
        <w:rPr>
          <w:sz w:val="26"/>
        </w:rPr>
      </w:pPr>
    </w:p>
    <w:p>
      <w:pPr>
        <w:pStyle w:val="BodyText"/>
        <w:spacing w:before="2"/>
        <w:rPr>
          <w:sz w:val="22"/>
        </w:rPr>
      </w:pPr>
    </w:p>
    <w:p>
      <w:pPr>
        <w:pStyle w:val="Heading5"/>
        <w:rPr>
          <w:u w:val="none"/>
        </w:rPr>
      </w:pPr>
      <w:r>
        <w:rPr>
          <w:u w:val="thick"/>
        </w:rPr>
        <w:t>The weight of money – pension funds and sovereign wealth funds</w:t>
      </w:r>
    </w:p>
    <w:p>
      <w:pPr>
        <w:pStyle w:val="BodyText"/>
        <w:rPr>
          <w:b/>
          <w:sz w:val="20"/>
        </w:rPr>
      </w:pPr>
    </w:p>
    <w:p>
      <w:pPr>
        <w:pStyle w:val="BodyText"/>
        <w:rPr>
          <w:b/>
          <w:sz w:val="20"/>
        </w:rPr>
      </w:pPr>
    </w:p>
    <w:p>
      <w:pPr>
        <w:pStyle w:val="BodyText"/>
        <w:spacing w:before="10"/>
        <w:rPr>
          <w:b/>
          <w:sz w:val="23"/>
        </w:rPr>
      </w:pPr>
    </w:p>
    <w:p>
      <w:pPr>
        <w:pStyle w:val="BodyText"/>
        <w:spacing w:line="480" w:lineRule="auto" w:before="90"/>
        <w:ind w:left="477" w:right="1338"/>
      </w:pPr>
      <w:r>
        <w:rPr/>
        <w:t>A second development in financial markets in the news at present is the growth of sovereign investors and of ’Sovereign Wealth Funds’ in particular. While these have long been established in Singapore, Norway and the Middle East, the decision of China with its huge foreign exchange reserves to diversify its investments is new. The question is what effect, if any, the growth of influential investors like these is having and may have in future on relative prices in financial markets.</w:t>
      </w:r>
    </w:p>
    <w:p>
      <w:pPr>
        <w:pStyle w:val="BodyText"/>
        <w:rPr>
          <w:sz w:val="26"/>
        </w:rPr>
      </w:pPr>
    </w:p>
    <w:p>
      <w:pPr>
        <w:pStyle w:val="BodyText"/>
        <w:spacing w:before="1"/>
        <w:rPr>
          <w:sz w:val="22"/>
        </w:rPr>
      </w:pPr>
    </w:p>
    <w:p>
      <w:pPr>
        <w:pStyle w:val="BodyText"/>
        <w:spacing w:line="480" w:lineRule="auto"/>
        <w:ind w:left="477" w:right="1605"/>
      </w:pPr>
      <w:r>
        <w:rPr/>
        <w:t>Economists tend to assume that asset markets are efficient so that any deviation from fundamental value represents a profit opportunity that will be quickly eliminated through the actions of rational traders who are constantly on the</w:t>
      </w:r>
    </w:p>
    <w:p>
      <w:pPr>
        <w:spacing w:after="0" w:line="480" w:lineRule="auto"/>
        <w:sectPr>
          <w:pgSz w:w="11900" w:h="16840"/>
          <w:pgMar w:header="0" w:footer="779" w:top="1360" w:bottom="960" w:left="1680" w:right="480"/>
        </w:sectPr>
      </w:pPr>
    </w:p>
    <w:p>
      <w:pPr>
        <w:pStyle w:val="BodyText"/>
        <w:spacing w:line="480" w:lineRule="auto" w:before="76"/>
        <w:ind w:left="477" w:right="1351"/>
      </w:pPr>
      <w:r>
        <w:rPr/>
        <w:t>lookout for such opportunities. Underpriced assets are bought while overpriced assets are sold short, thereby bringing prices back in line with their fundamental value. In this way, investment flows and trading activity should not impact prices, unless they reflect information about the fundamentals. In practice the position can be more</w:t>
      </w:r>
      <w:r>
        <w:rPr>
          <w:spacing w:val="-1"/>
        </w:rPr>
        <w:t> </w:t>
      </w:r>
      <w:r>
        <w:rPr/>
        <w:t>complicated.</w:t>
      </w:r>
    </w:p>
    <w:p>
      <w:pPr>
        <w:pStyle w:val="BodyText"/>
        <w:rPr>
          <w:sz w:val="26"/>
        </w:rPr>
      </w:pPr>
    </w:p>
    <w:p>
      <w:pPr>
        <w:pStyle w:val="BodyText"/>
        <w:spacing w:before="1"/>
        <w:rPr>
          <w:sz w:val="22"/>
        </w:rPr>
      </w:pPr>
    </w:p>
    <w:p>
      <w:pPr>
        <w:pStyle w:val="BodyText"/>
        <w:spacing w:line="480" w:lineRule="auto"/>
        <w:ind w:left="477" w:right="1358"/>
        <w:rPr>
          <w:b/>
        </w:rPr>
      </w:pPr>
      <w:r>
        <w:rPr/>
        <w:t>In the UK, demand for long-term gilts from pension funds is widely thought to have had a significant impact especially on indexed gilt prices. Trustees have become more concerned in recent years to reduce the volatility of funds’ valuations, since changes now appear on the sponsoring companies’ balance sheets. There has been a wide move towards Liability Driven Investment (LDI) and to matching their long term liabilities either by buying more index-linked bonds or by buying equivalent hedges in the derivative markets. The narrowing of pension fund deficits as equity markets have improved may have strengthened the trend since funds may now want to ‘lock in’ the improved position. Even a relatively small shift in pension funds’ strategies would represent a large increase in demand relative to the size of the inflation-linked bond market</w:t>
      </w:r>
      <w:r>
        <w:rPr>
          <w:b/>
        </w:rPr>
        <w:t>. </w:t>
      </w:r>
      <w:r>
        <w:rPr/>
        <w:t>During 2005 and 2006, anecdotal evidence suggested that UK pension demand for gilts (and associated hedging by dealers) was a contributory factor in driving long-horizon sterling nominal and real interest rates lower. Indeed, this may have been one reason why UK long-term real interest rates fell by more over this period than overseas rates</w:t>
      </w:r>
      <w:r>
        <w:rPr>
          <w:b/>
        </w:rPr>
        <w:t>.</w:t>
      </w:r>
    </w:p>
    <w:p>
      <w:pPr>
        <w:pStyle w:val="BodyText"/>
        <w:rPr>
          <w:b/>
          <w:sz w:val="26"/>
        </w:rPr>
      </w:pPr>
    </w:p>
    <w:p>
      <w:pPr>
        <w:pStyle w:val="BodyText"/>
        <w:spacing w:before="11"/>
        <w:rPr>
          <w:b/>
          <w:sz w:val="21"/>
        </w:rPr>
      </w:pPr>
    </w:p>
    <w:p>
      <w:pPr>
        <w:pStyle w:val="BodyText"/>
        <w:spacing w:line="480" w:lineRule="auto"/>
        <w:ind w:left="477" w:right="1392"/>
      </w:pPr>
      <w:r>
        <w:rPr/>
        <w:t>Assessing the impact on gilts prices is important for the Bank because we commonly use the differences between indexed and conventional gilts to estimate</w:t>
      </w:r>
    </w:p>
    <w:p>
      <w:pPr>
        <w:spacing w:after="0" w:line="480" w:lineRule="auto"/>
        <w:sectPr>
          <w:pgSz w:w="11900" w:h="16840"/>
          <w:pgMar w:header="0" w:footer="779" w:top="1360" w:bottom="960" w:left="1680" w:right="480"/>
        </w:sectPr>
      </w:pPr>
    </w:p>
    <w:p>
      <w:pPr>
        <w:pStyle w:val="BodyText"/>
        <w:spacing w:line="480" w:lineRule="auto" w:before="76"/>
        <w:ind w:left="477" w:right="1492"/>
      </w:pPr>
      <w:r>
        <w:rPr/>
        <w:t>longer term market inflation expectations. And these calculations have shown an increase in forward inflation breakevens especially in the last few months as nominal long term rates have increased </w:t>
      </w:r>
      <w:r>
        <w:rPr>
          <w:b/>
        </w:rPr>
        <w:t>(Chart 10). </w:t>
      </w:r>
      <w:r>
        <w:rPr/>
        <w:t>If that reflects a genuine increase in investors’ expectations of future inflation in the long term that would imply a loss of credibility in the UK regime.</w:t>
      </w:r>
    </w:p>
    <w:p>
      <w:pPr>
        <w:pStyle w:val="BodyText"/>
        <w:rPr>
          <w:sz w:val="26"/>
        </w:rPr>
      </w:pPr>
    </w:p>
    <w:p>
      <w:pPr>
        <w:pStyle w:val="BodyText"/>
        <w:spacing w:before="1"/>
        <w:rPr>
          <w:sz w:val="22"/>
        </w:rPr>
      </w:pPr>
    </w:p>
    <w:p>
      <w:pPr>
        <w:pStyle w:val="BodyText"/>
        <w:spacing w:line="480" w:lineRule="auto"/>
        <w:ind w:left="477" w:right="1319"/>
      </w:pPr>
      <w:r>
        <w:rPr/>
        <w:t>However, there are few signs from surveys and market intelligence that UK long- run inflation expectations have picked up. Market contacts cite the sheer weight of institutional demand in the relatively illiquid index-linked gilt market as a more likely explanation why the price of long-dated index-linked gilts has not fallen by as much as conventional bonds over recent months.</w:t>
      </w:r>
    </w:p>
    <w:p>
      <w:pPr>
        <w:pStyle w:val="BodyText"/>
        <w:rPr>
          <w:sz w:val="26"/>
        </w:rPr>
      </w:pPr>
    </w:p>
    <w:p>
      <w:pPr>
        <w:pStyle w:val="BodyText"/>
        <w:rPr>
          <w:sz w:val="22"/>
        </w:rPr>
      </w:pPr>
    </w:p>
    <w:p>
      <w:pPr>
        <w:pStyle w:val="BodyText"/>
        <w:spacing w:line="480" w:lineRule="auto"/>
        <w:ind w:left="477" w:right="1357"/>
      </w:pPr>
      <w:r>
        <w:rPr/>
        <w:t>The comparisons are complicated by the fact that the measure of inflation that is used to index gilts is the RPI while our target is set for the CPI and the gap, which largely reflects the impact of interest rates and house prices on the RPI is significant, is about 0.7% on average and variable (</w:t>
      </w:r>
      <w:r>
        <w:rPr>
          <w:b/>
        </w:rPr>
        <w:t>Chart 11)</w:t>
      </w:r>
      <w:r>
        <w:rPr/>
        <w:t>. But even making an adjustment for that, the rise in inflation breakevens is significant.</w:t>
      </w:r>
    </w:p>
    <w:p>
      <w:pPr>
        <w:pStyle w:val="BodyText"/>
        <w:rPr>
          <w:sz w:val="26"/>
        </w:rPr>
      </w:pPr>
    </w:p>
    <w:p>
      <w:pPr>
        <w:pStyle w:val="BodyText"/>
        <w:spacing w:before="10"/>
        <w:rPr>
          <w:sz w:val="21"/>
        </w:rPr>
      </w:pPr>
    </w:p>
    <w:p>
      <w:pPr>
        <w:pStyle w:val="BodyText"/>
        <w:spacing w:line="480" w:lineRule="auto" w:before="1"/>
        <w:ind w:left="477" w:right="1298"/>
      </w:pPr>
      <w:r>
        <w:rPr/>
        <w:t>Of course, if inflation at long horizons is not generally expected to increase as the forward rates at face value might indicate, why don’t some other investors with different risk appetites sell short the overpriced index-linked bond? One answer may be that there are significant market frictions. For example, trading long- horizon forward inflation requires an investment period of many years, over which market volatility must be endured, and most speculative players have significantly shorter investment horizons. Second, transaction costs (bid-offer) are typically</w:t>
      </w:r>
    </w:p>
    <w:p>
      <w:pPr>
        <w:spacing w:after="0" w:line="480" w:lineRule="auto"/>
        <w:sectPr>
          <w:pgSz w:w="11900" w:h="16840"/>
          <w:pgMar w:header="0" w:footer="779" w:top="1360" w:bottom="960" w:left="1680" w:right="480"/>
        </w:sectPr>
      </w:pPr>
    </w:p>
    <w:p>
      <w:pPr>
        <w:pStyle w:val="BodyText"/>
        <w:spacing w:line="480" w:lineRule="auto" w:before="76"/>
        <w:ind w:left="477" w:right="1544"/>
      </w:pPr>
      <w:r>
        <w:rPr/>
        <w:t>higher in index-linked than conventional instruments, partly because the risks in holding inventory are not predictable and are not easily hedged.</w:t>
      </w:r>
      <w:r>
        <w:rPr>
          <w:vertAlign w:val="superscript"/>
        </w:rPr>
        <w:t>2</w:t>
      </w:r>
    </w:p>
    <w:p>
      <w:pPr>
        <w:pStyle w:val="BodyText"/>
        <w:rPr>
          <w:sz w:val="30"/>
        </w:rPr>
      </w:pPr>
    </w:p>
    <w:p>
      <w:pPr>
        <w:pStyle w:val="BodyText"/>
        <w:spacing w:line="480" w:lineRule="auto" w:before="208"/>
        <w:ind w:left="477" w:right="1392"/>
      </w:pPr>
      <w:r>
        <w:rPr/>
        <w:t>It may be that, against the background of more volatile realised inflation over the past year the rise in breakeven inflation rates reflects an increase in inflation risk premia, the compensation required to bear unexpected changes in future inflation. And the marginal buyers of index-linked bonds (typically insurance companies and pension funds) have become more willing to pay a premium for these assets because they better match their liabilities. Rather like entering into an insurance contract, these investors may be willing to pay a higher price for index-linked securities because the payoffs may be received in states of the world when they are most valued. Such institutional factors probably account for some part of the measured rise in forward inflation rates. Nonetheless the stability of inflation expectations will remain a key concern for the MPC.</w:t>
      </w:r>
    </w:p>
    <w:p>
      <w:pPr>
        <w:pStyle w:val="BodyText"/>
        <w:rPr>
          <w:sz w:val="26"/>
        </w:rPr>
      </w:pPr>
    </w:p>
    <w:p>
      <w:pPr>
        <w:pStyle w:val="BodyText"/>
        <w:spacing w:before="1"/>
        <w:rPr>
          <w:sz w:val="22"/>
        </w:rPr>
      </w:pPr>
    </w:p>
    <w:p>
      <w:pPr>
        <w:pStyle w:val="Heading5"/>
        <w:rPr>
          <w:u w:val="none"/>
        </w:rPr>
      </w:pPr>
      <w:r>
        <w:rPr>
          <w:u w:val="thick"/>
        </w:rPr>
        <w:t>Sovereign Investors</w:t>
      </w:r>
    </w:p>
    <w:p>
      <w:pPr>
        <w:pStyle w:val="BodyText"/>
        <w:rPr>
          <w:b/>
          <w:sz w:val="20"/>
        </w:rPr>
      </w:pPr>
    </w:p>
    <w:p>
      <w:pPr>
        <w:pStyle w:val="BodyText"/>
        <w:rPr>
          <w:b/>
          <w:sz w:val="20"/>
        </w:rPr>
      </w:pPr>
    </w:p>
    <w:p>
      <w:pPr>
        <w:pStyle w:val="BodyText"/>
        <w:rPr>
          <w:b/>
        </w:rPr>
      </w:pPr>
    </w:p>
    <w:p>
      <w:pPr>
        <w:pStyle w:val="BodyText"/>
        <w:spacing w:line="480" w:lineRule="auto" w:before="90"/>
        <w:ind w:left="477" w:right="1431"/>
      </w:pPr>
      <w:r>
        <w:rPr/>
        <w:pict>
          <v:shape style="position:absolute;margin-left:89.879997pt;margin-top:175.84343pt;width:144pt;height:.1pt;mso-position-horizontal-relative:page;mso-position-vertical-relative:paragraph;z-index:-251655168;mso-wrap-distance-left:0;mso-wrap-distance-right:0" coordorigin="1798,3517" coordsize="2880,0" path="m1798,3517l4678,3517e" filled="false" stroked="true" strokeweight=".600010pt" strokecolor="#000000">
            <v:path arrowok="t"/>
            <v:stroke dashstyle="solid"/>
            <w10:wrap type="topAndBottom"/>
          </v:shape>
        </w:pict>
      </w:r>
      <w:r>
        <w:rPr/>
        <w:t>In a global context, another influential set of investors in financial markets over recent years have been holders of official foreign exchange reserves and Sovereign Wealth Funds (SWFs). A by-product of large current account surpluses, the funds available for investment have ballooned over the past few years – foreign assets held by sovereigns globally currently stand at US$7-8 trillion, of which around US$5 ½ trillion is held as international reserves. This is</w:t>
      </w:r>
    </w:p>
    <w:p>
      <w:pPr>
        <w:spacing w:before="49"/>
        <w:ind w:left="117" w:right="1360" w:firstLine="0"/>
        <w:jc w:val="left"/>
        <w:rPr>
          <w:sz w:val="20"/>
        </w:rPr>
      </w:pPr>
      <w:r>
        <w:rPr>
          <w:position w:val="9"/>
          <w:sz w:val="13"/>
        </w:rPr>
        <w:t>2 </w:t>
      </w:r>
      <w:r>
        <w:rPr>
          <w:sz w:val="20"/>
        </w:rPr>
        <w:t>Partly because of the strength of this institutional demand (and their tendency to buy bonds then hold them to maturity), inflation-linked markets are significantly less liquid than their nominal counterparts. DMO data show that as a proportion of the market capitalisation of bonds outstanding, turnover in the IG market is about 1/6</w:t>
      </w:r>
      <w:r>
        <w:rPr>
          <w:sz w:val="20"/>
          <w:vertAlign w:val="superscript"/>
        </w:rPr>
        <w:t>th</w:t>
      </w:r>
      <w:r>
        <w:rPr>
          <w:sz w:val="20"/>
          <w:vertAlign w:val="baseline"/>
        </w:rPr>
        <w:t> that of the conventional gilt market.</w:t>
      </w:r>
    </w:p>
    <w:p>
      <w:pPr>
        <w:spacing w:after="0"/>
        <w:jc w:val="left"/>
        <w:rPr>
          <w:sz w:val="20"/>
        </w:rPr>
        <w:sectPr>
          <w:pgSz w:w="11900" w:h="16840"/>
          <w:pgMar w:header="0" w:footer="779" w:top="1360" w:bottom="960" w:left="1680" w:right="480"/>
        </w:sectPr>
      </w:pPr>
    </w:p>
    <w:p>
      <w:pPr>
        <w:pStyle w:val="BodyText"/>
        <w:spacing w:line="480" w:lineRule="auto" w:before="76"/>
        <w:ind w:left="477" w:right="1425"/>
        <w:rPr>
          <w:b/>
        </w:rPr>
      </w:pPr>
      <w:r>
        <w:rPr/>
        <w:t>around 5 times higher than the level seen in the early 1990s, and could well be an understatement. The growth in foreign assets has been particularly rapid in Asian countries (especially China) and oil and gas exporting economies, including Russia </w:t>
      </w:r>
      <w:r>
        <w:rPr>
          <w:b/>
        </w:rPr>
        <w:t>(Chart 12).</w:t>
      </w:r>
    </w:p>
    <w:p>
      <w:pPr>
        <w:pStyle w:val="BodyText"/>
        <w:rPr>
          <w:b/>
          <w:sz w:val="26"/>
        </w:rPr>
      </w:pPr>
    </w:p>
    <w:p>
      <w:pPr>
        <w:pStyle w:val="BodyText"/>
        <w:rPr>
          <w:b/>
          <w:sz w:val="22"/>
        </w:rPr>
      </w:pPr>
    </w:p>
    <w:p>
      <w:pPr>
        <w:pStyle w:val="BodyText"/>
        <w:spacing w:line="480" w:lineRule="auto" w:before="1"/>
        <w:ind w:left="477" w:right="1331"/>
      </w:pPr>
      <w:r>
        <w:rPr/>
        <w:t>It is difficult to be precise about the size of SWFs because they are not recorded explicitly in most official statistics. But recent estimates suggest that their foreign assets are in the range of $2 –2 ½ trillion and they are rising rapidly.</w:t>
      </w:r>
    </w:p>
    <w:p>
      <w:pPr>
        <w:pStyle w:val="BodyText"/>
        <w:rPr>
          <w:sz w:val="26"/>
        </w:rPr>
      </w:pPr>
    </w:p>
    <w:p>
      <w:pPr>
        <w:pStyle w:val="BodyText"/>
        <w:rPr>
          <w:sz w:val="22"/>
        </w:rPr>
      </w:pPr>
    </w:p>
    <w:p>
      <w:pPr>
        <w:pStyle w:val="BodyText"/>
        <w:spacing w:line="480" w:lineRule="auto"/>
        <w:ind w:left="477" w:right="1572"/>
      </w:pPr>
      <w:r>
        <w:rPr/>
        <w:t>There is no consensus on the effects that this recycling of foreign exchange reserves is having on global financial markets. The market for US Treasuries is exceptionally deep and liquid, but with foreign official investors</w:t>
      </w:r>
      <w:r>
        <w:rPr>
          <w:vertAlign w:val="superscript"/>
        </w:rPr>
        <w:t>3</w:t>
      </w:r>
      <w:r>
        <w:rPr>
          <w:vertAlign w:val="baseline"/>
        </w:rPr>
        <w:t> accounting in aggregate for around 30% of the total US Treasury debt market, some academic studies suggest that they may have kept the nominal yield on the 10-year US Treasury a hundred basis points lower than they would have been</w:t>
      </w:r>
      <w:r>
        <w:rPr>
          <w:spacing w:val="-14"/>
          <w:vertAlign w:val="baseline"/>
        </w:rPr>
        <w:t> </w:t>
      </w:r>
      <w:r>
        <w:rPr>
          <w:vertAlign w:val="baseline"/>
        </w:rPr>
        <w:t>otherwise.</w:t>
      </w:r>
      <w:r>
        <w:rPr>
          <w:vertAlign w:val="superscript"/>
        </w:rPr>
        <w:t>4</w:t>
      </w:r>
    </w:p>
    <w:p>
      <w:pPr>
        <w:pStyle w:val="BodyText"/>
        <w:rPr>
          <w:sz w:val="30"/>
        </w:rPr>
      </w:pPr>
    </w:p>
    <w:p>
      <w:pPr>
        <w:pStyle w:val="BodyText"/>
        <w:spacing w:line="480" w:lineRule="auto" w:before="206"/>
        <w:ind w:left="477" w:right="1325"/>
      </w:pPr>
      <w:r>
        <w:rPr/>
        <w:t>The perception that official buyers may well have different aims and risk appetites to other commercial investors could give them more influence in the</w:t>
      </w:r>
      <w:r>
        <w:rPr>
          <w:spacing w:val="-8"/>
        </w:rPr>
        <w:t> </w:t>
      </w:r>
      <w:r>
        <w:rPr/>
        <w:t>markets.</w:t>
      </w:r>
    </w:p>
    <w:p>
      <w:pPr>
        <w:pStyle w:val="BodyText"/>
        <w:spacing w:line="480" w:lineRule="auto"/>
        <w:ind w:left="477" w:right="1311"/>
      </w:pPr>
      <w:r>
        <w:rPr/>
        <w:t>And, as with UK pension funds, they may genuinely alter the risk and term premia in some markets.</w:t>
      </w:r>
    </w:p>
    <w:p>
      <w:pPr>
        <w:pStyle w:val="BodyText"/>
        <w:rPr>
          <w:sz w:val="26"/>
        </w:rPr>
      </w:pPr>
    </w:p>
    <w:p>
      <w:pPr>
        <w:pStyle w:val="BodyText"/>
        <w:rPr>
          <w:sz w:val="22"/>
        </w:rPr>
      </w:pPr>
    </w:p>
    <w:p>
      <w:pPr>
        <w:pStyle w:val="BodyText"/>
        <w:spacing w:line="480" w:lineRule="auto"/>
        <w:ind w:left="477" w:right="1465"/>
      </w:pPr>
      <w:r>
        <w:rPr/>
        <w:pict>
          <v:line style="position:absolute;mso-position-horizontal-relative:page;mso-position-vertical-relative:paragraph;z-index:251662336" from="89.879997pt,54.46344pt" to="233.879997pt,54.46344pt" stroked="true" strokeweight=".599980pt" strokecolor="#000000">
            <v:stroke dashstyle="solid"/>
            <w10:wrap type="none"/>
          </v:line>
        </w:pict>
      </w:r>
      <w:r>
        <w:rPr/>
        <w:t>Within these accumulating reserves, the growth of SWFs will alter, at least at the margin, the asset mix of official balance sheets. Over time that will tend to</w:t>
      </w:r>
    </w:p>
    <w:p>
      <w:pPr>
        <w:spacing w:before="69"/>
        <w:ind w:left="117" w:right="1392" w:hanging="1"/>
        <w:jc w:val="left"/>
        <w:rPr>
          <w:sz w:val="20"/>
        </w:rPr>
      </w:pPr>
      <w:r>
        <w:rPr>
          <w:position w:val="9"/>
          <w:sz w:val="13"/>
        </w:rPr>
        <w:t>3 </w:t>
      </w:r>
      <w:r>
        <w:rPr>
          <w:sz w:val="20"/>
        </w:rPr>
        <w:t>The definition of the official sector in the US Treasury survey also includes public bodies such as oil stabilisation funds.</w:t>
      </w:r>
    </w:p>
    <w:p>
      <w:pPr>
        <w:pStyle w:val="BodyText"/>
        <w:spacing w:before="8"/>
        <w:rPr>
          <w:sz w:val="18"/>
        </w:rPr>
      </w:pPr>
    </w:p>
    <w:p>
      <w:pPr>
        <w:spacing w:before="0"/>
        <w:ind w:left="117" w:right="0" w:firstLine="0"/>
        <w:jc w:val="left"/>
        <w:rPr>
          <w:sz w:val="20"/>
        </w:rPr>
      </w:pPr>
      <w:r>
        <w:rPr>
          <w:position w:val="9"/>
          <w:sz w:val="13"/>
        </w:rPr>
        <w:t>4 </w:t>
      </w:r>
      <w:r>
        <w:rPr>
          <w:sz w:val="20"/>
        </w:rPr>
        <w:t>See ‘International capital flows and US interest rates’, NBER working paper 12560, October 2006.</w:t>
      </w:r>
    </w:p>
    <w:p>
      <w:pPr>
        <w:spacing w:after="0"/>
        <w:jc w:val="left"/>
        <w:rPr>
          <w:sz w:val="20"/>
        </w:rPr>
        <w:sectPr>
          <w:pgSz w:w="11900" w:h="16840"/>
          <w:pgMar w:header="0" w:footer="779" w:top="1360" w:bottom="960" w:left="1680" w:right="480"/>
        </w:sectPr>
      </w:pPr>
    </w:p>
    <w:p>
      <w:pPr>
        <w:pStyle w:val="BodyText"/>
        <w:spacing w:line="480" w:lineRule="auto" w:before="76"/>
        <w:ind w:left="477" w:right="1392"/>
      </w:pPr>
      <w:r>
        <w:rPr/>
        <w:t>increase the price of riskier assets, like equities and corporate and emerging market bonds, compared to government bonds. The impact will be greater if there are concentrations of investment in particular asset classes or countries. More widely, the switch of reserve rich countries from lenders to owners of financial or real assets is also likely to lead to political tensions and pressures for protectionism.</w:t>
      </w:r>
    </w:p>
    <w:p>
      <w:pPr>
        <w:pStyle w:val="BodyText"/>
        <w:rPr>
          <w:sz w:val="26"/>
        </w:rPr>
      </w:pPr>
    </w:p>
    <w:p>
      <w:pPr>
        <w:pStyle w:val="BodyText"/>
        <w:spacing w:before="3"/>
        <w:rPr>
          <w:sz w:val="22"/>
        </w:rPr>
      </w:pPr>
    </w:p>
    <w:p>
      <w:pPr>
        <w:pStyle w:val="Heading5"/>
        <w:rPr>
          <w:u w:val="none"/>
        </w:rPr>
      </w:pPr>
      <w:r>
        <w:rPr>
          <w:u w:val="thick"/>
        </w:rPr>
        <w:t>The credit cycle and monetary policy</w:t>
      </w:r>
    </w:p>
    <w:p>
      <w:pPr>
        <w:pStyle w:val="BodyText"/>
        <w:rPr>
          <w:b/>
          <w:sz w:val="20"/>
        </w:rPr>
      </w:pPr>
    </w:p>
    <w:p>
      <w:pPr>
        <w:pStyle w:val="BodyText"/>
        <w:spacing w:before="10"/>
        <w:rPr>
          <w:b/>
          <w:sz w:val="16"/>
        </w:rPr>
      </w:pPr>
    </w:p>
    <w:p>
      <w:pPr>
        <w:pStyle w:val="BodyText"/>
        <w:spacing w:line="480" w:lineRule="auto" w:before="90"/>
        <w:ind w:left="477" w:right="1338"/>
      </w:pPr>
      <w:r>
        <w:rPr/>
        <w:t>The knock on effects of defaults in the US sub prime market and the impact of big investors on asset prices are factors we need to assess not just in trying to understand the financial sector and the stresses it faces but in gauging the state of the economy more widely.</w:t>
      </w:r>
    </w:p>
    <w:p>
      <w:pPr>
        <w:pStyle w:val="BodyText"/>
        <w:spacing w:before="10"/>
        <w:rPr>
          <w:sz w:val="20"/>
        </w:rPr>
      </w:pPr>
    </w:p>
    <w:p>
      <w:pPr>
        <w:pStyle w:val="BodyText"/>
        <w:spacing w:line="480" w:lineRule="auto"/>
        <w:ind w:left="477" w:right="1458"/>
      </w:pPr>
      <w:r>
        <w:rPr/>
        <w:t>The story of the sub prime market illustrates a wider point. In traditional banking markets in the past there has been an observable tendency for banks to overshoot both in offering credit at the top of the cycle and retrenching afterwards. That feeds through into asset prices and can have an impact on the wider economy.</w:t>
      </w:r>
    </w:p>
    <w:p>
      <w:pPr>
        <w:pStyle w:val="BodyText"/>
        <w:spacing w:line="480" w:lineRule="auto"/>
        <w:ind w:left="477" w:right="1845"/>
      </w:pPr>
      <w:r>
        <w:rPr/>
        <w:t>Despite the sophistication of the new capital markets, a very traditional cycle seems to have been alive and kicking in sub prime.</w:t>
      </w:r>
    </w:p>
    <w:p>
      <w:pPr>
        <w:pStyle w:val="BodyText"/>
        <w:rPr>
          <w:sz w:val="26"/>
        </w:rPr>
      </w:pPr>
    </w:p>
    <w:p>
      <w:pPr>
        <w:pStyle w:val="BodyText"/>
        <w:rPr>
          <w:sz w:val="26"/>
        </w:rPr>
      </w:pPr>
    </w:p>
    <w:p>
      <w:pPr>
        <w:pStyle w:val="BodyText"/>
        <w:spacing w:line="480" w:lineRule="auto" w:before="193"/>
        <w:ind w:left="477" w:right="1372"/>
      </w:pPr>
      <w:r>
        <w:rPr/>
        <w:t>A similar story could be told about the credit card and other unsecured lending over the last few years. The growth rate rose in the late 90s until defaults began to build up over the last 2 years and the banks and other lenders tightened up terms and conditions sharply (</w:t>
      </w:r>
      <w:r>
        <w:rPr>
          <w:b/>
        </w:rPr>
        <w:t>Chart 13</w:t>
      </w:r>
      <w:r>
        <w:rPr/>
        <w:t>). The path of commercial property prices in recent years suggests the same has been happening there (</w:t>
      </w:r>
      <w:r>
        <w:rPr>
          <w:b/>
        </w:rPr>
        <w:t>Chart 14</w:t>
      </w:r>
      <w:r>
        <w:rPr/>
        <w:t>).</w:t>
      </w:r>
    </w:p>
    <w:p>
      <w:pPr>
        <w:spacing w:after="0" w:line="480" w:lineRule="auto"/>
        <w:sectPr>
          <w:pgSz w:w="11900" w:h="16840"/>
          <w:pgMar w:header="0" w:footer="779" w:top="1360" w:bottom="960" w:left="1680" w:right="480"/>
        </w:sectPr>
      </w:pPr>
    </w:p>
    <w:p>
      <w:pPr>
        <w:pStyle w:val="BodyText"/>
        <w:spacing w:before="11"/>
        <w:rPr>
          <w:sz w:val="25"/>
        </w:rPr>
      </w:pPr>
    </w:p>
    <w:p>
      <w:pPr>
        <w:pStyle w:val="BodyText"/>
        <w:spacing w:line="480" w:lineRule="auto" w:before="90"/>
        <w:ind w:left="477" w:right="1325"/>
      </w:pPr>
      <w:r>
        <w:rPr/>
        <w:t>In both cases there were genuine and lasting changes in technology and the costs of supply as the development of IT improved credit scoring and allowed the distribution of securitised risk to a wider range of investors. However, there are clear signs, at least in unsecured credit for households, that the lenders overshot. It seems likely that something similar has been going on in some leveraged loan deals. The position in the biggest markets – the mortgage market and mainstream corporate lending – are less clear.</w:t>
      </w:r>
    </w:p>
    <w:p>
      <w:pPr>
        <w:pStyle w:val="BodyText"/>
        <w:rPr>
          <w:sz w:val="26"/>
        </w:rPr>
      </w:pPr>
    </w:p>
    <w:p>
      <w:pPr>
        <w:pStyle w:val="BodyText"/>
        <w:rPr>
          <w:sz w:val="22"/>
        </w:rPr>
      </w:pPr>
    </w:p>
    <w:p>
      <w:pPr>
        <w:pStyle w:val="BodyText"/>
        <w:spacing w:line="480" w:lineRule="auto"/>
        <w:ind w:left="477" w:right="1351"/>
      </w:pPr>
      <w:r>
        <w:rPr/>
        <w:t>How far recent growth rates in money supply and in asset prices reflect a credit supply cycle and, if so, where we are in the cycle are questions we have been discussing on the MPC. If we could be confident of the answers there would be a strong case for using monetary policy to help stabilise growth and inflation by ‘leaning into the wind’ – that is, raising rates a little faster or further than we would otherwise have done on the upswing and reducing them quicker on the down swing. In practice the diagnosis is rarely clear cut. The sub prime losses and the impact of large investors are two factors complicating matters at the moment.</w:t>
      </w:r>
    </w:p>
    <w:p>
      <w:pPr>
        <w:spacing w:after="0" w:line="480" w:lineRule="auto"/>
        <w:sectPr>
          <w:pgSz w:w="11900" w:h="16840"/>
          <w:pgMar w:header="0" w:footer="779" w:top="1600" w:bottom="960" w:left="1680" w:right="480"/>
        </w:sectPr>
      </w:pPr>
    </w:p>
    <w:p>
      <w:pPr>
        <w:pStyle w:val="Heading5"/>
        <w:spacing w:before="79"/>
        <w:rPr>
          <w:u w:val="none"/>
        </w:rPr>
      </w:pPr>
      <w:r>
        <w:rPr>
          <w:u w:val="thick"/>
        </w:rPr>
        <w:t>Conclusion</w:t>
      </w:r>
    </w:p>
    <w:p>
      <w:pPr>
        <w:pStyle w:val="BodyText"/>
        <w:rPr>
          <w:b/>
          <w:sz w:val="20"/>
        </w:rPr>
      </w:pPr>
    </w:p>
    <w:p>
      <w:pPr>
        <w:pStyle w:val="BodyText"/>
        <w:rPr>
          <w:b/>
          <w:sz w:val="20"/>
        </w:rPr>
      </w:pPr>
    </w:p>
    <w:p>
      <w:pPr>
        <w:pStyle w:val="BodyText"/>
        <w:rPr>
          <w:b/>
        </w:rPr>
      </w:pPr>
    </w:p>
    <w:p>
      <w:pPr>
        <w:pStyle w:val="BodyText"/>
        <w:spacing w:line="480" w:lineRule="auto" w:before="90"/>
        <w:ind w:left="477" w:right="1452"/>
      </w:pPr>
      <w:r>
        <w:rPr/>
        <w:t>The old Chinese curse - “may he live in interesting times” – might be designed for central bankers. Our job is to keep things stable and boring. But there are limits in a rapidly changing world to what is possible. My argument is that the uncertainties today are a return to normality after two years of exceptional predictability in monetary policy both in the UK and elsewhere.</w:t>
      </w:r>
    </w:p>
    <w:p>
      <w:pPr>
        <w:pStyle w:val="BodyText"/>
        <w:rPr>
          <w:sz w:val="26"/>
        </w:rPr>
      </w:pPr>
    </w:p>
    <w:p>
      <w:pPr>
        <w:pStyle w:val="BodyText"/>
        <w:rPr>
          <w:sz w:val="22"/>
        </w:rPr>
      </w:pPr>
    </w:p>
    <w:p>
      <w:pPr>
        <w:pStyle w:val="BodyText"/>
        <w:spacing w:line="480" w:lineRule="auto"/>
        <w:ind w:left="477" w:right="1392"/>
      </w:pPr>
      <w:r>
        <w:rPr/>
        <w:t>A particular area of uncertainty at present is in the credit markets. The dangers of combining a traditional credit cycle with the new derivatives markets have emerged in the US sub prime sector. The US housing market is in its downswing and there are some signs that the same is true in the UK of unsecured credit and commercial property. The position of the bigger UK sectors is less clear cut. The shift in pension fund priorities and the growth of sovereign wealth funds are further clouding the picture.</w:t>
      </w:r>
    </w:p>
    <w:p>
      <w:pPr>
        <w:pStyle w:val="BodyText"/>
        <w:rPr>
          <w:sz w:val="26"/>
        </w:rPr>
      </w:pPr>
    </w:p>
    <w:p>
      <w:pPr>
        <w:pStyle w:val="BodyText"/>
        <w:spacing w:before="10"/>
        <w:rPr>
          <w:sz w:val="21"/>
        </w:rPr>
      </w:pPr>
    </w:p>
    <w:p>
      <w:pPr>
        <w:pStyle w:val="BodyText"/>
        <w:spacing w:line="480" w:lineRule="auto"/>
        <w:ind w:left="477" w:right="1590"/>
      </w:pPr>
      <w:r>
        <w:rPr/>
        <w:t>It is our job on the MPC to work through these issues and reach a judgement on them. Our target is to reduce inflation to 2% and keep it there. I can assure you that we will do whatever is needed to achieve that.</w:t>
      </w:r>
    </w:p>
    <w:p>
      <w:pPr>
        <w:spacing w:after="0" w:line="480" w:lineRule="auto"/>
        <w:sectPr>
          <w:pgSz w:w="11900" w:h="16840"/>
          <w:pgMar w:header="0" w:footer="779" w:top="1360" w:bottom="960" w:left="1680" w:right="480"/>
        </w:sectPr>
      </w:pPr>
    </w:p>
    <w:p>
      <w:pPr>
        <w:pStyle w:val="Heading1"/>
        <w:spacing w:before="210"/>
        <w:ind w:left="471"/>
      </w:pPr>
      <w:r>
        <w:rPr/>
        <w:t>Chart 1: Volatility of GDP and C</w:t>
      </w:r>
    </w:p>
    <w:p>
      <w:pPr>
        <w:pStyle w:val="Heading2"/>
        <w:spacing w:line="252" w:lineRule="auto" w:before="71"/>
        <w:ind w:left="748" w:hanging="675"/>
      </w:pPr>
      <w:r>
        <w:rPr/>
        <w:br w:type="column"/>
      </w:r>
      <w:r>
        <w:rPr/>
        <w:t>Chart 2: GDP and CPI fan charts from May 2006 Inflation Report</w:t>
      </w:r>
    </w:p>
    <w:p>
      <w:pPr>
        <w:spacing w:after="0" w:line="252" w:lineRule="auto"/>
        <w:sectPr>
          <w:pgSz w:w="11900" w:h="16840"/>
          <w:pgMar w:header="0" w:footer="779" w:top="1400" w:bottom="960" w:left="1680" w:right="480"/>
          <w:cols w:num="2" w:equalWidth="0">
            <w:col w:w="4730" w:space="40"/>
            <w:col w:w="4970"/>
          </w:cols>
        </w:sectPr>
      </w:pPr>
    </w:p>
    <w:p>
      <w:pPr>
        <w:pStyle w:val="BodyText"/>
        <w:spacing w:before="2"/>
        <w:rPr>
          <w:sz w:val="12"/>
        </w:rPr>
      </w:pPr>
    </w:p>
    <w:p>
      <w:pPr>
        <w:spacing w:before="1"/>
        <w:ind w:left="1680" w:right="0" w:firstLine="0"/>
        <w:jc w:val="left"/>
        <w:rPr>
          <w:sz w:val="13"/>
        </w:rPr>
      </w:pPr>
      <w:r>
        <w:rPr/>
        <w:pict>
          <v:shape style="position:absolute;margin-left:320.492981pt;margin-top:-34.313549pt;width:14.25pt;height:17.7pt;mso-position-horizontal-relative:page;mso-position-vertical-relative:paragraph;z-index:-252745728" type="#_x0000_t202" filled="false" stroked="false">
            <v:textbox inset="0,0,0,0">
              <w:txbxContent>
                <w:p>
                  <w:pPr>
                    <w:spacing w:line="353" w:lineRule="exact" w:before="0"/>
                    <w:ind w:left="0" w:right="0" w:firstLine="0"/>
                    <w:jc w:val="left"/>
                    <w:rPr>
                      <w:sz w:val="32"/>
                    </w:rPr>
                  </w:pPr>
                  <w:r>
                    <w:rPr>
                      <w:sz w:val="32"/>
                    </w:rPr>
                    <w:t>PI</w:t>
                  </w:r>
                </w:p>
              </w:txbxContent>
            </v:textbox>
            <w10:wrap type="none"/>
          </v:shape>
        </w:pict>
      </w:r>
      <w:r>
        <w:rPr/>
        <w:drawing>
          <wp:anchor distT="0" distB="0" distL="0" distR="0" allowOverlap="1" layoutInCell="1" locked="0" behindDoc="0" simplePos="0" relativeHeight="251667456">
            <wp:simplePos x="0" y="0"/>
            <wp:positionH relativeFrom="page">
              <wp:posOffset>1931670</wp:posOffset>
            </wp:positionH>
            <wp:positionV relativeFrom="paragraph">
              <wp:posOffset>52642</wp:posOffset>
            </wp:positionV>
            <wp:extent cx="179074" cy="744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79074" cy="7443"/>
                    </a:xfrm>
                    <a:prstGeom prst="rect">
                      <a:avLst/>
                    </a:prstGeom>
                  </pic:spPr>
                </pic:pic>
              </a:graphicData>
            </a:graphic>
          </wp:anchor>
        </w:drawing>
      </w:r>
      <w:r>
        <w:rPr>
          <w:spacing w:val="-5"/>
          <w:w w:val="105"/>
          <w:sz w:val="13"/>
        </w:rPr>
        <w:t>Real </w:t>
      </w:r>
      <w:r>
        <w:rPr>
          <w:spacing w:val="-9"/>
          <w:w w:val="105"/>
          <w:sz w:val="13"/>
        </w:rPr>
        <w:t>GDP </w:t>
      </w:r>
      <w:r>
        <w:rPr>
          <w:spacing w:val="-8"/>
          <w:w w:val="105"/>
          <w:sz w:val="13"/>
        </w:rPr>
        <w:t>Growth</w:t>
      </w:r>
    </w:p>
    <w:p>
      <w:pPr>
        <w:spacing w:before="106"/>
        <w:ind w:left="1018" w:right="0" w:firstLine="0"/>
        <w:jc w:val="left"/>
        <w:rPr>
          <w:sz w:val="13"/>
        </w:rPr>
      </w:pPr>
      <w:r>
        <w:rPr/>
        <w:br w:type="column"/>
      </w:r>
      <w:r>
        <w:rPr>
          <w:w w:val="105"/>
          <w:sz w:val="13"/>
        </w:rPr>
        <w:t>Per cent</w:t>
      </w:r>
    </w:p>
    <w:p>
      <w:pPr>
        <w:spacing w:before="26"/>
        <w:ind w:left="1559" w:right="0" w:firstLine="0"/>
        <w:jc w:val="left"/>
        <w:rPr>
          <w:sz w:val="13"/>
        </w:rPr>
      </w:pPr>
      <w:r>
        <w:rPr/>
        <w:pict>
          <v:group style="position:absolute;margin-left:145.926453pt;margin-top:5.659385pt;width:147.2pt;height:115.2pt;mso-position-horizontal-relative:page;mso-position-vertical-relative:paragraph;z-index:251666432" coordorigin="2919,113" coordsize="2944,2304">
            <v:shape style="position:absolute;left:2918;top:113;width:2944;height:2304" type="#_x0000_t75" stroked="false">
              <v:imagedata r:id="rId9" o:title=""/>
            </v:shape>
            <v:shape style="position:absolute;left:3360;top:150;width:231;height:143" type="#_x0000_t202" filled="false" stroked="false">
              <v:textbox inset="0,0,0,0">
                <w:txbxContent>
                  <w:p>
                    <w:pPr>
                      <w:spacing w:line="143" w:lineRule="exact" w:before="0"/>
                      <w:ind w:left="0" w:right="0" w:firstLine="0"/>
                      <w:jc w:val="left"/>
                      <w:rPr>
                        <w:sz w:val="13"/>
                      </w:rPr>
                    </w:pPr>
                    <w:r>
                      <w:rPr>
                        <w:w w:val="105"/>
                        <w:sz w:val="13"/>
                      </w:rPr>
                      <w:t>CPI</w:t>
                    </w:r>
                  </w:p>
                </w:txbxContent>
              </v:textbox>
              <w10:wrap type="none"/>
            </v:shape>
            <v:shape style="position:absolute;left:4194;top:1414;width:208;height:143" type="#_x0000_t202" filled="false" stroked="false">
              <v:textbox inset="0,0,0,0">
                <w:txbxContent>
                  <w:p>
                    <w:pPr>
                      <w:spacing w:line="143" w:lineRule="exact" w:before="0"/>
                      <w:ind w:left="0" w:right="0" w:firstLine="0"/>
                      <w:jc w:val="left"/>
                      <w:rPr>
                        <w:sz w:val="13"/>
                      </w:rPr>
                    </w:pPr>
                    <w:r>
                      <w:rPr>
                        <w:w w:val="106"/>
                        <w:sz w:val="13"/>
                        <w:u w:val="thick" w:color="FF0000"/>
                      </w:rPr>
                      <w:t> </w:t>
                    </w:r>
                    <w:r>
                      <w:rPr>
                        <w:spacing w:val="-11"/>
                        <w:sz w:val="13"/>
                        <w:u w:val="thick" w:color="FF0000"/>
                      </w:rPr>
                      <w:t> </w:t>
                    </w:r>
                  </w:p>
                </w:txbxContent>
              </v:textbox>
              <w10:wrap type="none"/>
            </v:shape>
            <w10:wrap type="none"/>
          </v:group>
        </w:pict>
      </w:r>
      <w:r>
        <w:rPr>
          <w:w w:val="106"/>
          <w:sz w:val="13"/>
        </w:rPr>
        <w:t>5</w:t>
      </w:r>
    </w:p>
    <w:p>
      <w:pPr>
        <w:spacing w:after="0"/>
        <w:jc w:val="left"/>
        <w:rPr>
          <w:sz w:val="13"/>
        </w:rPr>
        <w:sectPr>
          <w:type w:val="continuous"/>
          <w:pgSz w:w="11900" w:h="16840"/>
          <w:pgMar w:top="1180" w:bottom="280" w:left="1680" w:right="480"/>
          <w:cols w:num="2" w:equalWidth="0">
            <w:col w:w="2643" w:space="40"/>
            <w:col w:w="7057"/>
          </w:cols>
        </w:sectPr>
      </w:pPr>
    </w:p>
    <w:p>
      <w:pPr>
        <w:pStyle w:val="BodyText"/>
        <w:spacing w:before="7"/>
        <w:rPr>
          <w:sz w:val="18"/>
        </w:rPr>
      </w:pPr>
    </w:p>
    <w:p>
      <w:pPr>
        <w:spacing w:before="93"/>
        <w:ind w:left="0" w:right="1184" w:firstLine="0"/>
        <w:jc w:val="center"/>
        <w:rPr>
          <w:sz w:val="13"/>
        </w:rPr>
      </w:pPr>
      <w:r>
        <w:rPr>
          <w:w w:val="106"/>
          <w:sz w:val="13"/>
        </w:rPr>
        <w:t>4</w:t>
      </w:r>
    </w:p>
    <w:p>
      <w:pPr>
        <w:pStyle w:val="BodyText"/>
        <w:spacing w:before="7"/>
        <w:rPr>
          <w:sz w:val="18"/>
        </w:rPr>
      </w:pPr>
    </w:p>
    <w:p>
      <w:pPr>
        <w:spacing w:before="94"/>
        <w:ind w:left="0" w:right="1184" w:firstLine="0"/>
        <w:jc w:val="center"/>
        <w:rPr>
          <w:sz w:val="13"/>
        </w:rPr>
      </w:pPr>
      <w:r>
        <w:rPr>
          <w:w w:val="106"/>
          <w:sz w:val="13"/>
        </w:rPr>
        <w:t>3</w:t>
      </w:r>
    </w:p>
    <w:p>
      <w:pPr>
        <w:pStyle w:val="BodyText"/>
        <w:spacing w:before="6"/>
        <w:rPr>
          <w:sz w:val="19"/>
        </w:rPr>
      </w:pPr>
    </w:p>
    <w:p>
      <w:pPr>
        <w:spacing w:before="94"/>
        <w:ind w:left="0" w:right="1184" w:firstLine="0"/>
        <w:jc w:val="center"/>
        <w:rPr>
          <w:sz w:val="13"/>
        </w:rPr>
      </w:pPr>
      <w:r>
        <w:rPr>
          <w:w w:val="106"/>
          <w:sz w:val="13"/>
        </w:rPr>
        <w:t>2</w:t>
      </w:r>
    </w:p>
    <w:p>
      <w:pPr>
        <w:pStyle w:val="BodyText"/>
        <w:spacing w:before="7"/>
        <w:rPr>
          <w:sz w:val="18"/>
        </w:rPr>
      </w:pPr>
    </w:p>
    <w:p>
      <w:pPr>
        <w:spacing w:before="94"/>
        <w:ind w:left="0" w:right="1184" w:firstLine="0"/>
        <w:jc w:val="center"/>
        <w:rPr>
          <w:sz w:val="13"/>
        </w:rPr>
      </w:pPr>
      <w:r>
        <w:rPr>
          <w:w w:val="106"/>
          <w:sz w:val="13"/>
        </w:rPr>
        <w:t>1</w:t>
      </w:r>
    </w:p>
    <w:p>
      <w:pPr>
        <w:pStyle w:val="BodyText"/>
        <w:spacing w:before="7"/>
        <w:rPr>
          <w:sz w:val="18"/>
        </w:rPr>
      </w:pPr>
    </w:p>
    <w:p>
      <w:pPr>
        <w:spacing w:before="94"/>
        <w:ind w:left="0" w:right="1184" w:firstLine="0"/>
        <w:jc w:val="center"/>
        <w:rPr>
          <w:sz w:val="13"/>
        </w:rPr>
      </w:pPr>
      <w:r>
        <w:rPr>
          <w:w w:val="106"/>
          <w:sz w:val="13"/>
        </w:rPr>
        <w:t>0</w:t>
      </w:r>
    </w:p>
    <w:p>
      <w:pPr>
        <w:spacing w:before="37"/>
        <w:ind w:left="1244" w:right="5741" w:firstLine="0"/>
        <w:jc w:val="center"/>
        <w:rPr>
          <w:sz w:val="13"/>
        </w:rPr>
      </w:pPr>
      <w:r>
        <w:rPr>
          <w:w w:val="105"/>
          <w:sz w:val="13"/>
        </w:rPr>
        <w:t>79 81 83 85 87 89 91 93 95 97 99 01 03 05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900" w:h="16840"/>
          <w:pgMar w:top="1180" w:bottom="280" w:left="1680" w:right="480"/>
        </w:sectPr>
      </w:pPr>
    </w:p>
    <w:p>
      <w:pPr>
        <w:pStyle w:val="BodyText"/>
        <w:rPr>
          <w:sz w:val="39"/>
        </w:rPr>
      </w:pPr>
    </w:p>
    <w:p>
      <w:pPr>
        <w:pStyle w:val="Heading3"/>
      </w:pPr>
      <w:r>
        <w:rPr/>
        <w:drawing>
          <wp:anchor distT="0" distB="0" distL="0" distR="0" allowOverlap="1" layoutInCell="1" locked="0" behindDoc="1" simplePos="0" relativeHeight="250578944">
            <wp:simplePos x="0" y="0"/>
            <wp:positionH relativeFrom="page">
              <wp:posOffset>4008881</wp:posOffset>
            </wp:positionH>
            <wp:positionV relativeFrom="paragraph">
              <wp:posOffset>-3476195</wp:posOffset>
            </wp:positionV>
            <wp:extent cx="3356910" cy="2506979"/>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3356910" cy="2506979"/>
                    </a:xfrm>
                    <a:prstGeom prst="rect">
                      <a:avLst/>
                    </a:prstGeom>
                  </pic:spPr>
                </pic:pic>
              </a:graphicData>
            </a:graphic>
          </wp:anchor>
        </w:drawing>
      </w:r>
      <w:r>
        <w:rPr/>
        <w:t>Chart 3: Corporate bond spreads</w:t>
      </w:r>
    </w:p>
    <w:p>
      <w:pPr>
        <w:tabs>
          <w:tab w:pos="3502" w:val="left" w:leader="none"/>
        </w:tabs>
        <w:spacing w:before="267"/>
        <w:ind w:left="994" w:right="0" w:firstLine="0"/>
        <w:jc w:val="left"/>
        <w:rPr>
          <w:sz w:val="14"/>
        </w:rPr>
      </w:pPr>
      <w:r>
        <w:rPr>
          <w:spacing w:val="-5"/>
          <w:w w:val="105"/>
          <w:sz w:val="14"/>
        </w:rPr>
        <w:t>Basis</w:t>
      </w:r>
      <w:r>
        <w:rPr>
          <w:spacing w:val="1"/>
          <w:w w:val="105"/>
          <w:sz w:val="14"/>
        </w:rPr>
        <w:t> </w:t>
      </w:r>
      <w:r>
        <w:rPr>
          <w:w w:val="105"/>
          <w:sz w:val="14"/>
        </w:rPr>
        <w:t>points</w:t>
        <w:tab/>
      </w:r>
      <w:r>
        <w:rPr>
          <w:spacing w:val="-5"/>
          <w:w w:val="105"/>
          <w:sz w:val="14"/>
        </w:rPr>
        <w:t>Basis</w:t>
      </w:r>
      <w:r>
        <w:rPr>
          <w:spacing w:val="2"/>
          <w:w w:val="105"/>
          <w:sz w:val="14"/>
        </w:rPr>
        <w:t> </w:t>
      </w:r>
      <w:r>
        <w:rPr>
          <w:w w:val="105"/>
          <w:sz w:val="14"/>
        </w:rPr>
        <w:t>points</w:t>
      </w:r>
    </w:p>
    <w:p>
      <w:pPr>
        <w:pStyle w:val="Heading2"/>
        <w:spacing w:before="261"/>
        <w:ind w:left="799" w:right="432"/>
        <w:jc w:val="center"/>
      </w:pPr>
      <w:r>
        <w:rPr/>
        <w:br w:type="column"/>
      </w:r>
      <w:r>
        <w:rPr/>
        <w:t>Chart 4: Financial market liquidity</w:t>
      </w:r>
    </w:p>
    <w:p>
      <w:pPr>
        <w:spacing w:after="0"/>
        <w:jc w:val="center"/>
        <w:sectPr>
          <w:type w:val="continuous"/>
          <w:pgSz w:w="11900" w:h="16840"/>
          <w:pgMar w:top="1180" w:bottom="280" w:left="1680" w:right="480"/>
          <w:cols w:num="2" w:equalWidth="0">
            <w:col w:w="4342" w:space="100"/>
            <w:col w:w="5298"/>
          </w:cols>
        </w:sectPr>
      </w:pPr>
    </w:p>
    <w:p>
      <w:pPr>
        <w:spacing w:before="0"/>
        <w:ind w:left="0" w:right="201" w:firstLine="0"/>
        <w:jc w:val="right"/>
        <w:rPr>
          <w:sz w:val="14"/>
        </w:rPr>
      </w:pPr>
      <w:r>
        <w:rPr/>
        <w:pict>
          <v:group style="position:absolute;margin-left:141.240005pt;margin-top:4.04204pt;width:141.5pt;height:102.2pt;mso-position-horizontal-relative:page;mso-position-vertical-relative:paragraph;z-index:251670528" coordorigin="2825,81" coordsize="2830,2044">
            <v:shape style="position:absolute;left:2824;top:80;width:2830;height:2044" type="#_x0000_t75" stroked="false">
              <v:imagedata r:id="rId11" o:title=""/>
            </v:shape>
            <v:shape style="position:absolute;left:3018;top:242;width:1764;height:154" type="#_x0000_t202" filled="false" stroked="false">
              <v:textbox inset="0,0,0,0">
                <w:txbxContent>
                  <w:p>
                    <w:pPr>
                      <w:spacing w:line="154" w:lineRule="exact" w:before="0"/>
                      <w:ind w:left="0" w:right="0" w:firstLine="0"/>
                      <w:jc w:val="left"/>
                      <w:rPr>
                        <w:sz w:val="14"/>
                      </w:rPr>
                    </w:pPr>
                    <w:r>
                      <w:rPr>
                        <w:color w:val="FF00FF"/>
                        <w:spacing w:val="-6"/>
                        <w:w w:val="105"/>
                        <w:sz w:val="14"/>
                      </w:rPr>
                      <w:t>High </w:t>
                    </w:r>
                    <w:r>
                      <w:rPr>
                        <w:color w:val="FF00FF"/>
                        <w:spacing w:val="-9"/>
                        <w:w w:val="105"/>
                        <w:sz w:val="14"/>
                      </w:rPr>
                      <w:t>Yield </w:t>
                    </w:r>
                    <w:r>
                      <w:rPr>
                        <w:color w:val="FF00FF"/>
                        <w:spacing w:val="-3"/>
                        <w:w w:val="105"/>
                        <w:sz w:val="14"/>
                      </w:rPr>
                      <w:t>corporations </w:t>
                    </w:r>
                    <w:r>
                      <w:rPr>
                        <w:color w:val="FF00FF"/>
                        <w:spacing w:val="-9"/>
                        <w:w w:val="105"/>
                        <w:sz w:val="14"/>
                      </w:rPr>
                      <w:t>(RHS)</w:t>
                    </w:r>
                  </w:p>
                </w:txbxContent>
              </v:textbox>
              <w10:wrap type="none"/>
            </v:shape>
            <v:shape style="position:absolute;left:2911;top:1407;width:2481;height:518" type="#_x0000_t202" filled="false" stroked="false">
              <v:textbox inset="0,0,0,0">
                <w:txbxContent>
                  <w:p>
                    <w:pPr>
                      <w:spacing w:line="154" w:lineRule="exact" w:before="0"/>
                      <w:ind w:left="1071" w:right="0" w:firstLine="0"/>
                      <w:jc w:val="left"/>
                      <w:rPr>
                        <w:sz w:val="14"/>
                      </w:rPr>
                    </w:pPr>
                    <w:r>
                      <w:rPr>
                        <w:color w:val="000080"/>
                        <w:spacing w:val="-8"/>
                        <w:w w:val="105"/>
                        <w:sz w:val="14"/>
                      </w:rPr>
                      <w:t>Emerging </w:t>
                    </w:r>
                    <w:r>
                      <w:rPr>
                        <w:color w:val="000080"/>
                        <w:spacing w:val="-7"/>
                        <w:w w:val="105"/>
                        <w:sz w:val="14"/>
                      </w:rPr>
                      <w:t>markets </w:t>
                    </w:r>
                    <w:r>
                      <w:rPr>
                        <w:color w:val="000080"/>
                        <w:spacing w:val="-9"/>
                        <w:w w:val="105"/>
                        <w:sz w:val="14"/>
                      </w:rPr>
                      <w:t>(RHS)</w:t>
                    </w:r>
                  </w:p>
                  <w:p>
                    <w:pPr>
                      <w:spacing w:line="271" w:lineRule="auto" w:before="21"/>
                      <w:ind w:left="0" w:right="1273" w:firstLine="0"/>
                      <w:jc w:val="left"/>
                      <w:rPr>
                        <w:sz w:val="14"/>
                      </w:rPr>
                    </w:pPr>
                    <w:r>
                      <w:rPr>
                        <w:color w:val="008000"/>
                        <w:w w:val="105"/>
                        <w:sz w:val="14"/>
                      </w:rPr>
                      <w:t>Investment Grade corportations (LHS)</w:t>
                    </w:r>
                  </w:p>
                </w:txbxContent>
              </v:textbox>
              <w10:wrap type="none"/>
            </v:shape>
            <w10:wrap type="none"/>
          </v:group>
        </w:pict>
      </w:r>
      <w:r>
        <w:rPr>
          <w:spacing w:val="-11"/>
          <w:w w:val="105"/>
          <w:sz w:val="14"/>
        </w:rPr>
        <w:t>80</w:t>
      </w:r>
    </w:p>
    <w:p>
      <w:pPr>
        <w:spacing w:before="96"/>
        <w:ind w:left="0" w:right="201" w:firstLine="0"/>
        <w:jc w:val="right"/>
        <w:rPr>
          <w:sz w:val="14"/>
        </w:rPr>
      </w:pPr>
      <w:r>
        <w:rPr>
          <w:spacing w:val="-11"/>
          <w:w w:val="105"/>
          <w:sz w:val="14"/>
        </w:rPr>
        <w:t>70</w:t>
      </w:r>
    </w:p>
    <w:p>
      <w:pPr>
        <w:spacing w:before="95"/>
        <w:ind w:left="0" w:right="201" w:firstLine="0"/>
        <w:jc w:val="right"/>
        <w:rPr>
          <w:sz w:val="14"/>
        </w:rPr>
      </w:pPr>
      <w:r>
        <w:rPr>
          <w:spacing w:val="-11"/>
          <w:w w:val="105"/>
          <w:sz w:val="14"/>
        </w:rPr>
        <w:t>60</w:t>
      </w:r>
    </w:p>
    <w:p>
      <w:pPr>
        <w:spacing w:before="96"/>
        <w:ind w:left="0" w:right="201" w:firstLine="0"/>
        <w:jc w:val="right"/>
        <w:rPr>
          <w:sz w:val="14"/>
        </w:rPr>
      </w:pPr>
      <w:r>
        <w:rPr>
          <w:spacing w:val="-11"/>
          <w:w w:val="105"/>
          <w:sz w:val="14"/>
        </w:rPr>
        <w:t>50</w:t>
      </w:r>
    </w:p>
    <w:p>
      <w:pPr>
        <w:spacing w:before="95"/>
        <w:ind w:left="0" w:right="201" w:firstLine="0"/>
        <w:jc w:val="right"/>
        <w:rPr>
          <w:sz w:val="14"/>
        </w:rPr>
      </w:pPr>
      <w:r>
        <w:rPr>
          <w:spacing w:val="-11"/>
          <w:w w:val="105"/>
          <w:sz w:val="14"/>
        </w:rPr>
        <w:t>40</w:t>
      </w:r>
    </w:p>
    <w:p>
      <w:pPr>
        <w:spacing w:before="85"/>
        <w:ind w:left="0" w:right="201" w:firstLine="0"/>
        <w:jc w:val="right"/>
        <w:rPr>
          <w:sz w:val="14"/>
        </w:rPr>
      </w:pPr>
      <w:r>
        <w:rPr>
          <w:spacing w:val="-11"/>
          <w:w w:val="105"/>
          <w:sz w:val="14"/>
        </w:rPr>
        <w:t>30</w:t>
      </w:r>
    </w:p>
    <w:p>
      <w:pPr>
        <w:spacing w:before="96"/>
        <w:ind w:left="0" w:right="201" w:firstLine="0"/>
        <w:jc w:val="right"/>
        <w:rPr>
          <w:sz w:val="14"/>
        </w:rPr>
      </w:pPr>
      <w:r>
        <w:rPr>
          <w:spacing w:val="-11"/>
          <w:w w:val="105"/>
          <w:sz w:val="14"/>
        </w:rPr>
        <w:t>20</w:t>
      </w:r>
    </w:p>
    <w:p>
      <w:pPr>
        <w:spacing w:before="96"/>
        <w:ind w:left="0" w:right="201" w:firstLine="0"/>
        <w:jc w:val="right"/>
        <w:rPr>
          <w:sz w:val="14"/>
        </w:rPr>
      </w:pPr>
      <w:r>
        <w:rPr>
          <w:spacing w:val="-11"/>
          <w:w w:val="105"/>
          <w:sz w:val="14"/>
        </w:rPr>
        <w:t>10</w:t>
      </w:r>
    </w:p>
    <w:p>
      <w:pPr>
        <w:spacing w:before="95"/>
        <w:ind w:left="0" w:right="191" w:firstLine="0"/>
        <w:jc w:val="right"/>
        <w:rPr>
          <w:sz w:val="14"/>
        </w:rPr>
      </w:pPr>
      <w:r>
        <w:rPr>
          <w:w w:val="106"/>
          <w:sz w:val="14"/>
        </w:rPr>
        <w:t>0</w:t>
      </w:r>
    </w:p>
    <w:p>
      <w:pPr>
        <w:spacing w:before="42"/>
        <w:ind w:left="0" w:right="0" w:firstLine="0"/>
        <w:jc w:val="right"/>
        <w:rPr>
          <w:sz w:val="14"/>
        </w:rPr>
      </w:pPr>
      <w:r>
        <w:rPr>
          <w:w w:val="105"/>
          <w:sz w:val="14"/>
        </w:rPr>
        <w:t>Jan</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3"/>
        <w:rPr>
          <w:sz w:val="13"/>
        </w:rPr>
      </w:pPr>
    </w:p>
    <w:p>
      <w:pPr>
        <w:tabs>
          <w:tab w:pos="689" w:val="left" w:leader="none"/>
          <w:tab w:pos="1106" w:val="left" w:leader="none"/>
          <w:tab w:pos="1556" w:val="left" w:leader="none"/>
          <w:tab w:pos="1985" w:val="left" w:leader="none"/>
        </w:tabs>
        <w:spacing w:before="0"/>
        <w:ind w:left="206" w:right="0" w:firstLine="0"/>
        <w:jc w:val="left"/>
        <w:rPr>
          <w:sz w:val="14"/>
        </w:rPr>
      </w:pPr>
      <w:r>
        <w:rPr>
          <w:w w:val="105"/>
          <w:sz w:val="14"/>
        </w:rPr>
        <w:t>Apr</w:t>
        <w:tab/>
        <w:t>Jul</w:t>
        <w:tab/>
      </w:r>
      <w:r>
        <w:rPr>
          <w:spacing w:val="-5"/>
          <w:w w:val="105"/>
          <w:sz w:val="14"/>
        </w:rPr>
        <w:t>Oct</w:t>
        <w:tab/>
      </w:r>
      <w:r>
        <w:rPr>
          <w:spacing w:val="-3"/>
          <w:w w:val="105"/>
          <w:sz w:val="14"/>
        </w:rPr>
        <w:t>Jan</w:t>
        <w:tab/>
      </w:r>
      <w:r>
        <w:rPr>
          <w:spacing w:val="-8"/>
          <w:w w:val="105"/>
          <w:sz w:val="14"/>
        </w:rPr>
        <w:t>Apr</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3"/>
        <w:rPr>
          <w:sz w:val="13"/>
        </w:rPr>
      </w:pPr>
    </w:p>
    <w:p>
      <w:pPr>
        <w:spacing w:before="0"/>
        <w:ind w:left="210" w:right="0" w:firstLine="0"/>
        <w:jc w:val="left"/>
        <w:rPr>
          <w:sz w:val="14"/>
        </w:rPr>
      </w:pPr>
      <w:r>
        <w:rPr>
          <w:w w:val="105"/>
          <w:sz w:val="14"/>
        </w:rPr>
        <w:t>Jul</w:t>
      </w:r>
    </w:p>
    <w:p>
      <w:pPr>
        <w:spacing w:before="0"/>
        <w:ind w:left="36" w:right="0" w:firstLine="0"/>
        <w:jc w:val="left"/>
        <w:rPr>
          <w:sz w:val="14"/>
        </w:rPr>
      </w:pPr>
      <w:r>
        <w:rPr/>
        <w:br w:type="column"/>
      </w:r>
      <w:r>
        <w:rPr>
          <w:spacing w:val="-8"/>
          <w:w w:val="105"/>
          <w:sz w:val="14"/>
        </w:rPr>
        <w:t>350</w:t>
      </w:r>
    </w:p>
    <w:p>
      <w:pPr>
        <w:pStyle w:val="BodyText"/>
        <w:spacing w:before="1"/>
        <w:rPr>
          <w:sz w:val="11"/>
        </w:rPr>
      </w:pPr>
    </w:p>
    <w:p>
      <w:pPr>
        <w:spacing w:before="1"/>
        <w:ind w:left="36" w:right="0" w:firstLine="0"/>
        <w:jc w:val="left"/>
        <w:rPr>
          <w:sz w:val="14"/>
        </w:rPr>
      </w:pPr>
      <w:r>
        <w:rPr/>
        <w:drawing>
          <wp:anchor distT="0" distB="0" distL="0" distR="0" allowOverlap="1" layoutInCell="1" locked="0" behindDoc="0" simplePos="0" relativeHeight="251672576">
            <wp:simplePos x="0" y="0"/>
            <wp:positionH relativeFrom="page">
              <wp:posOffset>4576571</wp:posOffset>
            </wp:positionH>
            <wp:positionV relativeFrom="paragraph">
              <wp:posOffset>-407879</wp:posOffset>
            </wp:positionV>
            <wp:extent cx="2218943" cy="1800605"/>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2" cstate="print"/>
                    <a:stretch>
                      <a:fillRect/>
                    </a:stretch>
                  </pic:blipFill>
                  <pic:spPr>
                    <a:xfrm>
                      <a:off x="0" y="0"/>
                      <a:ext cx="2218943" cy="1800605"/>
                    </a:xfrm>
                    <a:prstGeom prst="rect">
                      <a:avLst/>
                    </a:prstGeom>
                  </pic:spPr>
                </pic:pic>
              </a:graphicData>
            </a:graphic>
          </wp:anchor>
        </w:drawing>
      </w:r>
      <w:r>
        <w:rPr>
          <w:spacing w:val="-8"/>
          <w:w w:val="105"/>
          <w:sz w:val="14"/>
        </w:rPr>
        <w:t>300</w:t>
      </w:r>
    </w:p>
    <w:p>
      <w:pPr>
        <w:pStyle w:val="BodyText"/>
        <w:spacing w:before="11"/>
        <w:rPr>
          <w:sz w:val="11"/>
        </w:rPr>
      </w:pPr>
    </w:p>
    <w:p>
      <w:pPr>
        <w:spacing w:before="0"/>
        <w:ind w:left="36" w:right="0" w:firstLine="0"/>
        <w:jc w:val="left"/>
        <w:rPr>
          <w:sz w:val="14"/>
        </w:rPr>
      </w:pPr>
      <w:r>
        <w:rPr>
          <w:spacing w:val="-8"/>
          <w:w w:val="105"/>
          <w:sz w:val="14"/>
        </w:rPr>
        <w:t>250</w:t>
      </w:r>
    </w:p>
    <w:p>
      <w:pPr>
        <w:pStyle w:val="BodyText"/>
        <w:spacing w:before="1"/>
        <w:rPr>
          <w:sz w:val="11"/>
        </w:rPr>
      </w:pPr>
    </w:p>
    <w:p>
      <w:pPr>
        <w:spacing w:before="1"/>
        <w:ind w:left="36" w:right="0" w:firstLine="0"/>
        <w:jc w:val="left"/>
        <w:rPr>
          <w:sz w:val="14"/>
        </w:rPr>
      </w:pPr>
      <w:r>
        <w:rPr>
          <w:spacing w:val="-8"/>
          <w:w w:val="105"/>
          <w:sz w:val="14"/>
        </w:rPr>
        <w:t>200</w:t>
      </w:r>
    </w:p>
    <w:p>
      <w:pPr>
        <w:pStyle w:val="BodyText"/>
        <w:rPr>
          <w:sz w:val="11"/>
        </w:rPr>
      </w:pPr>
    </w:p>
    <w:p>
      <w:pPr>
        <w:spacing w:before="0"/>
        <w:ind w:left="36" w:right="0" w:firstLine="0"/>
        <w:jc w:val="left"/>
        <w:rPr>
          <w:sz w:val="14"/>
        </w:rPr>
      </w:pPr>
      <w:r>
        <w:rPr>
          <w:spacing w:val="-8"/>
          <w:w w:val="105"/>
          <w:sz w:val="14"/>
        </w:rPr>
        <w:t>150</w:t>
      </w:r>
    </w:p>
    <w:p>
      <w:pPr>
        <w:pStyle w:val="BodyText"/>
        <w:spacing w:before="2"/>
        <w:rPr>
          <w:sz w:val="11"/>
        </w:rPr>
      </w:pPr>
    </w:p>
    <w:p>
      <w:pPr>
        <w:spacing w:before="0"/>
        <w:ind w:left="36" w:right="0" w:firstLine="0"/>
        <w:jc w:val="left"/>
        <w:rPr>
          <w:sz w:val="14"/>
        </w:rPr>
      </w:pPr>
      <w:r>
        <w:rPr>
          <w:spacing w:val="-8"/>
          <w:w w:val="105"/>
          <w:sz w:val="14"/>
        </w:rPr>
        <w:t>100</w:t>
      </w:r>
    </w:p>
    <w:p>
      <w:pPr>
        <w:pStyle w:val="BodyText"/>
        <w:spacing w:before="11"/>
        <w:rPr>
          <w:sz w:val="11"/>
        </w:rPr>
      </w:pPr>
    </w:p>
    <w:p>
      <w:pPr>
        <w:spacing w:before="0"/>
        <w:ind w:left="36" w:right="0" w:firstLine="0"/>
        <w:jc w:val="left"/>
        <w:rPr>
          <w:sz w:val="14"/>
        </w:rPr>
      </w:pPr>
      <w:r>
        <w:rPr>
          <w:w w:val="105"/>
          <w:sz w:val="14"/>
        </w:rPr>
        <w:t>50</w:t>
      </w:r>
    </w:p>
    <w:p>
      <w:pPr>
        <w:pStyle w:val="BodyText"/>
        <w:spacing w:before="2"/>
        <w:rPr>
          <w:sz w:val="11"/>
        </w:rPr>
      </w:pPr>
    </w:p>
    <w:p>
      <w:pPr>
        <w:spacing w:before="0"/>
        <w:ind w:left="36" w:right="0" w:firstLine="0"/>
        <w:jc w:val="left"/>
        <w:rPr>
          <w:sz w:val="14"/>
        </w:rPr>
      </w:pPr>
      <w:r>
        <w:rPr>
          <w:w w:val="106"/>
          <w:sz w:val="14"/>
        </w:rPr>
        <w:t>0</w:t>
      </w:r>
    </w:p>
    <w:p>
      <w:pPr>
        <w:spacing w:after="0"/>
        <w:jc w:val="left"/>
        <w:rPr>
          <w:sz w:val="14"/>
        </w:rPr>
        <w:sectPr>
          <w:type w:val="continuous"/>
          <w:pgSz w:w="11900" w:h="16840"/>
          <w:pgMar w:top="1180" w:bottom="280" w:left="1680" w:right="480"/>
          <w:cols w:num="4" w:equalWidth="0">
            <w:col w:w="1285" w:space="40"/>
            <w:col w:w="2218" w:space="39"/>
            <w:col w:w="382" w:space="39"/>
            <w:col w:w="5737"/>
          </w:cols>
        </w:sectPr>
      </w:pPr>
    </w:p>
    <w:p>
      <w:pPr>
        <w:tabs>
          <w:tab w:pos="2902" w:val="left" w:leader="none"/>
        </w:tabs>
        <w:spacing w:before="94"/>
        <w:ind w:left="1066" w:right="0" w:firstLine="0"/>
        <w:jc w:val="left"/>
        <w:rPr>
          <w:sz w:val="12"/>
        </w:rPr>
      </w:pPr>
      <w:r>
        <w:rPr>
          <w:sz w:val="12"/>
        </w:rPr>
        <w:t>2006</w:t>
        <w:tab/>
        <w:t>2007</w:t>
      </w:r>
    </w:p>
    <w:p>
      <w:pPr>
        <w:spacing w:after="0"/>
        <w:jc w:val="left"/>
        <w:rPr>
          <w:sz w:val="12"/>
        </w:rPr>
        <w:sectPr>
          <w:type w:val="continuous"/>
          <w:pgSz w:w="11900" w:h="16840"/>
          <w:pgMar w:top="1180" w:bottom="280" w:left="1680" w:right="480"/>
        </w:sectPr>
      </w:pPr>
    </w:p>
    <w:p>
      <w:pPr>
        <w:pStyle w:val="BodyText"/>
        <w:spacing w:before="10"/>
        <w:rPr>
          <w:sz w:val="23"/>
        </w:rPr>
      </w:pPr>
    </w:p>
    <w:p>
      <w:pPr>
        <w:pStyle w:val="Heading4"/>
      </w:pPr>
      <w:r>
        <w:rPr/>
        <w:t>Chart 5: Corporate bond</w:t>
      </w:r>
      <w:r>
        <w:rPr>
          <w:spacing w:val="-31"/>
        </w:rPr>
        <w:t> </w:t>
      </w:r>
      <w:r>
        <w:rPr/>
        <w:t>spreads</w:t>
      </w:r>
    </w:p>
    <w:p>
      <w:pPr>
        <w:tabs>
          <w:tab w:pos="3277" w:val="left" w:leader="none"/>
        </w:tabs>
        <w:spacing w:before="164"/>
        <w:ind w:left="804" w:right="0" w:firstLine="0"/>
        <w:jc w:val="left"/>
        <w:rPr>
          <w:sz w:val="13"/>
        </w:rPr>
      </w:pPr>
      <w:r>
        <w:rPr>
          <w:w w:val="105"/>
          <w:sz w:val="13"/>
        </w:rPr>
        <w:t>Basis</w:t>
      </w:r>
      <w:r>
        <w:rPr>
          <w:spacing w:val="10"/>
          <w:w w:val="105"/>
          <w:sz w:val="13"/>
        </w:rPr>
        <w:t> </w:t>
      </w:r>
      <w:r>
        <w:rPr>
          <w:w w:val="105"/>
          <w:sz w:val="13"/>
        </w:rPr>
        <w:t>points</w:t>
        <w:tab/>
        <w:t>Basis</w:t>
      </w:r>
      <w:r>
        <w:rPr>
          <w:spacing w:val="17"/>
          <w:w w:val="105"/>
          <w:sz w:val="13"/>
        </w:rPr>
        <w:t> </w:t>
      </w:r>
      <w:r>
        <w:rPr>
          <w:w w:val="105"/>
          <w:sz w:val="13"/>
        </w:rPr>
        <w:t>points</w:t>
      </w:r>
    </w:p>
    <w:p>
      <w:pPr>
        <w:pStyle w:val="Heading2"/>
        <w:spacing w:before="73"/>
      </w:pPr>
      <w:r>
        <w:rPr/>
        <w:br w:type="column"/>
      </w:r>
      <w:r>
        <w:rPr/>
        <w:t>Chart 6: US sub-prime arrears</w:t>
      </w:r>
    </w:p>
    <w:p>
      <w:pPr>
        <w:spacing w:before="186"/>
        <w:ind w:left="0" w:right="508" w:firstLine="0"/>
        <w:jc w:val="right"/>
        <w:rPr>
          <w:b/>
          <w:sz w:val="15"/>
        </w:rPr>
      </w:pPr>
      <w:r>
        <w:rPr/>
        <w:pict>
          <v:group style="position:absolute;margin-left:358.200012pt;margin-top:7.902366pt;width:175.4pt;height:121.7pt;mso-position-horizontal-relative:page;mso-position-vertical-relative:paragraph;z-index:251684864" coordorigin="7164,158" coordsize="3508,2434">
            <v:shape style="position:absolute;left:7164;top:158;width:3508;height:2434" type="#_x0000_t75" stroked="false">
              <v:imagedata r:id="rId13" o:title=""/>
            </v:shape>
            <v:shape style="position:absolute;left:7338;top:163;width:740;height:1216" type="#_x0000_t202" filled="false" stroked="false">
              <v:textbox inset="0,0,0,0">
                <w:txbxContent>
                  <w:p>
                    <w:pPr>
                      <w:tabs>
                        <w:tab w:pos="375" w:val="left" w:leader="none"/>
                      </w:tabs>
                      <w:spacing w:line="166" w:lineRule="exact" w:before="0"/>
                      <w:ind w:left="4" w:right="0" w:firstLine="0"/>
                      <w:jc w:val="left"/>
                      <w:rPr>
                        <w:sz w:val="15"/>
                      </w:rPr>
                    </w:pPr>
                    <w:r>
                      <w:rPr>
                        <w:color w:val="010000"/>
                        <w:w w:val="100"/>
                        <w:sz w:val="15"/>
                        <w:u w:val="thick" w:color="3467FF"/>
                      </w:rPr>
                      <w:t> </w:t>
                    </w:r>
                    <w:r>
                      <w:rPr>
                        <w:color w:val="010000"/>
                        <w:sz w:val="15"/>
                        <w:u w:val="thick" w:color="3467FF"/>
                      </w:rPr>
                      <w:tab/>
                    </w:r>
                    <w:r>
                      <w:rPr>
                        <w:color w:val="010000"/>
                        <w:spacing w:val="4"/>
                        <w:sz w:val="15"/>
                      </w:rPr>
                      <w:t> </w:t>
                    </w:r>
                    <w:r>
                      <w:rPr>
                        <w:color w:val="010000"/>
                        <w:sz w:val="15"/>
                      </w:rPr>
                      <w:t>2000</w:t>
                    </w:r>
                  </w:p>
                  <w:p>
                    <w:pPr>
                      <w:tabs>
                        <w:tab w:pos="373" w:val="left" w:leader="none"/>
                      </w:tabs>
                      <w:spacing w:line="170" w:lineRule="exact" w:before="8"/>
                      <w:ind w:left="3" w:right="0" w:firstLine="0"/>
                      <w:jc w:val="left"/>
                      <w:rPr>
                        <w:sz w:val="15"/>
                      </w:rPr>
                    </w:pPr>
                    <w:r>
                      <w:rPr>
                        <w:w w:val="105"/>
                        <w:position w:val="4"/>
                        <w:sz w:val="13"/>
                        <w:u w:val="thick" w:color="993467"/>
                      </w:rPr>
                      <w:t> </w:t>
                    </w:r>
                    <w:r>
                      <w:rPr>
                        <w:position w:val="4"/>
                        <w:sz w:val="13"/>
                        <w:u w:val="thick" w:color="993467"/>
                      </w:rPr>
                      <w:tab/>
                    </w:r>
                    <w:r>
                      <w:rPr>
                        <w:spacing w:val="10"/>
                        <w:position w:val="4"/>
                        <w:sz w:val="13"/>
                      </w:rPr>
                      <w:t> </w:t>
                    </w:r>
                    <w:r>
                      <w:rPr>
                        <w:color w:val="010000"/>
                        <w:sz w:val="15"/>
                      </w:rPr>
                      <w:t>2001</w:t>
                    </w:r>
                  </w:p>
                  <w:p>
                    <w:pPr>
                      <w:tabs>
                        <w:tab w:pos="372" w:val="left" w:leader="none"/>
                      </w:tabs>
                      <w:spacing w:line="170" w:lineRule="exact" w:before="0"/>
                      <w:ind w:left="3" w:right="0" w:firstLine="0"/>
                      <w:jc w:val="left"/>
                      <w:rPr>
                        <w:sz w:val="15"/>
                      </w:rPr>
                    </w:pPr>
                    <w:r>
                      <w:rPr>
                        <w:w w:val="105"/>
                        <w:position w:val="5"/>
                        <w:sz w:val="13"/>
                        <w:u w:val="thick" w:color="FFCC01"/>
                      </w:rPr>
                      <w:t> </w:t>
                    </w:r>
                    <w:r>
                      <w:rPr>
                        <w:position w:val="5"/>
                        <w:sz w:val="13"/>
                        <w:u w:val="thick" w:color="FFCC01"/>
                      </w:rPr>
                      <w:tab/>
                    </w:r>
                    <w:r>
                      <w:rPr>
                        <w:spacing w:val="12"/>
                        <w:position w:val="5"/>
                        <w:sz w:val="13"/>
                      </w:rPr>
                      <w:t> </w:t>
                    </w:r>
                    <w:r>
                      <w:rPr>
                        <w:color w:val="010000"/>
                        <w:sz w:val="15"/>
                      </w:rPr>
                      <w:t>2002</w:t>
                    </w:r>
                  </w:p>
                  <w:p>
                    <w:pPr>
                      <w:tabs>
                        <w:tab w:pos="371" w:val="left" w:leader="none"/>
                      </w:tabs>
                      <w:spacing w:line="170" w:lineRule="exact" w:before="9"/>
                      <w:ind w:left="2" w:right="0" w:firstLine="0"/>
                      <w:jc w:val="left"/>
                      <w:rPr>
                        <w:sz w:val="15"/>
                      </w:rPr>
                    </w:pPr>
                    <w:r>
                      <w:rPr>
                        <w:w w:val="105"/>
                        <w:position w:val="1"/>
                        <w:sz w:val="13"/>
                        <w:u w:val="thick" w:color="99CC01"/>
                      </w:rPr>
                      <w:t> </w:t>
                    </w:r>
                    <w:r>
                      <w:rPr>
                        <w:position w:val="1"/>
                        <w:sz w:val="13"/>
                        <w:u w:val="thick" w:color="99CC01"/>
                      </w:rPr>
                      <w:tab/>
                    </w:r>
                    <w:r>
                      <w:rPr>
                        <w:spacing w:val="13"/>
                        <w:position w:val="1"/>
                        <w:sz w:val="13"/>
                      </w:rPr>
                      <w:t> </w:t>
                    </w:r>
                    <w:r>
                      <w:rPr>
                        <w:color w:val="010000"/>
                        <w:sz w:val="15"/>
                      </w:rPr>
                      <w:t>2003</w:t>
                    </w:r>
                  </w:p>
                  <w:p>
                    <w:pPr>
                      <w:tabs>
                        <w:tab w:pos="354" w:val="left" w:leader="none"/>
                      </w:tabs>
                      <w:spacing w:line="170" w:lineRule="exact" w:before="0"/>
                      <w:ind w:left="17" w:right="0" w:firstLine="0"/>
                      <w:jc w:val="left"/>
                      <w:rPr>
                        <w:sz w:val="15"/>
                      </w:rPr>
                    </w:pPr>
                    <w:r>
                      <w:rPr>
                        <w:color w:val="010000"/>
                        <w:w w:val="100"/>
                        <w:sz w:val="15"/>
                        <w:u w:val="thick" w:color="CC99FF"/>
                      </w:rPr>
                      <w:t> </w:t>
                    </w:r>
                    <w:r>
                      <w:rPr>
                        <w:color w:val="010000"/>
                        <w:sz w:val="15"/>
                        <w:u w:val="thick" w:color="CC99FF"/>
                      </w:rPr>
                      <w:tab/>
                    </w:r>
                    <w:r>
                      <w:rPr>
                        <w:color w:val="010000"/>
                        <w:sz w:val="15"/>
                      </w:rPr>
                      <w:t> </w:t>
                    </w:r>
                    <w:r>
                      <w:rPr>
                        <w:color w:val="010000"/>
                        <w:spacing w:val="-13"/>
                        <w:sz w:val="15"/>
                      </w:rPr>
                      <w:t> </w:t>
                    </w:r>
                    <w:r>
                      <w:rPr>
                        <w:color w:val="010000"/>
                        <w:sz w:val="15"/>
                      </w:rPr>
                      <w:t>2004</w:t>
                    </w:r>
                  </w:p>
                  <w:p>
                    <w:pPr>
                      <w:tabs>
                        <w:tab w:pos="370" w:val="left" w:leader="none"/>
                      </w:tabs>
                      <w:spacing w:line="171" w:lineRule="exact" w:before="9"/>
                      <w:ind w:left="0" w:right="0" w:firstLine="0"/>
                      <w:jc w:val="left"/>
                      <w:rPr>
                        <w:sz w:val="15"/>
                      </w:rPr>
                    </w:pPr>
                    <w:r>
                      <w:rPr>
                        <w:color w:val="010000"/>
                        <w:w w:val="100"/>
                        <w:sz w:val="15"/>
                        <w:u w:val="thick" w:color="FF0101"/>
                      </w:rPr>
                      <w:t> </w:t>
                    </w:r>
                    <w:r>
                      <w:rPr>
                        <w:color w:val="010000"/>
                        <w:sz w:val="15"/>
                        <w:u w:val="thick" w:color="FF0101"/>
                      </w:rPr>
                      <w:tab/>
                    </w:r>
                    <w:r>
                      <w:rPr>
                        <w:color w:val="010000"/>
                        <w:spacing w:val="9"/>
                        <w:sz w:val="15"/>
                      </w:rPr>
                      <w:t> </w:t>
                    </w:r>
                    <w:r>
                      <w:rPr>
                        <w:color w:val="010000"/>
                        <w:sz w:val="15"/>
                      </w:rPr>
                      <w:t>2005</w:t>
                    </w:r>
                  </w:p>
                  <w:p>
                    <w:pPr>
                      <w:tabs>
                        <w:tab w:pos="369" w:val="left" w:leader="none"/>
                      </w:tabs>
                      <w:spacing w:line="171" w:lineRule="exact" w:before="0"/>
                      <w:ind w:left="0" w:right="0" w:firstLine="0"/>
                      <w:jc w:val="left"/>
                      <w:rPr>
                        <w:sz w:val="15"/>
                      </w:rPr>
                    </w:pPr>
                    <w:r>
                      <w:rPr>
                        <w:color w:val="010000"/>
                        <w:w w:val="100"/>
                        <w:sz w:val="15"/>
                        <w:u w:val="thick" w:color="FF01FF"/>
                      </w:rPr>
                      <w:t> </w:t>
                    </w:r>
                    <w:r>
                      <w:rPr>
                        <w:color w:val="010000"/>
                        <w:sz w:val="15"/>
                        <w:u w:val="thick" w:color="FF01FF"/>
                      </w:rPr>
                      <w:tab/>
                    </w:r>
                    <w:r>
                      <w:rPr>
                        <w:color w:val="010000"/>
                        <w:spacing w:val="10"/>
                        <w:sz w:val="15"/>
                      </w:rPr>
                      <w:t> </w:t>
                    </w:r>
                    <w:r>
                      <w:rPr>
                        <w:color w:val="010000"/>
                        <w:sz w:val="15"/>
                      </w:rPr>
                      <w:t>2006</w:t>
                    </w:r>
                  </w:p>
                </w:txbxContent>
              </v:textbox>
              <w10:wrap type="none"/>
            </v:shape>
            <v:shape style="position:absolute;left:10014;top:163;width:510;height:167" type="#_x0000_t202" filled="false" stroked="false">
              <v:textbox inset="0,0,0,0">
                <w:txbxContent>
                  <w:p>
                    <w:pPr>
                      <w:spacing w:line="166" w:lineRule="exact" w:before="0"/>
                      <w:ind w:left="0" w:right="0" w:firstLine="0"/>
                      <w:jc w:val="left"/>
                      <w:rPr>
                        <w:sz w:val="15"/>
                      </w:rPr>
                    </w:pPr>
                    <w:r>
                      <w:rPr>
                        <w:color w:val="010000"/>
                        <w:sz w:val="15"/>
                      </w:rPr>
                      <w:t>Per cent</w:t>
                    </w:r>
                  </w:p>
                </w:txbxContent>
              </v:textbox>
              <w10:wrap type="none"/>
            </v:shape>
            <w10:wrap type="none"/>
          </v:group>
        </w:pict>
      </w:r>
      <w:r>
        <w:rPr>
          <w:b/>
          <w:color w:val="010000"/>
          <w:sz w:val="15"/>
        </w:rPr>
        <w:t>12</w:t>
      </w:r>
    </w:p>
    <w:p>
      <w:pPr>
        <w:spacing w:after="0"/>
        <w:jc w:val="right"/>
        <w:rPr>
          <w:sz w:val="15"/>
        </w:rPr>
        <w:sectPr>
          <w:pgSz w:w="11900" w:h="16840"/>
          <w:pgMar w:header="0" w:footer="779" w:top="1600" w:bottom="960" w:left="1680" w:right="480"/>
          <w:cols w:num="2" w:equalWidth="0">
            <w:col w:w="4018" w:space="744"/>
            <w:col w:w="4978"/>
          </w:cols>
        </w:sectPr>
      </w:pPr>
    </w:p>
    <w:p>
      <w:pPr>
        <w:spacing w:before="8"/>
        <w:ind w:left="0" w:right="2" w:firstLine="0"/>
        <w:jc w:val="right"/>
        <w:rPr>
          <w:sz w:val="13"/>
        </w:rPr>
      </w:pPr>
      <w:r>
        <w:rPr>
          <w:spacing w:val="-5"/>
          <w:w w:val="105"/>
          <w:sz w:val="13"/>
        </w:rPr>
        <w:t>180</w:t>
      </w:r>
    </w:p>
    <w:p>
      <w:pPr>
        <w:spacing w:before="73"/>
        <w:ind w:left="0" w:right="2" w:firstLine="0"/>
        <w:jc w:val="right"/>
        <w:rPr>
          <w:sz w:val="13"/>
        </w:rPr>
      </w:pPr>
      <w:r>
        <w:rPr>
          <w:spacing w:val="-5"/>
          <w:w w:val="105"/>
          <w:sz w:val="13"/>
        </w:rPr>
        <w:t>160</w:t>
      </w:r>
    </w:p>
    <w:p>
      <w:pPr>
        <w:spacing w:before="72"/>
        <w:ind w:left="0" w:right="2" w:firstLine="0"/>
        <w:jc w:val="right"/>
        <w:rPr>
          <w:sz w:val="13"/>
        </w:rPr>
      </w:pPr>
      <w:r>
        <w:rPr>
          <w:spacing w:val="-5"/>
          <w:w w:val="105"/>
          <w:sz w:val="13"/>
        </w:rPr>
        <w:t>140</w:t>
      </w:r>
    </w:p>
    <w:p>
      <w:pPr>
        <w:spacing w:before="82"/>
        <w:ind w:left="0" w:right="2" w:firstLine="0"/>
        <w:jc w:val="right"/>
        <w:rPr>
          <w:sz w:val="13"/>
        </w:rPr>
      </w:pPr>
      <w:r>
        <w:rPr>
          <w:spacing w:val="-5"/>
          <w:w w:val="105"/>
          <w:sz w:val="13"/>
        </w:rPr>
        <w:t>120</w:t>
      </w:r>
    </w:p>
    <w:p>
      <w:pPr>
        <w:spacing w:before="73"/>
        <w:ind w:left="0" w:right="2" w:firstLine="0"/>
        <w:jc w:val="right"/>
        <w:rPr>
          <w:sz w:val="13"/>
        </w:rPr>
      </w:pPr>
      <w:r>
        <w:rPr>
          <w:spacing w:val="-5"/>
          <w:w w:val="105"/>
          <w:sz w:val="13"/>
        </w:rPr>
        <w:t>100</w:t>
      </w:r>
    </w:p>
    <w:p>
      <w:pPr>
        <w:spacing w:before="71"/>
        <w:ind w:left="0" w:right="2" w:firstLine="0"/>
        <w:jc w:val="right"/>
        <w:rPr>
          <w:sz w:val="13"/>
        </w:rPr>
      </w:pPr>
      <w:r>
        <w:rPr>
          <w:spacing w:val="-5"/>
          <w:w w:val="105"/>
          <w:sz w:val="13"/>
        </w:rPr>
        <w:t>80</w:t>
      </w:r>
    </w:p>
    <w:p>
      <w:pPr>
        <w:spacing w:before="73"/>
        <w:ind w:left="0" w:right="2" w:firstLine="0"/>
        <w:jc w:val="right"/>
        <w:rPr>
          <w:sz w:val="13"/>
        </w:rPr>
      </w:pPr>
      <w:r>
        <w:rPr>
          <w:spacing w:val="-5"/>
          <w:w w:val="105"/>
          <w:sz w:val="13"/>
        </w:rPr>
        <w:t>60</w:t>
      </w:r>
    </w:p>
    <w:p>
      <w:pPr>
        <w:spacing w:before="82"/>
        <w:ind w:left="0" w:right="2" w:firstLine="0"/>
        <w:jc w:val="right"/>
        <w:rPr>
          <w:sz w:val="13"/>
        </w:rPr>
      </w:pPr>
      <w:r>
        <w:rPr>
          <w:spacing w:val="-5"/>
          <w:w w:val="105"/>
          <w:sz w:val="13"/>
        </w:rPr>
        <w:t>40</w:t>
      </w:r>
    </w:p>
    <w:p>
      <w:pPr>
        <w:spacing w:before="72"/>
        <w:ind w:left="0" w:right="2" w:firstLine="0"/>
        <w:jc w:val="right"/>
        <w:rPr>
          <w:sz w:val="13"/>
        </w:rPr>
      </w:pPr>
      <w:r>
        <w:rPr>
          <w:spacing w:val="-5"/>
          <w:w w:val="105"/>
          <w:sz w:val="13"/>
        </w:rPr>
        <w:t>20</w:t>
      </w:r>
    </w:p>
    <w:p>
      <w:pPr>
        <w:spacing w:before="72"/>
        <w:ind w:left="0" w:right="0" w:firstLine="0"/>
        <w:jc w:val="right"/>
        <w:rPr>
          <w:sz w:val="13"/>
        </w:rPr>
      </w:pPr>
      <w:r>
        <w:rPr>
          <w:w w:val="105"/>
          <w:sz w:val="13"/>
        </w:rPr>
        <w:t>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4"/>
        <w:rPr>
          <w:sz w:val="11"/>
        </w:rPr>
      </w:pPr>
    </w:p>
    <w:p>
      <w:pPr>
        <w:tabs>
          <w:tab w:pos="346" w:val="left" w:leader="none"/>
          <w:tab w:pos="694" w:val="left" w:leader="none"/>
          <w:tab w:pos="1054" w:val="left" w:leader="none"/>
          <w:tab w:pos="1402" w:val="left" w:leader="none"/>
          <w:tab w:pos="1751" w:val="left" w:leader="none"/>
          <w:tab w:pos="2099" w:val="left" w:leader="none"/>
          <w:tab w:pos="2448" w:val="left" w:leader="none"/>
        </w:tabs>
        <w:spacing w:before="0"/>
        <w:ind w:left="-3" w:right="0" w:firstLine="0"/>
        <w:jc w:val="left"/>
        <w:rPr>
          <w:sz w:val="13"/>
        </w:rPr>
      </w:pPr>
      <w:r>
        <w:rPr>
          <w:spacing w:val="-3"/>
          <w:w w:val="105"/>
          <w:sz w:val="13"/>
        </w:rPr>
        <w:t>00</w:t>
        <w:tab/>
        <w:t>01</w:t>
        <w:tab/>
        <w:t>02</w:t>
        <w:tab/>
      </w:r>
      <w:r>
        <w:rPr>
          <w:spacing w:val="-4"/>
          <w:w w:val="105"/>
          <w:sz w:val="13"/>
        </w:rPr>
        <w:t>03</w:t>
        <w:tab/>
      </w:r>
      <w:r>
        <w:rPr>
          <w:spacing w:val="-3"/>
          <w:w w:val="105"/>
          <w:sz w:val="13"/>
        </w:rPr>
        <w:t>04</w:t>
        <w:tab/>
      </w:r>
      <w:r>
        <w:rPr>
          <w:spacing w:val="-4"/>
          <w:w w:val="105"/>
          <w:sz w:val="13"/>
        </w:rPr>
        <w:t>05</w:t>
        <w:tab/>
      </w:r>
      <w:r>
        <w:rPr>
          <w:spacing w:val="-3"/>
          <w:w w:val="105"/>
          <w:sz w:val="13"/>
        </w:rPr>
        <w:t>06</w:t>
        <w:tab/>
      </w:r>
      <w:r>
        <w:rPr>
          <w:spacing w:val="-15"/>
          <w:w w:val="105"/>
          <w:sz w:val="13"/>
        </w:rPr>
        <w:t>07</w:t>
      </w:r>
    </w:p>
    <w:p>
      <w:pPr>
        <w:spacing w:before="8"/>
        <w:ind w:left="191" w:right="0" w:firstLine="0"/>
        <w:jc w:val="left"/>
        <w:rPr>
          <w:sz w:val="13"/>
        </w:rPr>
      </w:pPr>
      <w:r>
        <w:rPr/>
        <w:br w:type="column"/>
      </w:r>
      <w:r>
        <w:rPr>
          <w:spacing w:val="-5"/>
          <w:w w:val="105"/>
          <w:sz w:val="13"/>
        </w:rPr>
        <w:t>900</w:t>
      </w:r>
    </w:p>
    <w:p>
      <w:pPr>
        <w:spacing w:before="73"/>
        <w:ind w:left="191" w:right="0" w:firstLine="0"/>
        <w:jc w:val="left"/>
        <w:rPr>
          <w:sz w:val="13"/>
        </w:rPr>
      </w:pPr>
      <w:r>
        <w:rPr/>
        <w:pict>
          <v:group style="position:absolute;margin-left:134.279999pt;margin-top:-4.309095pt;width:136.3pt;height:101.3pt;mso-position-horizontal-relative:page;mso-position-vertical-relative:paragraph;z-index:251677696" coordorigin="2686,-86" coordsize="2726,2026">
            <v:shape style="position:absolute;left:2685;top:-77;width:2726;height:2016" type="#_x0000_t75" stroked="false">
              <v:imagedata r:id="rId14" o:title=""/>
            </v:shape>
            <v:shape style="position:absolute;left:2875;top:-87;width:2412;height:595" type="#_x0000_t202" filled="false" stroked="false">
              <v:textbox inset="0,0,0,0">
                <w:txbxContent>
                  <w:p>
                    <w:pPr>
                      <w:spacing w:before="1"/>
                      <w:ind w:left="0" w:right="0" w:firstLine="0"/>
                      <w:jc w:val="left"/>
                      <w:rPr>
                        <w:sz w:val="13"/>
                      </w:rPr>
                    </w:pPr>
                    <w:r>
                      <w:rPr>
                        <w:color w:val="FF00FF"/>
                        <w:w w:val="105"/>
                        <w:sz w:val="13"/>
                      </w:rPr>
                      <w:t>High Yield corporations (RHS)</w:t>
                    </w:r>
                  </w:p>
                  <w:p>
                    <w:pPr>
                      <w:spacing w:line="240" w:lineRule="auto" w:before="0"/>
                      <w:rPr>
                        <w:sz w:val="14"/>
                      </w:rPr>
                    </w:pPr>
                  </w:p>
                  <w:p>
                    <w:pPr>
                      <w:spacing w:line="240" w:lineRule="auto" w:before="5"/>
                      <w:rPr>
                        <w:sz w:val="11"/>
                      </w:rPr>
                    </w:pPr>
                  </w:p>
                  <w:p>
                    <w:pPr>
                      <w:spacing w:before="0"/>
                      <w:ind w:left="1024" w:right="0" w:firstLine="0"/>
                      <w:jc w:val="left"/>
                      <w:rPr>
                        <w:sz w:val="13"/>
                      </w:rPr>
                    </w:pPr>
                    <w:r>
                      <w:rPr>
                        <w:color w:val="000080"/>
                        <w:spacing w:val="-3"/>
                        <w:w w:val="105"/>
                        <w:sz w:val="13"/>
                      </w:rPr>
                      <w:t>Emerging </w:t>
                    </w:r>
                    <w:r>
                      <w:rPr>
                        <w:color w:val="000080"/>
                        <w:w w:val="105"/>
                        <w:sz w:val="13"/>
                      </w:rPr>
                      <w:t>markets </w:t>
                    </w:r>
                    <w:r>
                      <w:rPr>
                        <w:color w:val="000080"/>
                        <w:spacing w:val="-4"/>
                        <w:w w:val="105"/>
                        <w:sz w:val="13"/>
                      </w:rPr>
                      <w:t>(RHS)</w:t>
                    </w:r>
                  </w:p>
                </w:txbxContent>
              </v:textbox>
              <w10:wrap type="none"/>
            </v:shape>
            <v:shape style="position:absolute;left:2991;top:1485;width:1144;height:331" type="#_x0000_t202" filled="false" stroked="false">
              <v:textbox inset="0,0,0,0">
                <w:txbxContent>
                  <w:p>
                    <w:pPr>
                      <w:spacing w:line="288" w:lineRule="auto" w:before="1"/>
                      <w:ind w:left="0" w:right="0" w:firstLine="0"/>
                      <w:jc w:val="left"/>
                      <w:rPr>
                        <w:sz w:val="13"/>
                      </w:rPr>
                    </w:pPr>
                    <w:r>
                      <w:rPr>
                        <w:color w:val="008000"/>
                        <w:w w:val="105"/>
                        <w:sz w:val="13"/>
                      </w:rPr>
                      <w:t>Investment Grade corportations (LHS)</w:t>
                    </w:r>
                  </w:p>
                </w:txbxContent>
              </v:textbox>
              <w10:wrap type="none"/>
            </v:shape>
            <w10:wrap type="none"/>
          </v:group>
        </w:pict>
      </w:r>
      <w:r>
        <w:rPr>
          <w:spacing w:val="-5"/>
          <w:w w:val="105"/>
          <w:sz w:val="13"/>
        </w:rPr>
        <w:t>800</w:t>
      </w:r>
    </w:p>
    <w:p>
      <w:pPr>
        <w:spacing w:before="72"/>
        <w:ind w:left="191" w:right="0" w:firstLine="0"/>
        <w:jc w:val="left"/>
        <w:rPr>
          <w:sz w:val="13"/>
        </w:rPr>
      </w:pPr>
      <w:r>
        <w:rPr>
          <w:spacing w:val="-5"/>
          <w:w w:val="105"/>
          <w:sz w:val="13"/>
        </w:rPr>
        <w:t>700</w:t>
      </w:r>
    </w:p>
    <w:p>
      <w:pPr>
        <w:spacing w:before="82"/>
        <w:ind w:left="191" w:right="0" w:firstLine="0"/>
        <w:jc w:val="left"/>
        <w:rPr>
          <w:sz w:val="13"/>
        </w:rPr>
      </w:pPr>
      <w:r>
        <w:rPr>
          <w:spacing w:val="-5"/>
          <w:w w:val="105"/>
          <w:sz w:val="13"/>
        </w:rPr>
        <w:t>600</w:t>
      </w:r>
    </w:p>
    <w:p>
      <w:pPr>
        <w:spacing w:before="73"/>
        <w:ind w:left="191" w:right="0" w:firstLine="0"/>
        <w:jc w:val="left"/>
        <w:rPr>
          <w:sz w:val="13"/>
        </w:rPr>
      </w:pPr>
      <w:r>
        <w:rPr>
          <w:spacing w:val="-5"/>
          <w:w w:val="105"/>
          <w:sz w:val="13"/>
        </w:rPr>
        <w:t>500</w:t>
      </w:r>
    </w:p>
    <w:p>
      <w:pPr>
        <w:spacing w:before="71"/>
        <w:ind w:left="191" w:right="0" w:firstLine="0"/>
        <w:jc w:val="left"/>
        <w:rPr>
          <w:sz w:val="13"/>
        </w:rPr>
      </w:pPr>
      <w:r>
        <w:rPr>
          <w:spacing w:val="-5"/>
          <w:w w:val="105"/>
          <w:sz w:val="13"/>
        </w:rPr>
        <w:t>400</w:t>
      </w:r>
    </w:p>
    <w:p>
      <w:pPr>
        <w:spacing w:before="73"/>
        <w:ind w:left="191" w:right="0" w:firstLine="0"/>
        <w:jc w:val="left"/>
        <w:rPr>
          <w:sz w:val="13"/>
        </w:rPr>
      </w:pPr>
      <w:r>
        <w:rPr>
          <w:spacing w:val="-5"/>
          <w:w w:val="105"/>
          <w:sz w:val="13"/>
        </w:rPr>
        <w:t>300</w:t>
      </w:r>
    </w:p>
    <w:p>
      <w:pPr>
        <w:spacing w:before="82"/>
        <w:ind w:left="191" w:right="0" w:firstLine="0"/>
        <w:jc w:val="left"/>
        <w:rPr>
          <w:sz w:val="13"/>
        </w:rPr>
      </w:pPr>
      <w:r>
        <w:rPr>
          <w:spacing w:val="-5"/>
          <w:w w:val="105"/>
          <w:sz w:val="13"/>
        </w:rPr>
        <w:t>200</w:t>
      </w:r>
    </w:p>
    <w:p>
      <w:pPr>
        <w:spacing w:before="72"/>
        <w:ind w:left="191" w:right="0" w:firstLine="0"/>
        <w:jc w:val="left"/>
        <w:rPr>
          <w:sz w:val="13"/>
        </w:rPr>
      </w:pPr>
      <w:r>
        <w:rPr>
          <w:spacing w:val="-5"/>
          <w:w w:val="105"/>
          <w:sz w:val="13"/>
        </w:rPr>
        <w:t>100</w:t>
      </w:r>
    </w:p>
    <w:p>
      <w:pPr>
        <w:spacing w:before="72"/>
        <w:ind w:left="191" w:right="0" w:firstLine="0"/>
        <w:jc w:val="left"/>
        <w:rPr>
          <w:sz w:val="13"/>
        </w:rPr>
      </w:pPr>
      <w:r>
        <w:rPr>
          <w:w w:val="105"/>
          <w:sz w:val="13"/>
        </w:rPr>
        <w:t>0</w:t>
      </w:r>
    </w:p>
    <w:p>
      <w:pPr>
        <w:spacing w:before="96"/>
        <w:ind w:left="4284" w:right="0" w:firstLine="0"/>
        <w:jc w:val="left"/>
        <w:rPr>
          <w:b/>
          <w:sz w:val="15"/>
        </w:rPr>
      </w:pPr>
      <w:r>
        <w:rPr/>
        <w:br w:type="column"/>
      </w:r>
      <w:r>
        <w:rPr>
          <w:b/>
          <w:color w:val="010000"/>
          <w:sz w:val="15"/>
        </w:rPr>
        <w:t>10</w:t>
      </w:r>
    </w:p>
    <w:p>
      <w:pPr>
        <w:pStyle w:val="BodyText"/>
        <w:rPr>
          <w:b/>
          <w:sz w:val="19"/>
        </w:rPr>
      </w:pPr>
    </w:p>
    <w:p>
      <w:pPr>
        <w:spacing w:before="0"/>
        <w:ind w:left="4284" w:right="0" w:firstLine="0"/>
        <w:jc w:val="left"/>
        <w:rPr>
          <w:b/>
          <w:sz w:val="15"/>
        </w:rPr>
      </w:pPr>
      <w:r>
        <w:rPr>
          <w:b/>
          <w:color w:val="010000"/>
          <w:w w:val="100"/>
          <w:sz w:val="15"/>
        </w:rPr>
        <w:t>8</w:t>
      </w:r>
    </w:p>
    <w:p>
      <w:pPr>
        <w:pStyle w:val="BodyText"/>
        <w:spacing w:before="9"/>
        <w:rPr>
          <w:b/>
          <w:sz w:val="17"/>
        </w:rPr>
      </w:pPr>
    </w:p>
    <w:p>
      <w:pPr>
        <w:spacing w:before="0"/>
        <w:ind w:left="4284" w:right="0" w:firstLine="0"/>
        <w:jc w:val="left"/>
        <w:rPr>
          <w:b/>
          <w:sz w:val="15"/>
        </w:rPr>
      </w:pPr>
      <w:r>
        <w:rPr>
          <w:b/>
          <w:color w:val="010000"/>
          <w:w w:val="100"/>
          <w:sz w:val="15"/>
        </w:rPr>
        <w:t>6</w:t>
      </w:r>
    </w:p>
    <w:p>
      <w:pPr>
        <w:pStyle w:val="BodyText"/>
        <w:rPr>
          <w:b/>
          <w:sz w:val="18"/>
        </w:rPr>
      </w:pPr>
    </w:p>
    <w:p>
      <w:pPr>
        <w:spacing w:before="0"/>
        <w:ind w:left="4284" w:right="0" w:firstLine="0"/>
        <w:jc w:val="left"/>
        <w:rPr>
          <w:b/>
          <w:sz w:val="15"/>
        </w:rPr>
      </w:pPr>
      <w:r>
        <w:rPr>
          <w:b/>
          <w:color w:val="010000"/>
          <w:w w:val="100"/>
          <w:sz w:val="15"/>
        </w:rPr>
        <w:t>4</w:t>
      </w:r>
    </w:p>
    <w:p>
      <w:pPr>
        <w:pStyle w:val="BodyText"/>
        <w:rPr>
          <w:b/>
          <w:sz w:val="19"/>
        </w:rPr>
      </w:pPr>
    </w:p>
    <w:p>
      <w:pPr>
        <w:spacing w:before="0"/>
        <w:ind w:left="4284" w:right="0" w:firstLine="0"/>
        <w:jc w:val="left"/>
        <w:rPr>
          <w:b/>
          <w:sz w:val="15"/>
        </w:rPr>
      </w:pPr>
      <w:r>
        <w:rPr>
          <w:b/>
          <w:color w:val="010000"/>
          <w:w w:val="100"/>
          <w:sz w:val="15"/>
        </w:rPr>
        <w:t>2</w:t>
      </w:r>
    </w:p>
    <w:p>
      <w:pPr>
        <w:pStyle w:val="BodyText"/>
        <w:spacing w:before="10"/>
        <w:rPr>
          <w:b/>
          <w:sz w:val="17"/>
        </w:rPr>
      </w:pPr>
    </w:p>
    <w:p>
      <w:pPr>
        <w:spacing w:before="0"/>
        <w:ind w:left="4284" w:right="0" w:firstLine="0"/>
        <w:jc w:val="left"/>
        <w:rPr>
          <w:b/>
          <w:sz w:val="15"/>
        </w:rPr>
      </w:pPr>
      <w:r>
        <w:rPr>
          <w:b/>
          <w:color w:val="010000"/>
          <w:w w:val="100"/>
          <w:sz w:val="15"/>
        </w:rPr>
        <w:t>0</w:t>
      </w:r>
    </w:p>
    <w:p>
      <w:pPr>
        <w:tabs>
          <w:tab w:pos="1088" w:val="left" w:leader="none"/>
          <w:tab w:pos="1383" w:val="left" w:leader="none"/>
        </w:tabs>
        <w:spacing w:line="169" w:lineRule="exact" w:before="10"/>
        <w:ind w:left="751" w:right="0" w:firstLine="0"/>
        <w:jc w:val="left"/>
        <w:rPr>
          <w:b/>
          <w:sz w:val="15"/>
        </w:rPr>
      </w:pPr>
      <w:r>
        <w:rPr>
          <w:b/>
          <w:color w:val="010000"/>
          <w:sz w:val="15"/>
        </w:rPr>
        <w:t>0</w:t>
        <w:tab/>
        <w:t>5</w:t>
        <w:tab/>
        <w:t>10 15 20 25 30 35 40 45</w:t>
      </w:r>
      <w:r>
        <w:rPr>
          <w:b/>
          <w:color w:val="010000"/>
          <w:spacing w:val="17"/>
          <w:sz w:val="15"/>
        </w:rPr>
        <w:t> </w:t>
      </w:r>
      <w:r>
        <w:rPr>
          <w:b/>
          <w:color w:val="010000"/>
          <w:sz w:val="15"/>
        </w:rPr>
        <w:t>50</w:t>
      </w:r>
    </w:p>
    <w:p>
      <w:pPr>
        <w:spacing w:line="169" w:lineRule="exact" w:before="0"/>
        <w:ind w:left="1801" w:right="0" w:firstLine="0"/>
        <w:jc w:val="left"/>
        <w:rPr>
          <w:sz w:val="15"/>
        </w:rPr>
      </w:pPr>
      <w:r>
        <w:rPr>
          <w:color w:val="010000"/>
          <w:sz w:val="15"/>
        </w:rPr>
        <w:t>Age in months</w:t>
      </w:r>
    </w:p>
    <w:p>
      <w:pPr>
        <w:spacing w:after="0" w:line="169" w:lineRule="exact"/>
        <w:jc w:val="left"/>
        <w:rPr>
          <w:sz w:val="15"/>
        </w:rPr>
        <w:sectPr>
          <w:type w:val="continuous"/>
          <w:pgSz w:w="11900" w:h="16840"/>
          <w:pgMar w:top="1180" w:bottom="280" w:left="1680" w:right="480"/>
          <w:cols w:num="4" w:equalWidth="0">
            <w:col w:w="947" w:space="40"/>
            <w:col w:w="2576" w:space="39"/>
            <w:col w:w="423" w:space="767"/>
            <w:col w:w="494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spacing w:after="0"/>
        <w:rPr>
          <w:sz w:val="20"/>
        </w:rPr>
        <w:sectPr>
          <w:type w:val="continuous"/>
          <w:pgSz w:w="11900" w:h="16840"/>
          <w:pgMar w:top="1180" w:bottom="280" w:left="1680" w:right="480"/>
        </w:sectPr>
      </w:pPr>
    </w:p>
    <w:p>
      <w:pPr>
        <w:pStyle w:val="Heading3"/>
        <w:spacing w:before="254"/>
        <w:ind w:left="837"/>
      </w:pPr>
      <w:r>
        <w:rPr/>
        <w:t>Chart 7: Spreads on ABX index</w:t>
      </w:r>
    </w:p>
    <w:p>
      <w:pPr>
        <w:spacing w:before="106"/>
        <w:ind w:left="0" w:right="46" w:firstLine="0"/>
        <w:jc w:val="right"/>
        <w:rPr>
          <w:sz w:val="13"/>
        </w:rPr>
      </w:pPr>
      <w:r>
        <w:rPr>
          <w:sz w:val="13"/>
        </w:rPr>
        <w:t>Basis points</w:t>
      </w:r>
    </w:p>
    <w:p>
      <w:pPr>
        <w:spacing w:before="32"/>
        <w:ind w:left="0" w:right="0" w:firstLine="0"/>
        <w:jc w:val="right"/>
        <w:rPr>
          <w:sz w:val="13"/>
        </w:rPr>
      </w:pPr>
      <w:r>
        <w:rPr/>
        <w:pict>
          <v:group style="position:absolute;margin-left:124.410004pt;margin-top:5.959468pt;width:163.35pt;height:109.35pt;mso-position-horizontal-relative:page;mso-position-vertical-relative:paragraph;z-index:251681792" coordorigin="2488,119" coordsize="3267,2187">
            <v:shape style="position:absolute;left:2488;top:119;width:3267;height:2187" type="#_x0000_t75" stroked="false">
              <v:imagedata r:id="rId15" o:title=""/>
            </v:shape>
            <v:shape style="position:absolute;left:4557;top:921;width:411;height:646" type="#_x0000_t202" filled="false" stroked="false">
              <v:textbox inset="0,0,0,0">
                <w:txbxContent>
                  <w:p>
                    <w:pPr>
                      <w:spacing w:line="147" w:lineRule="exact" w:before="0"/>
                      <w:ind w:left="0" w:right="0" w:firstLine="0"/>
                      <w:jc w:val="left"/>
                      <w:rPr>
                        <w:sz w:val="13"/>
                      </w:rPr>
                    </w:pPr>
                    <w:r>
                      <w:rPr>
                        <w:color w:val="008000"/>
                        <w:sz w:val="13"/>
                      </w:rPr>
                      <w:t>BBB-</w:t>
                    </w:r>
                  </w:p>
                  <w:p>
                    <w:pPr>
                      <w:spacing w:line="240" w:lineRule="auto" w:before="0"/>
                      <w:rPr>
                        <w:sz w:val="14"/>
                      </w:rPr>
                    </w:pPr>
                  </w:p>
                  <w:p>
                    <w:pPr>
                      <w:spacing w:line="240" w:lineRule="auto" w:before="3"/>
                      <w:rPr>
                        <w:sz w:val="16"/>
                      </w:rPr>
                    </w:pPr>
                  </w:p>
                  <w:p>
                    <w:pPr>
                      <w:spacing w:before="0"/>
                      <w:ind w:left="134" w:right="0" w:firstLine="0"/>
                      <w:jc w:val="left"/>
                      <w:rPr>
                        <w:sz w:val="13"/>
                      </w:rPr>
                    </w:pPr>
                    <w:r>
                      <w:rPr>
                        <w:color w:val="FF00FF"/>
                        <w:sz w:val="13"/>
                      </w:rPr>
                      <w:t>BBB</w:t>
                    </w:r>
                  </w:p>
                </w:txbxContent>
              </v:textbox>
              <w10:wrap type="none"/>
            </v:shape>
            <v:shape style="position:absolute;left:3920;top:1831;width:155;height:148" type="#_x0000_t202" filled="false" stroked="false">
              <v:textbox inset="0,0,0,0">
                <w:txbxContent>
                  <w:p>
                    <w:pPr>
                      <w:spacing w:line="147" w:lineRule="exact" w:before="0"/>
                      <w:ind w:left="0" w:right="0" w:firstLine="0"/>
                      <w:jc w:val="left"/>
                      <w:rPr>
                        <w:sz w:val="13"/>
                      </w:rPr>
                    </w:pPr>
                    <w:r>
                      <w:rPr>
                        <w:color w:val="000080"/>
                        <w:w w:val="97"/>
                        <w:sz w:val="13"/>
                        <w:u w:val="thick" w:color="008000"/>
                      </w:rPr>
                      <w:t> </w:t>
                    </w:r>
                    <w:r>
                      <w:rPr>
                        <w:color w:val="000080"/>
                        <w:spacing w:val="5"/>
                        <w:sz w:val="13"/>
                        <w:u w:val="thick" w:color="008000"/>
                      </w:rPr>
                      <w:t> </w:t>
                    </w:r>
                  </w:p>
                </w:txbxContent>
              </v:textbox>
              <w10:wrap type="none"/>
            </v:shape>
            <v:shape style="position:absolute;left:4692;top:1831;width:112;height:148" type="#_x0000_t202" filled="false" stroked="false">
              <v:textbox inset="0,0,0,0">
                <w:txbxContent>
                  <w:p>
                    <w:pPr>
                      <w:spacing w:line="147" w:lineRule="exact" w:before="0"/>
                      <w:ind w:left="0" w:right="0" w:firstLine="0"/>
                      <w:jc w:val="left"/>
                      <w:rPr>
                        <w:sz w:val="13"/>
                      </w:rPr>
                    </w:pPr>
                    <w:r>
                      <w:rPr>
                        <w:color w:val="000080"/>
                        <w:w w:val="97"/>
                        <w:sz w:val="13"/>
                      </w:rPr>
                      <w:t>A</w:t>
                    </w:r>
                  </w:p>
                </w:txbxContent>
              </v:textbox>
              <w10:wrap type="none"/>
            </v:shape>
            <w10:wrap type="none"/>
          </v:group>
        </w:pict>
      </w:r>
      <w:r>
        <w:rPr>
          <w:spacing w:val="10"/>
          <w:w w:val="95"/>
          <w:sz w:val="13"/>
        </w:rPr>
        <w:t>3500</w:t>
      </w:r>
    </w:p>
    <w:p>
      <w:pPr>
        <w:pStyle w:val="BodyText"/>
        <w:spacing w:before="6"/>
        <w:rPr>
          <w:sz w:val="14"/>
        </w:rPr>
      </w:pPr>
    </w:p>
    <w:p>
      <w:pPr>
        <w:spacing w:before="0"/>
        <w:ind w:left="0" w:right="0" w:firstLine="0"/>
        <w:jc w:val="right"/>
        <w:rPr>
          <w:sz w:val="13"/>
        </w:rPr>
      </w:pPr>
      <w:r>
        <w:rPr>
          <w:spacing w:val="10"/>
          <w:w w:val="95"/>
          <w:sz w:val="13"/>
        </w:rPr>
        <w:t>3000</w:t>
      </w:r>
    </w:p>
    <w:p>
      <w:pPr>
        <w:pStyle w:val="BodyText"/>
        <w:spacing w:before="3"/>
        <w:rPr>
          <w:sz w:val="13"/>
        </w:rPr>
      </w:pPr>
    </w:p>
    <w:p>
      <w:pPr>
        <w:spacing w:before="1"/>
        <w:ind w:left="0" w:right="0" w:firstLine="0"/>
        <w:jc w:val="right"/>
        <w:rPr>
          <w:sz w:val="13"/>
        </w:rPr>
      </w:pPr>
      <w:r>
        <w:rPr>
          <w:spacing w:val="10"/>
          <w:w w:val="95"/>
          <w:sz w:val="13"/>
        </w:rPr>
        <w:t>2500</w:t>
      </w:r>
    </w:p>
    <w:p>
      <w:pPr>
        <w:pStyle w:val="BodyText"/>
        <w:spacing w:before="5"/>
        <w:rPr>
          <w:sz w:val="14"/>
        </w:rPr>
      </w:pPr>
    </w:p>
    <w:p>
      <w:pPr>
        <w:spacing w:before="0"/>
        <w:ind w:left="0" w:right="0" w:firstLine="0"/>
        <w:jc w:val="right"/>
        <w:rPr>
          <w:sz w:val="13"/>
        </w:rPr>
      </w:pPr>
      <w:r>
        <w:rPr>
          <w:spacing w:val="10"/>
          <w:w w:val="95"/>
          <w:sz w:val="13"/>
        </w:rPr>
        <w:t>2000</w:t>
      </w:r>
    </w:p>
    <w:p>
      <w:pPr>
        <w:pStyle w:val="Heading1"/>
        <w:spacing w:before="90"/>
        <w:ind w:left="701" w:right="306"/>
        <w:jc w:val="center"/>
      </w:pPr>
      <w:r>
        <w:rPr/>
        <w:br w:type="column"/>
      </w:r>
      <w:r>
        <w:rPr/>
        <w:t>Chart 8: Real LBO loan issuance</w:t>
      </w:r>
    </w:p>
    <w:p>
      <w:pPr>
        <w:spacing w:after="0"/>
        <w:jc w:val="center"/>
        <w:sectPr>
          <w:type w:val="continuous"/>
          <w:pgSz w:w="11900" w:h="16840"/>
          <w:pgMar w:top="1180" w:bottom="280" w:left="1680" w:right="480"/>
          <w:cols w:num="2" w:equalWidth="0">
            <w:col w:w="4431" w:space="40"/>
            <w:col w:w="5269"/>
          </w:cols>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
        <w:rPr>
          <w:sz w:val="14"/>
        </w:rPr>
      </w:pPr>
    </w:p>
    <w:p>
      <w:pPr>
        <w:tabs>
          <w:tab w:pos="2313" w:val="right" w:leader="none"/>
        </w:tabs>
        <w:spacing w:line="331" w:lineRule="auto" w:before="0"/>
        <w:ind w:left="699" w:right="0" w:hanging="1"/>
        <w:jc w:val="left"/>
        <w:rPr>
          <w:sz w:val="13"/>
        </w:rPr>
      </w:pPr>
      <w:r>
        <w:rPr>
          <w:sz w:val="13"/>
        </w:rPr>
        <w:t>Aug Sep </w:t>
      </w:r>
      <w:r>
        <w:rPr>
          <w:spacing w:val="3"/>
          <w:sz w:val="13"/>
        </w:rPr>
        <w:t>Oct </w:t>
      </w:r>
      <w:r>
        <w:rPr>
          <w:spacing w:val="5"/>
          <w:sz w:val="13"/>
        </w:rPr>
        <w:t>Nov </w:t>
      </w:r>
      <w:r>
        <w:rPr>
          <w:spacing w:val="3"/>
          <w:sz w:val="13"/>
        </w:rPr>
        <w:t>Dec </w:t>
      </w:r>
      <w:r>
        <w:rPr>
          <w:sz w:val="13"/>
        </w:rPr>
        <w:t>Jan  </w:t>
      </w:r>
      <w:r>
        <w:rPr>
          <w:spacing w:val="2"/>
          <w:sz w:val="13"/>
        </w:rPr>
        <w:t>Feb </w:t>
      </w:r>
      <w:r>
        <w:rPr>
          <w:spacing w:val="5"/>
          <w:sz w:val="13"/>
        </w:rPr>
        <w:t>Mar Apr May  </w:t>
      </w:r>
      <w:r>
        <w:rPr>
          <w:sz w:val="13"/>
        </w:rPr>
        <w:t>Jun  </w:t>
      </w:r>
      <w:r>
        <w:rPr>
          <w:spacing w:val="-5"/>
          <w:sz w:val="13"/>
        </w:rPr>
        <w:t>Jul </w:t>
      </w:r>
      <w:r>
        <w:rPr>
          <w:spacing w:val="10"/>
          <w:sz w:val="13"/>
        </w:rPr>
        <w:t>2006</w:t>
        <w:tab/>
        <w:t>07</w:t>
      </w:r>
    </w:p>
    <w:p>
      <w:pPr>
        <w:pStyle w:val="BodyText"/>
        <w:spacing w:before="6"/>
        <w:rPr>
          <w:sz w:val="14"/>
        </w:rPr>
      </w:pPr>
      <w:r>
        <w:rPr/>
        <w:br w:type="column"/>
      </w:r>
      <w:r>
        <w:rPr>
          <w:sz w:val="14"/>
        </w:rPr>
      </w:r>
    </w:p>
    <w:p>
      <w:pPr>
        <w:spacing w:before="0"/>
        <w:ind w:left="132" w:right="0" w:firstLine="0"/>
        <w:jc w:val="left"/>
        <w:rPr>
          <w:sz w:val="13"/>
        </w:rPr>
      </w:pPr>
      <w:r>
        <w:rPr>
          <w:spacing w:val="10"/>
          <w:sz w:val="13"/>
        </w:rPr>
        <w:t>1500</w:t>
      </w:r>
    </w:p>
    <w:p>
      <w:pPr>
        <w:pStyle w:val="BodyText"/>
        <w:spacing w:before="5"/>
        <w:rPr>
          <w:sz w:val="14"/>
        </w:rPr>
      </w:pPr>
    </w:p>
    <w:p>
      <w:pPr>
        <w:spacing w:before="0"/>
        <w:ind w:left="132" w:right="0" w:firstLine="0"/>
        <w:jc w:val="left"/>
        <w:rPr>
          <w:sz w:val="13"/>
        </w:rPr>
      </w:pPr>
      <w:r>
        <w:rPr/>
        <w:pict>
          <v:shape style="position:absolute;margin-left:351.960571pt;margin-top:-91.209915pt;width:198.5pt;height:149.65pt;mso-position-horizontal-relative:page;mso-position-vertical-relative:paragraph;z-index:-252735488" type="#_x0000_t202" filled="false" stroked="false">
            <v:textbox inset="0,0,0,0">
              <w:txbxContent>
                <w:p>
                  <w:pPr>
                    <w:tabs>
                      <w:tab w:pos="2281" w:val="left" w:leader="none"/>
                      <w:tab w:pos="3969" w:val="right" w:leader="none"/>
                    </w:tabs>
                    <w:spacing w:line="247" w:lineRule="auto" w:before="0"/>
                    <w:ind w:left="309" w:right="0" w:firstLine="0"/>
                    <w:jc w:val="left"/>
                    <w:rPr>
                      <w:b/>
                      <w:sz w:val="16"/>
                    </w:rPr>
                  </w:pPr>
                  <w:r>
                    <w:rPr>
                      <w:sz w:val="16"/>
                    </w:rPr>
                    <w:t>United</w:t>
                  </w:r>
                  <w:r>
                    <w:rPr>
                      <w:spacing w:val="6"/>
                      <w:sz w:val="16"/>
                    </w:rPr>
                    <w:t> </w:t>
                  </w:r>
                  <w:r>
                    <w:rPr>
                      <w:sz w:val="16"/>
                    </w:rPr>
                    <w:t>Kingdom</w:t>
                    <w:tab/>
                    <w:t>US$ billions, 2006 prices United</w:t>
                  </w:r>
                  <w:r>
                    <w:rPr>
                      <w:spacing w:val="2"/>
                      <w:sz w:val="16"/>
                    </w:rPr>
                    <w:t> </w:t>
                  </w:r>
                  <w:r>
                    <w:rPr>
                      <w:sz w:val="16"/>
                    </w:rPr>
                    <w:t>States</w:t>
                    <w:tab/>
                    <w:tab/>
                  </w:r>
                  <w:r>
                    <w:rPr>
                      <w:b/>
                      <w:position w:val="3"/>
                      <w:sz w:val="16"/>
                    </w:rPr>
                    <w:t>300</w:t>
                  </w:r>
                </w:p>
                <w:p>
                  <w:pPr>
                    <w:spacing w:line="172" w:lineRule="exact" w:before="10"/>
                    <w:ind w:left="309" w:right="0" w:firstLine="0"/>
                    <w:jc w:val="left"/>
                    <w:rPr>
                      <w:sz w:val="16"/>
                    </w:rPr>
                  </w:pPr>
                  <w:r>
                    <w:rPr>
                      <w:sz w:val="16"/>
                    </w:rPr>
                    <w:t>Rest of Western Europe</w:t>
                  </w:r>
                </w:p>
                <w:p>
                  <w:pPr>
                    <w:tabs>
                      <w:tab w:pos="3969" w:val="right" w:leader="none"/>
                    </w:tabs>
                    <w:spacing w:line="232" w:lineRule="exact" w:before="0"/>
                    <w:ind w:left="309" w:right="0" w:firstLine="0"/>
                    <w:jc w:val="left"/>
                    <w:rPr>
                      <w:b/>
                      <w:sz w:val="16"/>
                    </w:rPr>
                  </w:pPr>
                  <w:r>
                    <w:rPr>
                      <w:sz w:val="16"/>
                    </w:rPr>
                    <w:t>Rest</w:t>
                  </w:r>
                  <w:r>
                    <w:rPr>
                      <w:spacing w:val="1"/>
                      <w:sz w:val="16"/>
                    </w:rPr>
                    <w:t> </w:t>
                  </w:r>
                  <w:r>
                    <w:rPr>
                      <w:sz w:val="16"/>
                    </w:rPr>
                    <w:t>of world</w:t>
                    <w:tab/>
                  </w:r>
                  <w:r>
                    <w:rPr>
                      <w:b/>
                      <w:position w:val="6"/>
                      <w:sz w:val="16"/>
                    </w:rPr>
                    <w:t>250</w:t>
                  </w:r>
                </w:p>
                <w:p>
                  <w:pPr>
                    <w:spacing w:before="153"/>
                    <w:ind w:left="0" w:right="0" w:firstLine="0"/>
                    <w:jc w:val="right"/>
                    <w:rPr>
                      <w:b/>
                      <w:sz w:val="16"/>
                    </w:rPr>
                  </w:pPr>
                  <w:r>
                    <w:rPr>
                      <w:b/>
                      <w:sz w:val="16"/>
                    </w:rPr>
                    <w:t>200</w:t>
                  </w:r>
                </w:p>
                <w:p>
                  <w:pPr>
                    <w:pStyle w:val="BodyText"/>
                    <w:spacing w:before="7"/>
                    <w:rPr>
                      <w:b/>
                      <w:sz w:val="19"/>
                    </w:rPr>
                  </w:pPr>
                </w:p>
                <w:p>
                  <w:pPr>
                    <w:spacing w:before="0"/>
                    <w:ind w:left="0" w:right="0" w:firstLine="0"/>
                    <w:jc w:val="right"/>
                    <w:rPr>
                      <w:b/>
                      <w:sz w:val="16"/>
                    </w:rPr>
                  </w:pPr>
                  <w:r>
                    <w:rPr>
                      <w:b/>
                      <w:sz w:val="16"/>
                    </w:rPr>
                    <w:t>150</w:t>
                  </w:r>
                </w:p>
                <w:p>
                  <w:pPr>
                    <w:pStyle w:val="BodyText"/>
                    <w:spacing w:before="5"/>
                    <w:rPr>
                      <w:b/>
                      <w:sz w:val="18"/>
                    </w:rPr>
                  </w:pPr>
                </w:p>
                <w:p>
                  <w:pPr>
                    <w:spacing w:before="0"/>
                    <w:ind w:left="0" w:right="0" w:firstLine="0"/>
                    <w:jc w:val="right"/>
                    <w:rPr>
                      <w:b/>
                      <w:sz w:val="16"/>
                    </w:rPr>
                  </w:pPr>
                  <w:r>
                    <w:rPr>
                      <w:b/>
                      <w:sz w:val="16"/>
                    </w:rPr>
                    <w:t>100</w:t>
                  </w:r>
                </w:p>
                <w:p>
                  <w:pPr>
                    <w:pStyle w:val="BodyText"/>
                    <w:spacing w:before="5"/>
                    <w:rPr>
                      <w:b/>
                      <w:sz w:val="18"/>
                    </w:rPr>
                  </w:pPr>
                </w:p>
                <w:p>
                  <w:pPr>
                    <w:spacing w:before="1"/>
                    <w:ind w:left="0" w:right="80" w:firstLine="0"/>
                    <w:jc w:val="right"/>
                    <w:rPr>
                      <w:b/>
                      <w:sz w:val="16"/>
                    </w:rPr>
                  </w:pPr>
                  <w:r>
                    <w:rPr>
                      <w:b/>
                      <w:sz w:val="16"/>
                    </w:rPr>
                    <w:t>50</w:t>
                  </w:r>
                </w:p>
                <w:p>
                  <w:pPr>
                    <w:pStyle w:val="BodyText"/>
                    <w:spacing w:before="4"/>
                    <w:rPr>
                      <w:b/>
                      <w:sz w:val="18"/>
                    </w:rPr>
                  </w:pPr>
                </w:p>
                <w:p>
                  <w:pPr>
                    <w:spacing w:line="179" w:lineRule="exact" w:before="1"/>
                    <w:ind w:left="0" w:right="162" w:firstLine="0"/>
                    <w:jc w:val="right"/>
                    <w:rPr>
                      <w:b/>
                      <w:sz w:val="16"/>
                    </w:rPr>
                  </w:pPr>
                  <w:r>
                    <w:rPr>
                      <w:b/>
                      <w:w w:val="101"/>
                      <w:sz w:val="16"/>
                    </w:rPr>
                    <w:t>0</w:t>
                  </w:r>
                </w:p>
                <w:p>
                  <w:pPr>
                    <w:spacing w:line="239" w:lineRule="exact" w:before="0"/>
                    <w:ind w:left="0" w:right="0" w:firstLine="0"/>
                    <w:jc w:val="left"/>
                    <w:rPr>
                      <w:b/>
                      <w:sz w:val="16"/>
                    </w:rPr>
                  </w:pPr>
                  <w:r>
                    <w:rPr>
                      <w:b/>
                      <w:sz w:val="16"/>
                    </w:rPr>
                    <w:t>86 88 90 92 94 96 98 00 02 04 06</w:t>
                  </w:r>
                  <w:r>
                    <w:rPr>
                      <w:b/>
                      <w:position w:val="6"/>
                      <w:sz w:val="16"/>
                    </w:rPr>
                    <w:t>(b)</w:t>
                  </w:r>
                </w:p>
              </w:txbxContent>
            </v:textbox>
            <w10:wrap type="none"/>
          </v:shape>
        </w:pict>
      </w:r>
      <w:r>
        <w:rPr/>
        <w:pict>
          <v:shape style="position:absolute;margin-left:351.960571pt;margin-top:-91.209915pt;width:198.5pt;height:149.65pt;mso-position-horizontal-relative:page;mso-position-vertical-relative:paragraph;z-index:-252734464" type="#_x0000_t202" filled="false" stroked="false">
            <v:textbox inset="0,0,0,0">
              <w:txbxContent>
                <w:p>
                  <w:pPr>
                    <w:spacing w:line="179" w:lineRule="exact" w:before="0"/>
                    <w:ind w:left="309" w:right="0" w:firstLine="0"/>
                    <w:jc w:val="left"/>
                    <w:rPr>
                      <w:sz w:val="16"/>
                    </w:rPr>
                  </w:pPr>
                  <w:r>
                    <w:rPr>
                      <w:sz w:val="16"/>
                    </w:rPr>
                    <w:t>United Kingdom</w:t>
                  </w:r>
                </w:p>
                <w:p>
                  <w:pPr>
                    <w:tabs>
                      <w:tab w:pos="3969" w:val="right" w:leader="none"/>
                    </w:tabs>
                    <w:spacing w:before="5"/>
                    <w:ind w:left="309" w:right="0" w:firstLine="0"/>
                    <w:jc w:val="left"/>
                    <w:rPr>
                      <w:b/>
                      <w:sz w:val="16"/>
                    </w:rPr>
                  </w:pPr>
                  <w:r>
                    <w:rPr>
                      <w:sz w:val="16"/>
                    </w:rPr>
                    <w:t>United</w:t>
                  </w:r>
                  <w:r>
                    <w:rPr>
                      <w:spacing w:val="2"/>
                      <w:sz w:val="16"/>
                    </w:rPr>
                    <w:t> </w:t>
                  </w:r>
                  <w:r>
                    <w:rPr>
                      <w:sz w:val="16"/>
                    </w:rPr>
                    <w:t>States</w:t>
                    <w:tab/>
                  </w:r>
                  <w:r>
                    <w:rPr>
                      <w:b/>
                      <w:position w:val="3"/>
                      <w:sz w:val="16"/>
                    </w:rPr>
                    <w:t>300</w:t>
                  </w:r>
                </w:p>
                <w:p>
                  <w:pPr>
                    <w:pStyle w:val="BodyText"/>
                    <w:spacing w:before="11"/>
                    <w:rPr>
                      <w:b/>
                      <w:sz w:val="15"/>
                    </w:rPr>
                  </w:pPr>
                </w:p>
                <w:p>
                  <w:pPr>
                    <w:spacing w:before="0"/>
                    <w:ind w:left="3723" w:right="0" w:firstLine="0"/>
                    <w:jc w:val="left"/>
                    <w:rPr>
                      <w:b/>
                      <w:sz w:val="16"/>
                    </w:rPr>
                  </w:pPr>
                  <w:r>
                    <w:rPr>
                      <w:b/>
                      <w:sz w:val="16"/>
                    </w:rPr>
                    <w:t>250</w:t>
                  </w:r>
                </w:p>
                <w:p>
                  <w:pPr>
                    <w:pStyle w:val="BodyText"/>
                    <w:spacing w:before="3"/>
                    <w:rPr>
                      <w:b/>
                      <w:sz w:val="18"/>
                    </w:rPr>
                  </w:pPr>
                </w:p>
                <w:p>
                  <w:pPr>
                    <w:spacing w:before="0"/>
                    <w:ind w:left="3723" w:right="0" w:firstLine="0"/>
                    <w:jc w:val="left"/>
                    <w:rPr>
                      <w:b/>
                      <w:sz w:val="16"/>
                    </w:rPr>
                  </w:pPr>
                  <w:r>
                    <w:rPr>
                      <w:b/>
                      <w:sz w:val="16"/>
                    </w:rPr>
                    <w:t>200</w:t>
                  </w:r>
                </w:p>
                <w:p>
                  <w:pPr>
                    <w:pStyle w:val="BodyText"/>
                    <w:spacing w:before="7"/>
                    <w:rPr>
                      <w:b/>
                      <w:sz w:val="19"/>
                    </w:rPr>
                  </w:pPr>
                </w:p>
                <w:p>
                  <w:pPr>
                    <w:spacing w:before="1"/>
                    <w:ind w:left="3723" w:right="0" w:firstLine="0"/>
                    <w:jc w:val="left"/>
                    <w:rPr>
                      <w:b/>
                      <w:sz w:val="16"/>
                    </w:rPr>
                  </w:pPr>
                  <w:r>
                    <w:rPr>
                      <w:b/>
                      <w:sz w:val="16"/>
                    </w:rPr>
                    <w:t>150</w:t>
                  </w:r>
                </w:p>
                <w:p>
                  <w:pPr>
                    <w:pStyle w:val="BodyText"/>
                    <w:spacing w:before="4"/>
                    <w:rPr>
                      <w:b/>
                      <w:sz w:val="18"/>
                    </w:rPr>
                  </w:pPr>
                </w:p>
                <w:p>
                  <w:pPr>
                    <w:spacing w:before="1"/>
                    <w:ind w:left="3723" w:right="0" w:firstLine="0"/>
                    <w:jc w:val="left"/>
                    <w:rPr>
                      <w:b/>
                      <w:sz w:val="16"/>
                    </w:rPr>
                  </w:pPr>
                  <w:r>
                    <w:rPr>
                      <w:b/>
                      <w:sz w:val="16"/>
                    </w:rPr>
                    <w:t>100</w:t>
                  </w:r>
                </w:p>
                <w:p>
                  <w:pPr>
                    <w:pStyle w:val="BodyText"/>
                    <w:spacing w:before="4"/>
                    <w:rPr>
                      <w:b/>
                      <w:sz w:val="18"/>
                    </w:rPr>
                  </w:pPr>
                </w:p>
                <w:p>
                  <w:pPr>
                    <w:spacing w:before="1"/>
                    <w:ind w:left="3723" w:right="0" w:firstLine="0"/>
                    <w:jc w:val="left"/>
                    <w:rPr>
                      <w:b/>
                      <w:sz w:val="16"/>
                    </w:rPr>
                  </w:pPr>
                  <w:r>
                    <w:rPr>
                      <w:b/>
                      <w:sz w:val="16"/>
                    </w:rPr>
                    <w:t>50</w:t>
                  </w:r>
                </w:p>
                <w:p>
                  <w:pPr>
                    <w:pStyle w:val="BodyText"/>
                    <w:spacing w:before="5"/>
                    <w:rPr>
                      <w:b/>
                      <w:sz w:val="18"/>
                    </w:rPr>
                  </w:pPr>
                </w:p>
                <w:p>
                  <w:pPr>
                    <w:spacing w:before="0"/>
                    <w:ind w:left="3723" w:right="0" w:firstLine="0"/>
                    <w:jc w:val="left"/>
                    <w:rPr>
                      <w:b/>
                      <w:sz w:val="16"/>
                    </w:rPr>
                  </w:pPr>
                  <w:r>
                    <w:rPr>
                      <w:b/>
                      <w:w w:val="101"/>
                      <w:sz w:val="16"/>
                    </w:rPr>
                    <w:t>0</w:t>
                  </w:r>
                </w:p>
                <w:p>
                  <w:pPr>
                    <w:spacing w:before="50"/>
                    <w:ind w:left="0" w:right="0" w:firstLine="0"/>
                    <w:jc w:val="left"/>
                    <w:rPr>
                      <w:b/>
                      <w:sz w:val="16"/>
                    </w:rPr>
                  </w:pPr>
                  <w:r>
                    <w:rPr>
                      <w:b/>
                      <w:sz w:val="16"/>
                    </w:rPr>
                    <w:t>86 88 90 92 94 96 98 00 02 04 06</w:t>
                  </w:r>
                </w:p>
              </w:txbxContent>
            </v:textbox>
            <w10:wrap type="none"/>
          </v:shape>
        </w:pict>
      </w:r>
      <w:r>
        <w:rPr/>
        <w:pict>
          <v:group style="position:absolute;margin-left:351.960571pt;margin-top:-92.630974pt;width:200.85pt;height:155.3pt;mso-position-horizontal-relative:page;mso-position-vertical-relative:paragraph;z-index:251689984" coordorigin="7039,-1853" coordsize="4017,3106">
            <v:shape style="position:absolute;left:7081;top:-1853;width:3974;height:3106" type="#_x0000_t75" stroked="false">
              <v:imagedata r:id="rId16" o:title=""/>
            </v:shape>
            <v:shape style="position:absolute;left:7348;top:-1825;width:1583;height:824" type="#_x0000_t202" filled="false" stroked="false">
              <v:textbox inset="0,0,0,0">
                <w:txbxContent>
                  <w:p>
                    <w:pPr>
                      <w:spacing w:line="285" w:lineRule="auto" w:before="0"/>
                      <w:ind w:left="0" w:right="87" w:firstLine="0"/>
                      <w:jc w:val="left"/>
                      <w:rPr>
                        <w:sz w:val="16"/>
                      </w:rPr>
                    </w:pPr>
                    <w:r>
                      <w:rPr>
                        <w:sz w:val="16"/>
                      </w:rPr>
                      <w:t>United Kingdom United States</w:t>
                    </w:r>
                  </w:p>
                  <w:p>
                    <w:pPr>
                      <w:spacing w:line="171" w:lineRule="exact" w:before="0"/>
                      <w:ind w:left="0" w:right="0" w:firstLine="0"/>
                      <w:jc w:val="left"/>
                      <w:rPr>
                        <w:sz w:val="16"/>
                      </w:rPr>
                    </w:pPr>
                    <w:r>
                      <w:rPr>
                        <w:sz w:val="16"/>
                      </w:rPr>
                      <w:t>Rest of Western Europe</w:t>
                    </w:r>
                  </w:p>
                  <w:p>
                    <w:pPr>
                      <w:spacing w:before="30"/>
                      <w:ind w:left="0" w:right="0" w:firstLine="0"/>
                      <w:jc w:val="left"/>
                      <w:rPr>
                        <w:sz w:val="16"/>
                      </w:rPr>
                    </w:pPr>
                    <w:r>
                      <w:rPr>
                        <w:sz w:val="16"/>
                      </w:rPr>
                      <w:t>Rest of world</w:t>
                    </w:r>
                  </w:p>
                </w:txbxContent>
              </v:textbox>
              <w10:wrap type="none"/>
            </v:shape>
            <v:shape style="position:absolute;left:9320;top:-1825;width:1709;height:2759" type="#_x0000_t202" filled="false" stroked="false">
              <v:textbox inset="0,0,0,0">
                <w:txbxContent>
                  <w:p>
                    <w:pPr>
                      <w:spacing w:line="179" w:lineRule="exact" w:before="0"/>
                      <w:ind w:left="0" w:right="47" w:firstLine="0"/>
                      <w:jc w:val="right"/>
                      <w:rPr>
                        <w:sz w:val="16"/>
                      </w:rPr>
                    </w:pPr>
                    <w:r>
                      <w:rPr>
                        <w:sz w:val="16"/>
                      </w:rPr>
                      <w:t>US$ billions, 2006</w:t>
                    </w:r>
                    <w:r>
                      <w:rPr>
                        <w:spacing w:val="14"/>
                        <w:sz w:val="16"/>
                      </w:rPr>
                      <w:t> </w:t>
                    </w:r>
                    <w:r>
                      <w:rPr>
                        <w:sz w:val="16"/>
                      </w:rPr>
                      <w:t>prices</w:t>
                    </w:r>
                  </w:p>
                  <w:p>
                    <w:pPr>
                      <w:spacing w:before="7"/>
                      <w:ind w:left="0" w:right="18" w:firstLine="0"/>
                      <w:jc w:val="right"/>
                      <w:rPr>
                        <w:b/>
                        <w:sz w:val="16"/>
                      </w:rPr>
                    </w:pPr>
                    <w:r>
                      <w:rPr>
                        <w:b/>
                        <w:sz w:val="16"/>
                      </w:rPr>
                      <w:t>300</w:t>
                    </w:r>
                  </w:p>
                  <w:p>
                    <w:pPr>
                      <w:spacing w:line="240" w:lineRule="auto" w:before="4"/>
                      <w:rPr>
                        <w:b/>
                        <w:sz w:val="18"/>
                      </w:rPr>
                    </w:pPr>
                  </w:p>
                  <w:p>
                    <w:pPr>
                      <w:spacing w:before="1"/>
                      <w:ind w:left="0" w:right="18" w:firstLine="0"/>
                      <w:jc w:val="right"/>
                      <w:rPr>
                        <w:b/>
                        <w:sz w:val="16"/>
                      </w:rPr>
                    </w:pPr>
                    <w:r>
                      <w:rPr>
                        <w:b/>
                        <w:sz w:val="16"/>
                      </w:rPr>
                      <w:t>250</w:t>
                    </w:r>
                  </w:p>
                  <w:p>
                    <w:pPr>
                      <w:spacing w:line="240" w:lineRule="auto" w:before="2"/>
                      <w:rPr>
                        <w:b/>
                        <w:sz w:val="18"/>
                      </w:rPr>
                    </w:pPr>
                  </w:p>
                  <w:p>
                    <w:pPr>
                      <w:spacing w:before="0"/>
                      <w:ind w:left="0" w:right="18" w:firstLine="0"/>
                      <w:jc w:val="right"/>
                      <w:rPr>
                        <w:b/>
                        <w:sz w:val="16"/>
                      </w:rPr>
                    </w:pPr>
                    <w:r>
                      <w:rPr>
                        <w:b/>
                        <w:sz w:val="16"/>
                      </w:rPr>
                      <w:t>200</w:t>
                    </w:r>
                  </w:p>
                  <w:p>
                    <w:pPr>
                      <w:spacing w:line="240" w:lineRule="auto" w:before="8"/>
                      <w:rPr>
                        <w:b/>
                        <w:sz w:val="19"/>
                      </w:rPr>
                    </w:pPr>
                  </w:p>
                  <w:p>
                    <w:pPr>
                      <w:spacing w:before="0"/>
                      <w:ind w:left="0" w:right="18" w:firstLine="0"/>
                      <w:jc w:val="right"/>
                      <w:rPr>
                        <w:b/>
                        <w:sz w:val="16"/>
                      </w:rPr>
                    </w:pPr>
                    <w:r>
                      <w:rPr>
                        <w:b/>
                        <w:sz w:val="16"/>
                      </w:rPr>
                      <w:t>150</w:t>
                    </w:r>
                  </w:p>
                  <w:p>
                    <w:pPr>
                      <w:spacing w:line="240" w:lineRule="auto" w:before="5"/>
                      <w:rPr>
                        <w:b/>
                        <w:sz w:val="18"/>
                      </w:rPr>
                    </w:pPr>
                  </w:p>
                  <w:p>
                    <w:pPr>
                      <w:spacing w:before="0"/>
                      <w:ind w:left="0" w:right="18" w:firstLine="0"/>
                      <w:jc w:val="right"/>
                      <w:rPr>
                        <w:b/>
                        <w:sz w:val="16"/>
                      </w:rPr>
                    </w:pPr>
                    <w:r>
                      <w:rPr>
                        <w:b/>
                        <w:sz w:val="16"/>
                      </w:rPr>
                      <w:t>100</w:t>
                    </w:r>
                  </w:p>
                  <w:p>
                    <w:pPr>
                      <w:spacing w:line="240" w:lineRule="auto" w:before="5"/>
                      <w:rPr>
                        <w:b/>
                        <w:sz w:val="18"/>
                      </w:rPr>
                    </w:pPr>
                  </w:p>
                  <w:p>
                    <w:pPr>
                      <w:spacing w:before="0"/>
                      <w:ind w:left="0" w:right="100" w:firstLine="0"/>
                      <w:jc w:val="right"/>
                      <w:rPr>
                        <w:b/>
                        <w:sz w:val="16"/>
                      </w:rPr>
                    </w:pPr>
                    <w:r>
                      <w:rPr>
                        <w:b/>
                        <w:sz w:val="16"/>
                      </w:rPr>
                      <w:t>50</w:t>
                    </w:r>
                  </w:p>
                  <w:p>
                    <w:pPr>
                      <w:spacing w:line="240" w:lineRule="auto" w:before="5"/>
                      <w:rPr>
                        <w:b/>
                        <w:sz w:val="18"/>
                      </w:rPr>
                    </w:pPr>
                  </w:p>
                  <w:p>
                    <w:pPr>
                      <w:spacing w:before="0"/>
                      <w:ind w:left="0" w:right="182" w:firstLine="0"/>
                      <w:jc w:val="right"/>
                      <w:rPr>
                        <w:b/>
                        <w:sz w:val="16"/>
                      </w:rPr>
                    </w:pPr>
                    <w:r>
                      <w:rPr>
                        <w:b/>
                        <w:w w:val="101"/>
                        <w:sz w:val="16"/>
                      </w:rPr>
                      <w:t>0</w:t>
                    </w:r>
                  </w:p>
                </w:txbxContent>
              </v:textbox>
              <w10:wrap type="none"/>
            </v:shape>
            <v:shape style="position:absolute;left:7039;top:988;width:3156;height:180" type="#_x0000_t202" filled="false" stroked="false">
              <v:textbox inset="0,0,0,0">
                <w:txbxContent>
                  <w:p>
                    <w:pPr>
                      <w:spacing w:line="179" w:lineRule="exact" w:before="0"/>
                      <w:ind w:left="0" w:right="0" w:firstLine="0"/>
                      <w:jc w:val="left"/>
                      <w:rPr>
                        <w:b/>
                        <w:sz w:val="16"/>
                      </w:rPr>
                    </w:pPr>
                    <w:r>
                      <w:rPr>
                        <w:b/>
                        <w:sz w:val="16"/>
                      </w:rPr>
                      <w:t>86 88 90 92 94 96 98 00 02 04</w:t>
                    </w:r>
                  </w:p>
                </w:txbxContent>
              </v:textbox>
              <w10:wrap type="none"/>
            </v:shape>
            <v:shape style="position:absolute;left:10351;top:928;width:396;height:240" type="#_x0000_t202" filled="false" stroked="false">
              <v:textbox inset="0,0,0,0">
                <w:txbxContent>
                  <w:p>
                    <w:pPr>
                      <w:spacing w:line="230" w:lineRule="auto" w:before="0"/>
                      <w:ind w:left="0" w:right="0" w:firstLine="0"/>
                      <w:jc w:val="left"/>
                      <w:rPr>
                        <w:b/>
                        <w:sz w:val="16"/>
                      </w:rPr>
                    </w:pPr>
                    <w:r>
                      <w:rPr>
                        <w:b/>
                        <w:position w:val="-5"/>
                        <w:sz w:val="16"/>
                      </w:rPr>
                      <w:t>06</w:t>
                    </w:r>
                    <w:r>
                      <w:rPr>
                        <w:b/>
                        <w:sz w:val="16"/>
                      </w:rPr>
                      <w:t>(b)</w:t>
                    </w:r>
                  </w:p>
                </w:txbxContent>
              </v:textbox>
              <w10:wrap type="none"/>
            </v:shape>
            <w10:wrap type="none"/>
          </v:group>
        </w:pict>
      </w:r>
      <w:r>
        <w:rPr>
          <w:spacing w:val="10"/>
          <w:sz w:val="13"/>
        </w:rPr>
        <w:t>1000</w:t>
      </w:r>
    </w:p>
    <w:p>
      <w:pPr>
        <w:pStyle w:val="BodyText"/>
        <w:spacing w:before="4"/>
        <w:rPr>
          <w:sz w:val="13"/>
        </w:rPr>
      </w:pPr>
    </w:p>
    <w:p>
      <w:pPr>
        <w:spacing w:before="0"/>
        <w:ind w:left="132" w:right="0" w:firstLine="0"/>
        <w:jc w:val="left"/>
        <w:rPr>
          <w:sz w:val="13"/>
        </w:rPr>
      </w:pPr>
      <w:r>
        <w:rPr>
          <w:sz w:val="13"/>
        </w:rPr>
        <w:t>500</w:t>
      </w:r>
    </w:p>
    <w:p>
      <w:pPr>
        <w:pStyle w:val="BodyText"/>
        <w:spacing w:before="6"/>
        <w:rPr>
          <w:sz w:val="14"/>
        </w:rPr>
      </w:pPr>
    </w:p>
    <w:p>
      <w:pPr>
        <w:spacing w:before="0"/>
        <w:ind w:left="132" w:right="0" w:firstLine="0"/>
        <w:jc w:val="left"/>
        <w:rPr>
          <w:sz w:val="13"/>
        </w:rPr>
      </w:pPr>
      <w:r>
        <w:rPr>
          <w:w w:val="97"/>
          <w:sz w:val="13"/>
        </w:rPr>
        <w:t>0</w:t>
      </w:r>
    </w:p>
    <w:p>
      <w:pPr>
        <w:spacing w:after="0"/>
        <w:jc w:val="left"/>
        <w:rPr>
          <w:sz w:val="13"/>
        </w:rPr>
        <w:sectPr>
          <w:type w:val="continuous"/>
          <w:pgSz w:w="11900" w:h="16840"/>
          <w:pgMar w:top="1180" w:bottom="280" w:left="1680" w:right="480"/>
          <w:cols w:num="2" w:equalWidth="0">
            <w:col w:w="3965" w:space="40"/>
            <w:col w:w="5735"/>
          </w:cols>
        </w:sectPr>
      </w:pPr>
    </w:p>
    <w:p>
      <w:pPr>
        <w:pStyle w:val="Heading3"/>
        <w:spacing w:line="320" w:lineRule="atLeast" w:before="146"/>
        <w:ind w:left="960" w:hanging="353"/>
      </w:pPr>
      <w:r>
        <w:rPr/>
        <w:t>Chart 9: Corporate bond, leveraged loans and sub-prime markets</w:t>
      </w:r>
    </w:p>
    <w:p>
      <w:pPr>
        <w:spacing w:line="86" w:lineRule="exact" w:before="0"/>
        <w:ind w:left="0" w:right="528" w:firstLine="0"/>
        <w:jc w:val="right"/>
        <w:rPr>
          <w:sz w:val="11"/>
        </w:rPr>
      </w:pPr>
      <w:r>
        <w:rPr>
          <w:sz w:val="11"/>
        </w:rPr>
        <w:t>$bn</w:t>
      </w:r>
    </w:p>
    <w:p>
      <w:pPr>
        <w:spacing w:line="249" w:lineRule="auto" w:before="74"/>
        <w:ind w:left="2567" w:right="0" w:hanging="2002"/>
        <w:jc w:val="left"/>
        <w:rPr>
          <w:sz w:val="30"/>
        </w:rPr>
      </w:pPr>
      <w:r>
        <w:rPr/>
        <w:br w:type="column"/>
      </w:r>
      <w:r>
        <w:rPr>
          <w:sz w:val="30"/>
        </w:rPr>
        <w:t>Chart 10: Breakeven inflation forward rates</w:t>
      </w:r>
    </w:p>
    <w:p>
      <w:pPr>
        <w:spacing w:after="0" w:line="249" w:lineRule="auto"/>
        <w:jc w:val="left"/>
        <w:rPr>
          <w:sz w:val="30"/>
        </w:rPr>
        <w:sectPr>
          <w:pgSz w:w="11900" w:h="16840"/>
          <w:pgMar w:header="0" w:footer="779" w:top="1420" w:bottom="960" w:left="1680" w:right="480"/>
          <w:cols w:num="2" w:equalWidth="0">
            <w:col w:w="4446" w:space="40"/>
            <w:col w:w="5254"/>
          </w:cols>
        </w:sectPr>
      </w:pPr>
    </w:p>
    <w:p>
      <w:pPr>
        <w:spacing w:line="187" w:lineRule="auto" w:before="25"/>
        <w:ind w:left="734" w:right="413" w:firstLine="4"/>
        <w:jc w:val="left"/>
        <w:rPr>
          <w:sz w:val="13"/>
        </w:rPr>
      </w:pPr>
      <w:r>
        <w:rPr/>
        <w:pict>
          <v:group style="position:absolute;margin-left:144.379501pt;margin-top:5.16315pt;width:126.25pt;height:118pt;mso-position-horizontal-relative:page;mso-position-vertical-relative:paragraph;z-index:-252718080" coordorigin="2888,103" coordsize="2525,2360">
            <v:line style="position:absolute" from="2972,2044" to="2972,2461" stroked="true" strokeweight="3.42pt" strokecolor="#993467">
              <v:stroke dashstyle="solid"/>
            </v:line>
            <v:line style="position:absolute" from="2972,1705" to="2972,2044" stroked="true" strokeweight="3.42pt" strokecolor="#99cc01">
              <v:stroke dashstyle="solid"/>
            </v:line>
            <v:rect style="position:absolute;left:2937;top:1607;width:69;height:98" filled="true" fillcolor="#ffcc01" stroked="false">
              <v:fill type="solid"/>
            </v:rect>
            <v:rect style="position:absolute;left:2937;top:1598;width:69;height:10" filled="true" fillcolor="#cc99ff" stroked="false">
              <v:fill type="solid"/>
            </v:rect>
            <v:rect style="position:absolute;left:3103;top:2402;width:69;height:59" filled="true" fillcolor="#3467ff" stroked="false">
              <v:fill type="solid"/>
            </v:rect>
            <v:rect style="position:absolute;left:3268;top:2432;width:68;height:29" filled="true" fillcolor="#ff8080" stroked="false">
              <v:fill type="solid"/>
            </v:rect>
            <v:line style="position:absolute" from="3469,2025" to="3469,2461" stroked="true" strokeweight="3.42pt" strokecolor="#993467">
              <v:stroke dashstyle="solid"/>
            </v:line>
            <v:line style="position:absolute" from="3469,1432" to="3469,2025" stroked="true" strokeweight="3.42pt" strokecolor="#99cc01">
              <v:stroke dashstyle="solid"/>
            </v:line>
            <v:rect style="position:absolute;left:3434;top:1325;width:69;height:107" filled="true" fillcolor="#ffcc01" stroked="false">
              <v:fill type="solid"/>
            </v:rect>
            <v:rect style="position:absolute;left:3434;top:1316;width:69;height:10" filled="true" fillcolor="#cc99ff" stroked="false">
              <v:fill type="solid"/>
            </v:rect>
            <v:rect style="position:absolute;left:3600;top:2382;width:69;height:78" filled="true" fillcolor="#3467ff" stroked="false">
              <v:fill type="solid"/>
            </v:rect>
            <v:rect style="position:absolute;left:3765;top:2432;width:69;height:29" filled="true" fillcolor="#ff8080" stroked="false">
              <v:fill type="solid"/>
            </v:rect>
            <v:line style="position:absolute" from="3965,1957" to="3965,2461" stroked="true" strokeweight="3.36pt" strokecolor="#993467">
              <v:stroke dashstyle="solid"/>
            </v:line>
            <v:line style="position:absolute" from="3965,1102" to="3965,1957" stroked="true" strokeweight="3.36pt" strokecolor="#99cc01">
              <v:stroke dashstyle="solid"/>
            </v:line>
            <v:rect style="position:absolute;left:3931;top:996;width:68;height:106" filled="true" fillcolor="#ffcc01" stroked="false">
              <v:fill type="solid"/>
            </v:rect>
            <v:rect style="position:absolute;left:3931;top:986;width:68;height:11" filled="true" fillcolor="#cc99ff" stroked="false">
              <v:fill type="solid"/>
            </v:rect>
            <v:line style="position:absolute" from="4136,2325" to="4136,2461" stroked="true" strokeweight="3.9pt" strokecolor="#3467ff">
              <v:stroke dashstyle="solid"/>
            </v:line>
            <v:rect style="position:absolute;left:4272;top:2422;width:69;height:39" filled="true" fillcolor="#ff8080" stroked="false">
              <v:fill type="solid"/>
            </v:rect>
            <v:line style="position:absolute" from="4471,1957" to="4471,2461" stroked="true" strokeweight="3.36pt" strokecolor="#993467">
              <v:stroke dashstyle="solid"/>
            </v:line>
            <v:line style="position:absolute" from="4471,831" to="4471,1957" stroked="true" strokeweight="3.36pt" strokecolor="#99cc01">
              <v:stroke dashstyle="solid"/>
            </v:line>
            <v:rect style="position:absolute;left:4437;top:705;width:68;height:126" filled="true" fillcolor="#ffcc01" stroked="false">
              <v:fill type="solid"/>
            </v:rect>
            <v:rect style="position:absolute;left:4437;top:686;width:68;height:20" filled="true" fillcolor="#cc99ff" stroked="false">
              <v:fill type="solid"/>
            </v:rect>
            <v:line style="position:absolute" from="4637,2257" to="4637,2461" stroked="true" strokeweight="3.36pt" strokecolor="#3467ff">
              <v:stroke dashstyle="solid"/>
            </v:line>
            <v:rect style="position:absolute;left:4768;top:2402;width:69;height:59" filled="true" fillcolor="#ff8080" stroked="false">
              <v:fill type="solid"/>
            </v:rect>
            <v:line style="position:absolute" from="4968,1898" to="4968,2461" stroked="true" strokeweight="3.48pt" strokecolor="#993467">
              <v:stroke dashstyle="solid"/>
            </v:line>
            <v:line style="position:absolute" from="4968,453" to="4968,1898" stroked="true" strokeweight="3.48pt" strokecolor="#99cc01">
              <v:stroke dashstyle="solid"/>
            </v:line>
            <v:rect style="position:absolute;left:4933;top:327;width:70;height:126" filled="true" fillcolor="#ffcc01" stroked="false">
              <v:fill type="solid"/>
            </v:rect>
            <v:rect style="position:absolute;left:4933;top:298;width:70;height:29" filled="true" fillcolor="#cc99ff" stroked="false">
              <v:fill type="solid"/>
            </v:rect>
            <v:line style="position:absolute" from="5133,2228" to="5133,2461" stroked="true" strokeweight="3.42pt" strokecolor="#3467ff">
              <v:stroke dashstyle="solid"/>
            </v:line>
            <v:rect style="position:absolute;left:5265;top:2363;width:68;height:98" filled="true" fillcolor="#ff8080" stroked="false">
              <v:fill type="solid"/>
            </v:rect>
            <v:shape style="position:absolute;left:2888;top:104;width:2523;height:2358" coordorigin="2888,104" coordsize="2523,2358" path="m5382,104l5382,2461m5382,2461l5411,2462m5382,2073l5411,2073m5382,1675l5411,1676m5382,1287l5411,1288m5382,890l5411,891m5382,502l5411,502m5382,104l5411,105m2888,2461l5382,2462m2888,2461l2890,2432m3221,2461l3221,2432m3551,2461l3552,2432m3882,2461l3883,2432m4223,2461l4224,2432m4554,2461l4555,2432m4885,2461l4886,2432m5216,2461l5216,2432e" filled="false" stroked="true" strokeweight=".081pt" strokecolor="#010101">
              <v:path arrowok="t"/>
              <v:stroke dashstyle="solid"/>
            </v:shape>
            <w10:wrap type="none"/>
          </v:group>
        </w:pict>
      </w:r>
      <w:r>
        <w:rPr/>
        <w:pict>
          <v:group style="position:absolute;margin-left:116.040001pt;margin-top:1.30365pt;width:3.45pt;height:33pt;mso-position-horizontal-relative:page;mso-position-vertical-relative:paragraph;z-index:251692032" coordorigin="2321,26" coordsize="69,660">
            <v:rect style="position:absolute;left:2320;top:26;width:69;height:68" filled="true" fillcolor="#ff8080" stroked="false">
              <v:fill type="solid"/>
            </v:rect>
            <v:rect style="position:absolute;left:2320;top:142;width:69;height:69" filled="true" fillcolor="#3467ff" stroked="false">
              <v:fill type="solid"/>
            </v:rect>
            <v:rect style="position:absolute;left:2320;top:260;width:69;height:68" filled="true" fillcolor="#cc99ff" stroked="false">
              <v:fill type="solid"/>
            </v:rect>
            <v:rect style="position:absolute;left:2320;top:384;width:69;height:69" filled="true" fillcolor="#ffcc01" stroked="false">
              <v:fill type="solid"/>
            </v:rect>
            <v:rect style="position:absolute;left:2320;top:502;width:69;height:68" filled="true" fillcolor="#99cc01" stroked="false">
              <v:fill type="solid"/>
            </v:rect>
            <v:rect style="position:absolute;left:2320;top:617;width:69;height:69" filled="true" fillcolor="#993467" stroked="false">
              <v:fill type="solid"/>
            </v:rect>
            <w10:wrap type="none"/>
          </v:group>
        </w:pict>
      </w:r>
      <w:r>
        <w:rPr>
          <w:w w:val="105"/>
          <w:sz w:val="13"/>
        </w:rPr>
        <w:t>US and European leveraged loan markets US sub-prime</w:t>
      </w:r>
    </w:p>
    <w:p>
      <w:pPr>
        <w:spacing w:line="110" w:lineRule="exact" w:before="0"/>
        <w:ind w:left="739" w:right="0" w:firstLine="0"/>
        <w:jc w:val="left"/>
        <w:rPr>
          <w:sz w:val="13"/>
        </w:rPr>
      </w:pPr>
      <w:r>
        <w:rPr>
          <w:w w:val="105"/>
          <w:sz w:val="13"/>
        </w:rPr>
        <w:t>European sub investment-grade bond</w:t>
      </w:r>
    </w:p>
    <w:p>
      <w:pPr>
        <w:spacing w:line="184" w:lineRule="auto" w:before="17"/>
        <w:ind w:left="739" w:right="863" w:hanging="5"/>
        <w:jc w:val="left"/>
        <w:rPr>
          <w:sz w:val="13"/>
        </w:rPr>
      </w:pPr>
      <w:r>
        <w:rPr>
          <w:w w:val="105"/>
          <w:sz w:val="13"/>
        </w:rPr>
        <w:t>US sub investment-grade bond European investment-grade bond US investment-grade bond</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
        <w:rPr>
          <w:sz w:val="15"/>
        </w:rPr>
      </w:pPr>
    </w:p>
    <w:p>
      <w:pPr>
        <w:tabs>
          <w:tab w:pos="1833" w:val="left" w:leader="none"/>
          <w:tab w:pos="2339" w:val="left" w:leader="none"/>
          <w:tab w:pos="2836" w:val="left" w:leader="none"/>
          <w:tab w:pos="3350" w:val="left" w:leader="none"/>
        </w:tabs>
        <w:spacing w:before="0"/>
        <w:ind w:left="1327" w:right="0" w:firstLine="0"/>
        <w:jc w:val="left"/>
        <w:rPr>
          <w:sz w:val="11"/>
        </w:rPr>
      </w:pPr>
      <w:r>
        <w:rPr>
          <w:sz w:val="11"/>
        </w:rPr>
        <w:t>2002</w:t>
        <w:tab/>
        <w:t>2003</w:t>
        <w:tab/>
        <w:t>2004</w:t>
        <w:tab/>
        <w:t>2005</w:t>
        <w:tab/>
      </w:r>
      <w:r>
        <w:rPr>
          <w:spacing w:val="-6"/>
          <w:sz w:val="11"/>
        </w:rPr>
        <w:t>2006</w:t>
      </w:r>
    </w:p>
    <w:p>
      <w:pPr>
        <w:spacing w:before="37"/>
        <w:ind w:left="170" w:right="0" w:firstLine="0"/>
        <w:jc w:val="left"/>
        <w:rPr>
          <w:sz w:val="11"/>
        </w:rPr>
      </w:pPr>
      <w:r>
        <w:rPr/>
        <w:br w:type="column"/>
      </w:r>
      <w:r>
        <w:rPr>
          <w:sz w:val="11"/>
        </w:rPr>
        <w:t>12000</w:t>
      </w:r>
    </w:p>
    <w:p>
      <w:pPr>
        <w:pStyle w:val="BodyText"/>
        <w:rPr>
          <w:sz w:val="12"/>
        </w:rPr>
      </w:pPr>
    </w:p>
    <w:p>
      <w:pPr>
        <w:pStyle w:val="BodyText"/>
        <w:spacing w:before="8"/>
        <w:rPr>
          <w:sz w:val="11"/>
        </w:rPr>
      </w:pPr>
    </w:p>
    <w:p>
      <w:pPr>
        <w:spacing w:before="0"/>
        <w:ind w:left="170" w:right="0" w:firstLine="0"/>
        <w:jc w:val="left"/>
        <w:rPr>
          <w:sz w:val="11"/>
        </w:rPr>
      </w:pPr>
      <w:r>
        <w:rPr>
          <w:sz w:val="11"/>
        </w:rPr>
        <w:t>10000</w:t>
      </w:r>
    </w:p>
    <w:p>
      <w:pPr>
        <w:pStyle w:val="BodyText"/>
        <w:rPr>
          <w:sz w:val="12"/>
        </w:rPr>
      </w:pPr>
    </w:p>
    <w:p>
      <w:pPr>
        <w:pStyle w:val="BodyText"/>
        <w:spacing w:before="8"/>
        <w:rPr>
          <w:sz w:val="10"/>
        </w:rPr>
      </w:pPr>
    </w:p>
    <w:p>
      <w:pPr>
        <w:spacing w:before="0"/>
        <w:ind w:left="170" w:right="0" w:firstLine="0"/>
        <w:jc w:val="left"/>
        <w:rPr>
          <w:sz w:val="11"/>
        </w:rPr>
      </w:pPr>
      <w:r>
        <w:rPr>
          <w:sz w:val="11"/>
        </w:rPr>
        <w:t>8000</w:t>
      </w:r>
    </w:p>
    <w:p>
      <w:pPr>
        <w:pStyle w:val="BodyText"/>
        <w:rPr>
          <w:sz w:val="12"/>
        </w:rPr>
      </w:pPr>
    </w:p>
    <w:p>
      <w:pPr>
        <w:pStyle w:val="BodyText"/>
        <w:spacing w:before="6"/>
        <w:rPr>
          <w:sz w:val="11"/>
        </w:rPr>
      </w:pPr>
    </w:p>
    <w:p>
      <w:pPr>
        <w:spacing w:before="0"/>
        <w:ind w:left="170" w:right="0" w:firstLine="0"/>
        <w:jc w:val="left"/>
        <w:rPr>
          <w:sz w:val="11"/>
        </w:rPr>
      </w:pPr>
      <w:r>
        <w:rPr>
          <w:sz w:val="11"/>
        </w:rPr>
        <w:t>6000</w:t>
      </w:r>
    </w:p>
    <w:p>
      <w:pPr>
        <w:pStyle w:val="BodyText"/>
        <w:rPr>
          <w:sz w:val="12"/>
        </w:rPr>
      </w:pPr>
    </w:p>
    <w:p>
      <w:pPr>
        <w:pStyle w:val="BodyText"/>
        <w:spacing w:before="8"/>
        <w:rPr>
          <w:sz w:val="10"/>
        </w:rPr>
      </w:pPr>
    </w:p>
    <w:p>
      <w:pPr>
        <w:spacing w:before="0"/>
        <w:ind w:left="170" w:right="0" w:firstLine="0"/>
        <w:jc w:val="left"/>
        <w:rPr>
          <w:sz w:val="11"/>
        </w:rPr>
      </w:pPr>
      <w:r>
        <w:rPr>
          <w:sz w:val="11"/>
        </w:rPr>
        <w:t>4000</w:t>
      </w:r>
    </w:p>
    <w:p>
      <w:pPr>
        <w:pStyle w:val="BodyText"/>
        <w:rPr>
          <w:sz w:val="12"/>
        </w:rPr>
      </w:pPr>
    </w:p>
    <w:p>
      <w:pPr>
        <w:pStyle w:val="BodyText"/>
        <w:spacing w:before="9"/>
        <w:rPr>
          <w:sz w:val="11"/>
        </w:rPr>
      </w:pPr>
    </w:p>
    <w:p>
      <w:pPr>
        <w:spacing w:before="0"/>
        <w:ind w:left="170" w:right="0" w:firstLine="0"/>
        <w:jc w:val="left"/>
        <w:rPr>
          <w:sz w:val="11"/>
        </w:rPr>
      </w:pPr>
      <w:r>
        <w:rPr>
          <w:sz w:val="11"/>
        </w:rPr>
        <w:t>2000</w:t>
      </w:r>
    </w:p>
    <w:p>
      <w:pPr>
        <w:pStyle w:val="BodyText"/>
        <w:rPr>
          <w:sz w:val="12"/>
        </w:rPr>
      </w:pPr>
    </w:p>
    <w:p>
      <w:pPr>
        <w:pStyle w:val="BodyText"/>
        <w:spacing w:before="8"/>
        <w:rPr>
          <w:sz w:val="10"/>
        </w:rPr>
      </w:pPr>
    </w:p>
    <w:p>
      <w:pPr>
        <w:spacing w:before="0"/>
        <w:ind w:left="170" w:right="0" w:firstLine="0"/>
        <w:jc w:val="left"/>
        <w:rPr>
          <w:sz w:val="11"/>
        </w:rPr>
      </w:pPr>
      <w:r>
        <w:rPr>
          <w:w w:val="99"/>
          <w:sz w:val="11"/>
        </w:rPr>
        <w:t>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2"/>
        </w:rPr>
      </w:pPr>
    </w:p>
    <w:p>
      <w:pPr>
        <w:tabs>
          <w:tab w:pos="1455" w:val="left" w:leader="none"/>
          <w:tab w:pos="2090" w:val="left" w:leader="none"/>
          <w:tab w:pos="2737" w:val="left" w:leader="none"/>
          <w:tab w:pos="3383" w:val="left" w:leader="none"/>
        </w:tabs>
        <w:spacing w:before="0"/>
        <w:ind w:left="734" w:right="0" w:firstLine="0"/>
        <w:jc w:val="left"/>
        <w:rPr>
          <w:sz w:val="16"/>
        </w:rPr>
      </w:pPr>
      <w:r>
        <w:rPr>
          <w:spacing w:val="4"/>
          <w:sz w:val="16"/>
        </w:rPr>
        <w:t>May-06</w:t>
        <w:tab/>
      </w:r>
      <w:r>
        <w:rPr>
          <w:sz w:val="16"/>
        </w:rPr>
        <w:t>Jul-06</w:t>
        <w:tab/>
        <w:t>Oct-06</w:t>
        <w:tab/>
      </w:r>
      <w:r>
        <w:rPr>
          <w:spacing w:val="2"/>
          <w:sz w:val="16"/>
        </w:rPr>
        <w:t>Jan-07</w:t>
        <w:tab/>
      </w:r>
      <w:r>
        <w:rPr>
          <w:w w:val="95"/>
          <w:sz w:val="16"/>
        </w:rPr>
        <w:t>Apr-07</w:t>
      </w:r>
    </w:p>
    <w:p>
      <w:pPr>
        <w:spacing w:line="148" w:lineRule="exact" w:before="0"/>
        <w:ind w:left="180" w:right="0" w:firstLine="0"/>
        <w:jc w:val="left"/>
        <w:rPr>
          <w:sz w:val="13"/>
        </w:rPr>
      </w:pPr>
      <w:r>
        <w:rPr/>
        <w:br w:type="column"/>
      </w:r>
      <w:r>
        <w:rPr>
          <w:sz w:val="13"/>
        </w:rPr>
        <w:t>%</w:t>
      </w:r>
    </w:p>
    <w:p>
      <w:pPr>
        <w:spacing w:before="65"/>
        <w:ind w:left="363" w:right="0" w:firstLine="0"/>
        <w:jc w:val="left"/>
        <w:rPr>
          <w:sz w:val="16"/>
        </w:rPr>
      </w:pPr>
      <w:r>
        <w:rPr/>
        <w:pict>
          <v:group style="position:absolute;margin-left:364.84903pt;margin-top:7.809023pt;width:160pt;height:115.1pt;mso-position-horizontal-relative:page;mso-position-vertical-relative:paragraph;z-index:251700224" coordorigin="7297,156" coordsize="3200,2302">
            <v:shape style="position:absolute;left:7309;top:156;width:3188;height:2301" coordorigin="7309,157" coordsize="3188,2301" path="m10447,157l10447,2457m10447,2457l10496,2457m10447,2078l10496,2078m10447,1686l10496,1686m10447,1306l10496,1306m10447,927l10496,927m10447,536l10496,536m10447,157l10496,157m7309,2457l10447,2457m7309,2457l7309,2408m7969,2457l7969,2408m8628,2457l8628,2408m9275,2457l9275,2408m9935,2457l9935,2408e" filled="false" stroked="true" strokeweight=".06pt" strokecolor="#000000">
              <v:path arrowok="t"/>
              <v:stroke dashstyle="solid"/>
            </v:shape>
            <v:shape style="position:absolute;left:7296;top:157;width:3139;height:2300" type="#_x0000_t75" stroked="false">
              <v:imagedata r:id="rId17" o:title=""/>
            </v:shape>
            <v:shape style="position:absolute;left:9568;top:206;width:593;height:149" type="#_x0000_t202" filled="false" stroked="false">
              <v:textbox inset="0,0,0,0">
                <w:txbxContent>
                  <w:p>
                    <w:pPr>
                      <w:spacing w:line="148" w:lineRule="exact" w:before="0"/>
                      <w:ind w:left="0" w:right="0" w:firstLine="0"/>
                      <w:jc w:val="left"/>
                      <w:rPr>
                        <w:sz w:val="13"/>
                      </w:rPr>
                    </w:pPr>
                    <w:r>
                      <w:rPr>
                        <w:sz w:val="13"/>
                      </w:rPr>
                      <w:t>June MPC</w:t>
                    </w:r>
                  </w:p>
                </w:txbxContent>
              </v:textbox>
              <w10:wrap type="none"/>
            </v:shape>
            <v:shape style="position:absolute;left:8836;top:891;width:440;height:149" type="#_x0000_t202" filled="false" stroked="false">
              <v:textbox inset="0,0,0,0">
                <w:txbxContent>
                  <w:p>
                    <w:pPr>
                      <w:spacing w:line="148" w:lineRule="exact" w:before="0"/>
                      <w:ind w:left="0" w:right="0" w:firstLine="0"/>
                      <w:jc w:val="left"/>
                      <w:rPr>
                        <w:sz w:val="13"/>
                      </w:rPr>
                    </w:pPr>
                    <w:r>
                      <w:rPr>
                        <w:color w:val="000080"/>
                        <w:sz w:val="13"/>
                      </w:rPr>
                      <w:t>20 year</w:t>
                    </w:r>
                  </w:p>
                </w:txbxContent>
              </v:textbox>
              <w10:wrap type="none"/>
            </v:shape>
            <v:shape style="position:absolute;left:7518;top:1062;width:440;height:149" type="#_x0000_t202" filled="false" stroked="false">
              <v:textbox inset="0,0,0,0">
                <w:txbxContent>
                  <w:p>
                    <w:pPr>
                      <w:spacing w:line="148" w:lineRule="exact" w:before="0"/>
                      <w:ind w:left="0" w:right="0" w:firstLine="0"/>
                      <w:jc w:val="left"/>
                      <w:rPr>
                        <w:sz w:val="13"/>
                      </w:rPr>
                    </w:pPr>
                    <w:r>
                      <w:rPr>
                        <w:color w:val="FF00FF"/>
                        <w:sz w:val="13"/>
                      </w:rPr>
                      <w:t>10 year</w:t>
                    </w:r>
                  </w:p>
                </w:txbxContent>
              </v:textbox>
              <w10:wrap type="none"/>
            </v:shape>
            <v:shape style="position:absolute;left:8714;top:1943;width:373;height:149" type="#_x0000_t202" filled="false" stroked="false">
              <v:textbox inset="0,0,0,0">
                <w:txbxContent>
                  <w:p>
                    <w:pPr>
                      <w:spacing w:line="148" w:lineRule="exact" w:before="0"/>
                      <w:ind w:left="0" w:right="0" w:firstLine="0"/>
                      <w:jc w:val="left"/>
                      <w:rPr>
                        <w:sz w:val="13"/>
                      </w:rPr>
                    </w:pPr>
                    <w:r>
                      <w:rPr>
                        <w:color w:val="008000"/>
                        <w:sz w:val="13"/>
                      </w:rPr>
                      <w:t>5 year</w:t>
                    </w:r>
                  </w:p>
                </w:txbxContent>
              </v:textbox>
              <w10:wrap type="none"/>
            </v:shape>
            <w10:wrap type="none"/>
          </v:group>
        </w:pict>
      </w:r>
      <w:r>
        <w:rPr>
          <w:w w:val="92"/>
          <w:sz w:val="16"/>
        </w:rPr>
        <w:t>4</w:t>
      </w:r>
    </w:p>
    <w:p>
      <w:pPr>
        <w:pStyle w:val="BodyText"/>
        <w:spacing w:before="11"/>
        <w:rPr>
          <w:sz w:val="16"/>
        </w:rPr>
      </w:pPr>
    </w:p>
    <w:p>
      <w:pPr>
        <w:spacing w:before="0"/>
        <w:ind w:left="363" w:right="0" w:firstLine="0"/>
        <w:jc w:val="left"/>
        <w:rPr>
          <w:sz w:val="16"/>
        </w:rPr>
      </w:pPr>
      <w:r>
        <w:rPr>
          <w:sz w:val="16"/>
        </w:rPr>
        <w:t>3.75</w:t>
      </w:r>
    </w:p>
    <w:p>
      <w:pPr>
        <w:pStyle w:val="BodyText"/>
        <w:rPr>
          <w:sz w:val="18"/>
        </w:rPr>
      </w:pPr>
    </w:p>
    <w:p>
      <w:pPr>
        <w:spacing w:before="0"/>
        <w:ind w:left="363" w:right="0" w:firstLine="0"/>
        <w:jc w:val="left"/>
        <w:rPr>
          <w:sz w:val="16"/>
        </w:rPr>
      </w:pPr>
      <w:r>
        <w:rPr>
          <w:sz w:val="16"/>
        </w:rPr>
        <w:t>3.5</w:t>
      </w:r>
    </w:p>
    <w:p>
      <w:pPr>
        <w:pStyle w:val="BodyText"/>
        <w:rPr>
          <w:sz w:val="17"/>
        </w:rPr>
      </w:pPr>
    </w:p>
    <w:p>
      <w:pPr>
        <w:spacing w:before="0"/>
        <w:ind w:left="363" w:right="0" w:firstLine="0"/>
        <w:jc w:val="left"/>
        <w:rPr>
          <w:sz w:val="16"/>
        </w:rPr>
      </w:pPr>
      <w:r>
        <w:rPr>
          <w:sz w:val="16"/>
        </w:rPr>
        <w:t>3.25</w:t>
      </w:r>
    </w:p>
    <w:p>
      <w:pPr>
        <w:pStyle w:val="BodyText"/>
        <w:spacing w:before="11"/>
        <w:rPr>
          <w:sz w:val="16"/>
        </w:rPr>
      </w:pPr>
    </w:p>
    <w:p>
      <w:pPr>
        <w:spacing w:before="0"/>
        <w:ind w:left="363" w:right="0" w:firstLine="0"/>
        <w:jc w:val="left"/>
        <w:rPr>
          <w:sz w:val="16"/>
        </w:rPr>
      </w:pPr>
      <w:r>
        <w:rPr>
          <w:w w:val="92"/>
          <w:sz w:val="16"/>
        </w:rPr>
        <w:t>3</w:t>
      </w:r>
    </w:p>
    <w:p>
      <w:pPr>
        <w:pStyle w:val="BodyText"/>
        <w:spacing w:before="1"/>
        <w:rPr>
          <w:sz w:val="18"/>
        </w:rPr>
      </w:pPr>
    </w:p>
    <w:p>
      <w:pPr>
        <w:spacing w:before="0"/>
        <w:ind w:left="363" w:right="0" w:firstLine="0"/>
        <w:jc w:val="left"/>
        <w:rPr>
          <w:sz w:val="16"/>
        </w:rPr>
      </w:pPr>
      <w:r>
        <w:rPr>
          <w:sz w:val="16"/>
        </w:rPr>
        <w:t>2.75</w:t>
      </w:r>
    </w:p>
    <w:p>
      <w:pPr>
        <w:pStyle w:val="BodyText"/>
        <w:rPr>
          <w:sz w:val="17"/>
        </w:rPr>
      </w:pPr>
    </w:p>
    <w:p>
      <w:pPr>
        <w:spacing w:before="0"/>
        <w:ind w:left="363" w:right="0" w:firstLine="0"/>
        <w:jc w:val="left"/>
        <w:rPr>
          <w:sz w:val="16"/>
        </w:rPr>
      </w:pPr>
      <w:r>
        <w:rPr>
          <w:sz w:val="16"/>
        </w:rPr>
        <w:t>2.5</w:t>
      </w:r>
    </w:p>
    <w:p>
      <w:pPr>
        <w:spacing w:after="0"/>
        <w:jc w:val="left"/>
        <w:rPr>
          <w:sz w:val="16"/>
        </w:rPr>
        <w:sectPr>
          <w:type w:val="continuous"/>
          <w:pgSz w:w="11900" w:h="16840"/>
          <w:pgMar w:top="1180" w:bottom="280" w:left="1680" w:right="480"/>
          <w:cols w:num="4" w:equalWidth="0">
            <w:col w:w="3569" w:space="40"/>
            <w:col w:w="484" w:space="558"/>
            <w:col w:w="3836" w:space="40"/>
            <w:col w:w="121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1900" w:h="16840"/>
          <w:pgMar w:top="1180" w:bottom="280" w:left="1680" w:right="480"/>
        </w:sectPr>
      </w:pPr>
    </w:p>
    <w:p>
      <w:pPr>
        <w:pStyle w:val="BodyText"/>
        <w:spacing w:before="4"/>
        <w:rPr>
          <w:sz w:val="22"/>
        </w:rPr>
      </w:pPr>
    </w:p>
    <w:p>
      <w:pPr>
        <w:pStyle w:val="Heading4"/>
        <w:spacing w:before="1"/>
        <w:ind w:left="1181"/>
      </w:pPr>
      <w:r>
        <w:rPr/>
        <w:t>Chart 11: Inflation gaps</w:t>
      </w:r>
    </w:p>
    <w:p>
      <w:pPr>
        <w:spacing w:before="92"/>
        <w:ind w:left="1182" w:right="0" w:firstLine="0"/>
        <w:jc w:val="left"/>
        <w:rPr>
          <w:sz w:val="26"/>
        </w:rPr>
      </w:pPr>
      <w:r>
        <w:rPr/>
        <w:br w:type="column"/>
      </w:r>
      <w:r>
        <w:rPr>
          <w:sz w:val="26"/>
        </w:rPr>
        <w:t>Chart 12: Official exchange reserves</w:t>
      </w:r>
    </w:p>
    <w:p>
      <w:pPr>
        <w:spacing w:after="0"/>
        <w:jc w:val="left"/>
        <w:rPr>
          <w:sz w:val="26"/>
        </w:rPr>
        <w:sectPr>
          <w:type w:val="continuous"/>
          <w:pgSz w:w="11900" w:h="16840"/>
          <w:pgMar w:top="1180" w:bottom="280" w:left="1680" w:right="480"/>
          <w:cols w:num="2" w:equalWidth="0">
            <w:col w:w="3616" w:space="307"/>
            <w:col w:w="5817"/>
          </w:cols>
        </w:sectPr>
      </w:pPr>
    </w:p>
    <w:p>
      <w:pPr>
        <w:pStyle w:val="BodyText"/>
        <w:spacing w:before="7"/>
        <w:rPr>
          <w:sz w:val="13"/>
        </w:rPr>
      </w:pPr>
    </w:p>
    <w:p>
      <w:pPr>
        <w:spacing w:before="96"/>
        <w:ind w:left="0" w:right="5708" w:firstLine="0"/>
        <w:jc w:val="right"/>
        <w:rPr>
          <w:sz w:val="12"/>
        </w:rPr>
      </w:pPr>
      <w:r>
        <w:rPr/>
        <w:pict>
          <v:group style="position:absolute;margin-left:356.549988pt;margin-top:-1.543231pt;width:163.4pt;height:110.5pt;mso-position-horizontal-relative:page;mso-position-vertical-relative:paragraph;z-index:251705344" coordorigin="7131,-31" coordsize="3268,2210">
            <v:rect style="position:absolute;left:7239;top:2082;width:152;height:96" filled="true" fillcolor="#000080" stroked="false">
              <v:fill type="solid"/>
            </v:rect>
            <v:rect style="position:absolute;left:7239;top:1888;width:152;height:195" filled="true" fillcolor="#ff00ff" stroked="false">
              <v:fill type="solid"/>
            </v:rect>
            <v:rect style="position:absolute;left:7239;top:1823;width:152;height:65" filled="true" fillcolor="#00ffff" stroked="false">
              <v:fill type="solid"/>
            </v:rect>
            <v:rect style="position:absolute;left:7239;top:1769;width:152;height:54" filled="true" fillcolor="#008000" stroked="false">
              <v:fill type="solid"/>
            </v:rect>
            <v:rect style="position:absolute;left:7239;top:1715;width:152;height:54" filled="true" fillcolor="#ff8080" stroked="false">
              <v:fill type="solid"/>
            </v:rect>
            <v:rect style="position:absolute;left:7239;top:1672;width:152;height:44" filled="true" fillcolor="#0065cc" stroked="false">
              <v:fill type="solid"/>
            </v:rect>
            <v:rect style="position:absolute;left:7239;top:1650;width:152;height:22" filled="true" fillcolor="#ffff00" stroked="false">
              <v:fill type="solid"/>
            </v:rect>
            <v:rect style="position:absolute;left:7239;top:1596;width:152;height:54" filled="true" fillcolor="#ff0000" stroked="false">
              <v:fill type="solid"/>
            </v:rect>
            <v:rect style="position:absolute;left:7606;top:2060;width:141;height:118" filled="true" fillcolor="#000080" stroked="false">
              <v:fill type="solid"/>
            </v:rect>
            <v:rect style="position:absolute;left:7606;top:1834;width:141;height:227" filled="true" fillcolor="#ff00ff" stroked="false">
              <v:fill type="solid"/>
            </v:rect>
            <v:rect style="position:absolute;left:7606;top:1769;width:141;height:65" filled="true" fillcolor="#00ffff" stroked="false">
              <v:fill type="solid"/>
            </v:rect>
            <v:rect style="position:absolute;left:7606;top:1715;width:141;height:54" filled="true" fillcolor="#008000" stroked="false">
              <v:fill type="solid"/>
            </v:rect>
            <v:rect style="position:absolute;left:7606;top:1650;width:141;height:65" filled="true" fillcolor="#ff8080" stroked="false">
              <v:fill type="solid"/>
            </v:rect>
            <v:rect style="position:absolute;left:7606;top:1607;width:141;height:44" filled="true" fillcolor="#0065cc" stroked="false">
              <v:fill type="solid"/>
            </v:rect>
            <v:rect style="position:absolute;left:7606;top:1585;width:141;height:22" filled="true" fillcolor="#ffff00" stroked="false">
              <v:fill type="solid"/>
            </v:rect>
            <v:rect style="position:absolute;left:7606;top:1520;width:141;height:65" filled="true" fillcolor="#ff0000" stroked="false">
              <v:fill type="solid"/>
            </v:rect>
            <v:rect style="position:absolute;left:7962;top:2017;width:152;height:161" filled="true" fillcolor="#000080" stroked="false">
              <v:fill type="solid"/>
            </v:rect>
            <v:rect style="position:absolute;left:7962;top:1758;width:152;height:260" filled="true" fillcolor="#ff00ff" stroked="false">
              <v:fill type="solid"/>
            </v:rect>
            <v:rect style="position:absolute;left:7962;top:1672;width:152;height:87" filled="true" fillcolor="#00ffff" stroked="false">
              <v:fill type="solid"/>
            </v:rect>
            <v:rect style="position:absolute;left:7962;top:1596;width:152;height:76" filled="true" fillcolor="#008000" stroked="false">
              <v:fill type="solid"/>
            </v:rect>
            <v:rect style="position:absolute;left:7962;top:1542;width:152;height:54" filled="true" fillcolor="#ff8080" stroked="false">
              <v:fill type="solid"/>
            </v:rect>
            <v:rect style="position:absolute;left:7962;top:1488;width:152;height:54" filled="true" fillcolor="#0065cc" stroked="false">
              <v:fill type="solid"/>
            </v:rect>
            <v:rect style="position:absolute;left:7962;top:1456;width:152;height:33" filled="true" fillcolor="#ffff00" stroked="false">
              <v:fill type="solid"/>
            </v:rect>
            <v:rect style="position:absolute;left:7962;top:1391;width:152;height:65" filled="true" fillcolor="#ff0000" stroked="false">
              <v:fill type="solid"/>
            </v:rect>
            <v:rect style="position:absolute;left:8329;top:1952;width:152;height:226" filled="true" fillcolor="#000080" stroked="false">
              <v:fill type="solid"/>
            </v:rect>
            <v:rect style="position:absolute;left:8329;top:1585;width:152;height:368" filled="true" fillcolor="#ff00ff" stroked="false">
              <v:fill type="solid"/>
            </v:rect>
            <v:rect style="position:absolute;left:8329;top:1466;width:152;height:119" filled="true" fillcolor="#00ffff" stroked="false">
              <v:fill type="solid"/>
            </v:rect>
            <v:rect style="position:absolute;left:8329;top:1380;width:152;height:87" filled="true" fillcolor="#008000" stroked="false">
              <v:fill type="solid"/>
            </v:rect>
            <v:rect style="position:absolute;left:8329;top:1316;width:152;height:64" filled="true" fillcolor="#ff8080" stroked="false">
              <v:fill type="solid"/>
            </v:rect>
            <v:rect style="position:absolute;left:8329;top:1262;width:152;height:54" filled="true" fillcolor="#0065cc" stroked="false">
              <v:fill type="solid"/>
            </v:rect>
            <v:rect style="position:absolute;left:8329;top:1208;width:152;height:54" filled="true" fillcolor="#ffff00" stroked="false">
              <v:fill type="solid"/>
            </v:rect>
            <v:rect style="position:absolute;left:8329;top:1133;width:152;height:76" filled="true" fillcolor="#ff0000" stroked="false">
              <v:fill type="solid"/>
            </v:rect>
            <v:rect style="position:absolute;left:8696;top:1834;width:140;height:345" filled="true" fillcolor="#000080" stroked="false">
              <v:fill type="solid"/>
            </v:rect>
            <v:rect style="position:absolute;left:8696;top:1370;width:140;height:464" filled="true" fillcolor="#ff00ff" stroked="false">
              <v:fill type="solid"/>
            </v:rect>
            <v:rect style="position:absolute;left:8696;top:1241;width:140;height:130" filled="true" fillcolor="#00ffff" stroked="false">
              <v:fill type="solid"/>
            </v:rect>
            <v:rect style="position:absolute;left:8696;top:1122;width:140;height:119" filled="true" fillcolor="#008000" stroked="false">
              <v:fill type="solid"/>
            </v:rect>
            <v:rect style="position:absolute;left:8696;top:1057;width:140;height:65" filled="true" fillcolor="#ff8080" stroked="false">
              <v:fill type="solid"/>
            </v:rect>
            <v:rect style="position:absolute;left:8696;top:992;width:140;height:65" filled="true" fillcolor="#0065cc" stroked="false">
              <v:fill type="solid"/>
            </v:rect>
            <v:rect style="position:absolute;left:8696;top:928;width:140;height:65" filled="true" fillcolor="#ffff00" stroked="false">
              <v:fill type="solid"/>
            </v:rect>
            <v:rect style="position:absolute;left:8696;top:830;width:140;height:98" filled="true" fillcolor="#ff0000" stroked="false">
              <v:fill type="solid"/>
            </v:rect>
            <v:rect style="position:absolute;left:9051;top:1726;width:152;height:453" filled="true" fillcolor="#000080" stroked="false">
              <v:fill type="solid"/>
            </v:rect>
            <v:rect style="position:absolute;left:9051;top:1252;width:152;height:474" filled="true" fillcolor="#ff00ff" stroked="false">
              <v:fill type="solid"/>
            </v:rect>
            <v:rect style="position:absolute;left:9051;top:1111;width:152;height:141" filled="true" fillcolor="#00ffff" stroked="false">
              <v:fill type="solid"/>
            </v:rect>
            <v:rect style="position:absolute;left:9051;top:992;width:152;height:119" filled="true" fillcolor="#008000" stroked="false">
              <v:fill type="solid"/>
            </v:rect>
            <v:rect style="position:absolute;left:9051;top:928;width:152;height:65" filled="true" fillcolor="#ff8080" stroked="false">
              <v:fill type="solid"/>
            </v:rect>
            <v:rect style="position:absolute;left:9051;top:863;width:152;height:65" filled="true" fillcolor="#0065cc" stroked="false">
              <v:fill type="solid"/>
            </v:rect>
            <v:rect style="position:absolute;left:9051;top:787;width:152;height:76" filled="true" fillcolor="#ffff00" stroked="false">
              <v:fill type="solid"/>
            </v:rect>
            <v:rect style="position:absolute;left:9051;top:690;width:152;height:98" filled="true" fillcolor="#ff0000" stroked="false">
              <v:fill type="solid"/>
            </v:rect>
            <v:rect style="position:absolute;left:9418;top:1585;width:141;height:593" filled="true" fillcolor="#000080" stroked="false">
              <v:fill type="solid"/>
            </v:rect>
            <v:rect style="position:absolute;left:9418;top:1090;width:141;height:496" filled="true" fillcolor="#ff00ff" stroked="false">
              <v:fill type="solid"/>
            </v:rect>
            <v:rect style="position:absolute;left:9418;top:938;width:141;height:152" filled="true" fillcolor="#00ffff" stroked="false">
              <v:fill type="solid"/>
            </v:rect>
            <v:rect style="position:absolute;left:9418;top:809;width:141;height:130" filled="true" fillcolor="#008000" stroked="false">
              <v:fill type="solid"/>
            </v:rect>
            <v:rect style="position:absolute;left:9418;top:733;width:141;height:76" filled="true" fillcolor="#ff8080" stroked="false">
              <v:fill type="solid"/>
            </v:rect>
            <v:rect style="position:absolute;left:9418;top:658;width:141;height:76" filled="true" fillcolor="#0065cc" stroked="false">
              <v:fill type="solid"/>
            </v:rect>
            <v:rect style="position:absolute;left:9418;top:562;width:141;height:96" filled="true" fillcolor="#ffff00" stroked="false">
              <v:fill type="solid"/>
            </v:rect>
            <v:rect style="position:absolute;left:9418;top:454;width:141;height:108" filled="true" fillcolor="#ff0000" stroked="false">
              <v:fill type="solid"/>
            </v:rect>
            <v:rect style="position:absolute;left:9774;top:1510;width:152;height:669" filled="true" fillcolor="#000080" stroked="false">
              <v:fill type="solid"/>
            </v:rect>
            <v:rect style="position:absolute;left:9774;top:1014;width:152;height:496" filled="true" fillcolor="#ff00ff" stroked="false">
              <v:fill type="solid"/>
            </v:rect>
            <v:rect style="position:absolute;left:9774;top:863;width:152;height:152" filled="true" fillcolor="#00ffff" stroked="false">
              <v:fill type="solid"/>
            </v:rect>
            <v:rect style="position:absolute;left:9774;top:722;width:152;height:141" filled="true" fillcolor="#008000" stroked="false">
              <v:fill type="solid"/>
            </v:rect>
            <v:rect style="position:absolute;left:9774;top:648;width:152;height:75" filled="true" fillcolor="#ff8080" stroked="false">
              <v:fill type="solid"/>
            </v:rect>
            <v:rect style="position:absolute;left:9774;top:572;width:152;height:76" filled="true" fillcolor="#0065cc" stroked="false">
              <v:fill type="solid"/>
            </v:rect>
            <v:rect style="position:absolute;left:9774;top:464;width:152;height:108" filled="true" fillcolor="#ffff00" stroked="false">
              <v:fill type="solid"/>
            </v:rect>
            <v:rect style="position:absolute;left:9774;top:346;width:152;height:119" filled="true" fillcolor="#ff0000" stroked="false">
              <v:fill type="solid"/>
            </v:rect>
            <v:shape style="position:absolute;left:7131;top:227;width:2934;height:1952" coordorigin="7132,227" coordsize="2934,1952" path="m10033,227l10033,2178m10033,2178l10066,2178m10033,1899l10066,1899m10033,1618l10066,1618m10033,1338l10066,1338m10033,1068l10066,1068m10033,788l10066,788m10033,508l10066,508m10033,227l10066,227m7132,2178l10033,2178m7132,2178l7132,2146m7499,2178l7499,2146m7855,2178l7855,2146m8221,2178l8221,2146m8588,2178l8588,2146m8944,2178l8944,2146m9311,2178l9311,2146m9666,2178l9666,2146m10033,2178l10033,2146e" filled="false" stroked="true" strokeweight=".06pt" strokecolor="#000000">
              <v:path arrowok="t"/>
              <v:stroke dashstyle="solid"/>
            </v:shape>
            <v:shape style="position:absolute;left:7282;top:1650;width:2244;height:432" coordorigin="7283,1650" coordsize="2244,432" path="m7315,2050l7672,2050m7672,2050l8038,2039m8038,2039l8405,2018m8405,2018l8761,1942m8761,1942l9127,1834m9127,1834l9494,1683m7315,2050l7283,2018m7315,2050l7348,2082m7315,2050l7283,2082m7315,2050l7348,2018m7315,2050l7315,2018m7315,2050l7315,2082m7672,2050l7639,2018m7672,2050l7704,2082m7672,2050l7639,2082m7672,2050l7704,2018m7672,2050l7672,2018m7672,2050l7672,2082m8038,2039l8005,2007m8038,2039l8070,2072m8038,2039l8005,2072m8038,2039l8070,2007m8038,2039l8038,2007m8038,2039l8038,2072m8405,2018l8372,1985m8405,2018l8437,2050m8405,2018l8372,2050m8405,2018l8437,1985m8405,2018l8405,1985m8405,2018l8405,2050m8761,1942l8729,1910m8761,1942l8792,1974m8761,1942l8729,1974m8761,1942l8792,1910m8761,1942l8761,1910m8761,1942l8761,1974m9127,1834l9095,1802m9127,1834l9160,1866m9127,1834l9095,1866m9127,1834l9160,1802m9127,1834l9127,1802m9127,1834l9127,1866m9494,1683l9462,1650m9494,1683l9527,1715m9494,1683l9462,1715m9494,1683l9527,1650m9494,1683l9494,1650m9494,1683l9494,1715e" filled="false" stroked="true" strokeweight=".539pt" strokecolor="#00ffff">
              <v:path arrowok="t"/>
              <v:stroke dashstyle="solid"/>
            </v:shape>
            <v:line style="position:absolute" from="7218,49" to="7510,49" stroked="true" strokeweight="3.78pt" strokecolor="#ff0000">
              <v:stroke dashstyle="solid"/>
            </v:line>
            <v:line style="position:absolute" from="7218,179" to="7510,179" stroked="true" strokeweight="3.78pt" strokecolor="#ffff00">
              <v:stroke dashstyle="solid"/>
            </v:line>
            <v:line style="position:absolute" from="7218,308" to="7510,308" stroked="true" strokeweight="3.78pt" strokecolor="#0065cc">
              <v:stroke dashstyle="solid"/>
            </v:line>
            <v:line style="position:absolute" from="7218,438" to="7510,438" stroked="true" strokeweight="3.78pt" strokecolor="#ff8080">
              <v:stroke dashstyle="solid"/>
            </v:line>
            <v:line style="position:absolute" from="7218,567" to="7510,567" stroked="true" strokeweight="3.78pt" strokecolor="#008000">
              <v:stroke dashstyle="solid"/>
            </v:line>
            <v:line style="position:absolute" from="7218,686" to="7510,686" stroked="true" strokeweight="3.72pt" strokecolor="#00ffff">
              <v:stroke dashstyle="solid"/>
            </v:line>
            <v:line style="position:absolute" from="7218,815" to="7510,815" stroked="true" strokeweight="3.78pt" strokecolor="#ff00ff">
              <v:stroke dashstyle="solid"/>
            </v:line>
            <v:line style="position:absolute" from="7218,944" to="7510,944" stroked="true" strokeweight="3.78pt" strokecolor="#000080">
              <v:stroke dashstyle="solid"/>
            </v:line>
            <v:shape style="position:absolute;left:7218;top:1036;width:292;height:65" coordorigin="7218,1036" coordsize="292,65" path="m7218,1068l7510,1068m7358,1068l7326,1036m7358,1068l7391,1101m7358,1068l7326,1101m7358,1068l7391,1036m7358,1068l7358,1036m7358,1068l7358,1101e" filled="false" stroked="true" strokeweight=".539pt" strokecolor="#00ffff">
              <v:path arrowok="t"/>
              <v:stroke dashstyle="solid"/>
            </v:shape>
            <v:shape style="position:absolute;left:7542;top:-31;width:2837;height:261" type="#_x0000_t202" filled="false" stroked="false">
              <v:textbox inset="0,0,0,0">
                <w:txbxContent>
                  <w:p>
                    <w:pPr>
                      <w:spacing w:line="225" w:lineRule="auto" w:before="0"/>
                      <w:ind w:left="0" w:right="0" w:firstLine="0"/>
                      <w:jc w:val="left"/>
                      <w:rPr>
                        <w:sz w:val="12"/>
                      </w:rPr>
                    </w:pPr>
                    <w:r>
                      <w:rPr>
                        <w:spacing w:val="6"/>
                        <w:w w:val="92"/>
                        <w:sz w:val="12"/>
                      </w:rPr>
                      <w:t>O</w:t>
                    </w:r>
                    <w:r>
                      <w:rPr>
                        <w:spacing w:val="12"/>
                        <w:w w:val="92"/>
                        <w:sz w:val="12"/>
                      </w:rPr>
                      <w:t>t</w:t>
                    </w:r>
                    <w:r>
                      <w:rPr>
                        <w:spacing w:val="9"/>
                        <w:w w:val="92"/>
                        <w:sz w:val="12"/>
                      </w:rPr>
                      <w:t>h</w:t>
                    </w:r>
                    <w:r>
                      <w:rPr>
                        <w:spacing w:val="4"/>
                        <w:w w:val="92"/>
                        <w:sz w:val="12"/>
                      </w:rPr>
                      <w:t>e</w:t>
                    </w:r>
                    <w:r>
                      <w:rPr>
                        <w:w w:val="92"/>
                        <w:sz w:val="12"/>
                      </w:rPr>
                      <w:t>r</w:t>
                    </w:r>
                    <w:r>
                      <w:rPr>
                        <w:sz w:val="12"/>
                      </w:rPr>
                      <w:t> </w:t>
                    </w:r>
                    <w:r>
                      <w:rPr>
                        <w:spacing w:val="6"/>
                        <w:w w:val="92"/>
                        <w:sz w:val="12"/>
                      </w:rPr>
                      <w:t>(I</w:t>
                    </w:r>
                    <w:r>
                      <w:rPr>
                        <w:spacing w:val="9"/>
                        <w:w w:val="92"/>
                        <w:sz w:val="12"/>
                      </w:rPr>
                      <w:t>n</w:t>
                    </w:r>
                    <w:r>
                      <w:rPr>
                        <w:spacing w:val="-2"/>
                        <w:w w:val="92"/>
                        <w:sz w:val="12"/>
                      </w:rPr>
                      <w:t>d</w:t>
                    </w:r>
                    <w:r>
                      <w:rPr>
                        <w:spacing w:val="9"/>
                        <w:w w:val="92"/>
                        <w:sz w:val="12"/>
                      </w:rPr>
                      <w:t>on</w:t>
                    </w:r>
                    <w:r>
                      <w:rPr>
                        <w:spacing w:val="4"/>
                        <w:w w:val="92"/>
                        <w:sz w:val="12"/>
                      </w:rPr>
                      <w:t>e</w:t>
                    </w:r>
                    <w:r>
                      <w:rPr>
                        <w:spacing w:val="-1"/>
                        <w:w w:val="92"/>
                        <w:sz w:val="12"/>
                      </w:rPr>
                      <w:t>s</w:t>
                    </w:r>
                    <w:r>
                      <w:rPr>
                        <w:spacing w:val="1"/>
                        <w:w w:val="92"/>
                        <w:sz w:val="12"/>
                      </w:rPr>
                      <w:t>i</w:t>
                    </w:r>
                    <w:r>
                      <w:rPr>
                        <w:spacing w:val="3"/>
                        <w:w w:val="92"/>
                        <w:sz w:val="12"/>
                      </w:rPr>
                      <w:t>a</w:t>
                    </w:r>
                    <w:r>
                      <w:rPr>
                        <w:w w:val="92"/>
                        <w:sz w:val="12"/>
                      </w:rPr>
                      <w:t>,</w:t>
                    </w:r>
                    <w:r>
                      <w:rPr>
                        <w:sz w:val="12"/>
                      </w:rPr>
                      <w:t> </w:t>
                    </w:r>
                    <w:r>
                      <w:rPr>
                        <w:spacing w:val="9"/>
                        <w:w w:val="92"/>
                        <w:sz w:val="12"/>
                      </w:rPr>
                      <w:t>M</w:t>
                    </w:r>
                    <w:r>
                      <w:rPr>
                        <w:spacing w:val="4"/>
                        <w:w w:val="92"/>
                        <w:sz w:val="12"/>
                      </w:rPr>
                      <w:t>a</w:t>
                    </w:r>
                    <w:r>
                      <w:rPr>
                        <w:spacing w:val="1"/>
                        <w:w w:val="92"/>
                        <w:sz w:val="12"/>
                      </w:rPr>
                      <w:t>l</w:t>
                    </w:r>
                    <w:r>
                      <w:rPr>
                        <w:spacing w:val="4"/>
                        <w:w w:val="92"/>
                        <w:sz w:val="12"/>
                      </w:rPr>
                      <w:t>a</w:t>
                    </w:r>
                    <w:r>
                      <w:rPr>
                        <w:spacing w:val="9"/>
                        <w:w w:val="92"/>
                        <w:sz w:val="12"/>
                      </w:rPr>
                      <w:t>y</w:t>
                    </w:r>
                    <w:r>
                      <w:rPr>
                        <w:spacing w:val="-1"/>
                        <w:w w:val="92"/>
                        <w:sz w:val="12"/>
                      </w:rPr>
                      <w:t>s</w:t>
                    </w:r>
                    <w:r>
                      <w:rPr>
                        <w:spacing w:val="1"/>
                        <w:w w:val="92"/>
                        <w:sz w:val="12"/>
                      </w:rPr>
                      <w:t>i</w:t>
                    </w:r>
                    <w:r>
                      <w:rPr>
                        <w:spacing w:val="4"/>
                        <w:w w:val="92"/>
                        <w:sz w:val="12"/>
                      </w:rPr>
                      <w:t>a</w:t>
                    </w:r>
                    <w:r>
                      <w:rPr>
                        <w:w w:val="92"/>
                        <w:sz w:val="12"/>
                      </w:rPr>
                      <w:t>,</w:t>
                    </w:r>
                    <w:r>
                      <w:rPr>
                        <w:sz w:val="12"/>
                      </w:rPr>
                      <w:t> </w:t>
                    </w:r>
                    <w:r>
                      <w:rPr>
                        <w:spacing w:val="13"/>
                        <w:w w:val="92"/>
                        <w:sz w:val="12"/>
                      </w:rPr>
                      <w:t>P</w:t>
                    </w:r>
                    <w:r>
                      <w:rPr>
                        <w:spacing w:val="9"/>
                        <w:w w:val="92"/>
                        <w:sz w:val="12"/>
                      </w:rPr>
                      <w:t>h</w:t>
                    </w:r>
                    <w:r>
                      <w:rPr>
                        <w:spacing w:val="1"/>
                        <w:w w:val="92"/>
                        <w:sz w:val="12"/>
                      </w:rPr>
                      <w:t>ili</w:t>
                    </w:r>
                    <w:r>
                      <w:rPr>
                        <w:spacing w:val="8"/>
                        <w:w w:val="92"/>
                        <w:sz w:val="12"/>
                      </w:rPr>
                      <w:t>p</w:t>
                    </w:r>
                    <w:r>
                      <w:rPr>
                        <w:spacing w:val="9"/>
                        <w:w w:val="92"/>
                        <w:sz w:val="12"/>
                      </w:rPr>
                      <w:t>p</w:t>
                    </w:r>
                    <w:r>
                      <w:rPr>
                        <w:spacing w:val="1"/>
                        <w:w w:val="92"/>
                        <w:sz w:val="12"/>
                      </w:rPr>
                      <w:t>i</w:t>
                    </w:r>
                    <w:r>
                      <w:rPr>
                        <w:spacing w:val="9"/>
                        <w:w w:val="92"/>
                        <w:sz w:val="12"/>
                      </w:rPr>
                      <w:t>n</w:t>
                    </w:r>
                    <w:r>
                      <w:rPr>
                        <w:spacing w:val="4"/>
                        <w:w w:val="92"/>
                        <w:sz w:val="12"/>
                      </w:rPr>
                      <w:t>e</w:t>
                    </w:r>
                    <w:r>
                      <w:rPr>
                        <w:spacing w:val="-1"/>
                        <w:w w:val="92"/>
                        <w:sz w:val="12"/>
                      </w:rPr>
                      <w:t>s</w:t>
                    </w:r>
                    <w:r>
                      <w:rPr>
                        <w:w w:val="92"/>
                        <w:sz w:val="12"/>
                      </w:rPr>
                      <w:t>,</w:t>
                    </w:r>
                    <w:r>
                      <w:rPr>
                        <w:sz w:val="12"/>
                      </w:rPr>
                      <w:t> </w:t>
                    </w:r>
                    <w:r>
                      <w:rPr>
                        <w:w w:val="92"/>
                        <w:sz w:val="12"/>
                      </w:rPr>
                      <w:t>T</w:t>
                    </w:r>
                    <w:r>
                      <w:rPr>
                        <w:sz w:val="12"/>
                      </w:rPr>
                      <w:t> </w:t>
                    </w:r>
                    <w:r>
                      <w:rPr>
                        <w:spacing w:val="9"/>
                        <w:w w:val="92"/>
                        <w:sz w:val="12"/>
                      </w:rPr>
                      <w:t>h</w:t>
                    </w:r>
                    <w:r>
                      <w:rPr>
                        <w:spacing w:val="4"/>
                        <w:w w:val="92"/>
                        <w:sz w:val="12"/>
                      </w:rPr>
                      <w:t>a</w:t>
                    </w:r>
                    <w:r>
                      <w:rPr>
                        <w:spacing w:val="1"/>
                        <w:w w:val="92"/>
                        <w:sz w:val="12"/>
                      </w:rPr>
                      <w:t>il</w:t>
                    </w:r>
                    <w:r>
                      <w:rPr>
                        <w:spacing w:val="4"/>
                        <w:w w:val="92"/>
                        <w:sz w:val="12"/>
                      </w:rPr>
                      <w:t>a</w:t>
                    </w:r>
                    <w:r>
                      <w:rPr>
                        <w:spacing w:val="9"/>
                        <w:w w:val="92"/>
                        <w:sz w:val="12"/>
                      </w:rPr>
                      <w:t>n</w:t>
                    </w:r>
                    <w:r>
                      <w:rPr>
                        <w:spacing w:val="-13"/>
                        <w:w w:val="92"/>
                        <w:sz w:val="12"/>
                      </w:rPr>
                      <w:t>d</w:t>
                    </w:r>
                    <w:r>
                      <w:rPr>
                        <w:spacing w:val="-70"/>
                        <w:w w:val="92"/>
                        <w:sz w:val="12"/>
                      </w:rPr>
                      <w:t>U</w:t>
                    </w:r>
                    <w:r>
                      <w:rPr>
                        <w:w w:val="92"/>
                        <w:sz w:val="12"/>
                      </w:rPr>
                      <w:t>)</w:t>
                    </w:r>
                    <w:r>
                      <w:rPr>
                        <w:sz w:val="12"/>
                      </w:rPr>
                      <w:t> </w:t>
                    </w:r>
                    <w:r>
                      <w:rPr>
                        <w:spacing w:val="-8"/>
                        <w:w w:val="92"/>
                        <w:sz w:val="12"/>
                      </w:rPr>
                      <w:t>S</w:t>
                    </w:r>
                    <w:r>
                      <w:rPr>
                        <w:w w:val="92"/>
                        <w:sz w:val="12"/>
                      </w:rPr>
                      <w:t>$</w:t>
                    </w:r>
                    <w:r>
                      <w:rPr>
                        <w:sz w:val="12"/>
                      </w:rPr>
                      <w:t> </w:t>
                    </w:r>
                    <w:r>
                      <w:rPr>
                        <w:spacing w:val="-2"/>
                        <w:w w:val="92"/>
                        <w:sz w:val="12"/>
                      </w:rPr>
                      <w:t>b</w:t>
                    </w:r>
                    <w:r>
                      <w:rPr>
                        <w:w w:val="92"/>
                        <w:sz w:val="12"/>
                      </w:rPr>
                      <w:t>n </w:t>
                    </w:r>
                    <w:r>
                      <w:rPr>
                        <w:spacing w:val="2"/>
                        <w:sz w:val="12"/>
                      </w:rPr>
                      <w:t>India</w:t>
                    </w:r>
                  </w:p>
                </w:txbxContent>
              </v:textbox>
              <w10:wrap type="none"/>
            </v:shape>
            <v:shape style="position:absolute;left:7542;top:228;width:826;height:897" type="#_x0000_t202" filled="false" stroked="false">
              <v:textbox inset="0,0,0,0">
                <w:txbxContent>
                  <w:p>
                    <w:pPr>
                      <w:spacing w:line="223" w:lineRule="auto" w:before="1"/>
                      <w:ind w:left="0" w:right="242" w:firstLine="0"/>
                      <w:jc w:val="left"/>
                      <w:rPr>
                        <w:sz w:val="12"/>
                      </w:rPr>
                    </w:pPr>
                    <w:r>
                      <w:rPr>
                        <w:sz w:val="12"/>
                      </w:rPr>
                      <w:t>Singapore Hong Kong Korea</w:t>
                    </w:r>
                  </w:p>
                  <w:p>
                    <w:pPr>
                      <w:spacing w:line="118" w:lineRule="exact" w:before="0"/>
                      <w:ind w:left="0" w:right="0" w:firstLine="0"/>
                      <w:jc w:val="left"/>
                      <w:rPr>
                        <w:sz w:val="12"/>
                      </w:rPr>
                    </w:pPr>
                    <w:r>
                      <w:rPr>
                        <w:sz w:val="12"/>
                      </w:rPr>
                      <w:t>Taiwan</w:t>
                    </w:r>
                  </w:p>
                  <w:p>
                    <w:pPr>
                      <w:spacing w:line="225" w:lineRule="auto" w:before="3"/>
                      <w:ind w:left="0" w:right="328" w:firstLine="0"/>
                      <w:jc w:val="left"/>
                      <w:rPr>
                        <w:sz w:val="12"/>
                      </w:rPr>
                    </w:pPr>
                    <w:r>
                      <w:rPr>
                        <w:w w:val="95"/>
                        <w:sz w:val="12"/>
                      </w:rPr>
                      <w:t>Japan </w:t>
                    </w:r>
                    <w:r>
                      <w:rPr>
                        <w:w w:val="90"/>
                        <w:sz w:val="12"/>
                      </w:rPr>
                      <w:t>China</w:t>
                    </w:r>
                  </w:p>
                  <w:p>
                    <w:pPr>
                      <w:spacing w:line="131" w:lineRule="exact" w:before="0"/>
                      <w:ind w:left="0" w:right="0" w:firstLine="0"/>
                      <w:jc w:val="left"/>
                      <w:rPr>
                        <w:sz w:val="12"/>
                      </w:rPr>
                    </w:pPr>
                    <w:r>
                      <w:rPr>
                        <w:sz w:val="12"/>
                      </w:rPr>
                      <w:t>OPEC, Rus, Kaz</w:t>
                    </w:r>
                  </w:p>
                </w:txbxContent>
              </v:textbox>
              <w10:wrap type="none"/>
            </v:shape>
            <v:shape style="position:absolute;left:10119;top:152;width:280;height:1523" type="#_x0000_t202" filled="false" stroked="false">
              <v:textbox inset="0,0,0,0">
                <w:txbxContent>
                  <w:p>
                    <w:pPr>
                      <w:spacing w:line="132" w:lineRule="exact" w:before="0"/>
                      <w:ind w:left="0" w:right="0" w:firstLine="0"/>
                      <w:jc w:val="left"/>
                      <w:rPr>
                        <w:sz w:val="12"/>
                      </w:rPr>
                    </w:pPr>
                    <w:r>
                      <w:rPr>
                        <w:spacing w:val="9"/>
                        <w:w w:val="95"/>
                        <w:sz w:val="12"/>
                      </w:rPr>
                      <w:t>3500</w:t>
                    </w:r>
                  </w:p>
                  <w:p>
                    <w:pPr>
                      <w:spacing w:line="240" w:lineRule="auto" w:before="3"/>
                      <w:rPr>
                        <w:sz w:val="12"/>
                      </w:rPr>
                    </w:pPr>
                  </w:p>
                  <w:p>
                    <w:pPr>
                      <w:spacing w:before="0"/>
                      <w:ind w:left="0" w:right="0" w:firstLine="0"/>
                      <w:jc w:val="left"/>
                      <w:rPr>
                        <w:sz w:val="12"/>
                      </w:rPr>
                    </w:pPr>
                    <w:r>
                      <w:rPr>
                        <w:spacing w:val="9"/>
                        <w:w w:val="95"/>
                        <w:sz w:val="12"/>
                      </w:rPr>
                      <w:t>3000</w:t>
                    </w:r>
                  </w:p>
                  <w:p>
                    <w:pPr>
                      <w:spacing w:line="240" w:lineRule="auto" w:before="5"/>
                      <w:rPr>
                        <w:sz w:val="12"/>
                      </w:rPr>
                    </w:pPr>
                  </w:p>
                  <w:p>
                    <w:pPr>
                      <w:spacing w:before="0"/>
                      <w:ind w:left="0" w:right="0" w:firstLine="0"/>
                      <w:jc w:val="left"/>
                      <w:rPr>
                        <w:sz w:val="12"/>
                      </w:rPr>
                    </w:pPr>
                    <w:r>
                      <w:rPr>
                        <w:spacing w:val="9"/>
                        <w:w w:val="95"/>
                        <w:sz w:val="12"/>
                      </w:rPr>
                      <w:t>2500</w:t>
                    </w:r>
                  </w:p>
                  <w:p>
                    <w:pPr>
                      <w:spacing w:line="240" w:lineRule="auto" w:before="5"/>
                      <w:rPr>
                        <w:sz w:val="12"/>
                      </w:rPr>
                    </w:pPr>
                  </w:p>
                  <w:p>
                    <w:pPr>
                      <w:spacing w:before="0"/>
                      <w:ind w:left="0" w:right="0" w:firstLine="0"/>
                      <w:jc w:val="left"/>
                      <w:rPr>
                        <w:sz w:val="12"/>
                      </w:rPr>
                    </w:pPr>
                    <w:r>
                      <w:rPr>
                        <w:spacing w:val="9"/>
                        <w:w w:val="95"/>
                        <w:sz w:val="12"/>
                      </w:rPr>
                      <w:t>2000</w:t>
                    </w:r>
                  </w:p>
                  <w:p>
                    <w:pPr>
                      <w:spacing w:line="240" w:lineRule="auto" w:before="4"/>
                      <w:rPr>
                        <w:sz w:val="11"/>
                      </w:rPr>
                    </w:pPr>
                  </w:p>
                  <w:p>
                    <w:pPr>
                      <w:spacing w:before="0"/>
                      <w:ind w:left="0" w:right="0" w:firstLine="0"/>
                      <w:jc w:val="left"/>
                      <w:rPr>
                        <w:sz w:val="12"/>
                      </w:rPr>
                    </w:pPr>
                    <w:r>
                      <w:rPr>
                        <w:spacing w:val="9"/>
                        <w:w w:val="95"/>
                        <w:sz w:val="12"/>
                      </w:rPr>
                      <w:t>1500</w:t>
                    </w:r>
                  </w:p>
                  <w:p>
                    <w:pPr>
                      <w:spacing w:line="240" w:lineRule="auto" w:before="5"/>
                      <w:rPr>
                        <w:sz w:val="12"/>
                      </w:rPr>
                    </w:pPr>
                  </w:p>
                  <w:p>
                    <w:pPr>
                      <w:spacing w:line="138" w:lineRule="exact" w:before="0"/>
                      <w:ind w:left="0" w:right="0" w:firstLine="0"/>
                      <w:jc w:val="left"/>
                      <w:rPr>
                        <w:sz w:val="12"/>
                      </w:rPr>
                    </w:pPr>
                    <w:r>
                      <w:rPr>
                        <w:spacing w:val="9"/>
                        <w:w w:val="95"/>
                        <w:sz w:val="12"/>
                      </w:rPr>
                      <w:t>1000</w:t>
                    </w:r>
                  </w:p>
                </w:txbxContent>
              </v:textbox>
              <w10:wrap type="none"/>
            </v:shape>
            <v:shape style="position:absolute;left:10119;top:1823;width:215;height:132" type="#_x0000_t202" filled="false" stroked="false">
              <v:textbox inset="0,0,0,0">
                <w:txbxContent>
                  <w:p>
                    <w:pPr>
                      <w:spacing w:line="131" w:lineRule="exact" w:before="0"/>
                      <w:ind w:left="0" w:right="0" w:firstLine="0"/>
                      <w:jc w:val="left"/>
                      <w:rPr>
                        <w:sz w:val="12"/>
                      </w:rPr>
                    </w:pPr>
                    <w:r>
                      <w:rPr>
                        <w:sz w:val="12"/>
                      </w:rPr>
                      <w:t>500</w:t>
                    </w:r>
                  </w:p>
                </w:txbxContent>
              </v:textbox>
              <w10:wrap type="none"/>
            </v:shape>
            <w10:wrap type="none"/>
          </v:group>
        </w:pict>
      </w:r>
      <w:r>
        <w:rPr>
          <w:w w:val="110"/>
          <w:sz w:val="12"/>
        </w:rPr>
        <w:t>Percentage changes on a year earlier</w:t>
      </w:r>
    </w:p>
    <w:p>
      <w:pPr>
        <w:spacing w:before="81"/>
        <w:ind w:left="0" w:right="5759" w:firstLine="0"/>
        <w:jc w:val="right"/>
        <w:rPr>
          <w:sz w:val="12"/>
        </w:rPr>
      </w:pPr>
      <w:r>
        <w:rPr/>
        <w:pict>
          <v:group style="position:absolute;margin-left:124.285545pt;margin-top:6.13743pt;width:147.6pt;height:94.35pt;mso-position-horizontal-relative:page;mso-position-vertical-relative:paragraph;z-index:251695104" coordorigin="2486,123" coordsize="2952,1887">
            <v:shape style="position:absolute;left:2491;top:160;width:2946;height:1844" coordorigin="2491,161" coordsize="2946,1844" path="m5405,161l5405,2004m5405,2004l5437,2004m5405,1697l5437,1697m5405,1389l5437,1389m5405,1082l5437,1082m5405,775l5437,775m5405,468l5437,468m5405,161l5437,161m2491,1697l5405,1697m2491,1697l2491,1663m2689,1697l2689,1663m2887,1697l2887,1663m3085,1697l3085,1663m3283,1697l3283,1663m3481,1697l3481,1663m3678,1697l3678,1663m3876,1697l3876,1663m4085,1697l4085,1663m4283,1697l4283,1663m4481,1697l4481,1663m4679,1697l4679,1663m4877,1697l4877,1663m5075,1697l5075,1663m5273,1697l5273,1663e" filled="false" stroked="true" strokeweight=".06pt" strokecolor="#000000">
              <v:path arrowok="t"/>
              <v:stroke dashstyle="solid"/>
            </v:shape>
            <v:line style="position:absolute" from="2491,961" to="2525,841" stroked="true" strokeweight=".549488pt" strokecolor="#000080">
              <v:stroke dashstyle="solid"/>
            </v:line>
            <v:line style="position:absolute" from="2541,462" to="2541,847" stroked="true" strokeweight="2.169243pt" strokecolor="#000080">
              <v:stroke dashstyle="solid"/>
            </v:line>
            <v:line style="position:absolute" from="2557,468" to="2591,227" stroked="true" strokeweight=".549549pt" strokecolor="#000080">
              <v:stroke dashstyle="solid"/>
            </v:line>
            <v:line style="position:absolute" from="2591,227" to="2615,128" stroked="true" strokeweight=".549506pt" strokecolor="#000080">
              <v:stroke dashstyle="solid"/>
            </v:line>
            <v:line style="position:absolute" from="2640,128" to="2657,161" stroked="true" strokeweight=".549336pt" strokecolor="#000080">
              <v:stroke dashstyle="solid"/>
            </v:line>
            <v:shape style="position:absolute;left:2654;top:16436;width:2746;height:1846" coordorigin="2654,16436" coordsize="2746,1846" path="m2657,161l2689,227m2689,227l2722,227m2722,227l2755,281m2755,281l2788,402m2788,402l2821,402,2854,402m2854,402l2887,588m2887,588l2920,534m2920,534l2953,841m2953,841l2986,1323m2986,1323l3019,1455m3019,1455l3052,1575m3052,1575l3085,1575m3085,1575l3118,1509m3118,1509l3151,1455m3151,1455l3184,1455m3184,1455l3217,1631m3217,1631l3250,1938m3250,1938l3283,1883m3283,1883l3316,2004m3316,2004l3349,1817m3349,1817l3382,1631m3382,1631l3415,1509m3415,1509l3448,1455m3448,1455l3481,1455,3514,1455m3514,1455l3547,1268m3547,1268l3580,1268m3580,1268l3612,1016m3612,1016l3646,961m3646,961l3678,709m3678,709l3712,709,3744,709m3744,709l3778,654m3778,654l3810,654m3810,654l3844,588m3844,588l3876,588m3876,588l3910,775m3910,775l3953,841m3953,841l3986,961m3986,961l4019,961m4019,961l4052,775m4052,775l4085,961m4085,961l4118,961m4118,961l4151,775m4151,775l4184,841m4184,841l4217,895m4217,895l4250,841m4250,841l4283,709m4283,709l4316,534m4316,534l4349,468m4349,468l4382,402m4382,402l4415,534m4415,534l4448,588m4448,588l4481,709m4481,709l4514,775m4514,775l4547,895m4547,895l4580,895m4580,895l4613,1082m4613,1082l4646,1148m4646,1148l4679,1323m4679,1323l4712,1455m4712,1455l4745,1575m4745,1575l4777,1575m4777,1575l4811,1509m4811,1509l4843,1509m4843,1509l4877,1389m4877,1389l4909,1455m4909,1455l4943,1323m4943,1323l4975,1323m4975,1323l5009,1202m5009,1202l5041,1202m5041,1202l5075,1148m5075,1148l5107,1148m5107,1148l5141,961m5141,961l5173,895m5173,895l5207,961m5207,961l5239,841m5239,841l5273,775m5273,775l5305,588m5305,588l5339,654m5339,654l5371,654m5371,654l5405,588e" filled="false" stroked="true" strokeweight=".549pt" strokecolor="#000080">
              <v:path arrowok="t"/>
              <v:stroke dashstyle="solid"/>
            </v:shape>
            <v:shape style="position:absolute;left:2488;top:16677;width:2911;height:1110" coordorigin="2489,16678" coordsize="2911,1110" path="m2491,895l2525,895m2525,895l2557,841m2557,841l2591,895m2591,895l2623,775m2623,775l2657,841m2657,841l2689,895m2689,895l2722,895m2722,895l2755,961m2755,961l2788,1082m2788,1082l2821,1016m2821,1016l2854,961m2854,961l2887,1148m2887,1148l2920,1016m2920,1016l2953,1082m2953,1082l2986,1202m2986,1202l3019,1268m3019,1268l3052,1268m3052,1268l3085,1202m3085,1202l3118,1202m3118,1202l3151,1082m3151,1082l3184,1016m3184,1016l3217,1082m3217,1082l3250,1202m3250,1202l3283,1082m3283,1082l3316,1268m3316,1268l3349,1202m3349,1202l3382,1148m3382,1148l3415,1082m3415,1082l3448,1148m3448,1148l3481,1148,3514,1148m3514,1148l3547,1016m3547,1016l3580,1148m3580,1148l3612,895m3612,895l3646,1082m3646,1082l3678,841m3678,841l3712,841m3712,841l3744,775m3744,775l3778,709m3778,709l3810,709m3810,709l3844,654m3844,654l3876,709m3876,709l3910,775m3910,775l3953,841m3953,841l3986,895m3986,895l4019,961m4019,961l4052,895m4052,895l4085,1082m4085,1082l4118,1082,4151,1082m4151,1082l4184,1148m4184,1148l4217,1202m4217,1202l4250,1268m4250,1268l4283,1202m4283,1202l4316,1148m4316,1148l4349,1202m4349,1202l4382,1148m4382,1148l4415,1268m4415,1268l4448,1202m4448,1202l4481,1389m4481,1389l4514,1455m4514,1455l4547,1389m4547,1389l4580,1455m4580,1455l4613,1575m4613,1575l4646,1575m4646,1575l4679,1631m4679,1631l4712,1763m4712,1763l4745,1697,4777,1631m4777,1631l4811,1575m4811,1575l4843,1631m4843,1631l4877,1455m4877,1455l4909,1509m4909,1509l4943,1509m4943,1509l4975,1455m4975,1455l5009,1268m5009,1268l5041,1323m5041,1323l5075,1268m5075,1268l5107,1202m5107,1202l5141,1202,5173,1202m5173,1202l5207,1268m5207,1268l5239,1202m5239,1202l5273,1202m5273,1202l5305,1148m5305,1148l5339,1202m5339,1202l5371,1202m5371,1202l5405,1202e" filled="false" stroked="true" strokeweight=".549pt" strokecolor="#ff00ff">
              <v:path arrowok="t"/>
              <v:stroke dashstyle="solid"/>
            </v:shape>
            <v:shape style="position:absolute;left:2887;top:272;width:460;height:134" type="#_x0000_t202" filled="false" stroked="false">
              <v:textbox inset="0,0,0,0">
                <w:txbxContent>
                  <w:p>
                    <w:pPr>
                      <w:spacing w:line="134" w:lineRule="exact" w:before="0"/>
                      <w:ind w:left="0" w:right="0" w:firstLine="0"/>
                      <w:jc w:val="left"/>
                      <w:rPr>
                        <w:sz w:val="12"/>
                      </w:rPr>
                    </w:pPr>
                    <w:r>
                      <w:rPr>
                        <w:color w:val="000080"/>
                        <w:w w:val="105"/>
                        <w:sz w:val="12"/>
                      </w:rPr>
                      <w:t>RPI-CPI</w:t>
                    </w:r>
                  </w:p>
                </w:txbxContent>
              </v:textbox>
              <w10:wrap type="none"/>
            </v:shape>
            <v:shape style="position:absolute;left:3855;top:1457;width:547;height:134" type="#_x0000_t202" filled="false" stroked="false">
              <v:textbox inset="0,0,0,0">
                <w:txbxContent>
                  <w:p>
                    <w:pPr>
                      <w:spacing w:line="134" w:lineRule="exact" w:before="0"/>
                      <w:ind w:left="0" w:right="0" w:firstLine="0"/>
                      <w:jc w:val="left"/>
                      <w:rPr>
                        <w:sz w:val="12"/>
                      </w:rPr>
                    </w:pPr>
                    <w:r>
                      <w:rPr>
                        <w:color w:val="FF00FF"/>
                        <w:spacing w:val="-3"/>
                        <w:w w:val="110"/>
                        <w:sz w:val="12"/>
                      </w:rPr>
                      <w:t>RPIX-CPI</w:t>
                    </w:r>
                  </w:p>
                </w:txbxContent>
              </v:textbox>
              <w10:wrap type="none"/>
            </v:shape>
            <w10:wrap type="none"/>
          </v:group>
        </w:pict>
      </w:r>
      <w:r>
        <w:rPr>
          <w:w w:val="110"/>
          <w:sz w:val="12"/>
        </w:rPr>
        <w:t>2.5</w:t>
      </w:r>
    </w:p>
    <w:p>
      <w:pPr>
        <w:pStyle w:val="BodyText"/>
        <w:spacing w:before="8"/>
        <w:rPr>
          <w:sz w:val="14"/>
        </w:rPr>
      </w:pPr>
    </w:p>
    <w:p>
      <w:pPr>
        <w:spacing w:before="1"/>
        <w:ind w:left="0" w:right="5759" w:firstLine="0"/>
        <w:jc w:val="right"/>
        <w:rPr>
          <w:sz w:val="12"/>
        </w:rPr>
      </w:pPr>
      <w:r>
        <w:rPr>
          <w:w w:val="110"/>
          <w:sz w:val="12"/>
        </w:rPr>
        <w:t>2.0</w:t>
      </w:r>
    </w:p>
    <w:p>
      <w:pPr>
        <w:pStyle w:val="BodyText"/>
        <w:spacing w:before="8"/>
        <w:rPr>
          <w:sz w:val="14"/>
        </w:rPr>
      </w:pPr>
    </w:p>
    <w:p>
      <w:pPr>
        <w:spacing w:before="0"/>
        <w:ind w:left="0" w:right="5759" w:firstLine="0"/>
        <w:jc w:val="right"/>
        <w:rPr>
          <w:sz w:val="12"/>
        </w:rPr>
      </w:pPr>
      <w:r>
        <w:rPr>
          <w:w w:val="110"/>
          <w:sz w:val="12"/>
        </w:rPr>
        <w:t>1.5</w:t>
      </w:r>
    </w:p>
    <w:p>
      <w:pPr>
        <w:pStyle w:val="BodyText"/>
        <w:spacing w:before="8"/>
        <w:rPr>
          <w:sz w:val="14"/>
        </w:rPr>
      </w:pPr>
    </w:p>
    <w:p>
      <w:pPr>
        <w:spacing w:before="0"/>
        <w:ind w:left="1424" w:right="3371" w:firstLine="0"/>
        <w:jc w:val="center"/>
        <w:rPr>
          <w:sz w:val="12"/>
        </w:rPr>
      </w:pPr>
      <w:r>
        <w:rPr>
          <w:w w:val="110"/>
          <w:sz w:val="12"/>
        </w:rPr>
        <w:t>1.0</w:t>
      </w:r>
    </w:p>
    <w:p>
      <w:pPr>
        <w:pStyle w:val="BodyText"/>
        <w:spacing w:before="8"/>
        <w:rPr>
          <w:sz w:val="14"/>
        </w:rPr>
      </w:pPr>
    </w:p>
    <w:p>
      <w:pPr>
        <w:spacing w:before="0"/>
        <w:ind w:left="1424" w:right="3371" w:firstLine="0"/>
        <w:jc w:val="center"/>
        <w:rPr>
          <w:sz w:val="12"/>
        </w:rPr>
      </w:pPr>
      <w:r>
        <w:rPr>
          <w:w w:val="110"/>
          <w:sz w:val="12"/>
        </w:rPr>
        <w:t>0.5</w:t>
      </w:r>
    </w:p>
    <w:p>
      <w:pPr>
        <w:pStyle w:val="BodyText"/>
        <w:spacing w:before="8"/>
        <w:rPr>
          <w:sz w:val="14"/>
        </w:rPr>
      </w:pPr>
    </w:p>
    <w:p>
      <w:pPr>
        <w:spacing w:before="1"/>
        <w:ind w:left="1424" w:right="3371" w:firstLine="0"/>
        <w:jc w:val="center"/>
        <w:rPr>
          <w:sz w:val="12"/>
        </w:rPr>
      </w:pPr>
      <w:r>
        <w:rPr>
          <w:w w:val="110"/>
          <w:sz w:val="12"/>
        </w:rPr>
        <w:t>0.0</w:t>
      </w:r>
    </w:p>
    <w:p>
      <w:pPr>
        <w:spacing w:after="0"/>
        <w:jc w:val="center"/>
        <w:rPr>
          <w:sz w:val="12"/>
        </w:rPr>
        <w:sectPr>
          <w:type w:val="continuous"/>
          <w:pgSz w:w="11900" w:h="16840"/>
          <w:pgMar w:top="1180" w:bottom="280" w:left="1680" w:right="480"/>
        </w:sectPr>
      </w:pPr>
    </w:p>
    <w:p>
      <w:pPr>
        <w:pStyle w:val="BodyText"/>
        <w:rPr>
          <w:sz w:val="12"/>
        </w:rPr>
      </w:pPr>
    </w:p>
    <w:p>
      <w:pPr>
        <w:pStyle w:val="BodyText"/>
        <w:spacing w:before="10"/>
        <w:rPr>
          <w:sz w:val="17"/>
        </w:rPr>
      </w:pPr>
    </w:p>
    <w:p>
      <w:pPr>
        <w:tabs>
          <w:tab w:pos="1141" w:val="left" w:leader="none"/>
          <w:tab w:pos="1537" w:val="left" w:leader="none"/>
          <w:tab w:pos="1933" w:val="left" w:leader="none"/>
          <w:tab w:pos="2339" w:val="left" w:leader="none"/>
          <w:tab w:pos="2735" w:val="left" w:leader="none"/>
          <w:tab w:pos="3130" w:val="left" w:leader="none"/>
          <w:tab w:pos="3526" w:val="left" w:leader="none"/>
        </w:tabs>
        <w:spacing w:before="0"/>
        <w:ind w:left="746" w:right="0" w:firstLine="0"/>
        <w:jc w:val="left"/>
        <w:rPr>
          <w:sz w:val="12"/>
        </w:rPr>
      </w:pPr>
      <w:r>
        <w:rPr>
          <w:w w:val="110"/>
          <w:sz w:val="12"/>
        </w:rPr>
        <w:t>00</w:t>
        <w:tab/>
        <w:t>01</w:t>
        <w:tab/>
        <w:t>02</w:t>
        <w:tab/>
        <w:t>03</w:t>
        <w:tab/>
        <w:t>04</w:t>
        <w:tab/>
        <w:t>05</w:t>
        <w:tab/>
        <w:t>06</w:t>
        <w:tab/>
      </w:r>
      <w:r>
        <w:rPr>
          <w:spacing w:val="-9"/>
          <w:w w:val="110"/>
          <w:sz w:val="12"/>
        </w:rPr>
        <w:t>07</w:t>
      </w:r>
    </w:p>
    <w:p>
      <w:pPr>
        <w:pStyle w:val="BodyText"/>
        <w:spacing w:before="8"/>
        <w:rPr>
          <w:sz w:val="14"/>
        </w:rPr>
      </w:pPr>
      <w:r>
        <w:rPr/>
        <w:br w:type="column"/>
      </w:r>
      <w:r>
        <w:rPr>
          <w:sz w:val="14"/>
        </w:rPr>
      </w:r>
    </w:p>
    <w:p>
      <w:pPr>
        <w:spacing w:before="0"/>
        <w:ind w:left="113" w:right="0" w:firstLine="0"/>
        <w:jc w:val="left"/>
        <w:rPr>
          <w:sz w:val="12"/>
        </w:rPr>
      </w:pPr>
      <w:r>
        <w:rPr>
          <w:w w:val="110"/>
          <w:sz w:val="12"/>
        </w:rPr>
        <w:t>-0.5</w:t>
      </w:r>
    </w:p>
    <w:p>
      <w:pPr>
        <w:pStyle w:val="BodyText"/>
        <w:rPr>
          <w:sz w:val="12"/>
        </w:rPr>
      </w:pPr>
      <w:r>
        <w:rPr/>
        <w:br w:type="column"/>
      </w:r>
      <w:r>
        <w:rPr>
          <w:sz w:val="12"/>
        </w:rPr>
      </w:r>
    </w:p>
    <w:p>
      <w:pPr>
        <w:pStyle w:val="BodyText"/>
        <w:spacing w:before="4"/>
        <w:rPr>
          <w:sz w:val="12"/>
        </w:rPr>
      </w:pPr>
    </w:p>
    <w:p>
      <w:pPr>
        <w:spacing w:line="280" w:lineRule="auto" w:before="0"/>
        <w:ind w:left="800" w:right="0" w:hanging="54"/>
        <w:jc w:val="left"/>
        <w:rPr>
          <w:sz w:val="12"/>
        </w:rPr>
      </w:pPr>
      <w:r>
        <w:rPr>
          <w:w w:val="90"/>
          <w:sz w:val="12"/>
        </w:rPr>
        <w:t>Dec- </w:t>
      </w:r>
      <w:r>
        <w:rPr>
          <w:sz w:val="12"/>
        </w:rPr>
        <w:t>00</w:t>
      </w:r>
    </w:p>
    <w:p>
      <w:pPr>
        <w:pStyle w:val="BodyText"/>
        <w:rPr>
          <w:sz w:val="12"/>
        </w:rPr>
      </w:pPr>
      <w:r>
        <w:rPr/>
        <w:br w:type="column"/>
      </w:r>
      <w:r>
        <w:rPr>
          <w:sz w:val="12"/>
        </w:rPr>
      </w:r>
    </w:p>
    <w:p>
      <w:pPr>
        <w:pStyle w:val="BodyText"/>
        <w:spacing w:before="4"/>
        <w:rPr>
          <w:sz w:val="12"/>
        </w:rPr>
      </w:pPr>
    </w:p>
    <w:p>
      <w:pPr>
        <w:spacing w:line="280" w:lineRule="auto" w:before="0"/>
        <w:ind w:left="133" w:right="0" w:hanging="54"/>
        <w:jc w:val="left"/>
        <w:rPr>
          <w:sz w:val="12"/>
        </w:rPr>
      </w:pPr>
      <w:r>
        <w:rPr>
          <w:w w:val="90"/>
          <w:sz w:val="12"/>
        </w:rPr>
        <w:t>Dec- </w:t>
      </w:r>
      <w:r>
        <w:rPr>
          <w:sz w:val="12"/>
        </w:rPr>
        <w:t>01</w:t>
      </w:r>
    </w:p>
    <w:p>
      <w:pPr>
        <w:pStyle w:val="BodyText"/>
        <w:rPr>
          <w:sz w:val="12"/>
        </w:rPr>
      </w:pPr>
      <w:r>
        <w:rPr/>
        <w:br w:type="column"/>
      </w:r>
      <w:r>
        <w:rPr>
          <w:sz w:val="12"/>
        </w:rPr>
      </w:r>
    </w:p>
    <w:p>
      <w:pPr>
        <w:pStyle w:val="BodyText"/>
        <w:spacing w:before="4"/>
        <w:rPr>
          <w:sz w:val="12"/>
        </w:rPr>
      </w:pPr>
    </w:p>
    <w:p>
      <w:pPr>
        <w:spacing w:line="280" w:lineRule="auto" w:before="0"/>
        <w:ind w:left="145" w:right="0" w:hanging="54"/>
        <w:jc w:val="left"/>
        <w:rPr>
          <w:sz w:val="12"/>
        </w:rPr>
      </w:pPr>
      <w:r>
        <w:rPr>
          <w:w w:val="90"/>
          <w:sz w:val="12"/>
        </w:rPr>
        <w:t>Dec- </w:t>
      </w:r>
      <w:r>
        <w:rPr>
          <w:sz w:val="12"/>
        </w:rPr>
        <w:t>02</w:t>
      </w:r>
    </w:p>
    <w:p>
      <w:pPr>
        <w:pStyle w:val="BodyText"/>
        <w:rPr>
          <w:sz w:val="12"/>
        </w:rPr>
      </w:pPr>
      <w:r>
        <w:rPr/>
        <w:br w:type="column"/>
      </w:r>
      <w:r>
        <w:rPr>
          <w:sz w:val="12"/>
        </w:rPr>
      </w:r>
    </w:p>
    <w:p>
      <w:pPr>
        <w:pStyle w:val="BodyText"/>
        <w:spacing w:before="4"/>
        <w:rPr>
          <w:sz w:val="12"/>
        </w:rPr>
      </w:pPr>
    </w:p>
    <w:p>
      <w:pPr>
        <w:spacing w:line="280" w:lineRule="auto" w:before="0"/>
        <w:ind w:left="145" w:right="0" w:hanging="54"/>
        <w:jc w:val="left"/>
        <w:rPr>
          <w:sz w:val="12"/>
        </w:rPr>
      </w:pPr>
      <w:r>
        <w:rPr>
          <w:w w:val="90"/>
          <w:sz w:val="12"/>
        </w:rPr>
        <w:t>Dec- </w:t>
      </w:r>
      <w:r>
        <w:rPr>
          <w:sz w:val="12"/>
        </w:rPr>
        <w:t>03</w:t>
      </w:r>
    </w:p>
    <w:p>
      <w:pPr>
        <w:pStyle w:val="BodyText"/>
        <w:rPr>
          <w:sz w:val="12"/>
        </w:rPr>
      </w:pPr>
      <w:r>
        <w:rPr/>
        <w:br w:type="column"/>
      </w:r>
      <w:r>
        <w:rPr>
          <w:sz w:val="12"/>
        </w:rPr>
      </w:r>
    </w:p>
    <w:p>
      <w:pPr>
        <w:pStyle w:val="BodyText"/>
        <w:spacing w:before="4"/>
        <w:rPr>
          <w:sz w:val="12"/>
        </w:rPr>
      </w:pPr>
    </w:p>
    <w:p>
      <w:pPr>
        <w:spacing w:line="280" w:lineRule="auto" w:before="0"/>
        <w:ind w:left="134" w:right="0" w:hanging="54"/>
        <w:jc w:val="left"/>
        <w:rPr>
          <w:sz w:val="12"/>
        </w:rPr>
      </w:pPr>
      <w:r>
        <w:rPr>
          <w:w w:val="90"/>
          <w:sz w:val="12"/>
        </w:rPr>
        <w:t>Dec- </w:t>
      </w:r>
      <w:r>
        <w:rPr>
          <w:sz w:val="12"/>
        </w:rPr>
        <w:t>04</w:t>
      </w:r>
    </w:p>
    <w:p>
      <w:pPr>
        <w:pStyle w:val="BodyText"/>
        <w:rPr>
          <w:sz w:val="12"/>
        </w:rPr>
      </w:pPr>
      <w:r>
        <w:rPr/>
        <w:br w:type="column"/>
      </w:r>
      <w:r>
        <w:rPr>
          <w:sz w:val="12"/>
        </w:rPr>
      </w:r>
    </w:p>
    <w:p>
      <w:pPr>
        <w:pStyle w:val="BodyText"/>
        <w:spacing w:before="4"/>
        <w:rPr>
          <w:sz w:val="12"/>
        </w:rPr>
      </w:pPr>
    </w:p>
    <w:p>
      <w:pPr>
        <w:spacing w:line="280" w:lineRule="auto" w:before="0"/>
        <w:ind w:left="145" w:right="0" w:hanging="54"/>
        <w:jc w:val="left"/>
        <w:rPr>
          <w:sz w:val="12"/>
        </w:rPr>
      </w:pPr>
      <w:r>
        <w:rPr>
          <w:w w:val="90"/>
          <w:sz w:val="12"/>
        </w:rPr>
        <w:t>Dec- </w:t>
      </w:r>
      <w:r>
        <w:rPr>
          <w:sz w:val="12"/>
        </w:rPr>
        <w:t>05</w:t>
      </w:r>
    </w:p>
    <w:p>
      <w:pPr>
        <w:pStyle w:val="BodyText"/>
        <w:rPr>
          <w:sz w:val="12"/>
        </w:rPr>
      </w:pPr>
      <w:r>
        <w:rPr/>
        <w:br w:type="column"/>
      </w:r>
      <w:r>
        <w:rPr>
          <w:sz w:val="12"/>
        </w:rPr>
      </w:r>
    </w:p>
    <w:p>
      <w:pPr>
        <w:pStyle w:val="BodyText"/>
        <w:spacing w:before="4"/>
        <w:rPr>
          <w:sz w:val="12"/>
        </w:rPr>
      </w:pPr>
    </w:p>
    <w:p>
      <w:pPr>
        <w:spacing w:line="280" w:lineRule="auto" w:before="0"/>
        <w:ind w:left="149" w:right="0" w:hanging="54"/>
        <w:jc w:val="left"/>
        <w:rPr>
          <w:sz w:val="12"/>
        </w:rPr>
      </w:pPr>
      <w:r>
        <w:rPr>
          <w:w w:val="90"/>
          <w:sz w:val="12"/>
        </w:rPr>
        <w:t>Dec- </w:t>
      </w:r>
      <w:r>
        <w:rPr>
          <w:sz w:val="12"/>
        </w:rPr>
        <w:t>06</w:t>
      </w:r>
    </w:p>
    <w:p>
      <w:pPr>
        <w:pStyle w:val="BodyText"/>
        <w:rPr>
          <w:sz w:val="12"/>
        </w:rPr>
      </w:pPr>
      <w:r>
        <w:rPr/>
        <w:br w:type="column"/>
      </w:r>
      <w:r>
        <w:rPr>
          <w:sz w:val="12"/>
        </w:rPr>
      </w:r>
    </w:p>
    <w:p>
      <w:pPr>
        <w:pStyle w:val="BodyText"/>
        <w:spacing w:before="4"/>
        <w:rPr>
          <w:sz w:val="12"/>
        </w:rPr>
      </w:pPr>
    </w:p>
    <w:p>
      <w:pPr>
        <w:spacing w:line="280" w:lineRule="auto" w:before="0"/>
        <w:ind w:left="145" w:right="1441" w:hanging="65"/>
        <w:jc w:val="left"/>
        <w:rPr>
          <w:sz w:val="12"/>
        </w:rPr>
      </w:pPr>
      <w:r>
        <w:rPr>
          <w:w w:val="95"/>
          <w:sz w:val="12"/>
        </w:rPr>
        <w:t>Mar- </w:t>
      </w:r>
      <w:r>
        <w:rPr>
          <w:sz w:val="12"/>
        </w:rPr>
        <w:t>07</w:t>
      </w:r>
    </w:p>
    <w:p>
      <w:pPr>
        <w:spacing w:after="0" w:line="280" w:lineRule="auto"/>
        <w:jc w:val="left"/>
        <w:rPr>
          <w:sz w:val="12"/>
        </w:rPr>
        <w:sectPr>
          <w:type w:val="continuous"/>
          <w:pgSz w:w="11900" w:h="16840"/>
          <w:pgMar w:top="1180" w:bottom="280" w:left="1680" w:right="480"/>
          <w:cols w:num="10" w:equalWidth="0">
            <w:col w:w="3659" w:space="40"/>
            <w:col w:w="362" w:space="710"/>
            <w:col w:w="983" w:space="40"/>
            <w:col w:w="316" w:space="39"/>
            <w:col w:w="328" w:space="39"/>
            <w:col w:w="326" w:space="40"/>
            <w:col w:w="317" w:space="40"/>
            <w:col w:w="322" w:space="39"/>
            <w:col w:w="332" w:space="39"/>
            <w:col w:w="1769"/>
          </w:cols>
        </w:sectPr>
      </w:pPr>
    </w:p>
    <w:p>
      <w:pPr>
        <w:spacing w:before="127"/>
        <w:ind w:left="765" w:right="0" w:firstLine="0"/>
        <w:jc w:val="left"/>
        <w:rPr>
          <w:sz w:val="26"/>
        </w:rPr>
      </w:pPr>
      <w:r>
        <w:rPr>
          <w:sz w:val="26"/>
        </w:rPr>
        <w:t>Chart 13: Lending to individuals</w:t>
      </w:r>
    </w:p>
    <w:p>
      <w:pPr>
        <w:spacing w:before="225"/>
        <w:ind w:left="0" w:right="129" w:firstLine="0"/>
        <w:jc w:val="right"/>
        <w:rPr>
          <w:b/>
          <w:sz w:val="11"/>
        </w:rPr>
      </w:pPr>
      <w:r>
        <w:rPr>
          <w:b/>
          <w:w w:val="105"/>
          <w:sz w:val="11"/>
        </w:rPr>
        <w:t>% </w:t>
      </w:r>
      <w:r>
        <w:rPr>
          <w:b/>
          <w:spacing w:val="4"/>
          <w:w w:val="105"/>
          <w:sz w:val="11"/>
        </w:rPr>
        <w:t>change</w:t>
      </w:r>
      <w:r>
        <w:rPr>
          <w:b/>
          <w:w w:val="105"/>
          <w:sz w:val="11"/>
        </w:rPr>
        <w:t> </w:t>
      </w:r>
      <w:r>
        <w:rPr>
          <w:b/>
          <w:spacing w:val="3"/>
          <w:w w:val="105"/>
          <w:sz w:val="11"/>
        </w:rPr>
        <w:t>oya</w:t>
      </w:r>
    </w:p>
    <w:p>
      <w:pPr>
        <w:spacing w:before="19"/>
        <w:ind w:left="0" w:right="113" w:firstLine="0"/>
        <w:jc w:val="right"/>
        <w:rPr>
          <w:b/>
          <w:sz w:val="13"/>
        </w:rPr>
      </w:pPr>
      <w:r>
        <w:rPr/>
        <w:pict>
          <v:group style="position:absolute;margin-left:134.662506pt;margin-top:4.469353pt;width:141.85pt;height:99.55pt;mso-position-horizontal-relative:page;mso-position-vertical-relative:paragraph;z-index:251709440" coordorigin="2693,89" coordsize="2837,1991">
            <v:shape style="position:absolute;left:2703;top:89;width:2826;height:1990" coordorigin="2704,90" coordsize="2826,1990" path="m5489,90l5489,2080m5489,2080l5530,2080m5489,1861l5530,1861m5489,1633l5530,1633m5489,1416l5530,1416m5489,1199l5530,1199m5489,971l5530,971m5489,752l5530,752m5489,535l5530,535m5489,307l5530,307m5489,90l5530,90m2704,2080l5489,2080m2704,2080l2704,2038m3128,2080l3128,2038m3553,2080l3553,2038m3977,2080l3977,2038m4402,2080l4402,2038m4836,2080l4836,2038m5261,2080l5261,2038e" filled="false" stroked="true" strokeweight=".06pt" strokecolor="#000000">
              <v:path arrowok="t"/>
              <v:stroke dashstyle="solid"/>
            </v:shape>
            <v:line style="position:absolute" from="2704,1541" to="2724,1396" stroked="true" strokeweight="1.035pt" strokecolor="#ff00ff">
              <v:stroke dashstyle="solid"/>
            </v:line>
            <v:shape style="position:absolute;left:2724;top:275;width:944;height:1120" coordorigin="2724,276" coordsize="944,1120" path="m2724,1396l2735,1364m2735,1364l2755,1313m2755,1313l2777,1271m2777,1271l2797,1199m2797,1199l2807,1177m2807,1177l2828,1126m2828,1126l2849,1105m2849,1105l2860,1022m2860,1022l2880,971m2880,971l2900,898m2900,898l2921,857m2921,857l2932,888m2932,888l2952,877m2952,877l2974,866m2974,866l2983,826m2983,826l3004,846m3004,846l3025,784m3025,784l3046,732m3046,732l3056,712m3056,712l3077,701m3077,701l3097,712m3097,712l3108,701m3108,701l3128,712m3128,712l3149,598m3149,598l3169,566m3169,566l3180,587m3180,587l3200,524m3200,524l3222,452m3222,452l3232,421m3232,421l3252,421m3252,421l3274,380m3274,380l3294,390m3294,390l3305,370m3305,370l3325,276m3325,276l3346,359m3346,359l3356,390m3356,390l3377,349m3377,349l3397,296m3397,296l3418,410m3418,410l3428,442m3428,442l3449,535m3449,535l3470,546m3470,546l3480,535m3480,535l3502,473m3502,473l3522,432m3522,432l3542,484m3542,484l3553,401m3553,401l3574,452m3574,452l3594,421m3594,421l3605,442m3605,442l3625,390m3625,390l3646,370m3646,370l3667,296e" filled="false" stroked="true" strokeweight="1.035pt" strokecolor="#ff00ff">
              <v:path arrowok="t"/>
              <v:stroke dashstyle="solid"/>
            </v:shape>
            <v:line style="position:absolute" from="3672,286" to="3672,307" stroked="true" strokeweight=".48pt" strokecolor="#ff00ff">
              <v:stroke dashstyle="solid"/>
            </v:line>
            <v:shape style="position:absolute;left:3676;top:296;width:539;height:623" coordorigin="3677,296" coordsize="539,623" path="m3677,296l3697,328m3697,328l3719,410m3719,410l3728,463m3728,463l3750,484m3750,484l3770,484m3770,484l3791,442m3791,442l3802,524m3802,524l3822,535,3842,546m3842,546l3853,566m3853,566l3874,608m3874,608l3894,629m3894,629l3916,629m3916,629l3925,618m3925,618l3946,618m3946,618l3967,629m3967,629l3977,618m3977,618l3998,660m3998,660l4019,618m4019,618l4039,649m4039,649l4050,691m4050,691l4070,752m4070,752l4091,763m4091,763l4102,752m4102,752l4122,784,4142,815m4142,815l4153,846m4153,846l4174,857m4174,857l4195,919m4195,919l4216,877e" filled="false" stroked="true" strokeweight="1.035pt" strokecolor="#ff00ff">
              <v:path arrowok="t"/>
              <v:stroke dashstyle="solid"/>
            </v:shape>
            <v:line style="position:absolute" from="4220,867" to="4220,888" stroked="true" strokeweight=".48pt" strokecolor="#ff00ff">
              <v:stroke dashstyle="solid"/>
            </v:line>
            <v:shape style="position:absolute;left:4225;top:472;width:1161;height:1109" coordorigin="4225,473" coordsize="1161,1109" path="m4225,877l4247,866m4247,866l4267,857m4267,857l4278,805m4278,805l4298,784m4298,784l4319,763m4319,763l4339,732m4339,732l4350,680m4350,680l4370,618m4370,618l4391,577m4391,577l4402,546m4402,546l4422,546m4422,546l4444,566m4444,566l4464,587m4464,587l4474,546m4474,546l4495,515m4495,515l4516,494m4516,494l4526,473m4526,473l4547,524m4547,524l4567,546m4567,546l4588,587m4588,587l4598,629m4598,629l4619,629m4619,629l4640,638m4640,638l4650,629m4650,629l4670,598m4670,598l4692,618m4692,618l4712,660m4712,660l4723,691m4723,691l4744,721m4744,721l4764,691m4764,691l4775,752m4775,752l4795,732m4795,732l4816,721m4816,721l4836,721m4836,721l4847,732m4847,732l4867,743m4867,743l4889,732m4889,732l4898,752m4898,752l4919,732m4919,732l4940,721m4940,721l4961,743m4961,743l4972,763m4972,763l4992,712m4992,712l5012,721m5012,721l5023,763m5023,763l5044,774m5044,774l5064,794m5064,794l5084,846m5084,846l5095,888m5095,888l5116,940m5116,940l5137,971m5137,971l5147,1033m5147,1033l5168,1063m5168,1063l5189,1136m5189,1136l5209,1188m5209,1188l5220,1240m5220,1240l5240,1271m5240,1271l5261,1364m5261,1364l5272,1396m5272,1396l5292,1427m5292,1427l5312,1468m5312,1468l5334,1488m5334,1488l5344,1550m5344,1550l5364,1571m5364,1571l5386,1582e" filled="false" stroked="true" strokeweight="1.035pt" strokecolor="#ff00ff">
              <v:path arrowok="t"/>
              <v:stroke dashstyle="solid"/>
            </v:shape>
            <v:line style="position:absolute" from="5390,1571" to="5390,1592" stroked="true" strokeweight=".48pt" strokecolor="#ff00ff">
              <v:stroke dashstyle="solid"/>
            </v:line>
            <v:shape style="position:absolute;left:5395;top:1581;width:74;height:94" coordorigin="5395,1582" coordsize="74,94" path="m5395,1582l5417,1592m5417,1592l5437,1644m5437,1644l5458,1655m5458,1655l5468,1675e" filled="false" stroked="true" strokeweight="1.035pt" strokecolor="#ff00ff">
              <v:path arrowok="t"/>
              <v:stroke dashstyle="solid"/>
            </v:shape>
            <v:line style="position:absolute" from="5468,1675" to="5489,1706" stroked="true" strokeweight="1.035pt" strokecolor="#ff00ff">
              <v:stroke dashstyle="solid"/>
            </v:line>
            <v:line style="position:absolute" from="2704,1696" to="2724,1675" stroked="true" strokeweight="1.035pt" strokecolor="#008000">
              <v:stroke dashstyle="solid"/>
            </v:line>
            <v:shape style="position:absolute;left:2724;top:638;width:2662;height:1058" coordorigin="2724,638" coordsize="2662,1058" path="m2724,1675l2735,1675m2735,1675l2755,1644m2755,1644l2777,1633m2777,1633l2797,1613m2797,1613l2807,1624m2807,1624l2828,1624,2849,1624m2849,1624l2860,1613m2860,1613l2880,1613m2880,1613l2900,1602m2900,1602l2921,1613m2921,1613l2932,1624m2932,1624l2952,1633m2952,1633l2974,1644m2974,1644l2983,1655m2983,1655l3004,1685m3004,1685l3025,1675m3025,1675l3046,1685m3046,1685l3056,1696m3056,1696l3077,1696,3097,1696,3108,1696,3128,1696m3128,1696l3149,1685m3149,1685l3169,1675m3169,1675l3180,1655m3180,1655l3200,1633m3200,1633l3222,1624m3222,1624l3232,1613m3232,1613l3252,1592m3252,1592l3274,1561m3274,1561l3294,1550m3294,1550l3305,1541m3305,1541l3325,1510m3325,1510l3346,1510,3356,1510m3356,1510l3377,1478m3377,1478l3397,1468m3397,1468l3418,1478m3418,1478l3428,1468m3449,1468l3470,1478m3470,1478l3480,1468m3502,1468l3522,1458m3522,1458l3542,1468m3542,1468l3553,1458m3605,1458l3625,1436m3646,1436l3667,1427m3697,1427l3719,1436m3750,1436l3770,1405m3770,1405l3791,1385m3791,1385l3802,1385m3802,1385l3822,1364m3822,1364l3842,1354m3842,1354l3853,1322m3853,1322l3874,1313m3874,1313l3894,1282m3894,1282l3916,1260,3925,1250,3946,1230m3946,1230l3967,1219m3967,1219l3977,1219,3998,1219m3998,1219l4019,1208m4019,1208l4039,1208m4039,1208l4050,1230m4050,1230l4070,1240m4070,1240l4091,1250m4091,1250l4102,1271m4102,1271l4122,1271m4122,1271l4142,1282m4142,1282l4153,1282m4153,1282l4174,1271m4174,1271l4195,1282m4195,1282l4216,1271m4216,1271l4225,1260m4225,1260l4247,1250m4247,1250l4267,1219m4267,1219l4278,1199m4278,1199l4298,1157m4298,1157l4319,1136,4339,1116m4339,1116l4350,1094m4350,1094l4370,1063m4370,1063l4391,1043m4391,1043l4402,1012m4402,1012l4422,980m4422,980l4444,949m4444,949l4464,940m4464,940l4474,919m4474,919l4495,888m4495,888l4516,866m4516,866l4526,815m4526,815l4547,794,4567,774m4567,774l4588,752m4588,752l4598,743m4598,743l4619,732m4619,732l4640,732m4640,732l4650,743m4650,743l4670,712m4670,712l4692,701m4692,701l4712,712m4712,712l4723,691m4723,691l4744,680m4744,680l4764,649m4764,649l4775,660m4775,660l4795,660m4795,660l4816,638m4816,638l4836,638,4847,638,4867,638,4889,638m4889,638l4898,649m4898,649l4919,660m4919,660l4940,701m4940,701l4961,752m4961,752l4972,805m4972,805l4992,846m4992,846l5012,888m5012,888l5023,929m5023,929l5044,971m5044,971l5064,1012m5064,1012l5084,1043m5084,1043l5095,1074m5095,1074l5116,1116m5116,1116l5137,1136m5137,1136l5147,1146m5147,1146l5168,1157m5168,1157l5189,1157m5189,1157l5209,1146m5209,1146l5220,1146m5220,1146l5240,1157m5240,1157l5261,1157,5272,1157,5292,1157,5312,1157m5312,1157l5334,1136m5334,1136l5344,1146m5344,1146l5364,1146m5364,1146l5386,1136e" filled="false" stroked="true" strokeweight="1.035pt" strokecolor="#008000">
              <v:path arrowok="t"/>
              <v:stroke dashstyle="solid"/>
            </v:shape>
            <v:line style="position:absolute" from="5390,1126" to="5390,1147" stroked="true" strokeweight=".48pt" strokecolor="#008000">
              <v:stroke dashstyle="solid"/>
            </v:line>
            <v:shape style="position:absolute;left:5395;top:1125;width:74;height:11" coordorigin="5395,1126" coordsize="74,11" path="m5395,1136l5417,1126m5417,1126l5437,1136m5437,1136l5458,1136m5458,1136l5468,1136e" filled="false" stroked="true" strokeweight="1.035pt" strokecolor="#008000">
              <v:path arrowok="t"/>
              <v:stroke dashstyle="solid"/>
            </v:shape>
            <v:line style="position:absolute" from="5468,1136" to="5489,1146" stroked="true" strokeweight="1.035pt" strokecolor="#008000">
              <v:stroke dashstyle="solid"/>
            </v:line>
            <v:shape style="position:absolute;left:4236;top:310;width:928;height:127" type="#_x0000_t202" filled="false" stroked="false">
              <v:textbox inset="0,0,0,0">
                <w:txbxContent>
                  <w:p>
                    <w:pPr>
                      <w:spacing w:line="125" w:lineRule="exact" w:before="0"/>
                      <w:ind w:left="0" w:right="0" w:firstLine="0"/>
                      <w:jc w:val="left"/>
                      <w:rPr>
                        <w:b/>
                        <w:sz w:val="11"/>
                      </w:rPr>
                    </w:pPr>
                    <w:r>
                      <w:rPr>
                        <w:b/>
                        <w:color w:val="FF00FF"/>
                        <w:w w:val="105"/>
                        <w:sz w:val="11"/>
                      </w:rPr>
                      <w:t>Unsecured (16%)</w:t>
                    </w:r>
                  </w:p>
                </w:txbxContent>
              </v:textbox>
              <w10:wrap type="none"/>
            </v:shape>
            <v:shape style="position:absolute;left:2952;top:1273;width:818;height:127" type="#_x0000_t202" filled="false" stroked="false">
              <v:textbox inset="0,0,0,0">
                <w:txbxContent>
                  <w:p>
                    <w:pPr>
                      <w:tabs>
                        <w:tab w:pos="476" w:val="left" w:leader="none"/>
                      </w:tabs>
                      <w:spacing w:line="125" w:lineRule="exact" w:before="0"/>
                      <w:ind w:left="0" w:right="0" w:firstLine="0"/>
                      <w:jc w:val="left"/>
                      <w:rPr>
                        <w:b/>
                        <w:sz w:val="11"/>
                      </w:rPr>
                    </w:pPr>
                    <w:r>
                      <w:rPr>
                        <w:b/>
                        <w:color w:val="008000"/>
                        <w:w w:val="105"/>
                        <w:sz w:val="11"/>
                      </w:rPr>
                      <w:t>Total</w:t>
                    </w:r>
                    <w:r>
                      <w:rPr>
                        <w:b/>
                        <w:color w:val="008000"/>
                        <w:sz w:val="11"/>
                      </w:rPr>
                      <w:tab/>
                    </w:r>
                    <w:r>
                      <w:rPr>
                        <w:b/>
                        <w:color w:val="008000"/>
                        <w:w w:val="103"/>
                        <w:sz w:val="11"/>
                        <w:u w:val="thick" w:color="008000"/>
                      </w:rPr>
                      <w:t> </w:t>
                    </w:r>
                    <w:r>
                      <w:rPr>
                        <w:b/>
                        <w:color w:val="008000"/>
                        <w:sz w:val="11"/>
                        <w:u w:val="thick" w:color="008000"/>
                      </w:rPr>
                      <w:t>    </w:t>
                    </w:r>
                    <w:r>
                      <w:rPr>
                        <w:b/>
                        <w:color w:val="008000"/>
                        <w:spacing w:val="10"/>
                        <w:sz w:val="11"/>
                        <w:u w:val="thick" w:color="008000"/>
                      </w:rPr>
                      <w:t> </w:t>
                    </w:r>
                    <w:r>
                      <w:rPr>
                        <w:b/>
                        <w:color w:val="008000"/>
                        <w:spacing w:val="-8"/>
                        <w:sz w:val="11"/>
                      </w:rPr>
                      <w:t> </w:t>
                    </w:r>
                    <w:r>
                      <w:rPr>
                        <w:b/>
                        <w:color w:val="008000"/>
                        <w:w w:val="103"/>
                        <w:sz w:val="11"/>
                        <w:u w:val="thick" w:color="008000"/>
                      </w:rPr>
                      <w:t> </w:t>
                    </w:r>
                    <w:r>
                      <w:rPr>
                        <w:b/>
                        <w:color w:val="008000"/>
                        <w:spacing w:val="-14"/>
                        <w:sz w:val="11"/>
                        <w:u w:val="thick" w:color="008000"/>
                      </w:rPr>
                      <w:t> </w:t>
                    </w:r>
                  </w:p>
                </w:txbxContent>
              </v:textbox>
              <w10:wrap type="none"/>
            </v:shape>
            <w10:wrap type="none"/>
          </v:group>
        </w:pict>
      </w:r>
      <w:r>
        <w:rPr>
          <w:b/>
          <w:spacing w:val="4"/>
          <w:w w:val="105"/>
          <w:sz w:val="13"/>
        </w:rPr>
        <w:t>20</w:t>
      </w:r>
    </w:p>
    <w:p>
      <w:pPr>
        <w:spacing w:before="69"/>
        <w:ind w:left="0" w:right="113" w:firstLine="0"/>
        <w:jc w:val="right"/>
        <w:rPr>
          <w:b/>
          <w:sz w:val="13"/>
        </w:rPr>
      </w:pPr>
      <w:r>
        <w:rPr>
          <w:b/>
          <w:spacing w:val="4"/>
          <w:w w:val="105"/>
          <w:sz w:val="13"/>
        </w:rPr>
        <w:t>18</w:t>
      </w:r>
    </w:p>
    <w:p>
      <w:pPr>
        <w:spacing w:before="79"/>
        <w:ind w:left="0" w:right="113" w:firstLine="0"/>
        <w:jc w:val="right"/>
        <w:rPr>
          <w:b/>
          <w:sz w:val="13"/>
        </w:rPr>
      </w:pPr>
      <w:r>
        <w:rPr>
          <w:b/>
          <w:spacing w:val="4"/>
          <w:w w:val="105"/>
          <w:sz w:val="13"/>
        </w:rPr>
        <w:t>16</w:t>
      </w:r>
    </w:p>
    <w:p>
      <w:pPr>
        <w:spacing w:before="67"/>
        <w:ind w:left="0" w:right="113" w:firstLine="0"/>
        <w:jc w:val="right"/>
        <w:rPr>
          <w:b/>
          <w:sz w:val="13"/>
        </w:rPr>
      </w:pPr>
      <w:r>
        <w:rPr>
          <w:b/>
          <w:spacing w:val="4"/>
          <w:w w:val="105"/>
          <w:sz w:val="13"/>
        </w:rPr>
        <w:t>14</w:t>
      </w:r>
    </w:p>
    <w:p>
      <w:pPr>
        <w:spacing w:before="68"/>
        <w:ind w:left="0" w:right="113" w:firstLine="0"/>
        <w:jc w:val="right"/>
        <w:rPr>
          <w:b/>
          <w:sz w:val="13"/>
        </w:rPr>
      </w:pPr>
      <w:r>
        <w:rPr>
          <w:b/>
          <w:spacing w:val="4"/>
          <w:w w:val="105"/>
          <w:sz w:val="13"/>
        </w:rPr>
        <w:t>12</w:t>
      </w:r>
    </w:p>
    <w:p>
      <w:pPr>
        <w:spacing w:before="79"/>
        <w:ind w:left="0" w:right="113" w:firstLine="0"/>
        <w:jc w:val="right"/>
        <w:rPr>
          <w:b/>
          <w:sz w:val="13"/>
        </w:rPr>
      </w:pPr>
      <w:r>
        <w:rPr>
          <w:b/>
          <w:spacing w:val="4"/>
          <w:w w:val="105"/>
          <w:sz w:val="13"/>
        </w:rPr>
        <w:t>10</w:t>
      </w:r>
    </w:p>
    <w:p>
      <w:pPr>
        <w:spacing w:before="69"/>
        <w:ind w:left="0" w:right="192" w:firstLine="0"/>
        <w:jc w:val="right"/>
        <w:rPr>
          <w:b/>
          <w:sz w:val="13"/>
        </w:rPr>
      </w:pPr>
      <w:r>
        <w:rPr>
          <w:b/>
          <w:w w:val="103"/>
          <w:sz w:val="13"/>
        </w:rPr>
        <w:t>8</w:t>
      </w:r>
    </w:p>
    <w:p>
      <w:pPr>
        <w:spacing w:before="67"/>
        <w:ind w:left="0" w:right="192" w:firstLine="0"/>
        <w:jc w:val="right"/>
        <w:rPr>
          <w:b/>
          <w:sz w:val="13"/>
        </w:rPr>
      </w:pPr>
      <w:r>
        <w:rPr>
          <w:b/>
          <w:w w:val="103"/>
          <w:sz w:val="13"/>
        </w:rPr>
        <w:t>6</w:t>
      </w:r>
    </w:p>
    <w:p>
      <w:pPr>
        <w:spacing w:before="79"/>
        <w:ind w:left="3912" w:right="0" w:firstLine="0"/>
        <w:jc w:val="left"/>
        <w:rPr>
          <w:b/>
          <w:sz w:val="13"/>
        </w:rPr>
      </w:pPr>
      <w:r>
        <w:rPr>
          <w:b/>
          <w:w w:val="103"/>
          <w:sz w:val="13"/>
        </w:rPr>
        <w:t>4</w:t>
      </w:r>
    </w:p>
    <w:p>
      <w:pPr>
        <w:spacing w:before="67"/>
        <w:ind w:left="3912" w:right="0" w:firstLine="0"/>
        <w:jc w:val="left"/>
        <w:rPr>
          <w:b/>
          <w:sz w:val="13"/>
        </w:rPr>
      </w:pPr>
      <w:r>
        <w:rPr>
          <w:b/>
          <w:w w:val="103"/>
          <w:sz w:val="13"/>
        </w:rPr>
        <w:t>2</w:t>
      </w:r>
    </w:p>
    <w:p>
      <w:pPr>
        <w:spacing w:line="252" w:lineRule="auto" w:before="69"/>
        <w:ind w:left="2211" w:right="0" w:hanging="1446"/>
        <w:jc w:val="left"/>
        <w:rPr>
          <w:sz w:val="29"/>
        </w:rPr>
      </w:pPr>
      <w:r>
        <w:rPr/>
        <w:br w:type="column"/>
      </w:r>
      <w:r>
        <w:rPr>
          <w:sz w:val="29"/>
        </w:rPr>
        <w:t>Chart 14: Commercial property capital values growth</w:t>
      </w:r>
    </w:p>
    <w:p>
      <w:pPr>
        <w:spacing w:after="0" w:line="252" w:lineRule="auto"/>
        <w:jc w:val="left"/>
        <w:rPr>
          <w:sz w:val="29"/>
        </w:rPr>
        <w:sectPr>
          <w:pgSz w:w="11900" w:h="16840"/>
          <w:pgMar w:header="0" w:footer="779" w:top="1520" w:bottom="960" w:left="1680" w:right="480"/>
          <w:cols w:num="2" w:equalWidth="0">
            <w:col w:w="4174" w:space="60"/>
            <w:col w:w="5506"/>
          </w:cols>
        </w:sectPr>
      </w:pPr>
    </w:p>
    <w:p>
      <w:pPr>
        <w:spacing w:before="48"/>
        <w:ind w:left="878" w:right="0" w:firstLine="0"/>
        <w:jc w:val="left"/>
        <w:rPr>
          <w:b/>
          <w:sz w:val="13"/>
        </w:rPr>
      </w:pPr>
      <w:r>
        <w:rPr/>
        <w:pict>
          <v:shape style="position:absolute;margin-left:362.819855pt;margin-top:-97.679947pt;width:168pt;height:131.25pt;mso-position-horizontal-relative:page;mso-position-vertical-relative:paragraph;z-index:-252702720" type="#_x0000_t202" filled="false" stroked="false">
            <v:textbox inset="0,0,0,0">
              <w:txbxContent>
                <w:p>
                  <w:pPr>
                    <w:tabs>
                      <w:tab w:pos="3321" w:val="right" w:leader="none"/>
                    </w:tabs>
                    <w:spacing w:before="1"/>
                    <w:ind w:left="1615" w:right="0" w:firstLine="0"/>
                    <w:jc w:val="left"/>
                    <w:rPr>
                      <w:b/>
                      <w:sz w:val="14"/>
                    </w:rPr>
                  </w:pPr>
                  <w:r>
                    <w:rPr>
                      <w:sz w:val="14"/>
                    </w:rPr>
                    <w:t>Percentage</w:t>
                  </w:r>
                  <w:r>
                    <w:rPr>
                      <w:spacing w:val="3"/>
                      <w:sz w:val="14"/>
                    </w:rPr>
                    <w:t> </w:t>
                  </w:r>
                  <w:r>
                    <w:rPr>
                      <w:sz w:val="14"/>
                    </w:rPr>
                    <w:t>change</w:t>
                  </w:r>
                  <w:r>
                    <w:rPr>
                      <w:spacing w:val="3"/>
                      <w:sz w:val="14"/>
                    </w:rPr>
                    <w:t> </w:t>
                  </w:r>
                  <w:r>
                    <w:rPr>
                      <w:sz w:val="14"/>
                    </w:rPr>
                    <w:t>on</w:t>
                    <w:tab/>
                  </w:r>
                  <w:r>
                    <w:rPr>
                      <w:b/>
                      <w:position w:val="4"/>
                      <w:sz w:val="14"/>
                    </w:rPr>
                    <w:t>30</w:t>
                  </w:r>
                </w:p>
                <w:p>
                  <w:pPr>
                    <w:tabs>
                      <w:tab w:pos="3321" w:val="right" w:leader="none"/>
                    </w:tabs>
                    <w:spacing w:before="24"/>
                    <w:ind w:left="2113" w:right="0" w:firstLine="0"/>
                    <w:jc w:val="left"/>
                    <w:rPr>
                      <w:b/>
                      <w:sz w:val="14"/>
                    </w:rPr>
                  </w:pPr>
                  <w:r>
                    <w:rPr>
                      <w:sz w:val="14"/>
                    </w:rPr>
                    <w:t>previous</w:t>
                  </w:r>
                  <w:r>
                    <w:rPr>
                      <w:spacing w:val="2"/>
                      <w:sz w:val="14"/>
                    </w:rPr>
                    <w:t> </w:t>
                  </w:r>
                  <w:r>
                    <w:rPr>
                      <w:sz w:val="14"/>
                    </w:rPr>
                    <w:t>year</w:t>
                    <w:tab/>
                  </w:r>
                  <w:r>
                    <w:rPr>
                      <w:b/>
                      <w:sz w:val="14"/>
                    </w:rPr>
                    <w:t>25</w:t>
                  </w:r>
                </w:p>
                <w:p>
                  <w:pPr>
                    <w:spacing w:before="59"/>
                    <w:ind w:left="0" w:right="36" w:firstLine="0"/>
                    <w:jc w:val="right"/>
                    <w:rPr>
                      <w:b/>
                      <w:sz w:val="14"/>
                    </w:rPr>
                  </w:pPr>
                  <w:r>
                    <w:rPr>
                      <w:b/>
                      <w:spacing w:val="-1"/>
                      <w:sz w:val="14"/>
                    </w:rPr>
                    <w:t>20</w:t>
                  </w:r>
                </w:p>
                <w:p>
                  <w:pPr>
                    <w:spacing w:before="72"/>
                    <w:ind w:left="0" w:right="36" w:firstLine="0"/>
                    <w:jc w:val="right"/>
                    <w:rPr>
                      <w:b/>
                      <w:sz w:val="14"/>
                    </w:rPr>
                  </w:pPr>
                  <w:r>
                    <w:rPr>
                      <w:b/>
                      <w:spacing w:val="-1"/>
                      <w:sz w:val="14"/>
                    </w:rPr>
                    <w:t>15</w:t>
                  </w:r>
                </w:p>
                <w:p>
                  <w:pPr>
                    <w:spacing w:before="59"/>
                    <w:ind w:left="0" w:right="36" w:firstLine="0"/>
                    <w:jc w:val="right"/>
                    <w:rPr>
                      <w:b/>
                      <w:sz w:val="14"/>
                    </w:rPr>
                  </w:pPr>
                  <w:r>
                    <w:rPr>
                      <w:b/>
                      <w:spacing w:val="-1"/>
                      <w:sz w:val="14"/>
                    </w:rPr>
                    <w:t>10</w:t>
                  </w:r>
                </w:p>
                <w:p>
                  <w:pPr>
                    <w:spacing w:before="70"/>
                    <w:ind w:left="0" w:right="0" w:firstLine="0"/>
                    <w:jc w:val="right"/>
                    <w:rPr>
                      <w:b/>
                      <w:sz w:val="14"/>
                    </w:rPr>
                  </w:pPr>
                  <w:r>
                    <w:rPr>
                      <w:b/>
                      <w:sz w:val="14"/>
                    </w:rPr>
                    <w:t>5</w:t>
                  </w:r>
                  <w:r>
                    <w:rPr>
                      <w:b/>
                      <w:spacing w:val="-6"/>
                      <w:sz w:val="14"/>
                    </w:rPr>
                    <w:t> </w:t>
                  </w:r>
                  <w:r>
                    <w:rPr>
                      <w:b/>
                      <w:position w:val="-1"/>
                      <w:sz w:val="14"/>
                    </w:rPr>
                    <w:t>+</w:t>
                  </w:r>
                </w:p>
                <w:p>
                  <w:pPr>
                    <w:spacing w:line="157" w:lineRule="exact" w:before="39"/>
                    <w:ind w:left="3177" w:right="0" w:firstLine="0"/>
                    <w:jc w:val="left"/>
                    <w:rPr>
                      <w:b/>
                      <w:sz w:val="14"/>
                    </w:rPr>
                  </w:pPr>
                  <w:r>
                    <w:rPr>
                      <w:b/>
                      <w:w w:val="102"/>
                      <w:sz w:val="14"/>
                    </w:rPr>
                    <w:t>0</w:t>
                  </w:r>
                </w:p>
                <w:p>
                  <w:pPr>
                    <w:spacing w:line="232" w:lineRule="auto" w:before="0"/>
                    <w:ind w:left="3177" w:right="0" w:firstLine="0"/>
                    <w:jc w:val="left"/>
                    <w:rPr>
                      <w:b/>
                      <w:sz w:val="14"/>
                    </w:rPr>
                  </w:pPr>
                  <w:r>
                    <w:rPr>
                      <w:b/>
                      <w:position w:val="-7"/>
                      <w:sz w:val="14"/>
                    </w:rPr>
                    <w:t>5</w:t>
                  </w:r>
                  <w:r>
                    <w:rPr>
                      <w:b/>
                      <w:spacing w:val="30"/>
                      <w:position w:val="-7"/>
                      <w:sz w:val="14"/>
                    </w:rPr>
                    <w:t> </w:t>
                  </w:r>
                  <w:r>
                    <w:rPr>
                      <w:b/>
                      <w:spacing w:val="-19"/>
                      <w:sz w:val="14"/>
                    </w:rPr>
                    <w:t>-</w:t>
                  </w:r>
                </w:p>
                <w:p>
                  <w:pPr>
                    <w:spacing w:before="58"/>
                    <w:ind w:left="0" w:right="36" w:firstLine="0"/>
                    <w:jc w:val="right"/>
                    <w:rPr>
                      <w:b/>
                      <w:sz w:val="14"/>
                    </w:rPr>
                  </w:pPr>
                  <w:r>
                    <w:rPr>
                      <w:b/>
                      <w:spacing w:val="-1"/>
                      <w:sz w:val="14"/>
                    </w:rPr>
                    <w:t>10</w:t>
                  </w:r>
                </w:p>
                <w:p>
                  <w:pPr>
                    <w:spacing w:before="70"/>
                    <w:ind w:left="0" w:right="36" w:firstLine="0"/>
                    <w:jc w:val="right"/>
                    <w:rPr>
                      <w:b/>
                      <w:sz w:val="14"/>
                    </w:rPr>
                  </w:pPr>
                  <w:r>
                    <w:rPr>
                      <w:b/>
                      <w:spacing w:val="-1"/>
                      <w:sz w:val="14"/>
                    </w:rPr>
                    <w:t>15</w:t>
                  </w:r>
                </w:p>
                <w:p>
                  <w:pPr>
                    <w:spacing w:before="59"/>
                    <w:ind w:left="0" w:right="36" w:firstLine="0"/>
                    <w:jc w:val="right"/>
                    <w:rPr>
                      <w:b/>
                      <w:sz w:val="14"/>
                    </w:rPr>
                  </w:pPr>
                  <w:r>
                    <w:rPr>
                      <w:b/>
                      <w:spacing w:val="-1"/>
                      <w:sz w:val="14"/>
                    </w:rPr>
                    <w:t>20</w:t>
                  </w:r>
                </w:p>
                <w:p>
                  <w:pPr>
                    <w:spacing w:before="49"/>
                    <w:ind w:left="0" w:right="0" w:firstLine="0"/>
                    <w:jc w:val="left"/>
                    <w:rPr>
                      <w:b/>
                      <w:sz w:val="14"/>
                    </w:rPr>
                  </w:pPr>
                  <w:r>
                    <w:rPr>
                      <w:b/>
                      <w:sz w:val="14"/>
                    </w:rPr>
                    <w:t>80 83 86 89 92 95 98 01 04 07</w:t>
                  </w:r>
                </w:p>
              </w:txbxContent>
            </v:textbox>
            <w10:wrap type="none"/>
          </v:shape>
        </w:pict>
      </w:r>
      <w:r>
        <w:rPr/>
        <w:pict>
          <v:group style="position:absolute;margin-left:358.380005pt;margin-top:-103.13047pt;width:178.7pt;height:142pt;mso-position-horizontal-relative:page;mso-position-vertical-relative:paragraph;z-index:251713536" coordorigin="7168,-2063" coordsize="3574,2840">
            <v:shape style="position:absolute;left:10321;top:-1889;width:45;height:2258" coordorigin="10321,-1889" coordsize="45,2258" path="m10321,-1889l10321,369,10366,369e" filled="false" stroked="true" strokeweight=".043pt" strokecolor="#010101">
              <v:path arrowok="t"/>
              <v:stroke dashstyle="solid"/>
            </v:shape>
            <v:shape style="position:absolute;left:7443;top:-1636;width:2878;height:1728" coordorigin="7444,-1635" coordsize="2878,1728" path="m7444,-1029l7465,-1008,7477,-997,7488,-997,7499,-986,7499,-974,7510,-963,7522,-963,7543,-942,7554,-920,7554,-887,7565,-865,7577,-831,7588,-799,7598,-776,7598,-755,7609,-721,7621,-699,7632,-667,7643,-644,7654,-623,7664,-623,7676,-612,7776,-612,7787,-623,7808,-623,7808,-633,7842,-633,7853,-644,7897,-644,7908,-633,7942,-633,7952,-623,7975,-623,7997,-644,8008,-644,8020,-655,8020,-667,8063,-710,8075,-721,8075,-733,8086,-744,8096,-733,8141,-733,8152,-787,8162,-810,8174,-842,8174,-920,8185,-953,8196,-997,8207,-1029,8219,-1095,8230,-1129,8230,-1217,8240,-1305,8251,-1415,8262,-1459,8274,-1514,8274,-1547,8285,-1536,8306,-1625,8318,-1635,8338,-1567,8354,-1498,8368,-1428,8384,-1359,8384,-1293,8395,-1227,8406,-1129,8418,-1019,8429,-953,8429,-865,8440,-776,8450,-689,8461,-523,8473,-425,8484,-336,8484,-237,8495,-149,8506,-83,8518,-39,8539,49,8539,60,8550,82,8561,93,8573,27,8584,5,8594,-29,8605,-61,8616,-105,8628,-138,8639,-182,8639,-227,8660,-248,8672,-270,8683,-270,8694,-259,8694,-282,8705,-259,8716,-215,8728,-204,8749,-161,8749,-149,8760,-149,8772,-171,8783,-182,8794,-204,8794,-248,8815,-359,8827,-446,8838,-523,8849,-644,8849,-821,8860,-908,8872,-1029,8882,-1161,8893,-1227,8893,-1261,8917,-1227,8931,-1188,8941,-1147,8948,-1106,8948,-986,8959,-831,8971,-765,8982,-655,8993,-523,9004,-457,9004,-414,9014,-369,9026,-348,9037,-336,9048,-336,9059,-325,9082,-325,9092,-336,9103,-359,9103,-369,9114,-380,9126,-425,9137,-446,9148,-457,9158,-480,9158,-491,9170,-534,9181,-567,9192,-578,9203,-601,9203,-623,9214,-644,9226,-678,9247,-699,9258,-721,9260,-760,9274,-797,9294,-831,9313,-865,9313,-853,9325,-865,9336,-865,9347,-876,9358,-897,9370,-887,9370,-853,9380,-810,9391,-755,9402,-721,9413,-699,9413,-678,9425,-667,9469,-667,9469,-678,9480,-710,9491,-733,9502,-787,9512,-810,9524,-831,9524,-842,9535,-865,9546,-853,9557,-842,9569,-821,9569,-799,9580,-776,9601,-733,9612,-710,9624,-678,9624,-655,9635,-644,9646,-612,9656,-601,9668,-578,9679,-567,9679,-557,9690,-546,9701,-523,9712,-512,9724,-512,9734,-501,9745,-512,9756,-512,9768,-523,9779,-546,9779,-567,9790,-578,9800,-601,9811,-623,9823,-633,9834,-644,9834,-655,9856,-655,9878,-678,9878,-667,9889,-655,9900,-655,9911,-644,9923,-667,9934,-678,9934,-689,9944,-710,9955,-721,9967,-744,9978,-787,9989,-787,9989,-831,10000,-897,10010,-920,10022,-942,10033,-974,10044,-986,10044,-1019,10055,-1052,10066,-1063,10078,-1063,10088,-1019,10088,-1029,10099,-1029,10110,-1008,10122,-1008,10133,-1019,10144,-1019,10154,-1052,10165,-1085,10177,-1095,10188,-1118,10188,-1184,10199,-1195,10210,-1195,10222,-1217,10232,-1227,10243,-1217,10243,-1195,10254,-1184,10265,-1151,10277,-1095,10288,-1074,10298,-1040,10298,-997,10309,-953,10321,-920e" filled="false" stroked="true" strokeweight="1.119pt" strokecolor="#010180">
              <v:path arrowok="t"/>
              <v:stroke dashstyle="solid"/>
            </v:shape>
            <v:rect style="position:absolute;left:7167;top:-2063;width:3574;height:2840" filled="true" fillcolor="#ffffff" stroked="false">
              <v:fill type="solid"/>
            </v:rect>
            <v:shape style="position:absolute;left:7322;top:-1889;width:3044;height:2259" coordorigin="7322,-1889" coordsize="3044,2259" path="m10321,-1889l10321,369,10366,369m10321,148l10366,149m10321,-83l10366,-81m10321,-303l10366,-302m10321,-535l10366,-534m10321,-755l10366,-753m10321,-986l10366,-985m10321,-1206l10366,-1206m10321,-1437l10366,-1436m10321,-1657l10366,-1657m10321,-1889l10366,-1887m7322,369l10321,370m7322,369l7322,325m7654,369l7655,325m7975,369l7975,325m8306,369l8308,325m8639,369l8640,325m8959,369l8960,325m9292,369l9293,325m9624,369l9625,325m9944,369l9946,325m10277,369l10278,325e" filled="false" stroked="true" strokeweight=".043pt" strokecolor="#010101">
              <v:path arrowok="t"/>
              <v:stroke dashstyle="solid"/>
            </v:shape>
            <v:shape style="position:absolute;left:7443;top:-1636;width:2878;height:1728" coordorigin="7444,-1635" coordsize="2878,1728" path="m7444,-1029l7465,-1008,7477,-997,7488,-997,7499,-986,7499,-974,7510,-963,7522,-963,7543,-942,7554,-920,7554,-887,7565,-865,7577,-831,7588,-799,7598,-776,7598,-755,7609,-721,7621,-699,7632,-667,7643,-644,7654,-623,7664,-623,7676,-612,7776,-612,7787,-623,7808,-623,7808,-633,7842,-633,7853,-644,7897,-644,7908,-633,7942,-633,7952,-623,7975,-623,7997,-644,8008,-644,8020,-655,8020,-667,8063,-710,8075,-721,8075,-733,8086,-744,8096,-733,8141,-733,8152,-787,8162,-810,8174,-842,8174,-920,8185,-953,8196,-997,8207,-1029,8219,-1095,8230,-1129,8230,-1217,8240,-1305,8251,-1415,8262,-1459,8274,-1514,8274,-1547,8285,-1536,8306,-1625,8318,-1635,8338,-1567,8354,-1498,8368,-1428,8384,-1359,8384,-1293,8395,-1227,8406,-1129,8418,-1019,8429,-953,8429,-865,8440,-776,8450,-689,8461,-523,8473,-425,8484,-336,8484,-237,8495,-149,8506,-83,8518,-39,8539,49,8539,60,8550,82,8561,93,8573,27,8584,5,8594,-29,8605,-61,8616,-105,8628,-138,8639,-182,8639,-227,8660,-248,8672,-270,8683,-270,8694,-259,8694,-282,8705,-259,8716,-215,8728,-204,8749,-161,8749,-149,8760,-149,8772,-171,8783,-182,8794,-204,8794,-248,8815,-359,8827,-446,8838,-523,8849,-644,8849,-821,8860,-908,8872,-1029,8882,-1161,8893,-1227,8893,-1261,8917,-1227,8931,-1188,8941,-1147,8948,-1106,8948,-986,8959,-831,8971,-765,8982,-655,8993,-523,9004,-457,9004,-414,9014,-369,9026,-348,9037,-336,9048,-336,9059,-325,9082,-325,9092,-336,9103,-359,9103,-369,9114,-380,9126,-425,9137,-446,9148,-457,9158,-480,9158,-491,9170,-534,9181,-567,9192,-578,9203,-601,9203,-623,9214,-644,9226,-678,9247,-699,9258,-721,9260,-760,9274,-797,9294,-831,9313,-865,9313,-853,9325,-865,9336,-865,9347,-876,9358,-897,9370,-887,9370,-853,9380,-810,9391,-755,9402,-721,9413,-699,9413,-678,9425,-667,9469,-667,9469,-678,9480,-710,9491,-733,9502,-787,9512,-810,9524,-831,9524,-842,9535,-865,9546,-853,9557,-842,9569,-821,9569,-799,9580,-776,9601,-733,9612,-710,9624,-678,9624,-655,9635,-644,9646,-612,9656,-601,9668,-578,9679,-567,9679,-557,9690,-546,9701,-523,9712,-512,9724,-512,9734,-501,9745,-512,9756,-512,9768,-523,9779,-546,9779,-567,9790,-578,9800,-601,9811,-623,9823,-633,9834,-644,9834,-655,9856,-655,9878,-678,9878,-667,9889,-655,9900,-655,9911,-644,9923,-667,9934,-678,9934,-689,9944,-710,9955,-721,9967,-744,9978,-787,9989,-787,9989,-831,10000,-897,10010,-920,10022,-942,10033,-974,10044,-986,10044,-1019,10055,-1052,10066,-1063,10078,-1063,10088,-1019,10088,-1029,10099,-1029,10110,-1008,10122,-1008,10133,-1019,10144,-1019,10154,-1052,10165,-1085,10177,-1095,10188,-1118,10188,-1184,10199,-1195,10210,-1195,10222,-1217,10232,-1227,10243,-1217,10243,-1195,10254,-1184,10265,-1151,10277,-1095,10288,-1074,10298,-1040,10298,-997,10309,-953,10321,-920e" filled="false" stroked="true" strokeweight="1.119pt" strokecolor="#010180">
              <v:path arrowok="t"/>
              <v:stroke dashstyle="solid"/>
            </v:shape>
            <v:line style="position:absolute" from="7438,-535" to="10316,-535" stroked="true" strokeweight=".537pt" strokecolor="#010101">
              <v:stroke dashstyle="solid"/>
            </v:line>
            <v:shape style="position:absolute;left:8871;top:-1910;width:1293;height:344" type="#_x0000_t202" filled="false" stroked="false">
              <v:textbox inset="0,0,0,0">
                <w:txbxContent>
                  <w:p>
                    <w:pPr>
                      <w:spacing w:line="158" w:lineRule="exact" w:before="0"/>
                      <w:ind w:left="0" w:right="42" w:firstLine="0"/>
                      <w:jc w:val="right"/>
                      <w:rPr>
                        <w:sz w:val="14"/>
                      </w:rPr>
                    </w:pPr>
                    <w:r>
                      <w:rPr>
                        <w:sz w:val="14"/>
                      </w:rPr>
                      <w:t>Percentage  change</w:t>
                    </w:r>
                    <w:r>
                      <w:rPr>
                        <w:spacing w:val="-7"/>
                        <w:sz w:val="14"/>
                      </w:rPr>
                      <w:t> </w:t>
                    </w:r>
                    <w:r>
                      <w:rPr>
                        <w:spacing w:val="-9"/>
                        <w:sz w:val="14"/>
                      </w:rPr>
                      <w:t>on</w:t>
                    </w:r>
                  </w:p>
                  <w:p>
                    <w:pPr>
                      <w:spacing w:before="24"/>
                      <w:ind w:left="0" w:right="18" w:firstLine="0"/>
                      <w:jc w:val="right"/>
                      <w:rPr>
                        <w:sz w:val="14"/>
                      </w:rPr>
                    </w:pPr>
                    <w:r>
                      <w:rPr>
                        <w:sz w:val="14"/>
                      </w:rPr>
                      <w:t>previous</w:t>
                    </w:r>
                    <w:r>
                      <w:rPr>
                        <w:spacing w:val="13"/>
                        <w:sz w:val="14"/>
                      </w:rPr>
                      <w:t> </w:t>
                    </w:r>
                    <w:r>
                      <w:rPr>
                        <w:sz w:val="14"/>
                      </w:rPr>
                      <w:t>year</w:t>
                    </w:r>
                  </w:p>
                </w:txbxContent>
              </v:textbox>
              <w10:wrap type="none"/>
            </v:shape>
            <v:shape style="position:absolute;left:10434;top:-1954;width:203;height:2415" type="#_x0000_t202" filled="false" stroked="false">
              <v:textbox inset="0,0,0,0">
                <w:txbxContent>
                  <w:p>
                    <w:pPr>
                      <w:spacing w:line="158" w:lineRule="exact" w:before="0"/>
                      <w:ind w:left="0" w:right="0" w:firstLine="0"/>
                      <w:jc w:val="left"/>
                      <w:rPr>
                        <w:b/>
                        <w:sz w:val="14"/>
                      </w:rPr>
                    </w:pPr>
                    <w:r>
                      <w:rPr>
                        <w:b/>
                        <w:sz w:val="14"/>
                      </w:rPr>
                      <w:t>30</w:t>
                    </w:r>
                  </w:p>
                  <w:p>
                    <w:pPr>
                      <w:spacing w:before="68"/>
                      <w:ind w:left="0" w:right="0" w:firstLine="0"/>
                      <w:jc w:val="left"/>
                      <w:rPr>
                        <w:b/>
                        <w:sz w:val="14"/>
                      </w:rPr>
                    </w:pPr>
                    <w:r>
                      <w:rPr>
                        <w:b/>
                        <w:sz w:val="14"/>
                      </w:rPr>
                      <w:t>25</w:t>
                    </w:r>
                  </w:p>
                  <w:p>
                    <w:pPr>
                      <w:spacing w:before="60"/>
                      <w:ind w:left="0" w:right="0" w:firstLine="0"/>
                      <w:jc w:val="left"/>
                      <w:rPr>
                        <w:b/>
                        <w:sz w:val="14"/>
                      </w:rPr>
                    </w:pPr>
                    <w:r>
                      <w:rPr>
                        <w:b/>
                        <w:sz w:val="14"/>
                      </w:rPr>
                      <w:t>20</w:t>
                    </w:r>
                  </w:p>
                  <w:p>
                    <w:pPr>
                      <w:spacing w:before="72"/>
                      <w:ind w:left="0" w:right="0" w:firstLine="0"/>
                      <w:jc w:val="left"/>
                      <w:rPr>
                        <w:b/>
                        <w:sz w:val="14"/>
                      </w:rPr>
                    </w:pPr>
                    <w:r>
                      <w:rPr>
                        <w:b/>
                        <w:sz w:val="14"/>
                      </w:rPr>
                      <w:t>15</w:t>
                    </w:r>
                  </w:p>
                  <w:p>
                    <w:pPr>
                      <w:spacing w:before="58"/>
                      <w:ind w:left="0" w:right="0" w:firstLine="0"/>
                      <w:jc w:val="left"/>
                      <w:rPr>
                        <w:b/>
                        <w:sz w:val="14"/>
                      </w:rPr>
                    </w:pPr>
                    <w:r>
                      <w:rPr>
                        <w:b/>
                        <w:sz w:val="14"/>
                      </w:rPr>
                      <w:t>10</w:t>
                    </w:r>
                  </w:p>
                  <w:p>
                    <w:pPr>
                      <w:spacing w:before="71"/>
                      <w:ind w:left="0" w:right="0" w:firstLine="0"/>
                      <w:jc w:val="left"/>
                      <w:rPr>
                        <w:b/>
                        <w:sz w:val="14"/>
                      </w:rPr>
                    </w:pPr>
                    <w:r>
                      <w:rPr>
                        <w:b/>
                        <w:sz w:val="14"/>
                      </w:rPr>
                      <w:t>5</w:t>
                    </w:r>
                    <w:r>
                      <w:rPr>
                        <w:b/>
                        <w:spacing w:val="-6"/>
                        <w:sz w:val="14"/>
                      </w:rPr>
                      <w:t> </w:t>
                    </w:r>
                    <w:r>
                      <w:rPr>
                        <w:b/>
                        <w:position w:val="-1"/>
                        <w:sz w:val="14"/>
                      </w:rPr>
                      <w:t>+</w:t>
                    </w:r>
                  </w:p>
                  <w:p>
                    <w:pPr>
                      <w:spacing w:line="157" w:lineRule="exact" w:before="38"/>
                      <w:ind w:left="0" w:right="0" w:firstLine="0"/>
                      <w:jc w:val="left"/>
                      <w:rPr>
                        <w:b/>
                        <w:sz w:val="14"/>
                      </w:rPr>
                    </w:pPr>
                    <w:r>
                      <w:rPr>
                        <w:b/>
                        <w:w w:val="102"/>
                        <w:sz w:val="14"/>
                      </w:rPr>
                      <w:t>0</w:t>
                    </w:r>
                  </w:p>
                  <w:p>
                    <w:pPr>
                      <w:spacing w:line="232" w:lineRule="auto" w:before="0"/>
                      <w:ind w:left="0" w:right="0" w:firstLine="0"/>
                      <w:jc w:val="left"/>
                      <w:rPr>
                        <w:b/>
                        <w:sz w:val="14"/>
                      </w:rPr>
                    </w:pPr>
                    <w:r>
                      <w:rPr>
                        <w:b/>
                        <w:position w:val="-7"/>
                        <w:sz w:val="14"/>
                      </w:rPr>
                      <w:t>5</w:t>
                    </w:r>
                    <w:r>
                      <w:rPr>
                        <w:b/>
                        <w:spacing w:val="29"/>
                        <w:position w:val="-7"/>
                        <w:sz w:val="14"/>
                      </w:rPr>
                      <w:t> </w:t>
                    </w:r>
                    <w:r>
                      <w:rPr>
                        <w:b/>
                        <w:sz w:val="14"/>
                      </w:rPr>
                      <w:t>-</w:t>
                    </w:r>
                  </w:p>
                  <w:p>
                    <w:pPr>
                      <w:spacing w:before="58"/>
                      <w:ind w:left="0" w:right="0" w:firstLine="0"/>
                      <w:jc w:val="left"/>
                      <w:rPr>
                        <w:b/>
                        <w:sz w:val="14"/>
                      </w:rPr>
                    </w:pPr>
                    <w:r>
                      <w:rPr>
                        <w:b/>
                        <w:sz w:val="14"/>
                      </w:rPr>
                      <w:t>10</w:t>
                    </w:r>
                  </w:p>
                  <w:p>
                    <w:pPr>
                      <w:spacing w:before="71"/>
                      <w:ind w:left="0" w:right="0" w:firstLine="0"/>
                      <w:jc w:val="left"/>
                      <w:rPr>
                        <w:b/>
                        <w:sz w:val="14"/>
                      </w:rPr>
                    </w:pPr>
                    <w:r>
                      <w:rPr>
                        <w:b/>
                        <w:sz w:val="14"/>
                      </w:rPr>
                      <w:t>15</w:t>
                    </w:r>
                  </w:p>
                  <w:p>
                    <w:pPr>
                      <w:spacing w:before="58"/>
                      <w:ind w:left="0" w:right="0" w:firstLine="0"/>
                      <w:jc w:val="left"/>
                      <w:rPr>
                        <w:b/>
                        <w:sz w:val="14"/>
                      </w:rPr>
                    </w:pPr>
                    <w:r>
                      <w:rPr>
                        <w:b/>
                        <w:sz w:val="14"/>
                      </w:rPr>
                      <w:t>20</w:t>
                    </w:r>
                  </w:p>
                </w:txbxContent>
              </v:textbox>
              <w10:wrap type="none"/>
            </v:shape>
            <v:shape style="position:absolute;left:7256;top:512;width:3120;height:159" type="#_x0000_t202" filled="false" stroked="false">
              <v:textbox inset="0,0,0,0">
                <w:txbxContent>
                  <w:p>
                    <w:pPr>
                      <w:spacing w:line="158" w:lineRule="exact" w:before="0"/>
                      <w:ind w:left="0" w:right="0" w:firstLine="0"/>
                      <w:jc w:val="left"/>
                      <w:rPr>
                        <w:b/>
                        <w:sz w:val="14"/>
                      </w:rPr>
                    </w:pPr>
                    <w:r>
                      <w:rPr>
                        <w:b/>
                        <w:sz w:val="14"/>
                      </w:rPr>
                      <w:t>80 83 86 89 92 95 98 01 04 07</w:t>
                    </w:r>
                  </w:p>
                </w:txbxContent>
              </v:textbox>
              <w10:wrap type="none"/>
            </v:shape>
            <w10:wrap type="none"/>
          </v:group>
        </w:pict>
      </w:r>
      <w:r>
        <w:rPr>
          <w:b/>
          <w:w w:val="105"/>
          <w:sz w:val="13"/>
        </w:rPr>
        <w:t>1994 1996 1998 2000 2002 2004 2006</w:t>
      </w:r>
    </w:p>
    <w:sectPr>
      <w:type w:val="continuous"/>
      <w:pgSz w:w="11900" w:h="16840"/>
      <w:pgMar w:top="1180" w:bottom="280" w:left="1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006348pt;width:18pt;height:15.35pt;mso-position-horizontal-relative:page;mso-position-vertical-relative:page;z-index:-252750848" type="#_x0000_t202" filled="false" stroked="false">
          <v:textbox inset="0,0,0,0">
            <w:txbxContent>
              <w:p>
                <w:pPr>
                  <w:pStyle w:val="BodyText"/>
                  <w:spacing w:before="11"/>
                  <w:ind w:left="60"/>
                </w:pPr>
                <w:r>
                  <w:rPr/>
                  <w:fldChar w:fldCharType="begin"/>
                </w:r>
                <w:r>
                  <w:rPr/>
                  <w:instrText> PAGE </w:instrText>
                </w:r>
                <w:r>
                  <w:rPr/>
                  <w:fldChar w:fldCharType="separate"/>
                </w:r>
                <w:r>
                  <w:rPr/>
                  <w:t>19</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outlineLvl w:val="1"/>
    </w:pPr>
    <w:rPr>
      <w:rFonts w:ascii="Times New Roman" w:hAnsi="Times New Roman" w:eastAsia="Times New Roman" w:cs="Times New Roman"/>
      <w:sz w:val="32"/>
      <w:szCs w:val="32"/>
    </w:rPr>
  </w:style>
  <w:style w:styleId="Heading2" w:type="paragraph">
    <w:name w:val="Heading 2"/>
    <w:basedOn w:val="Normal"/>
    <w:uiPriority w:val="1"/>
    <w:qFormat/>
    <w:pPr>
      <w:spacing w:before="69"/>
      <w:ind w:left="741"/>
      <w:outlineLvl w:val="2"/>
    </w:pPr>
    <w:rPr>
      <w:rFonts w:ascii="Times New Roman" w:hAnsi="Times New Roman" w:eastAsia="Times New Roman" w:cs="Times New Roman"/>
      <w:sz w:val="29"/>
      <w:szCs w:val="29"/>
    </w:rPr>
  </w:style>
  <w:style w:styleId="Heading3" w:type="paragraph">
    <w:name w:val="Heading 3"/>
    <w:basedOn w:val="Normal"/>
    <w:uiPriority w:val="1"/>
    <w:qFormat/>
    <w:pPr>
      <w:ind w:left="793"/>
      <w:outlineLvl w:val="3"/>
    </w:pPr>
    <w:rPr>
      <w:rFonts w:ascii="Times New Roman" w:hAnsi="Times New Roman" w:eastAsia="Times New Roman" w:cs="Times New Roman"/>
      <w:sz w:val="27"/>
      <w:szCs w:val="27"/>
    </w:rPr>
  </w:style>
  <w:style w:styleId="Heading4" w:type="paragraph">
    <w:name w:val="Heading 4"/>
    <w:basedOn w:val="Normal"/>
    <w:uiPriority w:val="1"/>
    <w:qFormat/>
    <w:pPr>
      <w:ind w:left="741"/>
      <w:outlineLvl w:val="4"/>
    </w:pPr>
    <w:rPr>
      <w:rFonts w:ascii="Times New Roman" w:hAnsi="Times New Roman" w:eastAsia="Times New Roman" w:cs="Times New Roman"/>
      <w:sz w:val="25"/>
      <w:szCs w:val="25"/>
    </w:rPr>
  </w:style>
  <w:style w:styleId="Heading5" w:type="paragraph">
    <w:name w:val="Heading 5"/>
    <w:basedOn w:val="Normal"/>
    <w:uiPriority w:val="1"/>
    <w:qFormat/>
    <w:pPr>
      <w:ind w:left="477"/>
      <w:outlineLvl w:val="5"/>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Uncertainty, policy and financial markets by Sir John Gieve</dc:subject>
  <dc:title>Uncertainty, policy and financial markets by Sir John Gieve</dc:title>
  <dcterms:created xsi:type="dcterms:W3CDTF">2020-06-02T19:02:54Z</dcterms:created>
  <dcterms:modified xsi:type="dcterms:W3CDTF">2020-06-02T19:02:54Z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2007-07-24T00:00:00Z</vt:filetime>
  </property>
  <property fmtid="{D5CDD505-2E9C-101B-9397-08002B2CF9AE}" pid="3" name="Creator">
    <vt:lpwstr>PScript5.dll Version 5.2.2</vt:lpwstr>
  </property>
  <property fmtid="{D5CDD505-2E9C-101B-9397-08002B2CF9AE}" pid="4" name="LastSaved">
    <vt:filetime>2020-06-02T00:00:00Z</vt:filetime>
  </property>
</Properties>
</file>